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Use these links to rapidly review the document</w:t>
      </w:r>
    </w:p>
    <w:p>
      <w:pPr>
        <w:spacing w:after="0" w:line="238" w:lineRule="auto"/>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rPr>
          <w:rFonts w:ascii="Arial" w:cs="Arial" w:eastAsia="Arial" w:hAnsi="Arial"/>
          <w:sz w:val="22"/>
          <w:szCs w:val="22"/>
          <w:u w:val="single" w:color="auto"/>
          <w:color w:val="0000EE"/>
        </w:rPr>
      </w:pPr>
      <w:hyperlink w:anchor="page86">
        <w:r>
          <w:rPr>
            <w:rFonts w:ascii="Arial" w:cs="Arial" w:eastAsia="Arial" w:hAnsi="Arial"/>
            <w:sz w:val="22"/>
            <w:szCs w:val="22"/>
            <w:u w:val="single" w:color="auto"/>
            <w:color w:val="0000EE"/>
          </w:rPr>
          <w:t>TABLE OF CONTENTS 2</w:t>
        </w:r>
      </w:hyperlink>
    </w:p>
    <w:p>
      <w:pPr>
        <w:spacing w:after="0" w:line="201" w:lineRule="exact"/>
        <w:rPr>
          <w:sz w:val="24"/>
          <w:szCs w:val="24"/>
          <w:color w:val="auto"/>
        </w:rPr>
      </w:pPr>
    </w:p>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422910</wp:posOffset>
            </wp:positionV>
            <wp:extent cx="7246620" cy="431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431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1" w:lineRule="exact"/>
        <w:rPr>
          <w:sz w:val="24"/>
          <w:szCs w:val="24"/>
          <w:color w:val="auto"/>
        </w:rPr>
      </w:pPr>
    </w:p>
    <w:p>
      <w:pPr>
        <w:jc w:val="center"/>
        <w:ind w:right="-19"/>
        <w:spacing w:after="0"/>
        <w:rPr>
          <w:sz w:val="20"/>
          <w:szCs w:val="20"/>
          <w:color w:val="auto"/>
        </w:rPr>
      </w:pPr>
      <w:r>
        <w:rPr>
          <w:rFonts w:ascii="Arial" w:cs="Arial" w:eastAsia="Arial" w:hAnsi="Arial"/>
          <w:sz w:val="24"/>
          <w:szCs w:val="24"/>
          <w:b w:val="1"/>
          <w:bCs w:val="1"/>
          <w:color w:val="auto"/>
        </w:rPr>
        <w:t>UNITED STATES</w:t>
      </w:r>
    </w:p>
    <w:p>
      <w:pPr>
        <w:spacing w:after="0" w:line="36" w:lineRule="exact"/>
        <w:rPr>
          <w:sz w:val="24"/>
          <w:szCs w:val="24"/>
          <w:color w:val="auto"/>
        </w:rPr>
      </w:pPr>
    </w:p>
    <w:p>
      <w:pPr>
        <w:jc w:val="center"/>
        <w:ind w:right="-19"/>
        <w:spacing w:after="0"/>
        <w:rPr>
          <w:sz w:val="20"/>
          <w:szCs w:val="20"/>
          <w:color w:val="auto"/>
        </w:rPr>
      </w:pPr>
      <w:r>
        <w:rPr>
          <w:rFonts w:ascii="Arial" w:cs="Arial" w:eastAsia="Arial" w:hAnsi="Arial"/>
          <w:sz w:val="24"/>
          <w:szCs w:val="24"/>
          <w:b w:val="1"/>
          <w:bCs w:val="1"/>
          <w:color w:val="auto"/>
        </w:rPr>
        <w:t>SECURITIES AND EXCHANGE COMMISSION</w:t>
      </w:r>
    </w:p>
    <w:p>
      <w:pPr>
        <w:spacing w:after="0" w:line="13"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192" w:lineRule="exact"/>
        <w:rPr>
          <w:sz w:val="24"/>
          <w:szCs w:val="24"/>
          <w:color w:val="auto"/>
        </w:rPr>
      </w:pPr>
    </w:p>
    <w:p>
      <w:pPr>
        <w:jc w:val="center"/>
        <w:ind w:right="-19"/>
        <w:spacing w:after="0"/>
        <w:rPr>
          <w:sz w:val="20"/>
          <w:szCs w:val="20"/>
          <w:color w:val="auto"/>
        </w:rPr>
      </w:pPr>
      <w:r>
        <w:rPr>
          <w:rFonts w:ascii="Arial" w:cs="Arial" w:eastAsia="Arial" w:hAnsi="Arial"/>
          <w:sz w:val="24"/>
          <w:szCs w:val="24"/>
          <w:b w:val="1"/>
          <w:bCs w:val="1"/>
          <w:color w:val="auto"/>
        </w:rPr>
        <w:t>FORM 10-K</w:t>
      </w:r>
    </w:p>
    <w:p>
      <w:pPr>
        <w:spacing w:after="0" w:line="225" w:lineRule="exact"/>
        <w:rPr>
          <w:sz w:val="24"/>
          <w:szCs w:val="24"/>
          <w:color w:val="auto"/>
        </w:rPr>
      </w:pPr>
    </w:p>
    <w:p>
      <w:pPr>
        <w:ind w:left="420" w:hanging="385"/>
        <w:spacing w:after="0"/>
        <w:tabs>
          <w:tab w:leader="none" w:pos="420" w:val="left"/>
        </w:tabs>
        <w:numPr>
          <w:ilvl w:val="0"/>
          <w:numId w:val="1"/>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ANNUAL REPORT PURSUANT TO SECTION 13 OR 15(d) OF THE SECURITIES EXCHANGE ACT OF 1934</w:t>
      </w:r>
    </w:p>
    <w:p>
      <w:pPr>
        <w:spacing w:after="0" w:line="3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For the fiscal year ended December 31, 2013</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OR</w:t>
      </w:r>
    </w:p>
    <w:p>
      <w:pPr>
        <w:spacing w:after="0" w:line="8" w:lineRule="exact"/>
        <w:rPr>
          <w:sz w:val="24"/>
          <w:szCs w:val="24"/>
          <w:color w:val="auto"/>
        </w:rPr>
      </w:pPr>
    </w:p>
    <w:p>
      <w:pPr>
        <w:ind w:left="420" w:hanging="344"/>
        <w:spacing w:after="0"/>
        <w:tabs>
          <w:tab w:leader="none" w:pos="420" w:val="left"/>
        </w:tabs>
        <w:numPr>
          <w:ilvl w:val="0"/>
          <w:numId w:val="2"/>
        </w:numPr>
        <w:rPr>
          <w:rFonts w:ascii="Arial" w:cs="Arial" w:eastAsia="Arial" w:hAnsi="Arial"/>
          <w:sz w:val="21"/>
          <w:szCs w:val="21"/>
          <w:b w:val="1"/>
          <w:bCs w:val="1"/>
          <w:color w:val="auto"/>
        </w:rPr>
      </w:pPr>
      <w:r>
        <w:rPr>
          <w:rFonts w:ascii="Arial" w:cs="Arial" w:eastAsia="Arial" w:hAnsi="Arial"/>
          <w:sz w:val="21"/>
          <w:szCs w:val="21"/>
          <w:b w:val="1"/>
          <w:bCs w:val="1"/>
          <w:color w:val="auto"/>
        </w:rPr>
        <w:t>TRANSITION REPORT PURSUANT TO SECTION 13 OR 15(d) OF THE SECURITIES EXCHANGE ACT OF 1934</w:t>
      </w:r>
    </w:p>
    <w:p>
      <w:pPr>
        <w:spacing w:after="0" w:line="190"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3520" w:type="dxa"/>
            <w:vAlign w:val="bottom"/>
          </w:tcPr>
          <w:p>
            <w:pPr>
              <w:spacing w:after="0"/>
              <w:rPr>
                <w:sz w:val="17"/>
                <w:szCs w:val="17"/>
                <w:color w:val="auto"/>
              </w:rPr>
            </w:pPr>
          </w:p>
        </w:tc>
        <w:tc>
          <w:tcPr>
            <w:tcW w:w="2540" w:type="dxa"/>
            <w:vAlign w:val="bottom"/>
          </w:tcPr>
          <w:p>
            <w:pPr>
              <w:ind w:left="220"/>
              <w:spacing w:after="0"/>
              <w:rPr>
                <w:sz w:val="20"/>
                <w:szCs w:val="20"/>
                <w:color w:val="auto"/>
              </w:rPr>
            </w:pPr>
            <w:r>
              <w:rPr>
                <w:rFonts w:ascii="Arial" w:cs="Arial" w:eastAsia="Arial" w:hAnsi="Arial"/>
                <w:sz w:val="18"/>
                <w:szCs w:val="18"/>
                <w:b w:val="1"/>
                <w:bCs w:val="1"/>
                <w:color w:val="auto"/>
                <w:w w:val="90"/>
              </w:rPr>
              <w:t>For the transition period from</w:t>
            </w:r>
          </w:p>
        </w:tc>
        <w:tc>
          <w:tcPr>
            <w:tcW w:w="700" w:type="dxa"/>
            <w:vAlign w:val="bottom"/>
            <w:tcBorders>
              <w:bottom w:val="single" w:sz="8" w:color="auto"/>
            </w:tcBorders>
          </w:tcPr>
          <w:p>
            <w:pPr>
              <w:spacing w:after="0"/>
              <w:rPr>
                <w:sz w:val="17"/>
                <w:szCs w:val="17"/>
                <w:color w:val="auto"/>
              </w:rPr>
            </w:pPr>
          </w:p>
        </w:tc>
        <w:tc>
          <w:tcPr>
            <w:tcW w:w="220" w:type="dxa"/>
            <w:vAlign w:val="bottom"/>
          </w:tcPr>
          <w:p>
            <w:pPr>
              <w:ind w:left="40"/>
              <w:spacing w:after="0"/>
              <w:rPr>
                <w:sz w:val="20"/>
                <w:szCs w:val="20"/>
                <w:color w:val="auto"/>
              </w:rPr>
            </w:pPr>
            <w:r>
              <w:rPr>
                <w:rFonts w:ascii="Arial" w:cs="Arial" w:eastAsia="Arial" w:hAnsi="Arial"/>
                <w:sz w:val="18"/>
                <w:szCs w:val="18"/>
                <w:b w:val="1"/>
                <w:bCs w:val="1"/>
                <w:color w:val="auto"/>
                <w:w w:val="93"/>
              </w:rPr>
              <w:t>to</w:t>
            </w:r>
          </w:p>
        </w:tc>
        <w:tc>
          <w:tcPr>
            <w:tcW w:w="62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680" w:type="dxa"/>
            <w:vAlign w:val="bottom"/>
          </w:tcPr>
          <w:p>
            <w:pPr>
              <w:spacing w:after="0"/>
              <w:rPr>
                <w:sz w:val="17"/>
                <w:szCs w:val="17"/>
                <w:color w:val="auto"/>
              </w:rPr>
            </w:pPr>
          </w:p>
        </w:tc>
      </w:tr>
      <w:tr>
        <w:trPr>
          <w:trHeight w:val="235"/>
        </w:trPr>
        <w:tc>
          <w:tcPr>
            <w:tcW w:w="3520" w:type="dxa"/>
            <w:vAlign w:val="bottom"/>
          </w:tcPr>
          <w:p>
            <w:pPr>
              <w:spacing w:after="0"/>
              <w:rPr>
                <w:sz w:val="20"/>
                <w:szCs w:val="20"/>
                <w:color w:val="auto"/>
              </w:rPr>
            </w:pPr>
          </w:p>
        </w:tc>
        <w:tc>
          <w:tcPr>
            <w:tcW w:w="4080" w:type="dxa"/>
            <w:vAlign w:val="bottom"/>
            <w:gridSpan w:val="4"/>
          </w:tcPr>
          <w:p>
            <w:pPr>
              <w:jc w:val="center"/>
              <w:ind w:left="208"/>
              <w:spacing w:after="0"/>
              <w:rPr>
                <w:sz w:val="20"/>
                <w:szCs w:val="20"/>
                <w:color w:val="auto"/>
              </w:rPr>
            </w:pPr>
            <w:r>
              <w:rPr>
                <w:rFonts w:ascii="Arial" w:cs="Arial" w:eastAsia="Arial" w:hAnsi="Arial"/>
                <w:sz w:val="18"/>
                <w:szCs w:val="18"/>
                <w:b w:val="1"/>
                <w:bCs w:val="1"/>
                <w:color w:val="auto"/>
                <w:w w:val="87"/>
              </w:rPr>
              <w:t>Commission file number 1-16725</w:t>
            </w:r>
          </w:p>
        </w:tc>
        <w:tc>
          <w:tcPr>
            <w:tcW w:w="80" w:type="dxa"/>
            <w:vAlign w:val="bottom"/>
          </w:tcPr>
          <w:p>
            <w:pPr>
              <w:spacing w:after="0"/>
              <w:rPr>
                <w:sz w:val="20"/>
                <w:szCs w:val="20"/>
                <w:color w:val="auto"/>
              </w:rPr>
            </w:pPr>
          </w:p>
        </w:tc>
        <w:tc>
          <w:tcPr>
            <w:tcW w:w="2680" w:type="dxa"/>
            <w:vAlign w:val="bottom"/>
          </w:tcPr>
          <w:p>
            <w:pPr>
              <w:spacing w:after="0"/>
              <w:rPr>
                <w:sz w:val="20"/>
                <w:szCs w:val="20"/>
                <w:color w:val="auto"/>
              </w:rPr>
            </w:pPr>
          </w:p>
        </w:tc>
      </w:tr>
      <w:tr>
        <w:trPr>
          <w:trHeight w:val="493"/>
        </w:trPr>
        <w:tc>
          <w:tcPr>
            <w:tcW w:w="3520" w:type="dxa"/>
            <w:vAlign w:val="bottom"/>
          </w:tcPr>
          <w:p>
            <w:pPr>
              <w:spacing w:after="0"/>
              <w:rPr>
                <w:sz w:val="24"/>
                <w:szCs w:val="24"/>
                <w:color w:val="auto"/>
              </w:rPr>
            </w:pPr>
          </w:p>
        </w:tc>
        <w:tc>
          <w:tcPr>
            <w:tcW w:w="6840" w:type="dxa"/>
            <w:vAlign w:val="bottom"/>
            <w:gridSpan w:val="6"/>
          </w:tcPr>
          <w:p>
            <w:pPr>
              <w:jc w:val="center"/>
              <w:ind w:right="2352"/>
              <w:spacing w:after="0"/>
              <w:rPr>
                <w:sz w:val="20"/>
                <w:szCs w:val="20"/>
                <w:color w:val="auto"/>
              </w:rPr>
            </w:pPr>
            <w:r>
              <w:rPr>
                <w:rFonts w:ascii="Arial" w:cs="Arial" w:eastAsia="Arial" w:hAnsi="Arial"/>
                <w:sz w:val="24"/>
                <w:szCs w:val="24"/>
                <w:b w:val="1"/>
                <w:bCs w:val="1"/>
                <w:color w:val="auto"/>
              </w:rPr>
              <w:t>PRINCIPAL FINANCIAL GROUP, INC.</w:t>
            </w:r>
          </w:p>
        </w:tc>
      </w:tr>
      <w:tr>
        <w:trPr>
          <w:trHeight w:val="222"/>
        </w:trPr>
        <w:tc>
          <w:tcPr>
            <w:tcW w:w="3520" w:type="dxa"/>
            <w:vAlign w:val="bottom"/>
          </w:tcPr>
          <w:p>
            <w:pPr>
              <w:spacing w:after="0"/>
              <w:rPr>
                <w:sz w:val="19"/>
                <w:szCs w:val="19"/>
                <w:color w:val="auto"/>
              </w:rPr>
            </w:pPr>
          </w:p>
        </w:tc>
        <w:tc>
          <w:tcPr>
            <w:tcW w:w="4080" w:type="dxa"/>
            <w:vAlign w:val="bottom"/>
            <w:gridSpan w:val="4"/>
          </w:tcPr>
          <w:p>
            <w:pPr>
              <w:jc w:val="center"/>
              <w:ind w:left="228"/>
              <w:spacing w:after="0"/>
              <w:rPr>
                <w:sz w:val="20"/>
                <w:szCs w:val="20"/>
                <w:color w:val="auto"/>
              </w:rPr>
            </w:pPr>
            <w:r>
              <w:rPr>
                <w:rFonts w:ascii="Arial" w:cs="Arial" w:eastAsia="Arial" w:hAnsi="Arial"/>
                <w:sz w:val="18"/>
                <w:szCs w:val="18"/>
                <w:color w:val="auto"/>
                <w:w w:val="88"/>
              </w:rPr>
              <w:t>(Exact name of Registrant as specified in its charter)</w:t>
            </w:r>
          </w:p>
        </w:tc>
        <w:tc>
          <w:tcPr>
            <w:tcW w:w="80" w:type="dxa"/>
            <w:vAlign w:val="bottom"/>
          </w:tcPr>
          <w:p>
            <w:pPr>
              <w:spacing w:after="0"/>
              <w:rPr>
                <w:sz w:val="19"/>
                <w:szCs w:val="19"/>
                <w:color w:val="auto"/>
              </w:rPr>
            </w:pPr>
          </w:p>
        </w:tc>
        <w:tc>
          <w:tcPr>
            <w:tcW w:w="2680" w:type="dxa"/>
            <w:vAlign w:val="bottom"/>
          </w:tcPr>
          <w:p>
            <w:pPr>
              <w:spacing w:after="0"/>
              <w:rPr>
                <w:sz w:val="19"/>
                <w:szCs w:val="19"/>
                <w:color w:val="auto"/>
              </w:rPr>
            </w:pPr>
          </w:p>
        </w:tc>
      </w:tr>
      <w:tr>
        <w:trPr>
          <w:trHeight w:val="420"/>
        </w:trPr>
        <w:tc>
          <w:tcPr>
            <w:tcW w:w="3520" w:type="dxa"/>
            <w:vAlign w:val="bottom"/>
          </w:tcPr>
          <w:p>
            <w:pPr>
              <w:jc w:val="center"/>
              <w:ind w:left="172"/>
              <w:spacing w:after="0"/>
              <w:rPr>
                <w:sz w:val="20"/>
                <w:szCs w:val="20"/>
                <w:color w:val="auto"/>
              </w:rPr>
            </w:pPr>
            <w:r>
              <w:rPr>
                <w:rFonts w:ascii="Arial" w:cs="Arial" w:eastAsia="Arial" w:hAnsi="Arial"/>
                <w:sz w:val="18"/>
                <w:szCs w:val="18"/>
                <w:b w:val="1"/>
                <w:bCs w:val="1"/>
                <w:color w:val="auto"/>
                <w:w w:val="88"/>
              </w:rPr>
              <w:t>Delaware</w:t>
            </w:r>
          </w:p>
        </w:tc>
        <w:tc>
          <w:tcPr>
            <w:tcW w:w="3240" w:type="dxa"/>
            <w:vAlign w:val="bottom"/>
            <w:gridSpan w:val="2"/>
          </w:tcPr>
          <w:p>
            <w:pPr>
              <w:jc w:val="center"/>
              <w:ind w:left="1028"/>
              <w:spacing w:after="0"/>
              <w:rPr>
                <w:sz w:val="20"/>
                <w:szCs w:val="20"/>
                <w:color w:val="auto"/>
              </w:rPr>
            </w:pPr>
            <w:r>
              <w:rPr>
                <w:rFonts w:ascii="Arial" w:cs="Arial" w:eastAsia="Arial" w:hAnsi="Arial"/>
                <w:sz w:val="18"/>
                <w:szCs w:val="18"/>
                <w:b w:val="1"/>
                <w:bCs w:val="1"/>
                <w:color w:val="auto"/>
                <w:w w:val="88"/>
              </w:rPr>
              <w:t>711 High Street,</w:t>
            </w: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760" w:type="dxa"/>
            <w:vAlign w:val="bottom"/>
            <w:gridSpan w:val="2"/>
          </w:tcPr>
          <w:p>
            <w:pPr>
              <w:jc w:val="center"/>
              <w:ind w:left="1032"/>
              <w:spacing w:after="0"/>
              <w:rPr>
                <w:sz w:val="20"/>
                <w:szCs w:val="20"/>
                <w:color w:val="auto"/>
              </w:rPr>
            </w:pPr>
            <w:r>
              <w:rPr>
                <w:rFonts w:ascii="Arial" w:cs="Arial" w:eastAsia="Arial" w:hAnsi="Arial"/>
                <w:sz w:val="18"/>
                <w:szCs w:val="18"/>
                <w:b w:val="1"/>
                <w:bCs w:val="1"/>
                <w:color w:val="auto"/>
                <w:w w:val="87"/>
              </w:rPr>
              <w:t>42-1520346</w:t>
            </w:r>
          </w:p>
        </w:tc>
      </w:tr>
      <w:tr>
        <w:trPr>
          <w:trHeight w:val="222"/>
        </w:trPr>
        <w:tc>
          <w:tcPr>
            <w:tcW w:w="3520" w:type="dxa"/>
            <w:vAlign w:val="bottom"/>
          </w:tcPr>
          <w:p>
            <w:pPr>
              <w:jc w:val="center"/>
              <w:ind w:left="152"/>
              <w:spacing w:after="0"/>
              <w:rPr>
                <w:sz w:val="20"/>
                <w:szCs w:val="20"/>
                <w:color w:val="auto"/>
              </w:rPr>
            </w:pPr>
            <w:r>
              <w:rPr>
                <w:rFonts w:ascii="Arial" w:cs="Arial" w:eastAsia="Arial" w:hAnsi="Arial"/>
                <w:sz w:val="18"/>
                <w:szCs w:val="18"/>
                <w:color w:val="auto"/>
                <w:w w:val="90"/>
              </w:rPr>
              <w:t>(State or other jurisdiction of</w:t>
            </w:r>
          </w:p>
        </w:tc>
        <w:tc>
          <w:tcPr>
            <w:tcW w:w="3240" w:type="dxa"/>
            <w:vAlign w:val="bottom"/>
            <w:gridSpan w:val="2"/>
          </w:tcPr>
          <w:p>
            <w:pPr>
              <w:jc w:val="center"/>
              <w:ind w:left="1028"/>
              <w:spacing w:after="0"/>
              <w:rPr>
                <w:sz w:val="20"/>
                <w:szCs w:val="20"/>
                <w:color w:val="auto"/>
              </w:rPr>
            </w:pPr>
            <w:r>
              <w:rPr>
                <w:rFonts w:ascii="Arial" w:cs="Arial" w:eastAsia="Arial" w:hAnsi="Arial"/>
                <w:sz w:val="18"/>
                <w:szCs w:val="18"/>
                <w:b w:val="1"/>
                <w:bCs w:val="1"/>
                <w:color w:val="auto"/>
                <w:w w:val="87"/>
              </w:rPr>
              <w:t>Des Moines, Iowa 50392</w:t>
            </w:r>
          </w:p>
        </w:tc>
        <w:tc>
          <w:tcPr>
            <w:tcW w:w="2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680" w:type="dxa"/>
            <w:vAlign w:val="bottom"/>
          </w:tcPr>
          <w:p>
            <w:pPr>
              <w:jc w:val="center"/>
              <w:ind w:left="952"/>
              <w:spacing w:after="0"/>
              <w:rPr>
                <w:sz w:val="20"/>
                <w:szCs w:val="20"/>
                <w:color w:val="auto"/>
              </w:rPr>
            </w:pPr>
            <w:r>
              <w:rPr>
                <w:rFonts w:ascii="Arial" w:cs="Arial" w:eastAsia="Arial" w:hAnsi="Arial"/>
                <w:sz w:val="18"/>
                <w:szCs w:val="18"/>
                <w:color w:val="auto"/>
                <w:w w:val="90"/>
              </w:rPr>
              <w:t>(I.R.S. Employer</w:t>
            </w:r>
          </w:p>
        </w:tc>
      </w:tr>
      <w:tr>
        <w:trPr>
          <w:trHeight w:val="222"/>
        </w:trPr>
        <w:tc>
          <w:tcPr>
            <w:tcW w:w="3520" w:type="dxa"/>
            <w:vAlign w:val="bottom"/>
          </w:tcPr>
          <w:p>
            <w:pPr>
              <w:jc w:val="center"/>
              <w:ind w:left="152"/>
              <w:spacing w:after="0"/>
              <w:rPr>
                <w:sz w:val="20"/>
                <w:szCs w:val="20"/>
                <w:color w:val="auto"/>
              </w:rPr>
            </w:pPr>
            <w:r>
              <w:rPr>
                <w:rFonts w:ascii="Arial" w:cs="Arial" w:eastAsia="Arial" w:hAnsi="Arial"/>
                <w:sz w:val="18"/>
                <w:szCs w:val="18"/>
                <w:color w:val="auto"/>
                <w:w w:val="90"/>
              </w:rPr>
              <w:t>incorporation or organization)</w:t>
            </w:r>
          </w:p>
        </w:tc>
        <w:tc>
          <w:tcPr>
            <w:tcW w:w="4080" w:type="dxa"/>
            <w:vAlign w:val="bottom"/>
            <w:gridSpan w:val="4"/>
          </w:tcPr>
          <w:p>
            <w:pPr>
              <w:jc w:val="center"/>
              <w:ind w:left="208"/>
              <w:spacing w:after="0"/>
              <w:rPr>
                <w:sz w:val="20"/>
                <w:szCs w:val="20"/>
                <w:color w:val="auto"/>
              </w:rPr>
            </w:pPr>
            <w:r>
              <w:rPr>
                <w:rFonts w:ascii="Arial" w:cs="Arial" w:eastAsia="Arial" w:hAnsi="Arial"/>
                <w:sz w:val="18"/>
                <w:szCs w:val="18"/>
                <w:color w:val="auto"/>
                <w:w w:val="90"/>
              </w:rPr>
              <w:t>(Address of principal executive offices)</w:t>
            </w:r>
          </w:p>
        </w:tc>
        <w:tc>
          <w:tcPr>
            <w:tcW w:w="80" w:type="dxa"/>
            <w:vAlign w:val="bottom"/>
          </w:tcPr>
          <w:p>
            <w:pPr>
              <w:spacing w:after="0"/>
              <w:rPr>
                <w:sz w:val="19"/>
                <w:szCs w:val="19"/>
                <w:color w:val="auto"/>
              </w:rPr>
            </w:pPr>
          </w:p>
        </w:tc>
        <w:tc>
          <w:tcPr>
            <w:tcW w:w="2680" w:type="dxa"/>
            <w:vAlign w:val="bottom"/>
          </w:tcPr>
          <w:p>
            <w:pPr>
              <w:jc w:val="center"/>
              <w:ind w:left="972"/>
              <w:spacing w:after="0"/>
              <w:rPr>
                <w:sz w:val="20"/>
                <w:szCs w:val="20"/>
                <w:color w:val="auto"/>
              </w:rPr>
            </w:pPr>
            <w:r>
              <w:rPr>
                <w:rFonts w:ascii="Arial" w:cs="Arial" w:eastAsia="Arial" w:hAnsi="Arial"/>
                <w:sz w:val="18"/>
                <w:szCs w:val="18"/>
                <w:color w:val="auto"/>
                <w:w w:val="91"/>
              </w:rPr>
              <w:t>Identification Number)</w:t>
            </w:r>
          </w:p>
        </w:tc>
      </w:tr>
      <w:tr>
        <w:trPr>
          <w:trHeight w:val="426"/>
        </w:trPr>
        <w:tc>
          <w:tcPr>
            <w:tcW w:w="3520" w:type="dxa"/>
            <w:vAlign w:val="bottom"/>
          </w:tcPr>
          <w:p>
            <w:pPr>
              <w:spacing w:after="0"/>
              <w:rPr>
                <w:sz w:val="24"/>
                <w:szCs w:val="24"/>
                <w:color w:val="auto"/>
              </w:rPr>
            </w:pPr>
          </w:p>
        </w:tc>
        <w:tc>
          <w:tcPr>
            <w:tcW w:w="3240" w:type="dxa"/>
            <w:vAlign w:val="bottom"/>
            <w:gridSpan w:val="2"/>
          </w:tcPr>
          <w:p>
            <w:pPr>
              <w:jc w:val="center"/>
              <w:ind w:left="1068"/>
              <w:spacing w:after="0"/>
              <w:rPr>
                <w:sz w:val="20"/>
                <w:szCs w:val="20"/>
                <w:color w:val="auto"/>
              </w:rPr>
            </w:pPr>
            <w:r>
              <w:rPr>
                <w:rFonts w:ascii="Arial" w:cs="Arial" w:eastAsia="Arial" w:hAnsi="Arial"/>
                <w:sz w:val="18"/>
                <w:szCs w:val="18"/>
                <w:b w:val="1"/>
                <w:bCs w:val="1"/>
                <w:color w:val="auto"/>
                <w:w w:val="87"/>
              </w:rPr>
              <w:t>(515) 247-5111</w:t>
            </w: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80" w:type="dxa"/>
            <w:vAlign w:val="bottom"/>
          </w:tcPr>
          <w:p>
            <w:pPr>
              <w:spacing w:after="0"/>
              <w:rPr>
                <w:sz w:val="24"/>
                <w:szCs w:val="24"/>
                <w:color w:val="auto"/>
              </w:rPr>
            </w:pPr>
          </w:p>
        </w:tc>
      </w:tr>
      <w:tr>
        <w:trPr>
          <w:trHeight w:val="222"/>
        </w:trPr>
        <w:tc>
          <w:tcPr>
            <w:tcW w:w="3520" w:type="dxa"/>
            <w:vAlign w:val="bottom"/>
          </w:tcPr>
          <w:p>
            <w:pPr>
              <w:spacing w:after="0"/>
              <w:rPr>
                <w:sz w:val="19"/>
                <w:szCs w:val="19"/>
                <w:color w:val="auto"/>
              </w:rPr>
            </w:pPr>
          </w:p>
        </w:tc>
        <w:tc>
          <w:tcPr>
            <w:tcW w:w="4080" w:type="dxa"/>
            <w:vAlign w:val="bottom"/>
            <w:gridSpan w:val="4"/>
          </w:tcPr>
          <w:p>
            <w:pPr>
              <w:jc w:val="center"/>
              <w:ind w:left="208"/>
              <w:spacing w:after="0"/>
              <w:rPr>
                <w:sz w:val="20"/>
                <w:szCs w:val="20"/>
                <w:color w:val="auto"/>
              </w:rPr>
            </w:pPr>
            <w:r>
              <w:rPr>
                <w:rFonts w:ascii="Arial" w:cs="Arial" w:eastAsia="Arial" w:hAnsi="Arial"/>
                <w:sz w:val="18"/>
                <w:szCs w:val="18"/>
                <w:color w:val="auto"/>
                <w:w w:val="87"/>
              </w:rPr>
              <w:t>(Registrant's telephone number, including area code)</w:t>
            </w:r>
          </w:p>
        </w:tc>
        <w:tc>
          <w:tcPr>
            <w:tcW w:w="80" w:type="dxa"/>
            <w:vAlign w:val="bottom"/>
          </w:tcPr>
          <w:p>
            <w:pPr>
              <w:spacing w:after="0"/>
              <w:rPr>
                <w:sz w:val="19"/>
                <w:szCs w:val="19"/>
                <w:color w:val="auto"/>
              </w:rPr>
            </w:pPr>
          </w:p>
        </w:tc>
        <w:tc>
          <w:tcPr>
            <w:tcW w:w="2680" w:type="dxa"/>
            <w:vAlign w:val="bottom"/>
          </w:tcPr>
          <w:p>
            <w:pPr>
              <w:spacing w:after="0"/>
              <w:rPr>
                <w:sz w:val="19"/>
                <w:szCs w:val="19"/>
                <w:color w:val="auto"/>
              </w:rPr>
            </w:pPr>
          </w:p>
        </w:tc>
      </w:tr>
      <w:tr>
        <w:trPr>
          <w:trHeight w:val="432"/>
        </w:trPr>
        <w:tc>
          <w:tcPr>
            <w:tcW w:w="6760" w:type="dxa"/>
            <w:vAlign w:val="bottom"/>
            <w:gridSpan w:val="3"/>
          </w:tcPr>
          <w:p>
            <w:pPr>
              <w:spacing w:after="0"/>
              <w:rPr>
                <w:sz w:val="20"/>
                <w:szCs w:val="20"/>
                <w:color w:val="auto"/>
              </w:rPr>
            </w:pPr>
            <w:r>
              <w:rPr>
                <w:rFonts w:ascii="Arial" w:cs="Arial" w:eastAsia="Arial" w:hAnsi="Arial"/>
                <w:sz w:val="18"/>
                <w:szCs w:val="18"/>
                <w:color w:val="auto"/>
              </w:rPr>
              <w:t>Securities registered pursuant to Section 12(b) of the Act:</w:t>
            </w: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80" w:type="dxa"/>
            <w:vAlign w:val="bottom"/>
          </w:tcPr>
          <w:p>
            <w:pPr>
              <w:spacing w:after="0"/>
              <w:rPr>
                <w:sz w:val="24"/>
                <w:szCs w:val="24"/>
                <w:color w:val="auto"/>
              </w:rPr>
            </w:pPr>
          </w:p>
        </w:tc>
      </w:tr>
      <w:tr>
        <w:trPr>
          <w:trHeight w:val="426"/>
        </w:trPr>
        <w:tc>
          <w:tcPr>
            <w:tcW w:w="3520" w:type="dxa"/>
            <w:vAlign w:val="bottom"/>
          </w:tcPr>
          <w:p>
            <w:pPr>
              <w:jc w:val="center"/>
              <w:ind w:left="2092"/>
              <w:spacing w:after="0"/>
              <w:rPr>
                <w:sz w:val="20"/>
                <w:szCs w:val="20"/>
                <w:color w:val="auto"/>
              </w:rPr>
            </w:pPr>
            <w:r>
              <w:rPr>
                <w:rFonts w:ascii="Arial" w:cs="Arial" w:eastAsia="Arial" w:hAnsi="Arial"/>
                <w:sz w:val="18"/>
                <w:szCs w:val="18"/>
                <w:color w:val="auto"/>
                <w:w w:val="87"/>
              </w:rPr>
              <w:t>Title of each class</w:t>
            </w:r>
          </w:p>
        </w:tc>
        <w:tc>
          <w:tcPr>
            <w:tcW w:w="25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380" w:type="dxa"/>
            <w:vAlign w:val="bottom"/>
            <w:gridSpan w:val="3"/>
          </w:tcPr>
          <w:p>
            <w:pPr>
              <w:jc w:val="center"/>
              <w:ind w:right="92"/>
              <w:spacing w:after="0"/>
              <w:rPr>
                <w:sz w:val="20"/>
                <w:szCs w:val="20"/>
                <w:color w:val="auto"/>
              </w:rPr>
            </w:pPr>
            <w:r>
              <w:rPr>
                <w:rFonts w:ascii="Arial" w:cs="Arial" w:eastAsia="Arial" w:hAnsi="Arial"/>
                <w:sz w:val="18"/>
                <w:szCs w:val="18"/>
                <w:color w:val="auto"/>
                <w:w w:val="87"/>
              </w:rPr>
              <w:t>Name of each exchange on which registered</w:t>
            </w:r>
          </w:p>
        </w:tc>
      </w:tr>
      <w:tr>
        <w:trPr>
          <w:trHeight w:val="216"/>
        </w:trPr>
        <w:tc>
          <w:tcPr>
            <w:tcW w:w="6760" w:type="dxa"/>
            <w:vAlign w:val="bottom"/>
            <w:gridSpan w:val="3"/>
          </w:tcPr>
          <w:p>
            <w:pPr>
              <w:jc w:val="center"/>
              <w:ind w:right="1080"/>
              <w:spacing w:after="0"/>
              <w:rPr>
                <w:sz w:val="20"/>
                <w:szCs w:val="20"/>
                <w:color w:val="auto"/>
              </w:rPr>
            </w:pPr>
            <w:r>
              <w:rPr>
                <w:rFonts w:ascii="Arial" w:cs="Arial" w:eastAsia="Arial" w:hAnsi="Arial"/>
                <w:sz w:val="18"/>
                <w:szCs w:val="18"/>
                <w:color w:val="auto"/>
                <w:w w:val="88"/>
              </w:rPr>
              <w:t>Common Stock, par value $0.01</w:t>
            </w: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760" w:type="dxa"/>
            <w:vAlign w:val="bottom"/>
            <w:gridSpan w:val="2"/>
          </w:tcPr>
          <w:p>
            <w:pPr>
              <w:jc w:val="center"/>
              <w:ind w:right="732"/>
              <w:spacing w:after="0"/>
              <w:rPr>
                <w:sz w:val="20"/>
                <w:szCs w:val="20"/>
                <w:color w:val="auto"/>
              </w:rPr>
            </w:pPr>
            <w:r>
              <w:rPr>
                <w:rFonts w:ascii="Arial" w:cs="Arial" w:eastAsia="Arial" w:hAnsi="Arial"/>
                <w:sz w:val="18"/>
                <w:szCs w:val="18"/>
                <w:color w:val="auto"/>
                <w:w w:val="89"/>
              </w:rPr>
              <w:t>New York Stock Exchange</w:t>
            </w:r>
          </w:p>
        </w:tc>
      </w:tr>
      <w:tr>
        <w:trPr>
          <w:trHeight w:val="216"/>
        </w:trPr>
        <w:tc>
          <w:tcPr>
            <w:tcW w:w="6760" w:type="dxa"/>
            <w:vAlign w:val="bottom"/>
            <w:gridSpan w:val="3"/>
          </w:tcPr>
          <w:p>
            <w:pPr>
              <w:jc w:val="center"/>
              <w:ind w:right="1060"/>
              <w:spacing w:after="0"/>
              <w:rPr>
                <w:sz w:val="20"/>
                <w:szCs w:val="20"/>
                <w:color w:val="auto"/>
              </w:rPr>
            </w:pPr>
            <w:r>
              <w:rPr>
                <w:rFonts w:ascii="Arial" w:cs="Arial" w:eastAsia="Arial" w:hAnsi="Arial"/>
                <w:sz w:val="18"/>
                <w:szCs w:val="18"/>
                <w:color w:val="auto"/>
                <w:w w:val="88"/>
              </w:rPr>
              <w:t>Series B Non-Cumulative Perpetual Preferred Stock</w:t>
            </w: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760" w:type="dxa"/>
            <w:vAlign w:val="bottom"/>
            <w:gridSpan w:val="2"/>
          </w:tcPr>
          <w:p>
            <w:pPr>
              <w:jc w:val="center"/>
              <w:ind w:right="732"/>
              <w:spacing w:after="0"/>
              <w:rPr>
                <w:sz w:val="20"/>
                <w:szCs w:val="20"/>
                <w:color w:val="auto"/>
              </w:rPr>
            </w:pPr>
            <w:r>
              <w:rPr>
                <w:rFonts w:ascii="Arial" w:cs="Arial" w:eastAsia="Arial" w:hAnsi="Arial"/>
                <w:sz w:val="18"/>
                <w:szCs w:val="18"/>
                <w:color w:val="auto"/>
                <w:w w:val="89"/>
              </w:rPr>
              <w:t>New York Stock Exchange</w:t>
            </w:r>
          </w:p>
        </w:tc>
      </w:tr>
      <w:tr>
        <w:trPr>
          <w:trHeight w:val="216"/>
        </w:trPr>
        <w:tc>
          <w:tcPr>
            <w:tcW w:w="6760" w:type="dxa"/>
            <w:vAlign w:val="bottom"/>
            <w:gridSpan w:val="3"/>
          </w:tcPr>
          <w:p>
            <w:pPr>
              <w:jc w:val="center"/>
              <w:ind w:right="1080"/>
              <w:spacing w:after="0"/>
              <w:rPr>
                <w:sz w:val="20"/>
                <w:szCs w:val="20"/>
                <w:color w:val="auto"/>
              </w:rPr>
            </w:pPr>
            <w:r>
              <w:rPr>
                <w:rFonts w:ascii="Arial" w:cs="Arial" w:eastAsia="Arial" w:hAnsi="Arial"/>
                <w:sz w:val="18"/>
                <w:szCs w:val="18"/>
                <w:color w:val="auto"/>
                <w:w w:val="88"/>
              </w:rPr>
              <w:t>Securities registered pursuant to Section 12(g) of the Act:</w:t>
            </w: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80" w:type="dxa"/>
            <w:vAlign w:val="bottom"/>
          </w:tcPr>
          <w:p>
            <w:pPr>
              <w:spacing w:after="0"/>
              <w:rPr>
                <w:sz w:val="18"/>
                <w:szCs w:val="18"/>
                <w:color w:val="auto"/>
              </w:rPr>
            </w:pPr>
          </w:p>
        </w:tc>
      </w:tr>
      <w:tr>
        <w:trPr>
          <w:trHeight w:val="222"/>
        </w:trPr>
        <w:tc>
          <w:tcPr>
            <w:tcW w:w="6760" w:type="dxa"/>
            <w:vAlign w:val="bottom"/>
            <w:gridSpan w:val="3"/>
          </w:tcPr>
          <w:p>
            <w:pPr>
              <w:jc w:val="center"/>
              <w:ind w:right="1060"/>
              <w:spacing w:after="0"/>
              <w:rPr>
                <w:sz w:val="20"/>
                <w:szCs w:val="20"/>
                <w:color w:val="auto"/>
              </w:rPr>
            </w:pPr>
            <w:r>
              <w:rPr>
                <w:rFonts w:ascii="Arial" w:cs="Arial" w:eastAsia="Arial" w:hAnsi="Arial"/>
                <w:sz w:val="18"/>
                <w:szCs w:val="18"/>
                <w:color w:val="auto"/>
                <w:w w:val="88"/>
              </w:rPr>
              <w:t>Series A Non-Cumulative Perpetual Preferred Stock</w:t>
            </w:r>
          </w:p>
        </w:tc>
        <w:tc>
          <w:tcPr>
            <w:tcW w:w="2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680" w:type="dxa"/>
            <w:vAlign w:val="bottom"/>
          </w:tcPr>
          <w:p>
            <w:pPr>
              <w:spacing w:after="0"/>
              <w:rPr>
                <w:sz w:val="19"/>
                <w:szCs w:val="19"/>
                <w:color w:val="auto"/>
              </w:rPr>
            </w:pPr>
          </w:p>
        </w:tc>
      </w:tr>
    </w:tbl>
    <w:p>
      <w:pPr>
        <w:spacing w:after="0" w:line="177" w:lineRule="exact"/>
        <w:rPr>
          <w:sz w:val="24"/>
          <w:szCs w:val="24"/>
          <w:color w:val="auto"/>
        </w:rPr>
      </w:pPr>
    </w:p>
    <w:p>
      <w:pPr>
        <w:ind w:left="360"/>
        <w:spacing w:after="0" w:line="207" w:lineRule="exact"/>
        <w:rPr>
          <w:sz w:val="20"/>
          <w:szCs w:val="20"/>
          <w:color w:val="auto"/>
        </w:rPr>
      </w:pPr>
      <w:r>
        <w:rPr>
          <w:rFonts w:ascii="Arial" w:cs="Arial" w:eastAsia="Arial" w:hAnsi="Arial"/>
          <w:sz w:val="18"/>
          <w:szCs w:val="18"/>
          <w:color w:val="auto"/>
        </w:rPr>
        <w:t xml:space="preserve">Indicate by check mark if the registrant is a well-known seasoned issuer, as defined in Rule 405 of the Securities Act.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o</w:t>
      </w:r>
    </w:p>
    <w:p>
      <w:pPr>
        <w:spacing w:after="0" w:line="225" w:lineRule="exact"/>
        <w:rPr>
          <w:sz w:val="24"/>
          <w:szCs w:val="24"/>
          <w:color w:val="auto"/>
        </w:rPr>
      </w:pPr>
    </w:p>
    <w:p>
      <w:pPr>
        <w:ind w:left="360"/>
        <w:spacing w:after="0" w:line="184" w:lineRule="exact"/>
        <w:rPr>
          <w:sz w:val="20"/>
          <w:szCs w:val="20"/>
          <w:color w:val="auto"/>
        </w:rPr>
      </w:pPr>
      <w:r>
        <w:rPr>
          <w:rFonts w:ascii="Arial" w:cs="Arial" w:eastAsia="Arial" w:hAnsi="Arial"/>
          <w:sz w:val="16"/>
          <w:szCs w:val="16"/>
          <w:color w:val="auto"/>
        </w:rPr>
        <w:t xml:space="preserve">Indicate by check mark if the registrant is not required to file reports pursuant to Section 13 or Section 15(d) of the Exchange Act. Yes o No </w:t>
      </w:r>
      <w:r>
        <w:rPr>
          <w:rFonts w:ascii="MS PGothic" w:cs="MS PGothic" w:eastAsia="MS PGothic" w:hAnsi="MS PGothic"/>
          <w:sz w:val="16"/>
          <w:szCs w:val="16"/>
          <w:color w:val="auto"/>
        </w:rPr>
        <w:t>☒</w:t>
      </w:r>
    </w:p>
    <w:p>
      <w:pPr>
        <w:spacing w:after="0" w:line="281" w:lineRule="exact"/>
        <w:rPr>
          <w:sz w:val="24"/>
          <w:szCs w:val="24"/>
          <w:color w:val="auto"/>
        </w:rPr>
      </w:pPr>
    </w:p>
    <w:p>
      <w:pPr>
        <w:jc w:val="both"/>
        <w:ind w:firstLine="425"/>
        <w:spacing w:after="0" w:line="225"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o</w:t>
      </w:r>
    </w:p>
    <w:p>
      <w:pPr>
        <w:spacing w:after="0" w:line="192" w:lineRule="exact"/>
        <w:rPr>
          <w:sz w:val="24"/>
          <w:szCs w:val="24"/>
          <w:color w:val="auto"/>
        </w:rPr>
      </w:pPr>
    </w:p>
    <w:p>
      <w:pPr>
        <w:jc w:val="both"/>
        <w:ind w:firstLine="358"/>
        <w:spacing w:after="0" w:line="225"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Website, if any, every Interactive Data File required to be submitted and posted pursuant to Rule 405 of Regulation S-T (§ 232.405 of this chapter)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o</w:t>
      </w:r>
    </w:p>
    <w:p>
      <w:pPr>
        <w:spacing w:after="0" w:line="192" w:lineRule="exact"/>
        <w:rPr>
          <w:sz w:val="24"/>
          <w:szCs w:val="24"/>
          <w:color w:val="auto"/>
        </w:rPr>
      </w:pPr>
    </w:p>
    <w:p>
      <w:pPr>
        <w:jc w:val="both"/>
        <w:ind w:firstLine="370"/>
        <w:spacing w:after="0" w:line="225" w:lineRule="exact"/>
        <w:rPr>
          <w:sz w:val="20"/>
          <w:szCs w:val="20"/>
          <w:color w:val="auto"/>
        </w:rPr>
      </w:pPr>
      <w:r>
        <w:rPr>
          <w:rFonts w:ascii="Arial" w:cs="Arial" w:eastAsia="Arial" w:hAnsi="Arial"/>
          <w:sz w:val="18"/>
          <w:szCs w:val="18"/>
          <w:color w:val="auto"/>
        </w:rPr>
        <w:t xml:space="preserve">Indicate by check mark if disclosure of delinquent filers pursuant to Item 405 of Regulation S-K (§ 229.405 of this chapter) is not contained herein, and will not be contained, to the best of Registrant's knowledge, in definitive proxy or information statements incorporated by reference in Part III of this Form 10-K or any amendment of this Form 10-K. </w:t>
      </w:r>
      <w:r>
        <w:rPr>
          <w:rFonts w:ascii="MS PGothic" w:cs="MS PGothic" w:eastAsia="MS PGothic" w:hAnsi="MS PGothic"/>
          <w:sz w:val="18"/>
          <w:szCs w:val="18"/>
          <w:color w:val="auto"/>
        </w:rPr>
        <w:t>☒</w:t>
      </w:r>
    </w:p>
    <w:p>
      <w:pPr>
        <w:spacing w:after="0" w:line="192" w:lineRule="exact"/>
        <w:rPr>
          <w:sz w:val="24"/>
          <w:szCs w:val="24"/>
          <w:color w:val="auto"/>
        </w:rPr>
      </w:pPr>
    </w:p>
    <w:p>
      <w:pPr>
        <w:jc w:val="both"/>
        <w:ind w:firstLine="351"/>
        <w:spacing w:after="0" w:line="332"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p>
      <w:pPr>
        <w:sectPr>
          <w:pgSz w:w="11900" w:h="16838" w:orient="portrait"/>
          <w:cols w:equalWidth="0" w:num="1">
            <w:col w:w="11420"/>
          </w:cols>
          <w:pgMar w:left="240" w:top="685" w:right="239" w:bottom="0" w:gutter="0" w:footer="0" w:header="0"/>
        </w:sectPr>
      </w:pPr>
    </w:p>
    <w:p>
      <w:pPr>
        <w:spacing w:after="0" w:line="112" w:lineRule="exact"/>
        <w:rPr>
          <w:sz w:val="24"/>
          <w:szCs w:val="24"/>
          <w:color w:val="auto"/>
        </w:rPr>
      </w:pPr>
    </w:p>
    <w:p>
      <w:pPr>
        <w:ind w:left="720"/>
        <w:spacing w:after="0" w:line="138" w:lineRule="exact"/>
        <w:rPr>
          <w:sz w:val="20"/>
          <w:szCs w:val="20"/>
          <w:color w:val="auto"/>
        </w:rPr>
      </w:pPr>
      <w:r>
        <w:rPr>
          <w:rFonts w:ascii="Arial" w:cs="Arial" w:eastAsia="Arial" w:hAnsi="Arial"/>
          <w:sz w:val="12"/>
          <w:szCs w:val="12"/>
          <w:color w:val="auto"/>
        </w:rPr>
        <w:t xml:space="preserve">Large accelerated filer </w:t>
      </w:r>
      <w:r>
        <w:rPr>
          <w:rFonts w:ascii="MS PGothic" w:cs="MS PGothic" w:eastAsia="MS PGothic" w:hAnsi="MS PGothic"/>
          <w:sz w:val="12"/>
          <w:szCs w:val="12"/>
          <w:color w:val="auto"/>
        </w:rPr>
        <w:t>☒</w:t>
      </w:r>
    </w:p>
    <w:p>
      <w:pPr>
        <w:spacing w:after="0" w:line="20" w:lineRule="exact"/>
        <w:rPr>
          <w:sz w:val="24"/>
          <w:szCs w:val="24"/>
          <w:color w:val="auto"/>
        </w:rPr>
      </w:pPr>
      <w:r>
        <w:rPr>
          <w:sz w:val="24"/>
          <w:szCs w:val="24"/>
          <w:color w:val="auto"/>
        </w:rPr>
        <w:br w:type="column"/>
      </w:r>
    </w:p>
    <w:p>
      <w:pPr>
        <w:spacing w:after="0" w:line="117" w:lineRule="exact"/>
        <w:rPr>
          <w:sz w:val="24"/>
          <w:szCs w:val="24"/>
          <w:color w:val="auto"/>
        </w:rPr>
      </w:pPr>
    </w:p>
    <w:p>
      <w:pPr>
        <w:jc w:val="center"/>
        <w:ind w:right="900"/>
        <w:spacing w:after="0"/>
        <w:rPr>
          <w:sz w:val="20"/>
          <w:szCs w:val="20"/>
          <w:color w:val="auto"/>
        </w:rPr>
      </w:pPr>
      <w:r>
        <w:rPr>
          <w:rFonts w:ascii="Arial" w:cs="Arial" w:eastAsia="Arial" w:hAnsi="Arial"/>
          <w:sz w:val="12"/>
          <w:szCs w:val="12"/>
          <w:color w:val="auto"/>
        </w:rPr>
        <w:t>Accelerated filer o</w:t>
      </w:r>
    </w:p>
    <w:p>
      <w:pPr>
        <w:spacing w:after="0" w:line="20" w:lineRule="exact"/>
        <w:rPr>
          <w:sz w:val="24"/>
          <w:szCs w:val="24"/>
          <w:color w:val="auto"/>
        </w:rPr>
      </w:pPr>
      <w:r>
        <w:rPr>
          <w:sz w:val="24"/>
          <w:szCs w:val="24"/>
          <w:color w:val="auto"/>
        </w:rPr>
        <w:br w:type="column"/>
      </w:r>
    </w:p>
    <w:p>
      <w:pPr>
        <w:spacing w:after="0" w:line="116" w:lineRule="exact"/>
        <w:rPr>
          <w:sz w:val="24"/>
          <w:szCs w:val="24"/>
          <w:color w:val="auto"/>
        </w:rPr>
      </w:pPr>
    </w:p>
    <w:p>
      <w:pPr>
        <w:jc w:val="center"/>
        <w:ind w:right="600"/>
        <w:spacing w:after="0"/>
        <w:rPr>
          <w:sz w:val="20"/>
          <w:szCs w:val="20"/>
          <w:color w:val="auto"/>
        </w:rPr>
      </w:pPr>
      <w:r>
        <w:rPr>
          <w:rFonts w:ascii="Arial" w:cs="Arial" w:eastAsia="Arial" w:hAnsi="Arial"/>
          <w:sz w:val="14"/>
          <w:szCs w:val="14"/>
          <w:color w:val="auto"/>
        </w:rPr>
        <w:t>Non-accelerated filer o</w:t>
      </w:r>
    </w:p>
    <w:p>
      <w:pPr>
        <w:jc w:val="center"/>
        <w:ind w:right="600"/>
        <w:spacing w:after="0" w:line="221" w:lineRule="auto"/>
        <w:rPr>
          <w:sz w:val="20"/>
          <w:szCs w:val="20"/>
          <w:color w:val="auto"/>
        </w:rPr>
      </w:pPr>
      <w:r>
        <w:rPr>
          <w:rFonts w:ascii="Arial" w:cs="Arial" w:eastAsia="Arial" w:hAnsi="Arial"/>
          <w:sz w:val="14"/>
          <w:szCs w:val="14"/>
          <w:color w:val="auto"/>
        </w:rPr>
        <w:t>(Do not check if a</w:t>
      </w:r>
    </w:p>
    <w:p>
      <w:pPr>
        <w:jc w:val="center"/>
        <w:ind w:right="600"/>
        <w:spacing w:after="0"/>
        <w:rPr>
          <w:sz w:val="20"/>
          <w:szCs w:val="20"/>
          <w:color w:val="auto"/>
        </w:rPr>
      </w:pPr>
      <w:r>
        <w:rPr>
          <w:rFonts w:ascii="Arial" w:cs="Arial" w:eastAsia="Arial" w:hAnsi="Arial"/>
          <w:sz w:val="12"/>
          <w:szCs w:val="12"/>
          <w:color w:val="auto"/>
        </w:rPr>
        <w:t>smaller reporting company)</w:t>
      </w:r>
    </w:p>
    <w:p>
      <w:pPr>
        <w:spacing w:after="0" w:line="20" w:lineRule="exact"/>
        <w:rPr>
          <w:sz w:val="24"/>
          <w:szCs w:val="24"/>
          <w:color w:val="auto"/>
        </w:rPr>
      </w:pPr>
      <w:r>
        <w:rPr>
          <w:sz w:val="24"/>
          <w:szCs w:val="24"/>
          <w:color w:val="auto"/>
        </w:rPr>
        <w:br w:type="column"/>
      </w:r>
    </w:p>
    <w:p>
      <w:pPr>
        <w:spacing w:after="0" w:line="117" w:lineRule="exact"/>
        <w:rPr>
          <w:sz w:val="24"/>
          <w:szCs w:val="24"/>
          <w:color w:val="auto"/>
        </w:rPr>
      </w:pPr>
    </w:p>
    <w:p>
      <w:pPr>
        <w:spacing w:after="0"/>
        <w:rPr>
          <w:sz w:val="20"/>
          <w:szCs w:val="20"/>
          <w:color w:val="auto"/>
        </w:rPr>
      </w:pPr>
      <w:r>
        <w:rPr>
          <w:rFonts w:ascii="Arial" w:cs="Arial" w:eastAsia="Arial" w:hAnsi="Arial"/>
          <w:sz w:val="12"/>
          <w:szCs w:val="12"/>
          <w:color w:val="auto"/>
        </w:rPr>
        <w:t>Smaller reporting company o</w:t>
      </w:r>
    </w:p>
    <w:p>
      <w:pPr>
        <w:spacing w:after="0" w:line="494" w:lineRule="exact"/>
        <w:rPr>
          <w:sz w:val="24"/>
          <w:szCs w:val="24"/>
          <w:color w:val="auto"/>
        </w:rPr>
      </w:pPr>
    </w:p>
    <w:p>
      <w:pPr>
        <w:sectPr>
          <w:pgSz w:w="11900" w:h="16838" w:orient="portrait"/>
          <w:cols w:equalWidth="0" w:num="4">
            <w:col w:w="3060" w:space="720"/>
            <w:col w:w="1900" w:space="720"/>
            <w:col w:w="2100" w:space="720"/>
            <w:col w:w="2200"/>
          </w:cols>
          <w:pgMar w:left="240" w:top="685" w:right="239" w:bottom="0" w:gutter="0" w:footer="0" w:header="0"/>
          <w:type w:val="continuous"/>
        </w:sectPr>
      </w:pPr>
    </w:p>
    <w:p>
      <w:pPr>
        <w:ind w:left="360"/>
        <w:spacing w:after="0" w:line="207" w:lineRule="exact"/>
        <w:rPr>
          <w:sz w:val="20"/>
          <w:szCs w:val="20"/>
          <w:color w:val="auto"/>
        </w:rPr>
      </w:pPr>
      <w:r>
        <w:rPr>
          <w:rFonts w:ascii="Arial" w:cs="Arial" w:eastAsia="Arial" w:hAnsi="Arial"/>
          <w:sz w:val="18"/>
          <w:szCs w:val="18"/>
          <w:color w:val="auto"/>
        </w:rPr>
        <w:t xml:space="preserve">Indicate by check mark whether the registrant is a shell company (as defined in Rule 12b-2 of the Exchange Act.) Yes o No </w:t>
      </w:r>
      <w:r>
        <w:rPr>
          <w:rFonts w:ascii="MS PGothic" w:cs="MS PGothic" w:eastAsia="MS PGothic" w:hAnsi="MS PGothic"/>
          <w:sz w:val="18"/>
          <w:szCs w:val="18"/>
          <w:color w:val="auto"/>
        </w:rPr>
        <w:t>☒</w:t>
      </w:r>
    </w:p>
    <w:p>
      <w:pPr>
        <w:spacing w:after="0" w:line="258" w:lineRule="exact"/>
        <w:rPr>
          <w:sz w:val="24"/>
          <w:szCs w:val="24"/>
          <w:color w:val="auto"/>
        </w:rPr>
      </w:pPr>
    </w:p>
    <w:p>
      <w:pPr>
        <w:ind w:left="340"/>
        <w:spacing w:after="0"/>
        <w:rPr>
          <w:sz w:val="20"/>
          <w:szCs w:val="20"/>
          <w:color w:val="auto"/>
        </w:rPr>
      </w:pPr>
      <w:r>
        <w:rPr>
          <w:rFonts w:ascii="Arial" w:cs="Arial" w:eastAsia="Arial" w:hAnsi="Arial"/>
          <w:sz w:val="18"/>
          <w:szCs w:val="18"/>
          <w:color w:val="auto"/>
        </w:rPr>
        <w:t>As of February 5, 2014, there were outstanding 295,521,829 shares of Common Stock, $0.01 par value per share of the Registrant.</w:t>
      </w:r>
    </w:p>
    <w:p>
      <w:pPr>
        <w:spacing w:after="0" w:line="225" w:lineRule="exact"/>
        <w:rPr>
          <w:sz w:val="24"/>
          <w:szCs w:val="24"/>
          <w:color w:val="auto"/>
        </w:rPr>
      </w:pPr>
    </w:p>
    <w:p>
      <w:pPr>
        <w:ind w:right="20" w:firstLine="481"/>
        <w:spacing w:after="0" w:line="268" w:lineRule="auto"/>
        <w:rPr>
          <w:sz w:val="20"/>
          <w:szCs w:val="20"/>
          <w:color w:val="auto"/>
        </w:rPr>
      </w:pPr>
      <w:r>
        <w:rPr>
          <w:rFonts w:ascii="Arial" w:cs="Arial" w:eastAsia="Arial" w:hAnsi="Arial"/>
          <w:sz w:val="18"/>
          <w:szCs w:val="18"/>
          <w:color w:val="auto"/>
        </w:rPr>
        <w:t>The aggregate market value of the shares of the Registrant's common equity held by non-affiliates of the Registrant was $11,007,711,269 based on the closing price of $37.45 per share of Common Stock on the New York Stock Exchange on June 28, 2013.</w:t>
      </w:r>
    </w:p>
    <w:p>
      <w:pPr>
        <w:spacing w:after="0" w:line="18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Documents Incorporated by Reference</w:t>
      </w:r>
    </w:p>
    <w:p>
      <w:pPr>
        <w:sectPr>
          <w:pgSz w:w="11900" w:h="16838" w:orient="portrait"/>
          <w:cols w:equalWidth="0" w:num="1">
            <w:col w:w="11420"/>
          </w:cols>
          <w:pgMar w:left="240" w:top="685" w:right="239" w:bottom="0" w:gutter="0" w:footer="0" w:header="0"/>
          <w:type w:val="continuous"/>
        </w:sectPr>
      </w:pPr>
    </w:p>
    <w:bookmarkStart w:id="1" w:name="page2"/>
    <w:bookmarkEnd w:id="1"/>
    <w:p>
      <w:pPr>
        <w:jc w:val="both"/>
        <w:ind w:firstLine="462"/>
        <w:spacing w:after="0" w:line="306" w:lineRule="auto"/>
        <w:rPr>
          <w:sz w:val="20"/>
          <w:szCs w:val="20"/>
          <w:color w:val="auto"/>
        </w:rPr>
      </w:pPr>
      <w:r>
        <w:rPr>
          <w:rFonts w:ascii="Arial" w:cs="Arial" w:eastAsia="Arial" w:hAnsi="Arial"/>
          <w:sz w:val="16"/>
          <w:szCs w:val="16"/>
          <w:color w:val="auto"/>
        </w:rPr>
        <w:t>The information required to be furnished pursuant to Part III of this Form 10-K is set forth in, and is hereby incorporated by reference herein from, the Registrant's definitive proxy statement for the annual meeting of stockholders to be held on May 20, 2014, to be filed by the Registrant with the United States Securities and Exchange Commission pursuant to Regulation 14A not later than 120 days after the year ended December 31, 2013.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107315</wp:posOffset>
            </wp:positionV>
            <wp:extent cx="7246620" cy="431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4318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285115</wp:posOffset>
            </wp:positionV>
            <wp:extent cx="7250430"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07"/>
        </w:trPr>
        <w:tc>
          <w:tcPr>
            <w:tcW w:w="2060" w:type="dxa"/>
            <w:vAlign w:val="bottom"/>
            <w:gridSpan w:val="8"/>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Table of Contents</w:t>
              </w:r>
            </w:hyperlink>
          </w:p>
        </w:tc>
        <w:tc>
          <w:tcPr>
            <w:tcW w:w="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38"/>
        </w:trPr>
        <w:tc>
          <w:tcPr>
            <w:tcW w:w="114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640" w:type="dxa"/>
            <w:vAlign w:val="bottom"/>
            <w:gridSpan w:val="14"/>
          </w:tcPr>
          <w:p>
            <w:pPr>
              <w:jc w:val="center"/>
              <w:ind w:right="2320"/>
              <w:spacing w:after="0"/>
              <w:rPr>
                <w:sz w:val="20"/>
                <w:szCs w:val="20"/>
                <w:color w:val="auto"/>
              </w:rPr>
            </w:pPr>
            <w:r>
              <w:rPr>
                <w:rFonts w:ascii="Arial" w:cs="Arial" w:eastAsia="Arial" w:hAnsi="Arial"/>
                <w:sz w:val="18"/>
                <w:szCs w:val="18"/>
                <w:b w:val="1"/>
                <w:bCs w:val="1"/>
                <w:color w:val="auto"/>
                <w:w w:val="98"/>
              </w:rPr>
              <w:t>PRINCIPAL FINANCIAL GROUP, INC.</w:t>
            </w: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640" w:type="dxa"/>
            <w:vAlign w:val="bottom"/>
            <w:gridSpan w:val="14"/>
          </w:tcPr>
          <w:p>
            <w:pPr>
              <w:jc w:val="center"/>
              <w:ind w:right="2320"/>
              <w:spacing w:after="0"/>
              <w:rPr>
                <w:sz w:val="20"/>
                <w:szCs w:val="20"/>
                <w:color w:val="auto"/>
              </w:rPr>
            </w:pPr>
            <w:r>
              <w:rPr>
                <w:rFonts w:ascii="Arial" w:cs="Arial" w:eastAsia="Arial" w:hAnsi="Arial"/>
                <w:sz w:val="18"/>
                <w:szCs w:val="18"/>
                <w:b w:val="1"/>
                <w:bCs w:val="1"/>
                <w:color w:val="auto"/>
                <w:w w:val="96"/>
              </w:rPr>
              <w:t>TABLE OF CONTENTS</w:t>
            </w:r>
          </w:p>
        </w:tc>
        <w:tc>
          <w:tcPr>
            <w:tcW w:w="3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94"/>
        </w:trPr>
        <w:tc>
          <w:tcPr>
            <w:tcW w:w="1140" w:type="dxa"/>
            <w:vAlign w:val="bottom"/>
          </w:tcPr>
          <w:p>
            <w:pPr>
              <w:spacing w:after="0"/>
              <w:rPr>
                <w:sz w:val="24"/>
                <w:szCs w:val="24"/>
                <w:color w:val="auto"/>
              </w:rPr>
            </w:pPr>
          </w:p>
        </w:tc>
        <w:tc>
          <w:tcPr>
            <w:tcW w:w="500" w:type="dxa"/>
            <w:vAlign w:val="bottom"/>
            <w:gridSpan w:val="2"/>
          </w:tcPr>
          <w:p>
            <w:pPr>
              <w:spacing w:after="0"/>
              <w:rPr>
                <w:rFonts w:ascii="Arial" w:cs="Arial" w:eastAsia="Arial" w:hAnsi="Arial"/>
                <w:sz w:val="18"/>
                <w:szCs w:val="18"/>
                <w:color w:val="0000EE"/>
                <w:w w:val="79"/>
              </w:rPr>
            </w:pPr>
            <w:hyperlink w:anchor="page6">
              <w:r>
                <w:rPr>
                  <w:rFonts w:ascii="Arial" w:cs="Arial" w:eastAsia="Arial" w:hAnsi="Arial"/>
                  <w:sz w:val="18"/>
                  <w:szCs w:val="18"/>
                  <w:color w:val="0000EE"/>
                  <w:w w:val="79"/>
                </w:rPr>
                <w:t>PART I</w:t>
              </w:r>
            </w:hyperlink>
          </w:p>
        </w:tc>
        <w:tc>
          <w:tcPr>
            <w:tcW w:w="420" w:type="dxa"/>
            <w:vAlign w:val="bottom"/>
            <w:gridSpan w:val="5"/>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80" w:type="dxa"/>
            <w:vAlign w:val="bottom"/>
            <w:gridSpan w:val="4"/>
          </w:tcPr>
          <w:p>
            <w:pPr>
              <w:jc w:val="right"/>
              <w:spacing w:after="0"/>
              <w:rPr>
                <w:rFonts w:ascii="Arial" w:cs="Arial" w:eastAsia="Arial" w:hAnsi="Arial"/>
                <w:sz w:val="18"/>
                <w:szCs w:val="18"/>
                <w:color w:val="0000EE"/>
              </w:rPr>
            </w:pPr>
            <w:hyperlink w:anchor="page6">
              <w:r>
                <w:rPr>
                  <w:rFonts w:ascii="Arial" w:cs="Arial" w:eastAsia="Arial" w:hAnsi="Arial"/>
                  <w:sz w:val="18"/>
                  <w:szCs w:val="18"/>
                  <w:color w:val="0000EE"/>
                </w:rPr>
                <w:t>4</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80" w:type="dxa"/>
            <w:vAlign w:val="bottom"/>
            <w:tcBorders>
              <w:left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140" w:type="dxa"/>
            <w:vAlign w:val="bottom"/>
          </w:tcPr>
          <w:p>
            <w:pPr>
              <w:spacing w:after="0"/>
              <w:rPr>
                <w:sz w:val="24"/>
                <w:szCs w:val="24"/>
                <w:color w:val="auto"/>
              </w:rPr>
            </w:pPr>
          </w:p>
        </w:tc>
        <w:tc>
          <w:tcPr>
            <w:tcW w:w="500" w:type="dxa"/>
            <w:vAlign w:val="bottom"/>
            <w:gridSpan w:val="2"/>
          </w:tcPr>
          <w:p>
            <w:pPr>
              <w:spacing w:after="0"/>
              <w:rPr>
                <w:rFonts w:ascii="Arial" w:cs="Arial" w:eastAsia="Arial" w:hAnsi="Arial"/>
                <w:sz w:val="18"/>
                <w:szCs w:val="18"/>
                <w:color w:val="0000EE"/>
                <w:w w:val="83"/>
              </w:rPr>
            </w:pPr>
            <w:hyperlink w:anchor="page6">
              <w:r>
                <w:rPr>
                  <w:rFonts w:ascii="Arial" w:cs="Arial" w:eastAsia="Arial" w:hAnsi="Arial"/>
                  <w:sz w:val="18"/>
                  <w:szCs w:val="18"/>
                  <w:color w:val="0000EE"/>
                  <w:w w:val="83"/>
                </w:rPr>
                <w:t>Item 1.</w:t>
              </w:r>
            </w:hyperlink>
          </w:p>
        </w:tc>
        <w:tc>
          <w:tcPr>
            <w:tcW w:w="420" w:type="dxa"/>
            <w:vAlign w:val="bottom"/>
            <w:gridSpan w:val="5"/>
          </w:tcPr>
          <w:p>
            <w:pPr>
              <w:spacing w:after="0"/>
              <w:rPr>
                <w:sz w:val="24"/>
                <w:szCs w:val="24"/>
                <w:color w:val="auto"/>
              </w:rPr>
            </w:pPr>
          </w:p>
        </w:tc>
        <w:tc>
          <w:tcPr>
            <w:tcW w:w="7640" w:type="dxa"/>
            <w:vAlign w:val="bottom"/>
            <w:gridSpan w:val="24"/>
          </w:tcPr>
          <w:p>
            <w:pPr>
              <w:spacing w:after="0"/>
              <w:rPr>
                <w:rFonts w:ascii="Arial" w:cs="Arial" w:eastAsia="Arial" w:hAnsi="Arial"/>
                <w:sz w:val="18"/>
                <w:szCs w:val="18"/>
                <w:color w:val="0000EE"/>
              </w:rPr>
            </w:pPr>
            <w:hyperlink w:anchor="page6">
              <w:r>
                <w:rPr>
                  <w:rFonts w:ascii="Arial" w:cs="Arial" w:eastAsia="Arial" w:hAnsi="Arial"/>
                  <w:sz w:val="18"/>
                  <w:szCs w:val="18"/>
                  <w:color w:val="0000EE"/>
                </w:rPr>
                <w:t>Business</w:t>
              </w:r>
            </w:hyperlink>
          </w:p>
        </w:tc>
        <w:tc>
          <w:tcPr>
            <w:tcW w:w="580" w:type="dxa"/>
            <w:vAlign w:val="bottom"/>
            <w:gridSpan w:val="4"/>
          </w:tcPr>
          <w:p>
            <w:pPr>
              <w:jc w:val="right"/>
              <w:spacing w:after="0"/>
              <w:rPr>
                <w:rFonts w:ascii="Arial" w:cs="Arial" w:eastAsia="Arial" w:hAnsi="Arial"/>
                <w:sz w:val="18"/>
                <w:szCs w:val="18"/>
                <w:color w:val="0000EE"/>
              </w:rPr>
            </w:pPr>
            <w:hyperlink w:anchor="page6">
              <w:r>
                <w:rPr>
                  <w:rFonts w:ascii="Arial" w:cs="Arial" w:eastAsia="Arial" w:hAnsi="Arial"/>
                  <w:sz w:val="18"/>
                  <w:szCs w:val="18"/>
                  <w:color w:val="0000EE"/>
                </w:rPr>
                <w:t>4</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140" w:type="dxa"/>
            <w:vAlign w:val="bottom"/>
          </w:tcPr>
          <w:p>
            <w:pPr>
              <w:spacing w:after="0"/>
              <w:rPr>
                <w:sz w:val="24"/>
                <w:szCs w:val="24"/>
                <w:color w:val="auto"/>
              </w:rPr>
            </w:pPr>
          </w:p>
        </w:tc>
        <w:tc>
          <w:tcPr>
            <w:tcW w:w="620" w:type="dxa"/>
            <w:vAlign w:val="bottom"/>
            <w:gridSpan w:val="4"/>
          </w:tcPr>
          <w:p>
            <w:pPr>
              <w:spacing w:after="0"/>
              <w:rPr>
                <w:rFonts w:ascii="Arial" w:cs="Arial" w:eastAsia="Arial" w:hAnsi="Arial"/>
                <w:sz w:val="18"/>
                <w:szCs w:val="18"/>
                <w:color w:val="0000EE"/>
                <w:w w:val="86"/>
              </w:rPr>
            </w:pPr>
            <w:hyperlink w:anchor="page20">
              <w:r>
                <w:rPr>
                  <w:rFonts w:ascii="Arial" w:cs="Arial" w:eastAsia="Arial" w:hAnsi="Arial"/>
                  <w:sz w:val="18"/>
                  <w:szCs w:val="18"/>
                  <w:color w:val="0000EE"/>
                  <w:w w:val="86"/>
                </w:rPr>
                <w:t>Item 1A.</w:t>
              </w:r>
            </w:hyperlink>
          </w:p>
        </w:tc>
        <w:tc>
          <w:tcPr>
            <w:tcW w:w="300" w:type="dxa"/>
            <w:vAlign w:val="bottom"/>
            <w:gridSpan w:val="3"/>
          </w:tcPr>
          <w:p>
            <w:pPr>
              <w:spacing w:after="0"/>
              <w:rPr>
                <w:sz w:val="24"/>
                <w:szCs w:val="24"/>
                <w:color w:val="auto"/>
              </w:rPr>
            </w:pPr>
          </w:p>
        </w:tc>
        <w:tc>
          <w:tcPr>
            <w:tcW w:w="7640" w:type="dxa"/>
            <w:vAlign w:val="bottom"/>
            <w:gridSpan w:val="24"/>
          </w:tcPr>
          <w:p>
            <w:pPr>
              <w:spacing w:after="0"/>
              <w:rPr>
                <w:rFonts w:ascii="Arial" w:cs="Arial" w:eastAsia="Arial" w:hAnsi="Arial"/>
                <w:sz w:val="18"/>
                <w:szCs w:val="18"/>
                <w:color w:val="0000EE"/>
              </w:rPr>
            </w:pPr>
            <w:hyperlink w:anchor="page20">
              <w:r>
                <w:rPr>
                  <w:rFonts w:ascii="Arial" w:cs="Arial" w:eastAsia="Arial" w:hAnsi="Arial"/>
                  <w:sz w:val="18"/>
                  <w:szCs w:val="18"/>
                  <w:color w:val="0000EE"/>
                </w:rPr>
                <w:t>Risk Factors</w:t>
              </w:r>
            </w:hyperlink>
          </w:p>
        </w:tc>
        <w:tc>
          <w:tcPr>
            <w:tcW w:w="580" w:type="dxa"/>
            <w:vAlign w:val="bottom"/>
            <w:gridSpan w:val="4"/>
          </w:tcPr>
          <w:p>
            <w:pPr>
              <w:jc w:val="right"/>
              <w:spacing w:after="0"/>
              <w:rPr>
                <w:rFonts w:ascii="Arial" w:cs="Arial" w:eastAsia="Arial" w:hAnsi="Arial"/>
                <w:sz w:val="18"/>
                <w:szCs w:val="18"/>
                <w:color w:val="0000EE"/>
              </w:rPr>
            </w:pPr>
            <w:hyperlink w:anchor="page20">
              <w:r>
                <w:rPr>
                  <w:rFonts w:ascii="Arial" w:cs="Arial" w:eastAsia="Arial" w:hAnsi="Arial"/>
                  <w:sz w:val="18"/>
                  <w:szCs w:val="18"/>
                  <w:color w:val="0000EE"/>
                </w:rPr>
                <w:t>17</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140" w:type="dxa"/>
            <w:vAlign w:val="bottom"/>
          </w:tcPr>
          <w:p>
            <w:pPr>
              <w:spacing w:after="0"/>
              <w:rPr>
                <w:sz w:val="24"/>
                <w:szCs w:val="24"/>
                <w:color w:val="auto"/>
              </w:rPr>
            </w:pPr>
          </w:p>
        </w:tc>
        <w:tc>
          <w:tcPr>
            <w:tcW w:w="620" w:type="dxa"/>
            <w:vAlign w:val="bottom"/>
            <w:gridSpan w:val="4"/>
          </w:tcPr>
          <w:p>
            <w:pPr>
              <w:spacing w:after="0"/>
              <w:rPr>
                <w:rFonts w:ascii="Arial" w:cs="Arial" w:eastAsia="Arial" w:hAnsi="Arial"/>
                <w:sz w:val="18"/>
                <w:szCs w:val="18"/>
                <w:color w:val="0000EE"/>
                <w:w w:val="86"/>
              </w:rPr>
            </w:pPr>
            <w:hyperlink w:anchor="page33">
              <w:r>
                <w:rPr>
                  <w:rFonts w:ascii="Arial" w:cs="Arial" w:eastAsia="Arial" w:hAnsi="Arial"/>
                  <w:sz w:val="18"/>
                  <w:szCs w:val="18"/>
                  <w:color w:val="0000EE"/>
                  <w:w w:val="86"/>
                </w:rPr>
                <w:t>Item 1B.</w:t>
              </w:r>
            </w:hyperlink>
          </w:p>
        </w:tc>
        <w:tc>
          <w:tcPr>
            <w:tcW w:w="300" w:type="dxa"/>
            <w:vAlign w:val="bottom"/>
            <w:gridSpan w:val="3"/>
          </w:tcPr>
          <w:p>
            <w:pPr>
              <w:spacing w:after="0"/>
              <w:rPr>
                <w:sz w:val="24"/>
                <w:szCs w:val="24"/>
                <w:color w:val="auto"/>
              </w:rPr>
            </w:pPr>
          </w:p>
        </w:tc>
        <w:tc>
          <w:tcPr>
            <w:tcW w:w="7640" w:type="dxa"/>
            <w:vAlign w:val="bottom"/>
            <w:gridSpan w:val="24"/>
          </w:tcPr>
          <w:p>
            <w:pPr>
              <w:spacing w:after="0"/>
              <w:rPr>
                <w:rFonts w:ascii="Arial" w:cs="Arial" w:eastAsia="Arial" w:hAnsi="Arial"/>
                <w:sz w:val="18"/>
                <w:szCs w:val="18"/>
                <w:color w:val="0000EE"/>
              </w:rPr>
            </w:pPr>
            <w:hyperlink w:anchor="page33">
              <w:r>
                <w:rPr>
                  <w:rFonts w:ascii="Arial" w:cs="Arial" w:eastAsia="Arial" w:hAnsi="Arial"/>
                  <w:sz w:val="18"/>
                  <w:szCs w:val="18"/>
                  <w:color w:val="0000EE"/>
                </w:rPr>
                <w:t>Unresolved Staff Comments</w:t>
              </w:r>
            </w:hyperlink>
          </w:p>
        </w:tc>
        <w:tc>
          <w:tcPr>
            <w:tcW w:w="580" w:type="dxa"/>
            <w:vAlign w:val="bottom"/>
            <w:gridSpan w:val="4"/>
          </w:tcPr>
          <w:p>
            <w:pPr>
              <w:jc w:val="right"/>
              <w:spacing w:after="0"/>
              <w:rPr>
                <w:rFonts w:ascii="Arial" w:cs="Arial" w:eastAsia="Arial" w:hAnsi="Arial"/>
                <w:sz w:val="18"/>
                <w:szCs w:val="18"/>
                <w:color w:val="0000EE"/>
              </w:rPr>
            </w:pPr>
            <w:hyperlink w:anchor="page33">
              <w:r>
                <w:rPr>
                  <w:rFonts w:ascii="Arial" w:cs="Arial" w:eastAsia="Arial" w:hAnsi="Arial"/>
                  <w:sz w:val="18"/>
                  <w:szCs w:val="18"/>
                  <w:color w:val="0000EE"/>
                </w:rPr>
                <w:t>30</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600" w:type="dxa"/>
            <w:vAlign w:val="bottom"/>
            <w:tcBorders>
              <w:left w:val="single" w:sz="8" w:color="0000EE"/>
            </w:tcBorders>
            <w:gridSpan w:val="2"/>
            <w:shd w:val="clear" w:color="auto" w:fill="0000EE"/>
          </w:tcPr>
          <w:p>
            <w:pPr>
              <w:spacing w:after="0" w:line="20" w:lineRule="exact"/>
              <w:rPr>
                <w:sz w:val="1"/>
                <w:szCs w:val="1"/>
                <w:color w:val="auto"/>
              </w:rPr>
            </w:pPr>
          </w:p>
        </w:tc>
        <w:tc>
          <w:tcPr>
            <w:tcW w:w="340" w:type="dxa"/>
            <w:vAlign w:val="bottom"/>
            <w:tcBorders>
              <w:left w:val="single" w:sz="8" w:color="0000EE"/>
            </w:tcBorders>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140" w:type="dxa"/>
            <w:vAlign w:val="bottom"/>
          </w:tcPr>
          <w:p>
            <w:pPr>
              <w:spacing w:after="0"/>
              <w:rPr>
                <w:sz w:val="24"/>
                <w:szCs w:val="24"/>
                <w:color w:val="auto"/>
              </w:rPr>
            </w:pPr>
          </w:p>
        </w:tc>
        <w:tc>
          <w:tcPr>
            <w:tcW w:w="620" w:type="dxa"/>
            <w:vAlign w:val="bottom"/>
            <w:gridSpan w:val="4"/>
          </w:tcPr>
          <w:p>
            <w:pPr>
              <w:spacing w:after="0"/>
              <w:rPr>
                <w:rFonts w:ascii="Arial" w:cs="Arial" w:eastAsia="Arial" w:hAnsi="Arial"/>
                <w:sz w:val="18"/>
                <w:szCs w:val="18"/>
                <w:color w:val="0000EE"/>
              </w:rPr>
            </w:pPr>
            <w:hyperlink w:anchor="page33">
              <w:r>
                <w:rPr>
                  <w:rFonts w:ascii="Arial" w:cs="Arial" w:eastAsia="Arial" w:hAnsi="Arial"/>
                  <w:sz w:val="18"/>
                  <w:szCs w:val="18"/>
                  <w:color w:val="0000EE"/>
                </w:rPr>
                <w:t>Item 2.</w:t>
              </w:r>
            </w:hyperlink>
          </w:p>
        </w:tc>
        <w:tc>
          <w:tcPr>
            <w:tcW w:w="300" w:type="dxa"/>
            <w:vAlign w:val="bottom"/>
            <w:gridSpan w:val="3"/>
          </w:tcPr>
          <w:p>
            <w:pPr>
              <w:spacing w:after="0"/>
              <w:rPr>
                <w:sz w:val="24"/>
                <w:szCs w:val="24"/>
                <w:color w:val="auto"/>
              </w:rPr>
            </w:pPr>
          </w:p>
        </w:tc>
        <w:tc>
          <w:tcPr>
            <w:tcW w:w="7640" w:type="dxa"/>
            <w:vAlign w:val="bottom"/>
            <w:gridSpan w:val="24"/>
          </w:tcPr>
          <w:p>
            <w:pPr>
              <w:spacing w:after="0"/>
              <w:rPr>
                <w:rFonts w:ascii="Arial" w:cs="Arial" w:eastAsia="Arial" w:hAnsi="Arial"/>
                <w:sz w:val="18"/>
                <w:szCs w:val="18"/>
                <w:color w:val="0000EE"/>
              </w:rPr>
            </w:pPr>
            <w:hyperlink w:anchor="page33">
              <w:r>
                <w:rPr>
                  <w:rFonts w:ascii="Arial" w:cs="Arial" w:eastAsia="Arial" w:hAnsi="Arial"/>
                  <w:sz w:val="18"/>
                  <w:szCs w:val="18"/>
                  <w:color w:val="0000EE"/>
                </w:rPr>
                <w:t>Properties</w:t>
              </w:r>
            </w:hyperlink>
          </w:p>
        </w:tc>
        <w:tc>
          <w:tcPr>
            <w:tcW w:w="580" w:type="dxa"/>
            <w:vAlign w:val="bottom"/>
            <w:gridSpan w:val="4"/>
          </w:tcPr>
          <w:p>
            <w:pPr>
              <w:jc w:val="right"/>
              <w:spacing w:after="0"/>
              <w:rPr>
                <w:rFonts w:ascii="Arial" w:cs="Arial" w:eastAsia="Arial" w:hAnsi="Arial"/>
                <w:sz w:val="18"/>
                <w:szCs w:val="18"/>
                <w:color w:val="0000EE"/>
              </w:rPr>
            </w:pPr>
            <w:hyperlink w:anchor="page33">
              <w:r>
                <w:rPr>
                  <w:rFonts w:ascii="Arial" w:cs="Arial" w:eastAsia="Arial" w:hAnsi="Arial"/>
                  <w:sz w:val="18"/>
                  <w:szCs w:val="18"/>
                  <w:color w:val="0000EE"/>
                </w:rPr>
                <w:t>30</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600" w:type="dxa"/>
            <w:vAlign w:val="bottom"/>
            <w:tcBorders>
              <w:left w:val="single" w:sz="8" w:color="0000EE"/>
            </w:tcBorders>
            <w:gridSpan w:val="2"/>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140" w:type="dxa"/>
            <w:vAlign w:val="bottom"/>
          </w:tcPr>
          <w:p>
            <w:pPr>
              <w:spacing w:after="0"/>
              <w:rPr>
                <w:sz w:val="24"/>
                <w:szCs w:val="24"/>
                <w:color w:val="auto"/>
              </w:rPr>
            </w:pPr>
          </w:p>
        </w:tc>
        <w:tc>
          <w:tcPr>
            <w:tcW w:w="920" w:type="dxa"/>
            <w:vAlign w:val="bottom"/>
            <w:gridSpan w:val="7"/>
          </w:tcPr>
          <w:p>
            <w:pPr>
              <w:spacing w:after="0"/>
              <w:rPr>
                <w:rFonts w:ascii="Arial" w:cs="Arial" w:eastAsia="Arial" w:hAnsi="Arial"/>
                <w:sz w:val="18"/>
                <w:szCs w:val="18"/>
                <w:color w:val="0000EE"/>
              </w:rPr>
            </w:pPr>
            <w:hyperlink w:anchor="page33">
              <w:r>
                <w:rPr>
                  <w:rFonts w:ascii="Arial" w:cs="Arial" w:eastAsia="Arial" w:hAnsi="Arial"/>
                  <w:sz w:val="18"/>
                  <w:szCs w:val="18"/>
                  <w:color w:val="0000EE"/>
                </w:rPr>
                <w:t>Item 3.</w:t>
              </w:r>
            </w:hyperlink>
          </w:p>
        </w:tc>
        <w:tc>
          <w:tcPr>
            <w:tcW w:w="7640" w:type="dxa"/>
            <w:vAlign w:val="bottom"/>
            <w:gridSpan w:val="24"/>
          </w:tcPr>
          <w:p>
            <w:pPr>
              <w:spacing w:after="0"/>
              <w:rPr>
                <w:rFonts w:ascii="Arial" w:cs="Arial" w:eastAsia="Arial" w:hAnsi="Arial"/>
                <w:sz w:val="18"/>
                <w:szCs w:val="18"/>
                <w:color w:val="0000EE"/>
              </w:rPr>
            </w:pPr>
            <w:hyperlink w:anchor="page33">
              <w:r>
                <w:rPr>
                  <w:rFonts w:ascii="Arial" w:cs="Arial" w:eastAsia="Arial" w:hAnsi="Arial"/>
                  <w:sz w:val="18"/>
                  <w:szCs w:val="18"/>
                  <w:color w:val="0000EE"/>
                </w:rPr>
                <w:t>Legal Proceedings</w:t>
              </w:r>
            </w:hyperlink>
          </w:p>
        </w:tc>
        <w:tc>
          <w:tcPr>
            <w:tcW w:w="580" w:type="dxa"/>
            <w:vAlign w:val="bottom"/>
            <w:gridSpan w:val="4"/>
          </w:tcPr>
          <w:p>
            <w:pPr>
              <w:jc w:val="right"/>
              <w:spacing w:after="0"/>
              <w:rPr>
                <w:rFonts w:ascii="Arial" w:cs="Arial" w:eastAsia="Arial" w:hAnsi="Arial"/>
                <w:sz w:val="18"/>
                <w:szCs w:val="18"/>
                <w:color w:val="0000EE"/>
              </w:rPr>
            </w:pPr>
            <w:hyperlink w:anchor="page33">
              <w:r>
                <w:rPr>
                  <w:rFonts w:ascii="Arial" w:cs="Arial" w:eastAsia="Arial" w:hAnsi="Arial"/>
                  <w:sz w:val="18"/>
                  <w:szCs w:val="18"/>
                  <w:color w:val="0000EE"/>
                </w:rPr>
                <w:t>30</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600" w:type="dxa"/>
            <w:vAlign w:val="bottom"/>
            <w:tcBorders>
              <w:left w:val="single" w:sz="8" w:color="0000EE"/>
            </w:tcBorders>
            <w:gridSpan w:val="2"/>
            <w:shd w:val="clear" w:color="auto" w:fill="0000EE"/>
          </w:tcPr>
          <w:p>
            <w:pPr>
              <w:spacing w:after="0" w:line="20" w:lineRule="exact"/>
              <w:rPr>
                <w:sz w:val="1"/>
                <w:szCs w:val="1"/>
                <w:color w:val="auto"/>
              </w:rPr>
            </w:pPr>
          </w:p>
        </w:tc>
        <w:tc>
          <w:tcPr>
            <w:tcW w:w="340" w:type="dxa"/>
            <w:vAlign w:val="bottom"/>
            <w:tcBorders>
              <w:left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2540" w:type="dxa"/>
            <w:vAlign w:val="bottom"/>
            <w:tcBorders>
              <w:bottom w:val="single" w:sz="8" w:color="0000EE"/>
            </w:tcBorders>
            <w:gridSpan w:val="13"/>
          </w:tcPr>
          <w:p>
            <w:pPr>
              <w:spacing w:after="0"/>
              <w:rPr>
                <w:rFonts w:ascii="Arial" w:cs="Arial" w:eastAsia="Arial" w:hAnsi="Arial"/>
                <w:sz w:val="18"/>
                <w:szCs w:val="18"/>
                <w:color w:val="0000EE"/>
                <w:w w:val="89"/>
              </w:rPr>
            </w:pPr>
            <w:hyperlink w:anchor="page34">
              <w:r>
                <w:rPr>
                  <w:rFonts w:ascii="Arial" w:cs="Arial" w:eastAsia="Arial" w:hAnsi="Arial"/>
                  <w:sz w:val="18"/>
                  <w:szCs w:val="18"/>
                  <w:color w:val="0000EE"/>
                  <w:w w:val="89"/>
                </w:rPr>
                <w:t>Executive Officers of the Registrant</w:t>
              </w:r>
            </w:hyperlink>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40" w:type="dxa"/>
            <w:vAlign w:val="bottom"/>
            <w:gridSpan w:val="2"/>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80" w:type="dxa"/>
            <w:vAlign w:val="bottom"/>
            <w:gridSpan w:val="4"/>
          </w:tcPr>
          <w:p>
            <w:pPr>
              <w:jc w:val="right"/>
              <w:spacing w:after="0"/>
              <w:rPr>
                <w:rFonts w:ascii="Arial" w:cs="Arial" w:eastAsia="Arial" w:hAnsi="Arial"/>
                <w:sz w:val="18"/>
                <w:szCs w:val="18"/>
                <w:color w:val="0000EE"/>
              </w:rPr>
            </w:pPr>
            <w:hyperlink w:anchor="page34">
              <w:r>
                <w:rPr>
                  <w:rFonts w:ascii="Arial" w:cs="Arial" w:eastAsia="Arial" w:hAnsi="Arial"/>
                  <w:sz w:val="18"/>
                  <w:szCs w:val="18"/>
                  <w:color w:val="0000EE"/>
                </w:rPr>
                <w:t>31</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620" w:type="dxa"/>
            <w:vAlign w:val="bottom"/>
            <w:gridSpan w:val="4"/>
            <w:vMerge w:val="restart"/>
          </w:tcPr>
          <w:p>
            <w:pPr>
              <w:spacing w:after="0"/>
              <w:rPr>
                <w:rFonts w:ascii="Arial" w:cs="Arial" w:eastAsia="Arial" w:hAnsi="Arial"/>
                <w:sz w:val="18"/>
                <w:szCs w:val="18"/>
                <w:color w:val="0000EE"/>
                <w:w w:val="91"/>
              </w:rPr>
            </w:pPr>
            <w:hyperlink w:anchor="page35">
              <w:r>
                <w:rPr>
                  <w:rFonts w:ascii="Arial" w:cs="Arial" w:eastAsia="Arial" w:hAnsi="Arial"/>
                  <w:sz w:val="18"/>
                  <w:szCs w:val="18"/>
                  <w:color w:val="0000EE"/>
                  <w:w w:val="91"/>
                </w:rPr>
                <w:t>PART II</w:t>
              </w:r>
            </w:hyperlink>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0000EE"/>
            </w:tcBorders>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4"/>
        </w:trPr>
        <w:tc>
          <w:tcPr>
            <w:tcW w:w="1140" w:type="dxa"/>
            <w:vAlign w:val="bottom"/>
          </w:tcPr>
          <w:p>
            <w:pPr>
              <w:spacing w:after="0"/>
              <w:rPr>
                <w:sz w:val="24"/>
                <w:szCs w:val="24"/>
                <w:color w:val="auto"/>
              </w:rPr>
            </w:pPr>
          </w:p>
        </w:tc>
        <w:tc>
          <w:tcPr>
            <w:tcW w:w="620" w:type="dxa"/>
            <w:vAlign w:val="bottom"/>
            <w:tcBorders>
              <w:bottom w:val="single" w:sz="8" w:color="0000EE"/>
            </w:tcBorders>
            <w:gridSpan w:val="4"/>
            <w:vMerge w:val="continue"/>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80" w:type="dxa"/>
            <w:vAlign w:val="bottom"/>
            <w:gridSpan w:val="4"/>
          </w:tcPr>
          <w:p>
            <w:pPr>
              <w:jc w:val="right"/>
              <w:spacing w:after="0"/>
              <w:rPr>
                <w:rFonts w:ascii="Arial" w:cs="Arial" w:eastAsia="Arial" w:hAnsi="Arial"/>
                <w:sz w:val="18"/>
                <w:szCs w:val="18"/>
                <w:color w:val="0000EE"/>
              </w:rPr>
            </w:pPr>
            <w:hyperlink w:anchor="page35">
              <w:r>
                <w:rPr>
                  <w:rFonts w:ascii="Arial" w:cs="Arial" w:eastAsia="Arial" w:hAnsi="Arial"/>
                  <w:sz w:val="18"/>
                  <w:szCs w:val="18"/>
                  <w:color w:val="0000EE"/>
                </w:rPr>
                <w:t>32</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920" w:type="dxa"/>
            <w:vAlign w:val="bottom"/>
            <w:gridSpan w:val="7"/>
            <w:vMerge w:val="restart"/>
          </w:tcPr>
          <w:p>
            <w:pPr>
              <w:spacing w:after="0"/>
              <w:rPr>
                <w:rFonts w:ascii="Arial" w:cs="Arial" w:eastAsia="Arial" w:hAnsi="Arial"/>
                <w:sz w:val="18"/>
                <w:szCs w:val="18"/>
                <w:color w:val="0000EE"/>
              </w:rPr>
            </w:pPr>
            <w:hyperlink w:anchor="page35">
              <w:r>
                <w:rPr>
                  <w:rFonts w:ascii="Arial" w:cs="Arial" w:eastAsia="Arial" w:hAnsi="Arial"/>
                  <w:sz w:val="18"/>
                  <w:szCs w:val="18"/>
                  <w:color w:val="0000EE"/>
                </w:rPr>
                <w:t>Item 5.</w:t>
              </w:r>
            </w:hyperlink>
          </w:p>
        </w:tc>
        <w:tc>
          <w:tcPr>
            <w:tcW w:w="7640" w:type="dxa"/>
            <w:vAlign w:val="bottom"/>
            <w:gridSpan w:val="24"/>
            <w:vMerge w:val="restart"/>
          </w:tcPr>
          <w:p>
            <w:pPr>
              <w:spacing w:after="0"/>
              <w:rPr>
                <w:rFonts w:ascii="Arial" w:cs="Arial" w:eastAsia="Arial" w:hAnsi="Arial"/>
                <w:sz w:val="18"/>
                <w:szCs w:val="18"/>
                <w:color w:val="0000EE"/>
                <w:w w:val="94"/>
              </w:rPr>
            </w:pPr>
            <w:hyperlink w:anchor="page35">
              <w:r>
                <w:rPr>
                  <w:rFonts w:ascii="Arial" w:cs="Arial" w:eastAsia="Arial" w:hAnsi="Arial"/>
                  <w:sz w:val="18"/>
                  <w:szCs w:val="18"/>
                  <w:color w:val="0000EE"/>
                  <w:w w:val="94"/>
                </w:rPr>
                <w:t>Market for Registrant's Common Equity, Related Stockholder Matters and Issuer Purchases of Equity</w:t>
              </w:r>
            </w:hyperlink>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0000EE"/>
            </w:tcBorders>
          </w:tcPr>
          <w:p>
            <w:pPr>
              <w:spacing w:after="0" w:line="20" w:lineRule="exact"/>
              <w:rPr>
                <w:sz w:val="1"/>
                <w:szCs w:val="1"/>
                <w:color w:val="auto"/>
              </w:rPr>
            </w:pPr>
          </w:p>
        </w:tc>
        <w:tc>
          <w:tcPr>
            <w:tcW w:w="80" w:type="dxa"/>
            <w:vAlign w:val="bottom"/>
            <w:tcBorders>
              <w:bottom w:val="single" w:sz="8" w:color="0000EE"/>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1140" w:type="dxa"/>
            <w:vAlign w:val="bottom"/>
          </w:tcPr>
          <w:p>
            <w:pPr>
              <w:spacing w:after="0"/>
              <w:rPr>
                <w:sz w:val="24"/>
                <w:szCs w:val="24"/>
                <w:color w:val="auto"/>
              </w:rPr>
            </w:pPr>
          </w:p>
        </w:tc>
        <w:tc>
          <w:tcPr>
            <w:tcW w:w="920" w:type="dxa"/>
            <w:vAlign w:val="bottom"/>
            <w:gridSpan w:val="7"/>
            <w:vMerge w:val="continue"/>
          </w:tcPr>
          <w:p>
            <w:pPr>
              <w:spacing w:after="0"/>
              <w:rPr>
                <w:sz w:val="24"/>
                <w:szCs w:val="24"/>
                <w:color w:val="auto"/>
              </w:rPr>
            </w:pPr>
          </w:p>
        </w:tc>
        <w:tc>
          <w:tcPr>
            <w:tcW w:w="7640" w:type="dxa"/>
            <w:vAlign w:val="bottom"/>
            <w:gridSpan w:val="24"/>
            <w:vMerge w:val="continue"/>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600" w:type="dxa"/>
            <w:vAlign w:val="bottom"/>
            <w:tcBorders>
              <w:left w:val="single" w:sz="8" w:color="0000EE"/>
            </w:tcBorders>
            <w:gridSpan w:val="2"/>
            <w:shd w:val="clear" w:color="auto" w:fill="0000EE"/>
          </w:tcPr>
          <w:p>
            <w:pPr>
              <w:spacing w:after="0" w:line="20" w:lineRule="exact"/>
              <w:rPr>
                <w:sz w:val="1"/>
                <w:szCs w:val="1"/>
                <w:color w:val="auto"/>
              </w:rPr>
            </w:pPr>
          </w:p>
        </w:tc>
        <w:tc>
          <w:tcPr>
            <w:tcW w:w="380" w:type="dxa"/>
            <w:vAlign w:val="bottom"/>
            <w:tcBorders>
              <w:left w:val="single" w:sz="8" w:color="0000EE"/>
            </w:tcBorders>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40" w:type="dxa"/>
            <w:vAlign w:val="bottom"/>
            <w:tcBorders>
              <w:right w:val="single" w:sz="8" w:color="0000EE"/>
            </w:tcBorders>
            <w:gridSpan w:val="2"/>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80" w:type="dxa"/>
            <w:vAlign w:val="bottom"/>
            <w:tcBorders>
              <w:left w:val="single" w:sz="8" w:color="0000EE"/>
            </w:tcBorders>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080" w:type="dxa"/>
            <w:vAlign w:val="bottom"/>
            <w:shd w:val="clear" w:color="auto" w:fill="0000EE"/>
          </w:tcPr>
          <w:p>
            <w:pPr>
              <w:spacing w:after="0" w:line="20" w:lineRule="exact"/>
              <w:rPr>
                <w:sz w:val="1"/>
                <w:szCs w:val="1"/>
                <w:color w:val="auto"/>
              </w:rPr>
            </w:pPr>
          </w:p>
        </w:tc>
        <w:tc>
          <w:tcPr>
            <w:tcW w:w="9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780" w:type="dxa"/>
            <w:vAlign w:val="bottom"/>
            <w:shd w:val="clear" w:color="auto" w:fill="0000EE"/>
          </w:tcPr>
          <w:p>
            <w:pPr>
              <w:spacing w:after="0" w:line="20" w:lineRule="exact"/>
              <w:rPr>
                <w:sz w:val="1"/>
                <w:szCs w:val="1"/>
                <w:color w:val="auto"/>
              </w:rPr>
            </w:pPr>
          </w:p>
        </w:tc>
        <w:tc>
          <w:tcPr>
            <w:tcW w:w="240" w:type="dxa"/>
            <w:vAlign w:val="bottom"/>
            <w:tcBorders>
              <w:left w:val="single" w:sz="8" w:color="0000EE"/>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640" w:type="dxa"/>
            <w:vAlign w:val="bottom"/>
            <w:gridSpan w:val="24"/>
          </w:tcPr>
          <w:p>
            <w:pPr>
              <w:spacing w:after="0" w:line="196" w:lineRule="exact"/>
              <w:rPr>
                <w:rFonts w:ascii="Arial" w:cs="Arial" w:eastAsia="Arial" w:hAnsi="Arial"/>
                <w:sz w:val="18"/>
                <w:szCs w:val="18"/>
                <w:color w:val="0000EE"/>
              </w:rPr>
            </w:pPr>
            <w:hyperlink w:anchor="page35">
              <w:r>
                <w:rPr>
                  <w:rFonts w:ascii="Arial" w:cs="Arial" w:eastAsia="Arial" w:hAnsi="Arial"/>
                  <w:sz w:val="18"/>
                  <w:szCs w:val="18"/>
                  <w:color w:val="0000EE"/>
                </w:rPr>
                <w:t>Securities</w:t>
              </w:r>
            </w:hyperlink>
          </w:p>
        </w:tc>
        <w:tc>
          <w:tcPr>
            <w:tcW w:w="580" w:type="dxa"/>
            <w:vAlign w:val="bottom"/>
            <w:gridSpan w:val="4"/>
          </w:tcPr>
          <w:p>
            <w:pPr>
              <w:jc w:val="right"/>
              <w:spacing w:after="0" w:line="196" w:lineRule="exact"/>
              <w:rPr>
                <w:rFonts w:ascii="Arial" w:cs="Arial" w:eastAsia="Arial" w:hAnsi="Arial"/>
                <w:sz w:val="18"/>
                <w:szCs w:val="18"/>
                <w:color w:val="0000EE"/>
              </w:rPr>
            </w:pPr>
            <w:hyperlink w:anchor="page35">
              <w:r>
                <w:rPr>
                  <w:rFonts w:ascii="Arial" w:cs="Arial" w:eastAsia="Arial" w:hAnsi="Arial"/>
                  <w:sz w:val="18"/>
                  <w:szCs w:val="18"/>
                  <w:color w:val="0000EE"/>
                </w:rPr>
                <w:t>32</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8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80" w:type="dxa"/>
            <w:vAlign w:val="bottom"/>
            <w:gridSpan w:val="3"/>
            <w:shd w:val="clear" w:color="auto" w:fill="0000EE"/>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140" w:type="dxa"/>
            <w:vAlign w:val="bottom"/>
          </w:tcPr>
          <w:p>
            <w:pPr>
              <w:spacing w:after="0"/>
              <w:rPr>
                <w:sz w:val="24"/>
                <w:szCs w:val="24"/>
                <w:color w:val="auto"/>
              </w:rPr>
            </w:pPr>
          </w:p>
        </w:tc>
        <w:tc>
          <w:tcPr>
            <w:tcW w:w="920" w:type="dxa"/>
            <w:vAlign w:val="bottom"/>
            <w:gridSpan w:val="7"/>
          </w:tcPr>
          <w:p>
            <w:pPr>
              <w:spacing w:after="0"/>
              <w:rPr>
                <w:rFonts w:ascii="Arial" w:cs="Arial" w:eastAsia="Arial" w:hAnsi="Arial"/>
                <w:sz w:val="18"/>
                <w:szCs w:val="18"/>
                <w:color w:val="0000EE"/>
              </w:rPr>
            </w:pPr>
            <w:hyperlink w:anchor="page36">
              <w:r>
                <w:rPr>
                  <w:rFonts w:ascii="Arial" w:cs="Arial" w:eastAsia="Arial" w:hAnsi="Arial"/>
                  <w:sz w:val="18"/>
                  <w:szCs w:val="18"/>
                  <w:color w:val="0000EE"/>
                </w:rPr>
                <w:t>Item 6.</w:t>
              </w:r>
            </w:hyperlink>
          </w:p>
        </w:tc>
        <w:tc>
          <w:tcPr>
            <w:tcW w:w="7640" w:type="dxa"/>
            <w:vAlign w:val="bottom"/>
            <w:gridSpan w:val="24"/>
          </w:tcPr>
          <w:p>
            <w:pPr>
              <w:spacing w:after="0"/>
              <w:rPr>
                <w:rFonts w:ascii="Arial" w:cs="Arial" w:eastAsia="Arial" w:hAnsi="Arial"/>
                <w:sz w:val="18"/>
                <w:szCs w:val="18"/>
                <w:color w:val="0000EE"/>
              </w:rPr>
            </w:pPr>
            <w:hyperlink w:anchor="page36">
              <w:r>
                <w:rPr>
                  <w:rFonts w:ascii="Arial" w:cs="Arial" w:eastAsia="Arial" w:hAnsi="Arial"/>
                  <w:sz w:val="18"/>
                  <w:szCs w:val="18"/>
                  <w:color w:val="0000EE"/>
                </w:rPr>
                <w:t>Selected Financial Data</w:t>
              </w:r>
            </w:hyperlink>
          </w:p>
        </w:tc>
        <w:tc>
          <w:tcPr>
            <w:tcW w:w="580" w:type="dxa"/>
            <w:vAlign w:val="bottom"/>
            <w:gridSpan w:val="4"/>
          </w:tcPr>
          <w:p>
            <w:pPr>
              <w:jc w:val="right"/>
              <w:spacing w:after="0"/>
              <w:rPr>
                <w:rFonts w:ascii="Arial" w:cs="Arial" w:eastAsia="Arial" w:hAnsi="Arial"/>
                <w:sz w:val="18"/>
                <w:szCs w:val="18"/>
                <w:color w:val="0000EE"/>
              </w:rPr>
            </w:pPr>
            <w:hyperlink w:anchor="page36">
              <w:r>
                <w:rPr>
                  <w:rFonts w:ascii="Arial" w:cs="Arial" w:eastAsia="Arial" w:hAnsi="Arial"/>
                  <w:sz w:val="18"/>
                  <w:szCs w:val="18"/>
                  <w:color w:val="0000EE"/>
                </w:rPr>
                <w:t>33</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60" w:type="dxa"/>
            <w:vAlign w:val="bottom"/>
            <w:gridSpan w:val="4"/>
            <w:shd w:val="clear" w:color="auto" w:fill="0000EE"/>
          </w:tcPr>
          <w:p>
            <w:pPr>
              <w:spacing w:after="0" w:line="20" w:lineRule="exact"/>
              <w:rPr>
                <w:sz w:val="1"/>
                <w:szCs w:val="1"/>
                <w:color w:val="auto"/>
              </w:rPr>
            </w:pPr>
          </w:p>
        </w:tc>
        <w:tc>
          <w:tcPr>
            <w:tcW w:w="380" w:type="dxa"/>
            <w:vAlign w:val="bottom"/>
            <w:tcBorders>
              <w:left w:val="single" w:sz="8" w:color="0000EE"/>
            </w:tcBorders>
            <w:gridSpan w:val="2"/>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140" w:type="dxa"/>
            <w:vAlign w:val="bottom"/>
          </w:tcPr>
          <w:p>
            <w:pPr>
              <w:spacing w:after="0"/>
              <w:rPr>
                <w:sz w:val="24"/>
                <w:szCs w:val="24"/>
                <w:color w:val="auto"/>
              </w:rPr>
            </w:pPr>
          </w:p>
        </w:tc>
        <w:tc>
          <w:tcPr>
            <w:tcW w:w="920" w:type="dxa"/>
            <w:vAlign w:val="bottom"/>
            <w:gridSpan w:val="7"/>
          </w:tcPr>
          <w:p>
            <w:pPr>
              <w:spacing w:after="0"/>
              <w:rPr>
                <w:rFonts w:ascii="Arial" w:cs="Arial" w:eastAsia="Arial" w:hAnsi="Arial"/>
                <w:sz w:val="18"/>
                <w:szCs w:val="18"/>
                <w:color w:val="0000EE"/>
              </w:rPr>
            </w:pPr>
            <w:hyperlink w:anchor="page36">
              <w:r>
                <w:rPr>
                  <w:rFonts w:ascii="Arial" w:cs="Arial" w:eastAsia="Arial" w:hAnsi="Arial"/>
                  <w:sz w:val="18"/>
                  <w:szCs w:val="18"/>
                  <w:color w:val="0000EE"/>
                </w:rPr>
                <w:t>Item 7.</w:t>
              </w:r>
            </w:hyperlink>
          </w:p>
        </w:tc>
        <w:tc>
          <w:tcPr>
            <w:tcW w:w="7640" w:type="dxa"/>
            <w:vAlign w:val="bottom"/>
            <w:gridSpan w:val="24"/>
          </w:tcPr>
          <w:p>
            <w:pPr>
              <w:spacing w:after="0"/>
              <w:rPr>
                <w:rFonts w:ascii="Arial" w:cs="Arial" w:eastAsia="Arial" w:hAnsi="Arial"/>
                <w:sz w:val="18"/>
                <w:szCs w:val="18"/>
                <w:color w:val="0000EE"/>
              </w:rPr>
            </w:pPr>
            <w:hyperlink w:anchor="page36">
              <w:r>
                <w:rPr>
                  <w:rFonts w:ascii="Arial" w:cs="Arial" w:eastAsia="Arial" w:hAnsi="Arial"/>
                  <w:sz w:val="18"/>
                  <w:szCs w:val="18"/>
                  <w:color w:val="0000EE"/>
                </w:rPr>
                <w:t>Management's Discussion and Analysis of Financial Condition and Results of Operations</w:t>
              </w:r>
            </w:hyperlink>
          </w:p>
        </w:tc>
        <w:tc>
          <w:tcPr>
            <w:tcW w:w="580" w:type="dxa"/>
            <w:vAlign w:val="bottom"/>
            <w:gridSpan w:val="4"/>
          </w:tcPr>
          <w:p>
            <w:pPr>
              <w:jc w:val="right"/>
              <w:spacing w:after="0"/>
              <w:rPr>
                <w:rFonts w:ascii="Arial" w:cs="Arial" w:eastAsia="Arial" w:hAnsi="Arial"/>
                <w:sz w:val="18"/>
                <w:szCs w:val="18"/>
                <w:color w:val="0000EE"/>
              </w:rPr>
            </w:pPr>
            <w:hyperlink w:anchor="page36">
              <w:r>
                <w:rPr>
                  <w:rFonts w:ascii="Arial" w:cs="Arial" w:eastAsia="Arial" w:hAnsi="Arial"/>
                  <w:sz w:val="18"/>
                  <w:szCs w:val="18"/>
                  <w:color w:val="0000EE"/>
                </w:rPr>
                <w:t>33</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60" w:type="dxa"/>
            <w:vAlign w:val="bottom"/>
            <w:gridSpan w:val="4"/>
            <w:shd w:val="clear" w:color="auto" w:fill="0000EE"/>
          </w:tcPr>
          <w:p>
            <w:pPr>
              <w:spacing w:after="0" w:line="20" w:lineRule="exact"/>
              <w:rPr>
                <w:sz w:val="1"/>
                <w:szCs w:val="1"/>
                <w:color w:val="auto"/>
              </w:rPr>
            </w:pPr>
          </w:p>
        </w:tc>
        <w:tc>
          <w:tcPr>
            <w:tcW w:w="440" w:type="dxa"/>
            <w:vAlign w:val="bottom"/>
            <w:tcBorders>
              <w:left w:val="single" w:sz="8" w:color="0000EE"/>
            </w:tcBorders>
            <w:gridSpan w:val="3"/>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40" w:type="dxa"/>
            <w:vAlign w:val="bottom"/>
            <w:tcBorders>
              <w:right w:val="single" w:sz="8" w:color="0000EE"/>
            </w:tcBorders>
            <w:gridSpan w:val="2"/>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80" w:type="dxa"/>
            <w:vAlign w:val="bottom"/>
            <w:tcBorders>
              <w:left w:val="single" w:sz="8" w:color="0000EE"/>
            </w:tcBorders>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080" w:type="dxa"/>
            <w:vAlign w:val="bottom"/>
            <w:shd w:val="clear" w:color="auto" w:fill="0000EE"/>
          </w:tcPr>
          <w:p>
            <w:pPr>
              <w:spacing w:after="0" w:line="20" w:lineRule="exact"/>
              <w:rPr>
                <w:sz w:val="1"/>
                <w:szCs w:val="1"/>
                <w:color w:val="auto"/>
              </w:rPr>
            </w:pPr>
          </w:p>
        </w:tc>
        <w:tc>
          <w:tcPr>
            <w:tcW w:w="96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140" w:type="dxa"/>
            <w:vAlign w:val="bottom"/>
          </w:tcPr>
          <w:p>
            <w:pPr>
              <w:spacing w:after="0"/>
              <w:rPr>
                <w:sz w:val="24"/>
                <w:szCs w:val="24"/>
                <w:color w:val="auto"/>
              </w:rPr>
            </w:pPr>
          </w:p>
        </w:tc>
        <w:tc>
          <w:tcPr>
            <w:tcW w:w="620" w:type="dxa"/>
            <w:vAlign w:val="bottom"/>
            <w:gridSpan w:val="4"/>
          </w:tcPr>
          <w:p>
            <w:pPr>
              <w:spacing w:after="0"/>
              <w:rPr>
                <w:rFonts w:ascii="Arial" w:cs="Arial" w:eastAsia="Arial" w:hAnsi="Arial"/>
                <w:sz w:val="18"/>
                <w:szCs w:val="18"/>
                <w:color w:val="0000EE"/>
                <w:w w:val="86"/>
              </w:rPr>
            </w:pPr>
            <w:hyperlink w:anchor="page79">
              <w:r>
                <w:rPr>
                  <w:rFonts w:ascii="Arial" w:cs="Arial" w:eastAsia="Arial" w:hAnsi="Arial"/>
                  <w:sz w:val="18"/>
                  <w:szCs w:val="18"/>
                  <w:color w:val="0000EE"/>
                  <w:w w:val="86"/>
                </w:rPr>
                <w:t>Item 7A.</w:t>
              </w:r>
            </w:hyperlink>
          </w:p>
        </w:tc>
        <w:tc>
          <w:tcPr>
            <w:tcW w:w="300" w:type="dxa"/>
            <w:vAlign w:val="bottom"/>
            <w:gridSpan w:val="3"/>
          </w:tcPr>
          <w:p>
            <w:pPr>
              <w:spacing w:after="0"/>
              <w:rPr>
                <w:sz w:val="24"/>
                <w:szCs w:val="24"/>
                <w:color w:val="auto"/>
              </w:rPr>
            </w:pPr>
          </w:p>
        </w:tc>
        <w:tc>
          <w:tcPr>
            <w:tcW w:w="7640" w:type="dxa"/>
            <w:vAlign w:val="bottom"/>
            <w:gridSpan w:val="24"/>
          </w:tcPr>
          <w:p>
            <w:pPr>
              <w:spacing w:after="0"/>
              <w:rPr>
                <w:rFonts w:ascii="Arial" w:cs="Arial" w:eastAsia="Arial" w:hAnsi="Arial"/>
                <w:sz w:val="18"/>
                <w:szCs w:val="18"/>
                <w:color w:val="0000EE"/>
              </w:rPr>
            </w:pPr>
            <w:hyperlink w:anchor="page79">
              <w:r>
                <w:rPr>
                  <w:rFonts w:ascii="Arial" w:cs="Arial" w:eastAsia="Arial" w:hAnsi="Arial"/>
                  <w:sz w:val="18"/>
                  <w:szCs w:val="18"/>
                  <w:color w:val="0000EE"/>
                </w:rPr>
                <w:t>Quantitative and Qualitative Disclosures About Market Risk</w:t>
              </w:r>
            </w:hyperlink>
          </w:p>
        </w:tc>
        <w:tc>
          <w:tcPr>
            <w:tcW w:w="580" w:type="dxa"/>
            <w:vAlign w:val="bottom"/>
            <w:gridSpan w:val="4"/>
          </w:tcPr>
          <w:p>
            <w:pPr>
              <w:jc w:val="right"/>
              <w:spacing w:after="0"/>
              <w:rPr>
                <w:rFonts w:ascii="Arial" w:cs="Arial" w:eastAsia="Arial" w:hAnsi="Arial"/>
                <w:sz w:val="18"/>
                <w:szCs w:val="18"/>
                <w:color w:val="0000EE"/>
              </w:rPr>
            </w:pPr>
            <w:hyperlink w:anchor="page79">
              <w:r>
                <w:rPr>
                  <w:rFonts w:ascii="Arial" w:cs="Arial" w:eastAsia="Arial" w:hAnsi="Arial"/>
                  <w:sz w:val="18"/>
                  <w:szCs w:val="18"/>
                  <w:color w:val="0000EE"/>
                </w:rPr>
                <w:t>76</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80" w:type="dxa"/>
            <w:vAlign w:val="bottom"/>
            <w:gridSpan w:val="3"/>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60" w:type="dxa"/>
            <w:vAlign w:val="bottom"/>
            <w:gridSpan w:val="4"/>
            <w:shd w:val="clear" w:color="auto" w:fill="0000EE"/>
          </w:tcPr>
          <w:p>
            <w:pPr>
              <w:spacing w:after="0" w:line="20" w:lineRule="exact"/>
              <w:rPr>
                <w:sz w:val="1"/>
                <w:szCs w:val="1"/>
                <w:color w:val="auto"/>
              </w:rPr>
            </w:pPr>
          </w:p>
        </w:tc>
        <w:tc>
          <w:tcPr>
            <w:tcW w:w="440" w:type="dxa"/>
            <w:vAlign w:val="bottom"/>
            <w:tcBorders>
              <w:left w:val="single" w:sz="8" w:color="0000EE"/>
            </w:tcBorders>
            <w:gridSpan w:val="3"/>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40" w:type="dxa"/>
            <w:vAlign w:val="bottom"/>
            <w:tcBorders>
              <w:right w:val="single" w:sz="8" w:color="0000EE"/>
            </w:tcBorders>
            <w:gridSpan w:val="2"/>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80" w:type="dxa"/>
            <w:vAlign w:val="bottom"/>
            <w:tcBorders>
              <w:left w:val="single" w:sz="8" w:color="0000EE"/>
            </w:tcBorders>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140" w:type="dxa"/>
            <w:vAlign w:val="bottom"/>
          </w:tcPr>
          <w:p>
            <w:pPr>
              <w:spacing w:after="0"/>
              <w:rPr>
                <w:sz w:val="24"/>
                <w:szCs w:val="24"/>
                <w:color w:val="auto"/>
              </w:rPr>
            </w:pPr>
          </w:p>
        </w:tc>
        <w:tc>
          <w:tcPr>
            <w:tcW w:w="620" w:type="dxa"/>
            <w:vAlign w:val="bottom"/>
            <w:gridSpan w:val="4"/>
          </w:tcPr>
          <w:p>
            <w:pPr>
              <w:spacing w:after="0"/>
              <w:rPr>
                <w:rFonts w:ascii="Arial" w:cs="Arial" w:eastAsia="Arial" w:hAnsi="Arial"/>
                <w:sz w:val="18"/>
                <w:szCs w:val="18"/>
                <w:color w:val="0000EE"/>
              </w:rPr>
            </w:pPr>
            <w:hyperlink w:anchor="page86">
              <w:r>
                <w:rPr>
                  <w:rFonts w:ascii="Arial" w:cs="Arial" w:eastAsia="Arial" w:hAnsi="Arial"/>
                  <w:sz w:val="18"/>
                  <w:szCs w:val="18"/>
                  <w:color w:val="0000EE"/>
                </w:rPr>
                <w:t>Item 8.</w:t>
              </w:r>
            </w:hyperlink>
          </w:p>
        </w:tc>
        <w:tc>
          <w:tcPr>
            <w:tcW w:w="300" w:type="dxa"/>
            <w:vAlign w:val="bottom"/>
            <w:gridSpan w:val="3"/>
          </w:tcPr>
          <w:p>
            <w:pPr>
              <w:spacing w:after="0"/>
              <w:rPr>
                <w:sz w:val="24"/>
                <w:szCs w:val="24"/>
                <w:color w:val="auto"/>
              </w:rPr>
            </w:pPr>
          </w:p>
        </w:tc>
        <w:tc>
          <w:tcPr>
            <w:tcW w:w="7640" w:type="dxa"/>
            <w:vAlign w:val="bottom"/>
            <w:gridSpan w:val="24"/>
          </w:tcPr>
          <w:p>
            <w:pPr>
              <w:spacing w:after="0"/>
              <w:rPr>
                <w:rFonts w:ascii="Arial" w:cs="Arial" w:eastAsia="Arial" w:hAnsi="Arial"/>
                <w:sz w:val="18"/>
                <w:szCs w:val="18"/>
                <w:color w:val="0000EE"/>
              </w:rPr>
            </w:pPr>
            <w:hyperlink w:anchor="page86">
              <w:r>
                <w:rPr>
                  <w:rFonts w:ascii="Arial" w:cs="Arial" w:eastAsia="Arial" w:hAnsi="Arial"/>
                  <w:sz w:val="18"/>
                  <w:szCs w:val="18"/>
                  <w:color w:val="0000EE"/>
                </w:rPr>
                <w:t>Financial Statements and Supplementary Data</w:t>
              </w:r>
            </w:hyperlink>
          </w:p>
        </w:tc>
        <w:tc>
          <w:tcPr>
            <w:tcW w:w="580" w:type="dxa"/>
            <w:vAlign w:val="bottom"/>
            <w:gridSpan w:val="4"/>
          </w:tcPr>
          <w:p>
            <w:pPr>
              <w:jc w:val="right"/>
              <w:spacing w:after="0"/>
              <w:rPr>
                <w:rFonts w:ascii="Arial" w:cs="Arial" w:eastAsia="Arial" w:hAnsi="Arial"/>
                <w:sz w:val="18"/>
                <w:szCs w:val="18"/>
                <w:color w:val="0000EE"/>
              </w:rPr>
            </w:pPr>
            <w:hyperlink w:anchor="page86">
              <w:r>
                <w:rPr>
                  <w:rFonts w:ascii="Arial" w:cs="Arial" w:eastAsia="Arial" w:hAnsi="Arial"/>
                  <w:sz w:val="18"/>
                  <w:szCs w:val="18"/>
                  <w:color w:val="0000EE"/>
                </w:rPr>
                <w:t>83</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60" w:type="dxa"/>
            <w:vAlign w:val="bottom"/>
            <w:gridSpan w:val="4"/>
            <w:shd w:val="clear" w:color="auto" w:fill="0000EE"/>
          </w:tcPr>
          <w:p>
            <w:pPr>
              <w:spacing w:after="0" w:line="20" w:lineRule="exact"/>
              <w:rPr>
                <w:sz w:val="1"/>
                <w:szCs w:val="1"/>
                <w:color w:val="auto"/>
              </w:rPr>
            </w:pPr>
          </w:p>
        </w:tc>
        <w:tc>
          <w:tcPr>
            <w:tcW w:w="440" w:type="dxa"/>
            <w:vAlign w:val="bottom"/>
            <w:tcBorders>
              <w:left w:val="single" w:sz="8" w:color="0000EE"/>
            </w:tcBorders>
            <w:gridSpan w:val="3"/>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40" w:type="dxa"/>
            <w:vAlign w:val="bottom"/>
            <w:tcBorders>
              <w:right w:val="single" w:sz="8" w:color="0000EE"/>
            </w:tcBorders>
            <w:gridSpan w:val="2"/>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80" w:type="dxa"/>
            <w:vAlign w:val="bottom"/>
            <w:tcBorders>
              <w:left w:val="single" w:sz="8" w:color="0000EE"/>
            </w:tcBorders>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20" w:type="dxa"/>
            <w:vAlign w:val="bottom"/>
            <w:gridSpan w:val="2"/>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340" w:type="dxa"/>
            <w:vAlign w:val="bottom"/>
            <w:tcBorders>
              <w:bottom w:val="single" w:sz="8" w:color="0000EE"/>
            </w:tcBorders>
            <w:gridSpan w:val="23"/>
          </w:tcPr>
          <w:p>
            <w:pPr>
              <w:spacing w:after="0"/>
              <w:rPr>
                <w:rFonts w:ascii="Arial" w:cs="Arial" w:eastAsia="Arial" w:hAnsi="Arial"/>
                <w:sz w:val="18"/>
                <w:szCs w:val="18"/>
                <w:color w:val="0000EE"/>
                <w:w w:val="89"/>
              </w:rPr>
            </w:pPr>
            <w:hyperlink w:anchor="page87">
              <w:r>
                <w:rPr>
                  <w:rFonts w:ascii="Arial" w:cs="Arial" w:eastAsia="Arial" w:hAnsi="Arial"/>
                  <w:sz w:val="18"/>
                  <w:szCs w:val="18"/>
                  <w:color w:val="0000EE"/>
                  <w:w w:val="89"/>
                </w:rPr>
                <w:t>Report of Independent Registered Public Accounting Firm on Internal Control Over Financial Reporting</w:t>
              </w:r>
            </w:hyperlink>
          </w:p>
        </w:tc>
        <w:tc>
          <w:tcPr>
            <w:tcW w:w="300" w:type="dxa"/>
            <w:vAlign w:val="bottom"/>
          </w:tcPr>
          <w:p>
            <w:pPr>
              <w:spacing w:after="0"/>
              <w:rPr>
                <w:sz w:val="24"/>
                <w:szCs w:val="24"/>
                <w:color w:val="auto"/>
              </w:rPr>
            </w:pPr>
          </w:p>
        </w:tc>
        <w:tc>
          <w:tcPr>
            <w:tcW w:w="400" w:type="dxa"/>
            <w:vAlign w:val="bottom"/>
            <w:gridSpan w:val="2"/>
          </w:tcPr>
          <w:p>
            <w:pPr>
              <w:spacing w:after="0"/>
              <w:rPr>
                <w:sz w:val="24"/>
                <w:szCs w:val="24"/>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87">
              <w:r>
                <w:rPr>
                  <w:rFonts w:ascii="Arial" w:cs="Arial" w:eastAsia="Arial" w:hAnsi="Arial"/>
                  <w:sz w:val="18"/>
                  <w:szCs w:val="18"/>
                  <w:color w:val="0000EE"/>
                  <w:w w:val="79"/>
                </w:rPr>
                <w:t>84</w:t>
              </w:r>
            </w:hyperlink>
          </w:p>
        </w:tc>
        <w:tc>
          <w:tcPr>
            <w:tcW w:w="0" w:type="dxa"/>
            <w:vAlign w:val="bottom"/>
          </w:tcPr>
          <w:p>
            <w:pPr>
              <w:spacing w:after="0"/>
              <w:rPr>
                <w:sz w:val="1"/>
                <w:szCs w:val="1"/>
                <w:color w:val="auto"/>
              </w:rPr>
            </w:pPr>
          </w:p>
        </w:tc>
      </w:tr>
      <w:tr>
        <w:trPr>
          <w:trHeight w:val="439"/>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40" w:type="dxa"/>
            <w:vAlign w:val="bottom"/>
            <w:gridSpan w:val="24"/>
          </w:tcPr>
          <w:p>
            <w:pPr>
              <w:spacing w:after="0"/>
              <w:rPr>
                <w:rFonts w:ascii="Arial" w:cs="Arial" w:eastAsia="Arial" w:hAnsi="Arial"/>
                <w:sz w:val="18"/>
                <w:szCs w:val="18"/>
                <w:color w:val="0000EE"/>
              </w:rPr>
            </w:pPr>
            <w:hyperlink w:anchor="page88">
              <w:r>
                <w:rPr>
                  <w:rFonts w:ascii="Arial" w:cs="Arial" w:eastAsia="Arial" w:hAnsi="Arial"/>
                  <w:sz w:val="18"/>
                  <w:szCs w:val="18"/>
                  <w:color w:val="0000EE"/>
                </w:rPr>
                <w:t>Report of Independent Registered Public Accounting Firm</w:t>
              </w:r>
            </w:hyperlink>
          </w:p>
        </w:tc>
        <w:tc>
          <w:tcPr>
            <w:tcW w:w="580" w:type="dxa"/>
            <w:vAlign w:val="bottom"/>
            <w:gridSpan w:val="4"/>
          </w:tcPr>
          <w:p>
            <w:pPr>
              <w:jc w:val="right"/>
              <w:spacing w:after="0"/>
              <w:rPr>
                <w:rFonts w:ascii="Arial" w:cs="Arial" w:eastAsia="Arial" w:hAnsi="Arial"/>
                <w:sz w:val="18"/>
                <w:szCs w:val="18"/>
                <w:color w:val="0000EE"/>
              </w:rPr>
            </w:pPr>
            <w:hyperlink w:anchor="page88">
              <w:r>
                <w:rPr>
                  <w:rFonts w:ascii="Arial" w:cs="Arial" w:eastAsia="Arial" w:hAnsi="Arial"/>
                  <w:sz w:val="18"/>
                  <w:szCs w:val="18"/>
                  <w:color w:val="0000EE"/>
                </w:rPr>
                <w:t>85</w:t>
              </w:r>
            </w:hyperlink>
          </w:p>
        </w:tc>
        <w:tc>
          <w:tcPr>
            <w:tcW w:w="0" w:type="dxa"/>
            <w:vAlign w:val="bottom"/>
          </w:tcPr>
          <w:p>
            <w:pPr>
              <w:spacing w:after="0"/>
              <w:rPr>
                <w:sz w:val="1"/>
                <w:szCs w:val="1"/>
                <w:color w:val="auto"/>
              </w:rPr>
            </w:pPr>
          </w:p>
        </w:tc>
      </w:tr>
      <w:tr>
        <w:trPr>
          <w:trHeight w:val="439"/>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100" w:type="dxa"/>
            <w:vAlign w:val="bottom"/>
            <w:tcBorders>
              <w:top w:val="single" w:sz="8" w:color="0000EE"/>
            </w:tcBorders>
            <w:gridSpan w:val="17"/>
          </w:tcPr>
          <w:p>
            <w:pPr>
              <w:spacing w:after="0"/>
              <w:rPr>
                <w:rFonts w:ascii="Arial" w:cs="Arial" w:eastAsia="Arial" w:hAnsi="Arial"/>
                <w:sz w:val="18"/>
                <w:szCs w:val="18"/>
                <w:color w:val="0000EE"/>
              </w:rPr>
            </w:pPr>
            <w:hyperlink w:anchor="page89">
              <w:r>
                <w:rPr>
                  <w:rFonts w:ascii="Arial" w:cs="Arial" w:eastAsia="Arial" w:hAnsi="Arial"/>
                  <w:sz w:val="18"/>
                  <w:szCs w:val="18"/>
                  <w:color w:val="0000EE"/>
                </w:rPr>
                <w:t>Consolidated Statements of Financial Position</w:t>
              </w:r>
            </w:hyperlink>
          </w:p>
        </w:tc>
        <w:tc>
          <w:tcPr>
            <w:tcW w:w="3540" w:type="dxa"/>
            <w:vAlign w:val="bottom"/>
            <w:gridSpan w:val="7"/>
          </w:tcPr>
          <w:p>
            <w:pPr>
              <w:spacing w:after="0"/>
              <w:rPr>
                <w:sz w:val="24"/>
                <w:szCs w:val="24"/>
                <w:color w:val="auto"/>
              </w:rPr>
            </w:pPr>
          </w:p>
        </w:tc>
        <w:tc>
          <w:tcPr>
            <w:tcW w:w="400" w:type="dxa"/>
            <w:vAlign w:val="bottom"/>
            <w:gridSpan w:val="2"/>
          </w:tcPr>
          <w:p>
            <w:pPr>
              <w:spacing w:after="0"/>
              <w:rPr>
                <w:sz w:val="24"/>
                <w:szCs w:val="24"/>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89">
              <w:r>
                <w:rPr>
                  <w:rFonts w:ascii="Arial" w:cs="Arial" w:eastAsia="Arial" w:hAnsi="Arial"/>
                  <w:sz w:val="18"/>
                  <w:szCs w:val="18"/>
                  <w:color w:val="0000EE"/>
                  <w:w w:val="79"/>
                </w:rPr>
                <w:t>86</w:t>
              </w:r>
            </w:hyperlink>
          </w:p>
        </w:tc>
        <w:tc>
          <w:tcPr>
            <w:tcW w:w="0" w:type="dxa"/>
            <w:vAlign w:val="bottom"/>
          </w:tcPr>
          <w:p>
            <w:pPr>
              <w:spacing w:after="0"/>
              <w:rPr>
                <w:sz w:val="1"/>
                <w:szCs w:val="1"/>
                <w:color w:val="auto"/>
              </w:rPr>
            </w:pPr>
          </w:p>
        </w:tc>
      </w:tr>
      <w:tr>
        <w:trPr>
          <w:trHeight w:val="439"/>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800" w:type="dxa"/>
            <w:vAlign w:val="bottom"/>
            <w:tcBorders>
              <w:top w:val="single" w:sz="8" w:color="0000EE"/>
              <w:bottom w:val="single" w:sz="8" w:color="0000EE"/>
            </w:tcBorders>
            <w:gridSpan w:val="11"/>
          </w:tcPr>
          <w:p>
            <w:pPr>
              <w:spacing w:after="0"/>
              <w:rPr>
                <w:rFonts w:ascii="Arial" w:cs="Arial" w:eastAsia="Arial" w:hAnsi="Arial"/>
                <w:sz w:val="18"/>
                <w:szCs w:val="18"/>
                <w:color w:val="0000EE"/>
                <w:w w:val="87"/>
              </w:rPr>
            </w:pPr>
            <w:hyperlink w:anchor="page90">
              <w:r>
                <w:rPr>
                  <w:rFonts w:ascii="Arial" w:cs="Arial" w:eastAsia="Arial" w:hAnsi="Arial"/>
                  <w:sz w:val="18"/>
                  <w:szCs w:val="18"/>
                  <w:color w:val="0000EE"/>
                  <w:w w:val="87"/>
                </w:rPr>
                <w:t>Consolidated Statements of Operations</w:t>
              </w:r>
            </w:hyperlink>
          </w:p>
        </w:tc>
        <w:tc>
          <w:tcPr>
            <w:tcW w:w="440" w:type="dxa"/>
            <w:vAlign w:val="bottom"/>
            <w:tcBorders>
              <w:top w:val="single" w:sz="8" w:color="0000EE"/>
            </w:tcBorders>
            <w:gridSpan w:val="2"/>
          </w:tcPr>
          <w:p>
            <w:pPr>
              <w:spacing w:after="0"/>
              <w:rPr>
                <w:sz w:val="24"/>
                <w:szCs w:val="24"/>
                <w:color w:val="auto"/>
              </w:rPr>
            </w:pPr>
          </w:p>
        </w:tc>
        <w:tc>
          <w:tcPr>
            <w:tcW w:w="4400" w:type="dxa"/>
            <w:vAlign w:val="bottom"/>
            <w:gridSpan w:val="11"/>
          </w:tcPr>
          <w:p>
            <w:pPr>
              <w:spacing w:after="0"/>
              <w:rPr>
                <w:sz w:val="24"/>
                <w:szCs w:val="24"/>
                <w:color w:val="auto"/>
              </w:rPr>
            </w:pPr>
          </w:p>
        </w:tc>
        <w:tc>
          <w:tcPr>
            <w:tcW w:w="400" w:type="dxa"/>
            <w:vAlign w:val="bottom"/>
            <w:gridSpan w:val="2"/>
          </w:tcPr>
          <w:p>
            <w:pPr>
              <w:spacing w:after="0"/>
              <w:rPr>
                <w:sz w:val="24"/>
                <w:szCs w:val="24"/>
                <w:color w:val="auto"/>
              </w:rPr>
            </w:pPr>
          </w:p>
        </w:tc>
        <w:tc>
          <w:tcPr>
            <w:tcW w:w="180" w:type="dxa"/>
            <w:vAlign w:val="bottom"/>
            <w:tcBorders>
              <w:top w:val="single" w:sz="8" w:color="0000EE"/>
              <w:bottom w:val="single" w:sz="8" w:color="0000EE"/>
            </w:tcBorders>
            <w:gridSpan w:val="2"/>
          </w:tcPr>
          <w:p>
            <w:pPr>
              <w:jc w:val="right"/>
              <w:spacing w:after="0"/>
              <w:rPr>
                <w:rFonts w:ascii="Arial" w:cs="Arial" w:eastAsia="Arial" w:hAnsi="Arial"/>
                <w:sz w:val="18"/>
                <w:szCs w:val="18"/>
                <w:color w:val="0000EE"/>
                <w:w w:val="79"/>
              </w:rPr>
            </w:pPr>
            <w:hyperlink w:anchor="page90">
              <w:r>
                <w:rPr>
                  <w:rFonts w:ascii="Arial" w:cs="Arial" w:eastAsia="Arial" w:hAnsi="Arial"/>
                  <w:sz w:val="18"/>
                  <w:szCs w:val="18"/>
                  <w:color w:val="0000EE"/>
                  <w:w w:val="79"/>
                </w:rPr>
                <w:t>87</w:t>
              </w:r>
            </w:hyperlink>
          </w:p>
        </w:tc>
        <w:tc>
          <w:tcPr>
            <w:tcW w:w="0" w:type="dxa"/>
            <w:vAlign w:val="bottom"/>
          </w:tcPr>
          <w:p>
            <w:pPr>
              <w:spacing w:after="0"/>
              <w:rPr>
                <w:sz w:val="1"/>
                <w:szCs w:val="1"/>
                <w:color w:val="auto"/>
              </w:rPr>
            </w:pPr>
          </w:p>
        </w:tc>
      </w:tr>
      <w:tr>
        <w:trPr>
          <w:trHeight w:val="439"/>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40" w:type="dxa"/>
            <w:vAlign w:val="bottom"/>
            <w:gridSpan w:val="24"/>
          </w:tcPr>
          <w:p>
            <w:pPr>
              <w:spacing w:after="0"/>
              <w:rPr>
                <w:rFonts w:ascii="Arial" w:cs="Arial" w:eastAsia="Arial" w:hAnsi="Arial"/>
                <w:sz w:val="18"/>
                <w:szCs w:val="18"/>
                <w:color w:val="0000EE"/>
              </w:rPr>
            </w:pPr>
            <w:hyperlink w:anchor="page91">
              <w:r>
                <w:rPr>
                  <w:rFonts w:ascii="Arial" w:cs="Arial" w:eastAsia="Arial" w:hAnsi="Arial"/>
                  <w:sz w:val="18"/>
                  <w:szCs w:val="18"/>
                  <w:color w:val="0000EE"/>
                </w:rPr>
                <w:t>Consolidated Statements of Comprehensive Income</w:t>
              </w:r>
            </w:hyperlink>
          </w:p>
        </w:tc>
        <w:tc>
          <w:tcPr>
            <w:tcW w:w="580" w:type="dxa"/>
            <w:vAlign w:val="bottom"/>
            <w:gridSpan w:val="4"/>
          </w:tcPr>
          <w:p>
            <w:pPr>
              <w:jc w:val="right"/>
              <w:spacing w:after="0"/>
              <w:rPr>
                <w:rFonts w:ascii="Arial" w:cs="Arial" w:eastAsia="Arial" w:hAnsi="Arial"/>
                <w:sz w:val="18"/>
                <w:szCs w:val="18"/>
                <w:color w:val="0000EE"/>
              </w:rPr>
            </w:pPr>
            <w:hyperlink w:anchor="page91">
              <w:r>
                <w:rPr>
                  <w:rFonts w:ascii="Arial" w:cs="Arial" w:eastAsia="Arial" w:hAnsi="Arial"/>
                  <w:sz w:val="18"/>
                  <w:szCs w:val="18"/>
                  <w:color w:val="0000EE"/>
                </w:rPr>
                <w:t>88</w:t>
              </w:r>
            </w:hyperlink>
          </w:p>
        </w:tc>
        <w:tc>
          <w:tcPr>
            <w:tcW w:w="0" w:type="dxa"/>
            <w:vAlign w:val="bottom"/>
          </w:tcPr>
          <w:p>
            <w:pPr>
              <w:spacing w:after="0"/>
              <w:rPr>
                <w:sz w:val="1"/>
                <w:szCs w:val="1"/>
                <w:color w:val="auto"/>
              </w:rPr>
            </w:pPr>
          </w:p>
        </w:tc>
      </w:tr>
      <w:tr>
        <w:trPr>
          <w:trHeight w:val="439"/>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640" w:type="dxa"/>
            <w:vAlign w:val="bottom"/>
            <w:tcBorders>
              <w:top w:val="single" w:sz="8" w:color="0000EE"/>
            </w:tcBorders>
            <w:gridSpan w:val="15"/>
          </w:tcPr>
          <w:p>
            <w:pPr>
              <w:spacing w:after="0"/>
              <w:rPr>
                <w:rFonts w:ascii="Arial" w:cs="Arial" w:eastAsia="Arial" w:hAnsi="Arial"/>
                <w:sz w:val="18"/>
                <w:szCs w:val="18"/>
                <w:color w:val="0000EE"/>
                <w:w w:val="93"/>
              </w:rPr>
            </w:pPr>
            <w:hyperlink w:anchor="page92">
              <w:r>
                <w:rPr>
                  <w:rFonts w:ascii="Arial" w:cs="Arial" w:eastAsia="Arial" w:hAnsi="Arial"/>
                  <w:sz w:val="18"/>
                  <w:szCs w:val="18"/>
                  <w:color w:val="0000EE"/>
                  <w:w w:val="93"/>
                </w:rPr>
                <w:t>Consolidated Statements of Stockholders' Equity</w:t>
              </w:r>
            </w:hyperlink>
          </w:p>
        </w:tc>
        <w:tc>
          <w:tcPr>
            <w:tcW w:w="4000" w:type="dxa"/>
            <w:vAlign w:val="bottom"/>
            <w:gridSpan w:val="9"/>
          </w:tcPr>
          <w:p>
            <w:pPr>
              <w:spacing w:after="0"/>
              <w:rPr>
                <w:sz w:val="24"/>
                <w:szCs w:val="24"/>
                <w:color w:val="auto"/>
              </w:rPr>
            </w:pPr>
          </w:p>
        </w:tc>
        <w:tc>
          <w:tcPr>
            <w:tcW w:w="400" w:type="dxa"/>
            <w:vAlign w:val="bottom"/>
            <w:gridSpan w:val="2"/>
          </w:tcPr>
          <w:p>
            <w:pPr>
              <w:spacing w:after="0"/>
              <w:rPr>
                <w:sz w:val="24"/>
                <w:szCs w:val="24"/>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92">
              <w:r>
                <w:rPr>
                  <w:rFonts w:ascii="Arial" w:cs="Arial" w:eastAsia="Arial" w:hAnsi="Arial"/>
                  <w:sz w:val="18"/>
                  <w:szCs w:val="18"/>
                  <w:color w:val="0000EE"/>
                  <w:w w:val="79"/>
                </w:rPr>
                <w:t>89</w:t>
              </w:r>
            </w:hyperlink>
          </w:p>
        </w:tc>
        <w:tc>
          <w:tcPr>
            <w:tcW w:w="0" w:type="dxa"/>
            <w:vAlign w:val="bottom"/>
          </w:tcPr>
          <w:p>
            <w:pPr>
              <w:spacing w:after="0"/>
              <w:rPr>
                <w:sz w:val="1"/>
                <w:szCs w:val="1"/>
                <w:color w:val="auto"/>
              </w:rPr>
            </w:pPr>
          </w:p>
        </w:tc>
      </w:tr>
      <w:tr>
        <w:trPr>
          <w:trHeight w:val="439"/>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800" w:type="dxa"/>
            <w:vAlign w:val="bottom"/>
            <w:tcBorders>
              <w:top w:val="single" w:sz="8" w:color="0000EE"/>
              <w:bottom w:val="single" w:sz="8" w:color="0000EE"/>
            </w:tcBorders>
            <w:gridSpan w:val="11"/>
          </w:tcPr>
          <w:p>
            <w:pPr>
              <w:spacing w:after="0"/>
              <w:rPr>
                <w:rFonts w:ascii="Arial" w:cs="Arial" w:eastAsia="Arial" w:hAnsi="Arial"/>
                <w:sz w:val="18"/>
                <w:szCs w:val="18"/>
                <w:color w:val="0000EE"/>
                <w:w w:val="86"/>
              </w:rPr>
            </w:pPr>
            <w:hyperlink w:anchor="page94">
              <w:r>
                <w:rPr>
                  <w:rFonts w:ascii="Arial" w:cs="Arial" w:eastAsia="Arial" w:hAnsi="Arial"/>
                  <w:sz w:val="18"/>
                  <w:szCs w:val="18"/>
                  <w:color w:val="0000EE"/>
                  <w:w w:val="86"/>
                </w:rPr>
                <w:t>Consolidated Statements of Cash Flows</w:t>
              </w:r>
            </w:hyperlink>
          </w:p>
        </w:tc>
        <w:tc>
          <w:tcPr>
            <w:tcW w:w="620" w:type="dxa"/>
            <w:vAlign w:val="bottom"/>
            <w:tcBorders>
              <w:top w:val="single" w:sz="8" w:color="0000EE"/>
            </w:tcBorders>
            <w:gridSpan w:val="3"/>
          </w:tcPr>
          <w:p>
            <w:pPr>
              <w:spacing w:after="0"/>
              <w:rPr>
                <w:sz w:val="24"/>
                <w:szCs w:val="24"/>
                <w:color w:val="auto"/>
              </w:rPr>
            </w:pPr>
          </w:p>
        </w:tc>
        <w:tc>
          <w:tcPr>
            <w:tcW w:w="4220" w:type="dxa"/>
            <w:vAlign w:val="bottom"/>
            <w:gridSpan w:val="10"/>
          </w:tcPr>
          <w:p>
            <w:pPr>
              <w:spacing w:after="0"/>
              <w:rPr>
                <w:sz w:val="24"/>
                <w:szCs w:val="24"/>
                <w:color w:val="auto"/>
              </w:rPr>
            </w:pPr>
          </w:p>
        </w:tc>
        <w:tc>
          <w:tcPr>
            <w:tcW w:w="400" w:type="dxa"/>
            <w:vAlign w:val="bottom"/>
            <w:gridSpan w:val="2"/>
          </w:tcPr>
          <w:p>
            <w:pPr>
              <w:spacing w:after="0"/>
              <w:rPr>
                <w:sz w:val="24"/>
                <w:szCs w:val="24"/>
                <w:color w:val="auto"/>
              </w:rPr>
            </w:pPr>
          </w:p>
        </w:tc>
        <w:tc>
          <w:tcPr>
            <w:tcW w:w="180" w:type="dxa"/>
            <w:vAlign w:val="bottom"/>
            <w:tcBorders>
              <w:top w:val="single" w:sz="8" w:color="0000EE"/>
              <w:bottom w:val="single" w:sz="8" w:color="0000EE"/>
            </w:tcBorders>
            <w:gridSpan w:val="2"/>
          </w:tcPr>
          <w:p>
            <w:pPr>
              <w:jc w:val="right"/>
              <w:spacing w:after="0"/>
              <w:rPr>
                <w:rFonts w:ascii="Arial" w:cs="Arial" w:eastAsia="Arial" w:hAnsi="Arial"/>
                <w:sz w:val="18"/>
                <w:szCs w:val="18"/>
                <w:color w:val="0000EE"/>
                <w:w w:val="79"/>
              </w:rPr>
            </w:pPr>
            <w:hyperlink w:anchor="page94">
              <w:r>
                <w:rPr>
                  <w:rFonts w:ascii="Arial" w:cs="Arial" w:eastAsia="Arial" w:hAnsi="Arial"/>
                  <w:sz w:val="18"/>
                  <w:szCs w:val="18"/>
                  <w:color w:val="0000EE"/>
                  <w:w w:val="79"/>
                </w:rPr>
                <w:t>90</w:t>
              </w:r>
            </w:hyperlink>
          </w:p>
        </w:tc>
        <w:tc>
          <w:tcPr>
            <w:tcW w:w="0" w:type="dxa"/>
            <w:vAlign w:val="bottom"/>
          </w:tcPr>
          <w:p>
            <w:pPr>
              <w:spacing w:after="0"/>
              <w:rPr>
                <w:sz w:val="1"/>
                <w:szCs w:val="1"/>
                <w:color w:val="auto"/>
              </w:rPr>
            </w:pPr>
          </w:p>
        </w:tc>
      </w:tr>
      <w:tr>
        <w:trPr>
          <w:trHeight w:val="439"/>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40" w:type="dxa"/>
            <w:vAlign w:val="bottom"/>
            <w:gridSpan w:val="24"/>
          </w:tcPr>
          <w:p>
            <w:pPr>
              <w:spacing w:after="0"/>
              <w:rPr>
                <w:rFonts w:ascii="Arial" w:cs="Arial" w:eastAsia="Arial" w:hAnsi="Arial"/>
                <w:sz w:val="18"/>
                <w:szCs w:val="18"/>
                <w:color w:val="0000EE"/>
              </w:rPr>
            </w:pPr>
            <w:hyperlink w:anchor="page95">
              <w:r>
                <w:rPr>
                  <w:rFonts w:ascii="Arial" w:cs="Arial" w:eastAsia="Arial" w:hAnsi="Arial"/>
                  <w:sz w:val="18"/>
                  <w:szCs w:val="18"/>
                  <w:color w:val="0000EE"/>
                </w:rPr>
                <w:t>Notes to Consolidated Financial Statements</w:t>
              </w:r>
            </w:hyperlink>
          </w:p>
        </w:tc>
        <w:tc>
          <w:tcPr>
            <w:tcW w:w="580" w:type="dxa"/>
            <w:vAlign w:val="bottom"/>
            <w:gridSpan w:val="4"/>
          </w:tcPr>
          <w:p>
            <w:pPr>
              <w:jc w:val="right"/>
              <w:spacing w:after="0"/>
              <w:rPr>
                <w:rFonts w:ascii="Arial" w:cs="Arial" w:eastAsia="Arial" w:hAnsi="Arial"/>
                <w:sz w:val="18"/>
                <w:szCs w:val="18"/>
                <w:color w:val="0000EE"/>
              </w:rPr>
            </w:pPr>
            <w:hyperlink w:anchor="page95">
              <w:r>
                <w:rPr>
                  <w:rFonts w:ascii="Arial" w:cs="Arial" w:eastAsia="Arial" w:hAnsi="Arial"/>
                  <w:sz w:val="18"/>
                  <w:szCs w:val="18"/>
                  <w:color w:val="0000EE"/>
                </w:rPr>
                <w:t>91</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8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80" w:type="dxa"/>
            <w:vAlign w:val="bottom"/>
            <w:gridSpan w:val="5"/>
            <w:shd w:val="clear" w:color="auto" w:fill="0000EE"/>
          </w:tcPr>
          <w:p>
            <w:pPr>
              <w:spacing w:after="0" w:line="20" w:lineRule="exact"/>
              <w:rPr>
                <w:sz w:val="1"/>
                <w:szCs w:val="1"/>
                <w:color w:val="auto"/>
              </w:rPr>
            </w:pPr>
          </w:p>
        </w:tc>
        <w:tc>
          <w:tcPr>
            <w:tcW w:w="440" w:type="dxa"/>
            <w:vAlign w:val="bottom"/>
            <w:tcBorders>
              <w:left w:val="single" w:sz="8" w:color="0000EE"/>
            </w:tcBorders>
            <w:gridSpan w:val="3"/>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40" w:type="dxa"/>
            <w:vAlign w:val="bottom"/>
            <w:tcBorders>
              <w:right w:val="single" w:sz="8" w:color="0000EE"/>
            </w:tcBorders>
            <w:gridSpan w:val="2"/>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920" w:type="dxa"/>
            <w:vAlign w:val="bottom"/>
            <w:gridSpan w:val="4"/>
          </w:tcPr>
          <w:p>
            <w:pPr>
              <w:spacing w:after="0" w:line="20" w:lineRule="exact"/>
              <w:rPr>
                <w:sz w:val="1"/>
                <w:szCs w:val="1"/>
                <w:color w:val="auto"/>
              </w:rPr>
            </w:pPr>
          </w:p>
        </w:tc>
        <w:tc>
          <w:tcPr>
            <w:tcW w:w="1340" w:type="dxa"/>
            <w:vAlign w:val="bottom"/>
            <w:gridSpan w:val="3"/>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140" w:type="dxa"/>
            <w:vAlign w:val="bottom"/>
          </w:tcPr>
          <w:p>
            <w:pPr>
              <w:spacing w:after="0"/>
              <w:rPr>
                <w:sz w:val="24"/>
                <w:szCs w:val="24"/>
                <w:color w:val="auto"/>
              </w:rPr>
            </w:pPr>
          </w:p>
        </w:tc>
        <w:tc>
          <w:tcPr>
            <w:tcW w:w="920" w:type="dxa"/>
            <w:vAlign w:val="bottom"/>
            <w:gridSpan w:val="7"/>
          </w:tcPr>
          <w:p>
            <w:pPr>
              <w:spacing w:after="0"/>
              <w:rPr>
                <w:rFonts w:ascii="Arial" w:cs="Arial" w:eastAsia="Arial" w:hAnsi="Arial"/>
                <w:sz w:val="18"/>
                <w:szCs w:val="18"/>
                <w:color w:val="0000EE"/>
              </w:rPr>
            </w:pPr>
            <w:hyperlink w:anchor="page210">
              <w:r>
                <w:rPr>
                  <w:rFonts w:ascii="Arial" w:cs="Arial" w:eastAsia="Arial" w:hAnsi="Arial"/>
                  <w:sz w:val="18"/>
                  <w:szCs w:val="18"/>
                  <w:color w:val="0000EE"/>
                </w:rPr>
                <w:t>Item 9.</w:t>
              </w:r>
            </w:hyperlink>
          </w:p>
        </w:tc>
        <w:tc>
          <w:tcPr>
            <w:tcW w:w="7640" w:type="dxa"/>
            <w:vAlign w:val="bottom"/>
            <w:gridSpan w:val="24"/>
          </w:tcPr>
          <w:p>
            <w:pPr>
              <w:spacing w:after="0"/>
              <w:rPr>
                <w:rFonts w:ascii="Arial" w:cs="Arial" w:eastAsia="Arial" w:hAnsi="Arial"/>
                <w:sz w:val="18"/>
                <w:szCs w:val="18"/>
                <w:color w:val="0000EE"/>
              </w:rPr>
            </w:pPr>
            <w:hyperlink w:anchor="page210">
              <w:r>
                <w:rPr>
                  <w:rFonts w:ascii="Arial" w:cs="Arial" w:eastAsia="Arial" w:hAnsi="Arial"/>
                  <w:sz w:val="18"/>
                  <w:szCs w:val="18"/>
                  <w:color w:val="0000EE"/>
                </w:rPr>
                <w:t>Changes in and Disagreements with Accountants on Accounting and Financial Disclosure</w:t>
              </w:r>
            </w:hyperlink>
          </w:p>
        </w:tc>
        <w:tc>
          <w:tcPr>
            <w:tcW w:w="580" w:type="dxa"/>
            <w:vAlign w:val="bottom"/>
            <w:gridSpan w:val="4"/>
          </w:tcPr>
          <w:p>
            <w:pPr>
              <w:jc w:val="right"/>
              <w:spacing w:after="0"/>
              <w:rPr>
                <w:rFonts w:ascii="Arial" w:cs="Arial" w:eastAsia="Arial" w:hAnsi="Arial"/>
                <w:sz w:val="18"/>
                <w:szCs w:val="18"/>
                <w:color w:val="0000EE"/>
              </w:rPr>
            </w:pPr>
            <w:hyperlink w:anchor="page210">
              <w:r>
                <w:rPr>
                  <w:rFonts w:ascii="Arial" w:cs="Arial" w:eastAsia="Arial" w:hAnsi="Arial"/>
                  <w:sz w:val="18"/>
                  <w:szCs w:val="18"/>
                  <w:color w:val="0000EE"/>
                </w:rPr>
                <w:t>206</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60" w:type="dxa"/>
            <w:vAlign w:val="bottom"/>
            <w:gridSpan w:val="4"/>
            <w:shd w:val="clear" w:color="auto" w:fill="0000EE"/>
          </w:tcPr>
          <w:p>
            <w:pPr>
              <w:spacing w:after="0" w:line="20" w:lineRule="exact"/>
              <w:rPr>
                <w:sz w:val="1"/>
                <w:szCs w:val="1"/>
                <w:color w:val="auto"/>
              </w:rPr>
            </w:pPr>
          </w:p>
        </w:tc>
        <w:tc>
          <w:tcPr>
            <w:tcW w:w="440" w:type="dxa"/>
            <w:vAlign w:val="bottom"/>
            <w:tcBorders>
              <w:left w:val="single" w:sz="8" w:color="0000EE"/>
            </w:tcBorders>
            <w:gridSpan w:val="3"/>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40" w:type="dxa"/>
            <w:vAlign w:val="bottom"/>
            <w:tcBorders>
              <w:right w:val="single" w:sz="8" w:color="0000EE"/>
            </w:tcBorders>
            <w:gridSpan w:val="2"/>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920" w:type="dxa"/>
            <w:vAlign w:val="bottom"/>
            <w:tcBorders>
              <w:left w:val="single" w:sz="8" w:color="0000EE"/>
            </w:tcBorders>
            <w:gridSpan w:val="4"/>
            <w:shd w:val="clear" w:color="auto" w:fill="0000EE"/>
          </w:tcPr>
          <w:p>
            <w:pPr>
              <w:spacing w:after="0" w:line="20" w:lineRule="exact"/>
              <w:rPr>
                <w:sz w:val="1"/>
                <w:szCs w:val="1"/>
                <w:color w:val="auto"/>
              </w:rPr>
            </w:pPr>
          </w:p>
        </w:tc>
        <w:tc>
          <w:tcPr>
            <w:tcW w:w="1340" w:type="dxa"/>
            <w:vAlign w:val="bottom"/>
            <w:gridSpan w:val="3"/>
            <w:shd w:val="clear" w:color="auto" w:fill="0000EE"/>
          </w:tcPr>
          <w:p>
            <w:pPr>
              <w:spacing w:after="0" w:line="20" w:lineRule="exact"/>
              <w:rPr>
                <w:sz w:val="1"/>
                <w:szCs w:val="1"/>
                <w:color w:val="auto"/>
              </w:rPr>
            </w:pPr>
          </w:p>
        </w:tc>
        <w:tc>
          <w:tcPr>
            <w:tcW w:w="1000" w:type="dxa"/>
            <w:vAlign w:val="bottom"/>
            <w:gridSpan w:val="2"/>
            <w:shd w:val="clear" w:color="auto" w:fill="0000EE"/>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140" w:type="dxa"/>
            <w:vAlign w:val="bottom"/>
          </w:tcPr>
          <w:p>
            <w:pPr>
              <w:spacing w:after="0"/>
              <w:rPr>
                <w:sz w:val="24"/>
                <w:szCs w:val="24"/>
                <w:color w:val="auto"/>
              </w:rPr>
            </w:pPr>
          </w:p>
        </w:tc>
        <w:tc>
          <w:tcPr>
            <w:tcW w:w="620" w:type="dxa"/>
            <w:vAlign w:val="bottom"/>
            <w:gridSpan w:val="4"/>
          </w:tcPr>
          <w:p>
            <w:pPr>
              <w:spacing w:after="0"/>
              <w:rPr>
                <w:rFonts w:ascii="Arial" w:cs="Arial" w:eastAsia="Arial" w:hAnsi="Arial"/>
                <w:sz w:val="18"/>
                <w:szCs w:val="18"/>
                <w:color w:val="0000EE"/>
                <w:w w:val="86"/>
              </w:rPr>
            </w:pPr>
            <w:hyperlink w:anchor="page210">
              <w:r>
                <w:rPr>
                  <w:rFonts w:ascii="Arial" w:cs="Arial" w:eastAsia="Arial" w:hAnsi="Arial"/>
                  <w:sz w:val="18"/>
                  <w:szCs w:val="18"/>
                  <w:color w:val="0000EE"/>
                  <w:w w:val="86"/>
                </w:rPr>
                <w:t>Item 9A.</w:t>
              </w:r>
            </w:hyperlink>
          </w:p>
        </w:tc>
        <w:tc>
          <w:tcPr>
            <w:tcW w:w="300" w:type="dxa"/>
            <w:vAlign w:val="bottom"/>
            <w:gridSpan w:val="3"/>
          </w:tcPr>
          <w:p>
            <w:pPr>
              <w:spacing w:after="0"/>
              <w:rPr>
                <w:sz w:val="24"/>
                <w:szCs w:val="24"/>
                <w:color w:val="auto"/>
              </w:rPr>
            </w:pPr>
          </w:p>
        </w:tc>
        <w:tc>
          <w:tcPr>
            <w:tcW w:w="7640" w:type="dxa"/>
            <w:vAlign w:val="bottom"/>
            <w:gridSpan w:val="24"/>
          </w:tcPr>
          <w:p>
            <w:pPr>
              <w:spacing w:after="0"/>
              <w:rPr>
                <w:rFonts w:ascii="Arial" w:cs="Arial" w:eastAsia="Arial" w:hAnsi="Arial"/>
                <w:sz w:val="18"/>
                <w:szCs w:val="18"/>
                <w:color w:val="0000EE"/>
              </w:rPr>
            </w:pPr>
            <w:hyperlink w:anchor="page210">
              <w:r>
                <w:rPr>
                  <w:rFonts w:ascii="Arial" w:cs="Arial" w:eastAsia="Arial" w:hAnsi="Arial"/>
                  <w:sz w:val="18"/>
                  <w:szCs w:val="18"/>
                  <w:color w:val="0000EE"/>
                </w:rPr>
                <w:t>Controls and Procedures</w:t>
              </w:r>
            </w:hyperlink>
          </w:p>
        </w:tc>
        <w:tc>
          <w:tcPr>
            <w:tcW w:w="580" w:type="dxa"/>
            <w:vAlign w:val="bottom"/>
            <w:gridSpan w:val="4"/>
          </w:tcPr>
          <w:p>
            <w:pPr>
              <w:jc w:val="right"/>
              <w:spacing w:after="0"/>
              <w:rPr>
                <w:rFonts w:ascii="Arial" w:cs="Arial" w:eastAsia="Arial" w:hAnsi="Arial"/>
                <w:sz w:val="18"/>
                <w:szCs w:val="18"/>
                <w:color w:val="0000EE"/>
              </w:rPr>
            </w:pPr>
            <w:hyperlink w:anchor="page210">
              <w:r>
                <w:rPr>
                  <w:rFonts w:ascii="Arial" w:cs="Arial" w:eastAsia="Arial" w:hAnsi="Arial"/>
                  <w:sz w:val="18"/>
                  <w:szCs w:val="18"/>
                  <w:color w:val="0000EE"/>
                </w:rPr>
                <w:t>206</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80" w:type="dxa"/>
            <w:vAlign w:val="bottom"/>
            <w:gridSpan w:val="3"/>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60" w:type="dxa"/>
            <w:vAlign w:val="bottom"/>
            <w:gridSpan w:val="4"/>
            <w:shd w:val="clear" w:color="auto" w:fill="0000EE"/>
          </w:tcPr>
          <w:p>
            <w:pPr>
              <w:spacing w:after="0" w:line="20" w:lineRule="exact"/>
              <w:rPr>
                <w:sz w:val="1"/>
                <w:szCs w:val="1"/>
                <w:color w:val="auto"/>
              </w:rPr>
            </w:pPr>
          </w:p>
        </w:tc>
        <w:tc>
          <w:tcPr>
            <w:tcW w:w="440" w:type="dxa"/>
            <w:vAlign w:val="bottom"/>
            <w:tcBorders>
              <w:left w:val="single" w:sz="8" w:color="0000EE"/>
            </w:tcBorders>
            <w:gridSpan w:val="3"/>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920" w:type="dxa"/>
            <w:vAlign w:val="bottom"/>
            <w:gridSpan w:val="4"/>
          </w:tcPr>
          <w:p>
            <w:pPr>
              <w:spacing w:after="0" w:line="20" w:lineRule="exact"/>
              <w:rPr>
                <w:sz w:val="1"/>
                <w:szCs w:val="1"/>
                <w:color w:val="auto"/>
              </w:rPr>
            </w:pPr>
          </w:p>
        </w:tc>
        <w:tc>
          <w:tcPr>
            <w:tcW w:w="1340" w:type="dxa"/>
            <w:vAlign w:val="bottom"/>
            <w:gridSpan w:val="3"/>
          </w:tcPr>
          <w:p>
            <w:pPr>
              <w:spacing w:after="0" w:line="20" w:lineRule="exact"/>
              <w:rPr>
                <w:sz w:val="1"/>
                <w:szCs w:val="1"/>
                <w:color w:val="auto"/>
              </w:rPr>
            </w:pPr>
          </w:p>
        </w:tc>
        <w:tc>
          <w:tcPr>
            <w:tcW w:w="1780" w:type="dxa"/>
            <w:vAlign w:val="bottom"/>
            <w:gridSpan w:val="3"/>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140" w:type="dxa"/>
            <w:vAlign w:val="bottom"/>
          </w:tcPr>
          <w:p>
            <w:pPr>
              <w:spacing w:after="0"/>
              <w:rPr>
                <w:sz w:val="24"/>
                <w:szCs w:val="24"/>
                <w:color w:val="auto"/>
              </w:rPr>
            </w:pPr>
          </w:p>
        </w:tc>
        <w:tc>
          <w:tcPr>
            <w:tcW w:w="620" w:type="dxa"/>
            <w:vAlign w:val="bottom"/>
            <w:gridSpan w:val="4"/>
          </w:tcPr>
          <w:p>
            <w:pPr>
              <w:spacing w:after="0"/>
              <w:rPr>
                <w:rFonts w:ascii="Arial" w:cs="Arial" w:eastAsia="Arial" w:hAnsi="Arial"/>
                <w:sz w:val="18"/>
                <w:szCs w:val="18"/>
                <w:color w:val="0000EE"/>
                <w:w w:val="86"/>
              </w:rPr>
            </w:pPr>
            <w:hyperlink w:anchor="page210">
              <w:r>
                <w:rPr>
                  <w:rFonts w:ascii="Arial" w:cs="Arial" w:eastAsia="Arial" w:hAnsi="Arial"/>
                  <w:sz w:val="18"/>
                  <w:szCs w:val="18"/>
                  <w:color w:val="0000EE"/>
                  <w:w w:val="86"/>
                </w:rPr>
                <w:t>Item 9B.</w:t>
              </w:r>
            </w:hyperlink>
          </w:p>
        </w:tc>
        <w:tc>
          <w:tcPr>
            <w:tcW w:w="300" w:type="dxa"/>
            <w:vAlign w:val="bottom"/>
            <w:gridSpan w:val="3"/>
          </w:tcPr>
          <w:p>
            <w:pPr>
              <w:spacing w:after="0"/>
              <w:rPr>
                <w:sz w:val="24"/>
                <w:szCs w:val="24"/>
                <w:color w:val="auto"/>
              </w:rPr>
            </w:pPr>
          </w:p>
        </w:tc>
        <w:tc>
          <w:tcPr>
            <w:tcW w:w="7640" w:type="dxa"/>
            <w:vAlign w:val="bottom"/>
            <w:gridSpan w:val="24"/>
          </w:tcPr>
          <w:p>
            <w:pPr>
              <w:spacing w:after="0"/>
              <w:rPr>
                <w:rFonts w:ascii="Arial" w:cs="Arial" w:eastAsia="Arial" w:hAnsi="Arial"/>
                <w:sz w:val="18"/>
                <w:szCs w:val="18"/>
                <w:color w:val="0000EE"/>
              </w:rPr>
            </w:pPr>
            <w:hyperlink w:anchor="page210">
              <w:r>
                <w:rPr>
                  <w:rFonts w:ascii="Arial" w:cs="Arial" w:eastAsia="Arial" w:hAnsi="Arial"/>
                  <w:sz w:val="18"/>
                  <w:szCs w:val="18"/>
                  <w:color w:val="0000EE"/>
                </w:rPr>
                <w:t>Other Information</w:t>
              </w:r>
            </w:hyperlink>
          </w:p>
        </w:tc>
        <w:tc>
          <w:tcPr>
            <w:tcW w:w="580" w:type="dxa"/>
            <w:vAlign w:val="bottom"/>
            <w:gridSpan w:val="4"/>
          </w:tcPr>
          <w:p>
            <w:pPr>
              <w:jc w:val="right"/>
              <w:spacing w:after="0"/>
              <w:rPr>
                <w:rFonts w:ascii="Arial" w:cs="Arial" w:eastAsia="Arial" w:hAnsi="Arial"/>
                <w:sz w:val="18"/>
                <w:szCs w:val="18"/>
                <w:color w:val="0000EE"/>
              </w:rPr>
            </w:pPr>
            <w:hyperlink w:anchor="page210">
              <w:r>
                <w:rPr>
                  <w:rFonts w:ascii="Arial" w:cs="Arial" w:eastAsia="Arial" w:hAnsi="Arial"/>
                  <w:sz w:val="18"/>
                  <w:szCs w:val="18"/>
                  <w:color w:val="0000EE"/>
                </w:rPr>
                <w:t>206</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80" w:type="dxa"/>
            <w:vAlign w:val="bottom"/>
            <w:gridSpan w:val="3"/>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620" w:type="dxa"/>
            <w:vAlign w:val="bottom"/>
            <w:tcBorders>
              <w:bottom w:val="single" w:sz="8" w:color="0000EE"/>
            </w:tcBorders>
            <w:gridSpan w:val="4"/>
          </w:tcPr>
          <w:p>
            <w:pPr>
              <w:spacing w:after="0"/>
              <w:rPr>
                <w:rFonts w:ascii="Arial" w:cs="Arial" w:eastAsia="Arial" w:hAnsi="Arial"/>
                <w:sz w:val="18"/>
                <w:szCs w:val="18"/>
                <w:color w:val="0000EE"/>
                <w:w w:val="85"/>
              </w:rPr>
            </w:pPr>
            <w:hyperlink w:anchor="page211">
              <w:r>
                <w:rPr>
                  <w:rFonts w:ascii="Arial" w:cs="Arial" w:eastAsia="Arial" w:hAnsi="Arial"/>
                  <w:sz w:val="18"/>
                  <w:szCs w:val="18"/>
                  <w:color w:val="0000EE"/>
                  <w:w w:val="85"/>
                </w:rPr>
                <w:t>PART III</w:t>
              </w:r>
            </w:hyperlink>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80" w:type="dxa"/>
            <w:vAlign w:val="bottom"/>
            <w:gridSpan w:val="4"/>
          </w:tcPr>
          <w:p>
            <w:pPr>
              <w:jc w:val="right"/>
              <w:spacing w:after="0"/>
              <w:rPr>
                <w:rFonts w:ascii="Arial" w:cs="Arial" w:eastAsia="Arial" w:hAnsi="Arial"/>
                <w:sz w:val="18"/>
                <w:szCs w:val="18"/>
                <w:color w:val="0000EE"/>
              </w:rPr>
            </w:pPr>
            <w:hyperlink w:anchor="page211">
              <w:r>
                <w:rPr>
                  <w:rFonts w:ascii="Arial" w:cs="Arial" w:eastAsia="Arial" w:hAnsi="Arial"/>
                  <w:sz w:val="18"/>
                  <w:szCs w:val="18"/>
                  <w:color w:val="0000EE"/>
                </w:rPr>
                <w:t>207</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8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60" w:type="dxa"/>
            <w:vAlign w:val="bottom"/>
            <w:gridSpan w:val="9"/>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920" w:type="dxa"/>
            <w:vAlign w:val="bottom"/>
            <w:gridSpan w:val="4"/>
          </w:tcPr>
          <w:p>
            <w:pPr>
              <w:spacing w:after="0" w:line="20" w:lineRule="exact"/>
              <w:rPr>
                <w:sz w:val="1"/>
                <w:szCs w:val="1"/>
                <w:color w:val="auto"/>
              </w:rPr>
            </w:pPr>
          </w:p>
        </w:tc>
        <w:tc>
          <w:tcPr>
            <w:tcW w:w="1340" w:type="dxa"/>
            <w:vAlign w:val="bottom"/>
            <w:gridSpan w:val="3"/>
          </w:tcPr>
          <w:p>
            <w:pPr>
              <w:spacing w:after="0" w:line="20" w:lineRule="exact"/>
              <w:rPr>
                <w:sz w:val="1"/>
                <w:szCs w:val="1"/>
                <w:color w:val="auto"/>
              </w:rPr>
            </w:pPr>
          </w:p>
        </w:tc>
        <w:tc>
          <w:tcPr>
            <w:tcW w:w="1780" w:type="dxa"/>
            <w:vAlign w:val="bottom"/>
            <w:gridSpan w:val="3"/>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Borders>
              <w:bottom w:val="single" w:sz="8" w:color="0000EE"/>
            </w:tcBorders>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1140" w:type="dxa"/>
            <w:vAlign w:val="bottom"/>
          </w:tcPr>
          <w:p>
            <w:pPr>
              <w:spacing w:after="0"/>
              <w:rPr>
                <w:sz w:val="24"/>
                <w:szCs w:val="24"/>
                <w:color w:val="auto"/>
              </w:rPr>
            </w:pPr>
          </w:p>
        </w:tc>
        <w:tc>
          <w:tcPr>
            <w:tcW w:w="620" w:type="dxa"/>
            <w:vAlign w:val="bottom"/>
            <w:gridSpan w:val="4"/>
          </w:tcPr>
          <w:p>
            <w:pPr>
              <w:spacing w:after="0"/>
              <w:rPr>
                <w:rFonts w:ascii="Arial" w:cs="Arial" w:eastAsia="Arial" w:hAnsi="Arial"/>
                <w:sz w:val="18"/>
                <w:szCs w:val="18"/>
                <w:color w:val="0000EE"/>
                <w:w w:val="89"/>
              </w:rPr>
            </w:pPr>
            <w:hyperlink w:anchor="page211">
              <w:r>
                <w:rPr>
                  <w:rFonts w:ascii="Arial" w:cs="Arial" w:eastAsia="Arial" w:hAnsi="Arial"/>
                  <w:sz w:val="18"/>
                  <w:szCs w:val="18"/>
                  <w:color w:val="0000EE"/>
                  <w:w w:val="89"/>
                </w:rPr>
                <w:t>Item 10.</w:t>
              </w:r>
            </w:hyperlink>
          </w:p>
        </w:tc>
        <w:tc>
          <w:tcPr>
            <w:tcW w:w="300" w:type="dxa"/>
            <w:vAlign w:val="bottom"/>
            <w:gridSpan w:val="3"/>
          </w:tcPr>
          <w:p>
            <w:pPr>
              <w:spacing w:after="0"/>
              <w:rPr>
                <w:sz w:val="24"/>
                <w:szCs w:val="24"/>
                <w:color w:val="auto"/>
              </w:rPr>
            </w:pPr>
          </w:p>
        </w:tc>
        <w:tc>
          <w:tcPr>
            <w:tcW w:w="7640" w:type="dxa"/>
            <w:vAlign w:val="bottom"/>
            <w:gridSpan w:val="24"/>
          </w:tcPr>
          <w:p>
            <w:pPr>
              <w:spacing w:after="0"/>
              <w:rPr>
                <w:rFonts w:ascii="Arial" w:cs="Arial" w:eastAsia="Arial" w:hAnsi="Arial"/>
                <w:sz w:val="18"/>
                <w:szCs w:val="18"/>
                <w:color w:val="0000EE"/>
              </w:rPr>
            </w:pPr>
            <w:hyperlink w:anchor="page211">
              <w:r>
                <w:rPr>
                  <w:rFonts w:ascii="Arial" w:cs="Arial" w:eastAsia="Arial" w:hAnsi="Arial"/>
                  <w:sz w:val="18"/>
                  <w:szCs w:val="18"/>
                  <w:color w:val="0000EE"/>
                </w:rPr>
                <w:t>Directors, Executive Officers and Corporate Governance</w:t>
              </w:r>
            </w:hyperlink>
          </w:p>
        </w:tc>
        <w:tc>
          <w:tcPr>
            <w:tcW w:w="580" w:type="dxa"/>
            <w:vAlign w:val="bottom"/>
            <w:gridSpan w:val="4"/>
          </w:tcPr>
          <w:p>
            <w:pPr>
              <w:jc w:val="right"/>
              <w:spacing w:after="0"/>
              <w:rPr>
                <w:rFonts w:ascii="Arial" w:cs="Arial" w:eastAsia="Arial" w:hAnsi="Arial"/>
                <w:sz w:val="18"/>
                <w:szCs w:val="18"/>
                <w:color w:val="0000EE"/>
              </w:rPr>
            </w:pPr>
            <w:hyperlink w:anchor="page211">
              <w:r>
                <w:rPr>
                  <w:rFonts w:ascii="Arial" w:cs="Arial" w:eastAsia="Arial" w:hAnsi="Arial"/>
                  <w:sz w:val="18"/>
                  <w:szCs w:val="18"/>
                  <w:color w:val="0000EE"/>
                </w:rPr>
                <w:t>207</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80" w:type="dxa"/>
            <w:vAlign w:val="bottom"/>
            <w:gridSpan w:val="3"/>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40" w:type="dxa"/>
            <w:vAlign w:val="bottom"/>
            <w:gridSpan w:val="8"/>
            <w:shd w:val="clear" w:color="auto" w:fill="0000EE"/>
          </w:tcPr>
          <w:p>
            <w:pPr>
              <w:spacing w:after="0" w:line="20" w:lineRule="exact"/>
              <w:rPr>
                <w:sz w:val="1"/>
                <w:szCs w:val="1"/>
                <w:color w:val="auto"/>
              </w:rPr>
            </w:pPr>
          </w:p>
        </w:tc>
        <w:tc>
          <w:tcPr>
            <w:tcW w:w="1040" w:type="dxa"/>
            <w:vAlign w:val="bottom"/>
            <w:tcBorders>
              <w:right w:val="single" w:sz="8" w:color="0000EE"/>
            </w:tcBorders>
            <w:gridSpan w:val="2"/>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920" w:type="dxa"/>
            <w:vAlign w:val="bottom"/>
            <w:tcBorders>
              <w:left w:val="single" w:sz="8" w:color="0000EE"/>
            </w:tcBorders>
            <w:gridSpan w:val="4"/>
            <w:shd w:val="clear" w:color="auto" w:fill="0000EE"/>
          </w:tcPr>
          <w:p>
            <w:pPr>
              <w:spacing w:after="0" w:line="20" w:lineRule="exact"/>
              <w:rPr>
                <w:sz w:val="1"/>
                <w:szCs w:val="1"/>
                <w:color w:val="auto"/>
              </w:rPr>
            </w:pPr>
          </w:p>
        </w:tc>
        <w:tc>
          <w:tcPr>
            <w:tcW w:w="1340" w:type="dxa"/>
            <w:vAlign w:val="bottom"/>
            <w:gridSpan w:val="3"/>
          </w:tcPr>
          <w:p>
            <w:pPr>
              <w:spacing w:after="0" w:line="20" w:lineRule="exact"/>
              <w:rPr>
                <w:sz w:val="1"/>
                <w:szCs w:val="1"/>
                <w:color w:val="auto"/>
              </w:rPr>
            </w:pPr>
          </w:p>
        </w:tc>
        <w:tc>
          <w:tcPr>
            <w:tcW w:w="1780" w:type="dxa"/>
            <w:vAlign w:val="bottom"/>
            <w:gridSpan w:val="3"/>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140" w:type="dxa"/>
            <w:vAlign w:val="bottom"/>
          </w:tcPr>
          <w:p>
            <w:pPr>
              <w:spacing w:after="0"/>
              <w:rPr>
                <w:sz w:val="24"/>
                <w:szCs w:val="24"/>
                <w:color w:val="auto"/>
              </w:rPr>
            </w:pPr>
          </w:p>
        </w:tc>
        <w:tc>
          <w:tcPr>
            <w:tcW w:w="620" w:type="dxa"/>
            <w:vAlign w:val="bottom"/>
            <w:gridSpan w:val="4"/>
          </w:tcPr>
          <w:p>
            <w:pPr>
              <w:spacing w:after="0"/>
              <w:rPr>
                <w:rFonts w:ascii="Arial" w:cs="Arial" w:eastAsia="Arial" w:hAnsi="Arial"/>
                <w:sz w:val="18"/>
                <w:szCs w:val="18"/>
                <w:color w:val="0000EE"/>
                <w:w w:val="89"/>
              </w:rPr>
            </w:pPr>
            <w:hyperlink w:anchor="page211">
              <w:r>
                <w:rPr>
                  <w:rFonts w:ascii="Arial" w:cs="Arial" w:eastAsia="Arial" w:hAnsi="Arial"/>
                  <w:sz w:val="18"/>
                  <w:szCs w:val="18"/>
                  <w:color w:val="0000EE"/>
                  <w:w w:val="89"/>
                </w:rPr>
                <w:t>Item 11.</w:t>
              </w:r>
            </w:hyperlink>
          </w:p>
        </w:tc>
        <w:tc>
          <w:tcPr>
            <w:tcW w:w="300" w:type="dxa"/>
            <w:vAlign w:val="bottom"/>
            <w:gridSpan w:val="3"/>
          </w:tcPr>
          <w:p>
            <w:pPr>
              <w:spacing w:after="0"/>
              <w:rPr>
                <w:sz w:val="24"/>
                <w:szCs w:val="24"/>
                <w:color w:val="auto"/>
              </w:rPr>
            </w:pPr>
          </w:p>
        </w:tc>
        <w:tc>
          <w:tcPr>
            <w:tcW w:w="7640" w:type="dxa"/>
            <w:vAlign w:val="bottom"/>
            <w:gridSpan w:val="24"/>
          </w:tcPr>
          <w:p>
            <w:pPr>
              <w:spacing w:after="0"/>
              <w:rPr>
                <w:rFonts w:ascii="Arial" w:cs="Arial" w:eastAsia="Arial" w:hAnsi="Arial"/>
                <w:sz w:val="18"/>
                <w:szCs w:val="18"/>
                <w:color w:val="0000EE"/>
              </w:rPr>
            </w:pPr>
            <w:hyperlink w:anchor="page211">
              <w:r>
                <w:rPr>
                  <w:rFonts w:ascii="Arial" w:cs="Arial" w:eastAsia="Arial" w:hAnsi="Arial"/>
                  <w:sz w:val="18"/>
                  <w:szCs w:val="18"/>
                  <w:color w:val="0000EE"/>
                </w:rPr>
                <w:t>Executive Compensation</w:t>
              </w:r>
            </w:hyperlink>
          </w:p>
        </w:tc>
        <w:tc>
          <w:tcPr>
            <w:tcW w:w="580" w:type="dxa"/>
            <w:vAlign w:val="bottom"/>
            <w:gridSpan w:val="4"/>
          </w:tcPr>
          <w:p>
            <w:pPr>
              <w:jc w:val="right"/>
              <w:spacing w:after="0"/>
              <w:rPr>
                <w:rFonts w:ascii="Arial" w:cs="Arial" w:eastAsia="Arial" w:hAnsi="Arial"/>
                <w:sz w:val="18"/>
                <w:szCs w:val="18"/>
                <w:color w:val="0000EE"/>
              </w:rPr>
            </w:pPr>
            <w:hyperlink w:anchor="page211">
              <w:r>
                <w:rPr>
                  <w:rFonts w:ascii="Arial" w:cs="Arial" w:eastAsia="Arial" w:hAnsi="Arial"/>
                  <w:sz w:val="18"/>
                  <w:szCs w:val="18"/>
                  <w:color w:val="0000EE"/>
                </w:rPr>
                <w:t>207</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80" w:type="dxa"/>
            <w:vAlign w:val="bottom"/>
            <w:gridSpan w:val="3"/>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40" w:type="dxa"/>
            <w:vAlign w:val="bottom"/>
            <w:gridSpan w:val="8"/>
            <w:shd w:val="clear" w:color="auto" w:fill="0000EE"/>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60" w:type="dxa"/>
            <w:vAlign w:val="bottom"/>
            <w:gridSpan w:val="7"/>
          </w:tcPr>
          <w:p>
            <w:pPr>
              <w:spacing w:after="0" w:line="20" w:lineRule="exact"/>
              <w:rPr>
                <w:sz w:val="1"/>
                <w:szCs w:val="1"/>
                <w:color w:val="auto"/>
              </w:rPr>
            </w:pPr>
          </w:p>
        </w:tc>
        <w:tc>
          <w:tcPr>
            <w:tcW w:w="1780" w:type="dxa"/>
            <w:vAlign w:val="bottom"/>
            <w:gridSpan w:val="3"/>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140" w:type="dxa"/>
            <w:vAlign w:val="bottom"/>
          </w:tcPr>
          <w:p>
            <w:pPr>
              <w:spacing w:after="0"/>
              <w:rPr>
                <w:sz w:val="24"/>
                <w:szCs w:val="24"/>
                <w:color w:val="auto"/>
              </w:rPr>
            </w:pPr>
          </w:p>
        </w:tc>
        <w:tc>
          <w:tcPr>
            <w:tcW w:w="620" w:type="dxa"/>
            <w:vAlign w:val="bottom"/>
            <w:gridSpan w:val="4"/>
          </w:tcPr>
          <w:p>
            <w:pPr>
              <w:spacing w:after="0"/>
              <w:rPr>
                <w:rFonts w:ascii="Arial" w:cs="Arial" w:eastAsia="Arial" w:hAnsi="Arial"/>
                <w:sz w:val="18"/>
                <w:szCs w:val="18"/>
                <w:color w:val="0000EE"/>
                <w:w w:val="89"/>
              </w:rPr>
            </w:pPr>
            <w:hyperlink w:anchor="page211">
              <w:r>
                <w:rPr>
                  <w:rFonts w:ascii="Arial" w:cs="Arial" w:eastAsia="Arial" w:hAnsi="Arial"/>
                  <w:sz w:val="18"/>
                  <w:szCs w:val="18"/>
                  <w:color w:val="0000EE"/>
                  <w:w w:val="89"/>
                </w:rPr>
                <w:t>Item 12.</w:t>
              </w:r>
            </w:hyperlink>
          </w:p>
        </w:tc>
        <w:tc>
          <w:tcPr>
            <w:tcW w:w="300" w:type="dxa"/>
            <w:vAlign w:val="bottom"/>
            <w:gridSpan w:val="3"/>
          </w:tcPr>
          <w:p>
            <w:pPr>
              <w:spacing w:after="0"/>
              <w:rPr>
                <w:sz w:val="24"/>
                <w:szCs w:val="24"/>
                <w:color w:val="auto"/>
              </w:rPr>
            </w:pPr>
          </w:p>
        </w:tc>
        <w:tc>
          <w:tcPr>
            <w:tcW w:w="7640" w:type="dxa"/>
            <w:vAlign w:val="bottom"/>
            <w:gridSpan w:val="24"/>
          </w:tcPr>
          <w:p>
            <w:pPr>
              <w:spacing w:after="0"/>
              <w:rPr>
                <w:rFonts w:ascii="Arial" w:cs="Arial" w:eastAsia="Arial" w:hAnsi="Arial"/>
                <w:sz w:val="18"/>
                <w:szCs w:val="18"/>
                <w:color w:val="0000EE"/>
                <w:w w:val="95"/>
              </w:rPr>
            </w:pPr>
            <w:hyperlink w:anchor="page211">
              <w:r>
                <w:rPr>
                  <w:rFonts w:ascii="Arial" w:cs="Arial" w:eastAsia="Arial" w:hAnsi="Arial"/>
                  <w:sz w:val="18"/>
                  <w:szCs w:val="18"/>
                  <w:color w:val="0000EE"/>
                  <w:w w:val="95"/>
                </w:rPr>
                <w:t>Security Ownership of Certain Beneficial Owners and Management and Related Stockholder Matters</w:t>
              </w:r>
            </w:hyperlink>
          </w:p>
        </w:tc>
        <w:tc>
          <w:tcPr>
            <w:tcW w:w="580" w:type="dxa"/>
            <w:vAlign w:val="bottom"/>
            <w:gridSpan w:val="4"/>
          </w:tcPr>
          <w:p>
            <w:pPr>
              <w:jc w:val="right"/>
              <w:spacing w:after="0"/>
              <w:rPr>
                <w:rFonts w:ascii="Arial" w:cs="Arial" w:eastAsia="Arial" w:hAnsi="Arial"/>
                <w:sz w:val="18"/>
                <w:szCs w:val="18"/>
                <w:color w:val="0000EE"/>
              </w:rPr>
            </w:pPr>
            <w:hyperlink w:anchor="page211">
              <w:r>
                <w:rPr>
                  <w:rFonts w:ascii="Arial" w:cs="Arial" w:eastAsia="Arial" w:hAnsi="Arial"/>
                  <w:sz w:val="18"/>
                  <w:szCs w:val="18"/>
                  <w:color w:val="0000EE"/>
                </w:rPr>
                <w:t>207</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620" w:type="dxa"/>
            <w:vAlign w:val="bottom"/>
            <w:tcBorders>
              <w:right w:val="single" w:sz="8" w:color="0000EE"/>
            </w:tcBorders>
            <w:gridSpan w:val="4"/>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780" w:type="dxa"/>
            <w:vAlign w:val="bottom"/>
            <w:tcBorders>
              <w:right w:val="single" w:sz="8" w:color="0000EE"/>
            </w:tcBorders>
            <w:gridSpan w:val="10"/>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260" w:type="dxa"/>
            <w:vAlign w:val="bottom"/>
            <w:tcBorders>
              <w:left w:val="single" w:sz="8" w:color="0000EE"/>
            </w:tcBorders>
            <w:gridSpan w:val="7"/>
            <w:shd w:val="clear" w:color="auto" w:fill="0000EE"/>
          </w:tcPr>
          <w:p>
            <w:pPr>
              <w:spacing w:after="0" w:line="20" w:lineRule="exact"/>
              <w:rPr>
                <w:sz w:val="1"/>
                <w:szCs w:val="1"/>
                <w:color w:val="auto"/>
              </w:rPr>
            </w:pPr>
          </w:p>
        </w:tc>
        <w:tc>
          <w:tcPr>
            <w:tcW w:w="1780" w:type="dxa"/>
            <w:vAlign w:val="bottom"/>
            <w:gridSpan w:val="3"/>
            <w:shd w:val="clear" w:color="auto" w:fill="0000EE"/>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140" w:type="dxa"/>
            <w:vAlign w:val="bottom"/>
          </w:tcPr>
          <w:p>
            <w:pPr>
              <w:spacing w:after="0"/>
              <w:rPr>
                <w:sz w:val="24"/>
                <w:szCs w:val="24"/>
                <w:color w:val="auto"/>
              </w:rPr>
            </w:pPr>
          </w:p>
        </w:tc>
        <w:tc>
          <w:tcPr>
            <w:tcW w:w="620" w:type="dxa"/>
            <w:vAlign w:val="bottom"/>
            <w:gridSpan w:val="4"/>
          </w:tcPr>
          <w:p>
            <w:pPr>
              <w:spacing w:after="0"/>
              <w:rPr>
                <w:rFonts w:ascii="Arial" w:cs="Arial" w:eastAsia="Arial" w:hAnsi="Arial"/>
                <w:sz w:val="18"/>
                <w:szCs w:val="18"/>
                <w:color w:val="0000EE"/>
                <w:w w:val="89"/>
              </w:rPr>
            </w:pPr>
            <w:hyperlink w:anchor="page211">
              <w:r>
                <w:rPr>
                  <w:rFonts w:ascii="Arial" w:cs="Arial" w:eastAsia="Arial" w:hAnsi="Arial"/>
                  <w:sz w:val="18"/>
                  <w:szCs w:val="18"/>
                  <w:color w:val="0000EE"/>
                  <w:w w:val="89"/>
                </w:rPr>
                <w:t>Item 13.</w:t>
              </w:r>
            </w:hyperlink>
          </w:p>
        </w:tc>
        <w:tc>
          <w:tcPr>
            <w:tcW w:w="300" w:type="dxa"/>
            <w:vAlign w:val="bottom"/>
            <w:gridSpan w:val="3"/>
          </w:tcPr>
          <w:p>
            <w:pPr>
              <w:spacing w:after="0"/>
              <w:rPr>
                <w:sz w:val="24"/>
                <w:szCs w:val="24"/>
                <w:color w:val="auto"/>
              </w:rPr>
            </w:pPr>
          </w:p>
        </w:tc>
        <w:tc>
          <w:tcPr>
            <w:tcW w:w="7640" w:type="dxa"/>
            <w:vAlign w:val="bottom"/>
            <w:gridSpan w:val="24"/>
          </w:tcPr>
          <w:p>
            <w:pPr>
              <w:spacing w:after="0"/>
              <w:rPr>
                <w:rFonts w:ascii="Arial" w:cs="Arial" w:eastAsia="Arial" w:hAnsi="Arial"/>
                <w:sz w:val="18"/>
                <w:szCs w:val="18"/>
                <w:color w:val="0000EE"/>
              </w:rPr>
            </w:pPr>
            <w:hyperlink w:anchor="page211">
              <w:r>
                <w:rPr>
                  <w:rFonts w:ascii="Arial" w:cs="Arial" w:eastAsia="Arial" w:hAnsi="Arial"/>
                  <w:sz w:val="18"/>
                  <w:szCs w:val="18"/>
                  <w:color w:val="0000EE"/>
                </w:rPr>
                <w:t>Certain Relationships and Related Transactions, and Director Independence</w:t>
              </w:r>
            </w:hyperlink>
          </w:p>
        </w:tc>
        <w:tc>
          <w:tcPr>
            <w:tcW w:w="580" w:type="dxa"/>
            <w:vAlign w:val="bottom"/>
            <w:gridSpan w:val="4"/>
          </w:tcPr>
          <w:p>
            <w:pPr>
              <w:jc w:val="right"/>
              <w:spacing w:after="0"/>
              <w:rPr>
                <w:rFonts w:ascii="Arial" w:cs="Arial" w:eastAsia="Arial" w:hAnsi="Arial"/>
                <w:sz w:val="18"/>
                <w:szCs w:val="18"/>
                <w:color w:val="0000EE"/>
              </w:rPr>
            </w:pPr>
            <w:hyperlink w:anchor="page211">
              <w:r>
                <w:rPr>
                  <w:rFonts w:ascii="Arial" w:cs="Arial" w:eastAsia="Arial" w:hAnsi="Arial"/>
                  <w:sz w:val="18"/>
                  <w:szCs w:val="18"/>
                  <w:color w:val="0000EE"/>
                </w:rPr>
                <w:t>207</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620" w:type="dxa"/>
            <w:vAlign w:val="bottom"/>
            <w:tcBorders>
              <w:right w:val="single" w:sz="8" w:color="0000EE"/>
            </w:tcBorders>
            <w:gridSpan w:val="4"/>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780" w:type="dxa"/>
            <w:vAlign w:val="bottom"/>
            <w:tcBorders>
              <w:right w:val="single" w:sz="8" w:color="0000EE"/>
            </w:tcBorders>
            <w:gridSpan w:val="10"/>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260" w:type="dxa"/>
            <w:vAlign w:val="bottom"/>
            <w:tcBorders>
              <w:left w:val="single" w:sz="8" w:color="0000EE"/>
            </w:tcBorders>
            <w:gridSpan w:val="7"/>
            <w:shd w:val="clear" w:color="auto" w:fill="0000EE"/>
          </w:tcPr>
          <w:p>
            <w:pPr>
              <w:spacing w:after="0" w:line="20" w:lineRule="exact"/>
              <w:rPr>
                <w:sz w:val="1"/>
                <w:szCs w:val="1"/>
                <w:color w:val="auto"/>
              </w:rPr>
            </w:pPr>
          </w:p>
        </w:tc>
        <w:tc>
          <w:tcPr>
            <w:tcW w:w="2320" w:type="dxa"/>
            <w:vAlign w:val="bottom"/>
            <w:gridSpan w:val="5"/>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140" w:type="dxa"/>
            <w:vAlign w:val="bottom"/>
          </w:tcPr>
          <w:p>
            <w:pPr>
              <w:spacing w:after="0"/>
              <w:rPr>
                <w:sz w:val="24"/>
                <w:szCs w:val="24"/>
                <w:color w:val="auto"/>
              </w:rPr>
            </w:pPr>
          </w:p>
        </w:tc>
        <w:tc>
          <w:tcPr>
            <w:tcW w:w="620" w:type="dxa"/>
            <w:vAlign w:val="bottom"/>
            <w:gridSpan w:val="4"/>
          </w:tcPr>
          <w:p>
            <w:pPr>
              <w:spacing w:after="0"/>
              <w:rPr>
                <w:rFonts w:ascii="Arial" w:cs="Arial" w:eastAsia="Arial" w:hAnsi="Arial"/>
                <w:sz w:val="18"/>
                <w:szCs w:val="18"/>
                <w:color w:val="0000EE"/>
                <w:w w:val="89"/>
              </w:rPr>
            </w:pPr>
            <w:hyperlink w:anchor="page212">
              <w:r>
                <w:rPr>
                  <w:rFonts w:ascii="Arial" w:cs="Arial" w:eastAsia="Arial" w:hAnsi="Arial"/>
                  <w:sz w:val="18"/>
                  <w:szCs w:val="18"/>
                  <w:color w:val="0000EE"/>
                  <w:w w:val="89"/>
                </w:rPr>
                <w:t>Item 14.</w:t>
              </w:r>
            </w:hyperlink>
          </w:p>
        </w:tc>
        <w:tc>
          <w:tcPr>
            <w:tcW w:w="300" w:type="dxa"/>
            <w:vAlign w:val="bottom"/>
            <w:gridSpan w:val="3"/>
          </w:tcPr>
          <w:p>
            <w:pPr>
              <w:spacing w:after="0"/>
              <w:rPr>
                <w:sz w:val="24"/>
                <w:szCs w:val="24"/>
                <w:color w:val="auto"/>
              </w:rPr>
            </w:pPr>
          </w:p>
        </w:tc>
        <w:tc>
          <w:tcPr>
            <w:tcW w:w="7640" w:type="dxa"/>
            <w:vAlign w:val="bottom"/>
            <w:gridSpan w:val="24"/>
          </w:tcPr>
          <w:p>
            <w:pPr>
              <w:spacing w:after="0"/>
              <w:rPr>
                <w:rFonts w:ascii="Arial" w:cs="Arial" w:eastAsia="Arial" w:hAnsi="Arial"/>
                <w:sz w:val="18"/>
                <w:szCs w:val="18"/>
                <w:color w:val="0000EE"/>
              </w:rPr>
            </w:pPr>
            <w:hyperlink w:anchor="page212">
              <w:r>
                <w:rPr>
                  <w:rFonts w:ascii="Arial" w:cs="Arial" w:eastAsia="Arial" w:hAnsi="Arial"/>
                  <w:sz w:val="18"/>
                  <w:szCs w:val="18"/>
                  <w:color w:val="0000EE"/>
                </w:rPr>
                <w:t>Principal Accounting Fees and Services</w:t>
              </w:r>
            </w:hyperlink>
          </w:p>
        </w:tc>
        <w:tc>
          <w:tcPr>
            <w:tcW w:w="580" w:type="dxa"/>
            <w:vAlign w:val="bottom"/>
            <w:gridSpan w:val="4"/>
          </w:tcPr>
          <w:p>
            <w:pPr>
              <w:jc w:val="right"/>
              <w:spacing w:after="0"/>
              <w:rPr>
                <w:rFonts w:ascii="Arial" w:cs="Arial" w:eastAsia="Arial" w:hAnsi="Arial"/>
                <w:sz w:val="18"/>
                <w:szCs w:val="18"/>
                <w:color w:val="0000EE"/>
              </w:rPr>
            </w:pPr>
            <w:hyperlink w:anchor="page212">
              <w:r>
                <w:rPr>
                  <w:rFonts w:ascii="Arial" w:cs="Arial" w:eastAsia="Arial" w:hAnsi="Arial"/>
                  <w:sz w:val="18"/>
                  <w:szCs w:val="18"/>
                  <w:color w:val="0000EE"/>
                </w:rPr>
                <w:t>208</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620" w:type="dxa"/>
            <w:vAlign w:val="bottom"/>
            <w:tcBorders>
              <w:right w:val="single" w:sz="8" w:color="0000EE"/>
            </w:tcBorders>
            <w:gridSpan w:val="4"/>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340" w:type="dxa"/>
            <w:vAlign w:val="bottom"/>
            <w:tcBorders>
              <w:left w:val="single" w:sz="8" w:color="0000EE"/>
            </w:tcBorders>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800" w:type="dxa"/>
            <w:vAlign w:val="bottom"/>
            <w:tcBorders>
              <w:right w:val="single" w:sz="8" w:color="0000EE"/>
            </w:tcBorders>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680" w:type="dxa"/>
            <w:vAlign w:val="bottom"/>
            <w:tcBorders>
              <w:bottom w:val="single" w:sz="8" w:color="0000EE"/>
            </w:tcBorders>
            <w:gridSpan w:val="5"/>
          </w:tcPr>
          <w:p>
            <w:pPr>
              <w:spacing w:after="0"/>
              <w:rPr>
                <w:rFonts w:ascii="Arial" w:cs="Arial" w:eastAsia="Arial" w:hAnsi="Arial"/>
                <w:sz w:val="18"/>
                <w:szCs w:val="18"/>
                <w:color w:val="0000EE"/>
                <w:w w:val="94"/>
              </w:rPr>
            </w:pPr>
            <w:hyperlink w:anchor="page213">
              <w:r>
                <w:rPr>
                  <w:rFonts w:ascii="Arial" w:cs="Arial" w:eastAsia="Arial" w:hAnsi="Arial"/>
                  <w:sz w:val="18"/>
                  <w:szCs w:val="18"/>
                  <w:color w:val="0000EE"/>
                  <w:w w:val="94"/>
                </w:rPr>
                <w:t>PART IV</w:t>
              </w:r>
            </w:hyperlink>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80" w:type="dxa"/>
            <w:vAlign w:val="bottom"/>
            <w:gridSpan w:val="4"/>
          </w:tcPr>
          <w:p>
            <w:pPr>
              <w:jc w:val="right"/>
              <w:spacing w:after="0"/>
              <w:rPr>
                <w:rFonts w:ascii="Arial" w:cs="Arial" w:eastAsia="Arial" w:hAnsi="Arial"/>
                <w:sz w:val="18"/>
                <w:szCs w:val="18"/>
                <w:color w:val="0000EE"/>
              </w:rPr>
            </w:pPr>
            <w:hyperlink w:anchor="page213">
              <w:r>
                <w:rPr>
                  <w:rFonts w:ascii="Arial" w:cs="Arial" w:eastAsia="Arial" w:hAnsi="Arial"/>
                  <w:sz w:val="18"/>
                  <w:szCs w:val="18"/>
                  <w:color w:val="0000EE"/>
                </w:rPr>
                <w:t>209</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760" w:type="dxa"/>
            <w:vAlign w:val="bottom"/>
            <w:gridSpan w:val="6"/>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60" w:type="dxa"/>
            <w:vAlign w:val="bottom"/>
            <w:gridSpan w:val="12"/>
          </w:tcPr>
          <w:p>
            <w:pPr>
              <w:spacing w:after="0" w:line="20" w:lineRule="exact"/>
              <w:rPr>
                <w:sz w:val="1"/>
                <w:szCs w:val="1"/>
                <w:color w:val="auto"/>
              </w:rPr>
            </w:pPr>
          </w:p>
        </w:tc>
        <w:tc>
          <w:tcPr>
            <w:tcW w:w="4580" w:type="dxa"/>
            <w:vAlign w:val="bottom"/>
            <w:gridSpan w:val="1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Borders>
              <w:bottom w:val="single" w:sz="8" w:color="0000EE"/>
            </w:tcBorders>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1140" w:type="dxa"/>
            <w:vAlign w:val="bottom"/>
          </w:tcPr>
          <w:p>
            <w:pPr>
              <w:spacing w:after="0"/>
              <w:rPr>
                <w:sz w:val="24"/>
                <w:szCs w:val="24"/>
                <w:color w:val="auto"/>
              </w:rPr>
            </w:pPr>
          </w:p>
        </w:tc>
        <w:tc>
          <w:tcPr>
            <w:tcW w:w="620" w:type="dxa"/>
            <w:vAlign w:val="bottom"/>
            <w:gridSpan w:val="4"/>
          </w:tcPr>
          <w:p>
            <w:pPr>
              <w:spacing w:after="0"/>
              <w:rPr>
                <w:rFonts w:ascii="Arial" w:cs="Arial" w:eastAsia="Arial" w:hAnsi="Arial"/>
                <w:sz w:val="18"/>
                <w:szCs w:val="18"/>
                <w:color w:val="0000EE"/>
                <w:w w:val="89"/>
              </w:rPr>
            </w:pPr>
            <w:hyperlink w:anchor="page213">
              <w:r>
                <w:rPr>
                  <w:rFonts w:ascii="Arial" w:cs="Arial" w:eastAsia="Arial" w:hAnsi="Arial"/>
                  <w:sz w:val="18"/>
                  <w:szCs w:val="18"/>
                  <w:color w:val="0000EE"/>
                  <w:w w:val="89"/>
                </w:rPr>
                <w:t>Item 15.</w:t>
              </w:r>
            </w:hyperlink>
          </w:p>
        </w:tc>
        <w:tc>
          <w:tcPr>
            <w:tcW w:w="300" w:type="dxa"/>
            <w:vAlign w:val="bottom"/>
            <w:gridSpan w:val="3"/>
          </w:tcPr>
          <w:p>
            <w:pPr>
              <w:spacing w:after="0"/>
              <w:rPr>
                <w:sz w:val="24"/>
                <w:szCs w:val="24"/>
                <w:color w:val="auto"/>
              </w:rPr>
            </w:pPr>
          </w:p>
        </w:tc>
        <w:tc>
          <w:tcPr>
            <w:tcW w:w="7640" w:type="dxa"/>
            <w:vAlign w:val="bottom"/>
            <w:gridSpan w:val="24"/>
          </w:tcPr>
          <w:p>
            <w:pPr>
              <w:spacing w:after="0"/>
              <w:rPr>
                <w:rFonts w:ascii="Arial" w:cs="Arial" w:eastAsia="Arial" w:hAnsi="Arial"/>
                <w:sz w:val="18"/>
                <w:szCs w:val="18"/>
                <w:color w:val="0000EE"/>
              </w:rPr>
            </w:pPr>
            <w:hyperlink w:anchor="page213">
              <w:r>
                <w:rPr>
                  <w:rFonts w:ascii="Arial" w:cs="Arial" w:eastAsia="Arial" w:hAnsi="Arial"/>
                  <w:sz w:val="18"/>
                  <w:szCs w:val="18"/>
                  <w:color w:val="0000EE"/>
                </w:rPr>
                <w:t>Exhibits and Financial Statement Schedules</w:t>
              </w:r>
            </w:hyperlink>
          </w:p>
        </w:tc>
        <w:tc>
          <w:tcPr>
            <w:tcW w:w="580" w:type="dxa"/>
            <w:vAlign w:val="bottom"/>
            <w:gridSpan w:val="4"/>
          </w:tcPr>
          <w:p>
            <w:pPr>
              <w:jc w:val="right"/>
              <w:spacing w:after="0"/>
              <w:rPr>
                <w:rFonts w:ascii="Arial" w:cs="Arial" w:eastAsia="Arial" w:hAnsi="Arial"/>
                <w:sz w:val="18"/>
                <w:szCs w:val="18"/>
                <w:color w:val="0000EE"/>
              </w:rPr>
            </w:pPr>
            <w:hyperlink w:anchor="page213">
              <w:r>
                <w:rPr>
                  <w:rFonts w:ascii="Arial" w:cs="Arial" w:eastAsia="Arial" w:hAnsi="Arial"/>
                  <w:sz w:val="18"/>
                  <w:szCs w:val="18"/>
                  <w:color w:val="0000EE"/>
                </w:rPr>
                <w:t>209</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620" w:type="dxa"/>
            <w:vAlign w:val="bottom"/>
            <w:tcBorders>
              <w:right w:val="single" w:sz="8" w:color="0000EE"/>
            </w:tcBorders>
            <w:gridSpan w:val="4"/>
            <w:shd w:val="clear" w:color="auto" w:fill="0000EE"/>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340" w:type="dxa"/>
            <w:vAlign w:val="bottom"/>
            <w:tcBorders>
              <w:left w:val="single" w:sz="8" w:color="0000EE"/>
            </w:tcBorders>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800" w:type="dxa"/>
            <w:vAlign w:val="bottom"/>
            <w:tcBorders>
              <w:right w:val="single" w:sz="8" w:color="0000EE"/>
            </w:tcBorders>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80" w:type="dxa"/>
            <w:vAlign w:val="bottom"/>
            <w:tcBorders>
              <w:left w:val="single" w:sz="8" w:color="0000EE"/>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760" w:type="dxa"/>
            <w:vAlign w:val="bottom"/>
            <w:tcBorders>
              <w:bottom w:val="single" w:sz="8" w:color="0000EE"/>
            </w:tcBorders>
            <w:gridSpan w:val="6"/>
          </w:tcPr>
          <w:p>
            <w:pPr>
              <w:spacing w:after="0"/>
              <w:rPr>
                <w:rFonts w:ascii="Arial" w:cs="Arial" w:eastAsia="Arial" w:hAnsi="Arial"/>
                <w:sz w:val="18"/>
                <w:szCs w:val="18"/>
                <w:color w:val="0000EE"/>
                <w:w w:val="85"/>
              </w:rPr>
            </w:pPr>
            <w:hyperlink w:anchor="page214">
              <w:r>
                <w:rPr>
                  <w:rFonts w:ascii="Arial" w:cs="Arial" w:eastAsia="Arial" w:hAnsi="Arial"/>
                  <w:sz w:val="18"/>
                  <w:szCs w:val="18"/>
                  <w:color w:val="0000EE"/>
                  <w:w w:val="85"/>
                </w:rPr>
                <w:t>Signatures</w:t>
              </w:r>
            </w:hyperlink>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80" w:type="dxa"/>
            <w:vAlign w:val="bottom"/>
            <w:gridSpan w:val="4"/>
          </w:tcPr>
          <w:p>
            <w:pPr>
              <w:jc w:val="right"/>
              <w:spacing w:after="0"/>
              <w:rPr>
                <w:rFonts w:ascii="Arial" w:cs="Arial" w:eastAsia="Arial" w:hAnsi="Arial"/>
                <w:sz w:val="18"/>
                <w:szCs w:val="18"/>
                <w:color w:val="0000EE"/>
              </w:rPr>
            </w:pPr>
            <w:hyperlink w:anchor="page214">
              <w:r>
                <w:rPr>
                  <w:rFonts w:ascii="Arial" w:cs="Arial" w:eastAsia="Arial" w:hAnsi="Arial"/>
                  <w:sz w:val="18"/>
                  <w:szCs w:val="18"/>
                  <w:color w:val="0000EE"/>
                </w:rPr>
                <w:t>210</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bottom w:val="single" w:sz="8" w:color="0000EE"/>
            </w:tcBorders>
          </w:tcPr>
          <w:p>
            <w:pPr>
              <w:spacing w:after="0" w:line="20" w:lineRule="exact"/>
              <w:rPr>
                <w:sz w:val="1"/>
                <w:szCs w:val="1"/>
                <w:color w:val="auto"/>
              </w:rPr>
            </w:pPr>
          </w:p>
        </w:tc>
        <w:tc>
          <w:tcPr>
            <w:tcW w:w="100" w:type="dxa"/>
            <w:vAlign w:val="bottom"/>
            <w:tcBorders>
              <w:bottom w:val="single" w:sz="8" w:color="0000EE"/>
            </w:tcBorders>
          </w:tcPr>
          <w:p>
            <w:pPr>
              <w:spacing w:after="0" w:line="20" w:lineRule="exact"/>
              <w:rPr>
                <w:sz w:val="1"/>
                <w:szCs w:val="1"/>
                <w:color w:val="auto"/>
              </w:rPr>
            </w:pPr>
          </w:p>
        </w:tc>
        <w:tc>
          <w:tcPr>
            <w:tcW w:w="80" w:type="dxa"/>
            <w:vAlign w:val="bottom"/>
            <w:tcBorders>
              <w:bottom w:val="single" w:sz="8" w:color="0000EE"/>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0280"/>
          </w:cols>
          <w:pgMar w:left="240" w:top="108" w:right="1379" w:bottom="0" w:gutter="0" w:footer="0" w:header="0"/>
        </w:sectPr>
      </w:pPr>
    </w:p>
    <w:bookmarkStart w:id="3" w:name="page4"/>
    <w:bookmarkEnd w:id="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340" w:type="dxa"/>
            <w:vAlign w:val="bottom"/>
          </w:tcPr>
          <w:p>
            <w:pPr>
              <w:spacing w:after="0"/>
              <w:rPr>
                <w:sz w:val="17"/>
                <w:szCs w:val="17"/>
                <w:color w:val="auto"/>
              </w:rPr>
            </w:pPr>
          </w:p>
        </w:tc>
        <w:tc>
          <w:tcPr>
            <w:tcW w:w="7340" w:type="dxa"/>
            <w:vAlign w:val="bottom"/>
            <w:gridSpan w:val="7"/>
          </w:tcPr>
          <w:p>
            <w:pPr>
              <w:spacing w:after="0"/>
              <w:rPr>
                <w:rFonts w:ascii="Arial" w:cs="Arial" w:eastAsia="Arial" w:hAnsi="Arial"/>
                <w:sz w:val="18"/>
                <w:szCs w:val="18"/>
                <w:color w:val="0000EE"/>
              </w:rPr>
            </w:pPr>
            <w:hyperlink w:anchor="page215">
              <w:r>
                <w:rPr>
                  <w:rFonts w:ascii="Arial" w:cs="Arial" w:eastAsia="Arial" w:hAnsi="Arial"/>
                  <w:sz w:val="18"/>
                  <w:szCs w:val="18"/>
                  <w:color w:val="0000EE"/>
                </w:rPr>
                <w:t>Report of Independent Registered Public Accounting Firm on Schedules</w:t>
              </w:r>
            </w:hyperlink>
          </w:p>
        </w:tc>
        <w:tc>
          <w:tcPr>
            <w:tcW w:w="2740" w:type="dxa"/>
            <w:vAlign w:val="bottom"/>
            <w:gridSpan w:val="3"/>
          </w:tcPr>
          <w:p>
            <w:pPr>
              <w:jc w:val="right"/>
              <w:ind w:right="1140"/>
              <w:spacing w:after="0"/>
              <w:rPr>
                <w:rFonts w:ascii="Arial" w:cs="Arial" w:eastAsia="Arial" w:hAnsi="Arial"/>
                <w:sz w:val="18"/>
                <w:szCs w:val="18"/>
                <w:color w:val="0000EE"/>
              </w:rPr>
            </w:pPr>
            <w:hyperlink w:anchor="page215">
              <w:r>
                <w:rPr>
                  <w:rFonts w:ascii="Arial" w:cs="Arial" w:eastAsia="Arial" w:hAnsi="Arial"/>
                  <w:sz w:val="18"/>
                  <w:szCs w:val="18"/>
                  <w:color w:val="0000EE"/>
                </w:rPr>
                <w:t>211</w:t>
              </w:r>
            </w:hyperlink>
          </w:p>
        </w:tc>
      </w:tr>
      <w:tr>
        <w:trPr>
          <w:trHeight w:val="20"/>
        </w:trPr>
        <w:tc>
          <w:tcPr>
            <w:tcW w:w="1340" w:type="dxa"/>
            <w:vAlign w:val="bottom"/>
            <w:tcBorders>
              <w:right w:val="single" w:sz="8" w:color="0000EE"/>
            </w:tcBorders>
          </w:tcPr>
          <w:p>
            <w:pPr>
              <w:spacing w:after="0" w:line="20" w:lineRule="exact"/>
              <w:rPr>
                <w:sz w:val="1"/>
                <w:szCs w:val="1"/>
                <w:color w:val="auto"/>
              </w:rPr>
            </w:pPr>
          </w:p>
        </w:tc>
        <w:tc>
          <w:tcPr>
            <w:tcW w:w="940" w:type="dxa"/>
            <w:vAlign w:val="bottom"/>
            <w:shd w:val="clear" w:color="auto" w:fill="0000EE"/>
          </w:tcPr>
          <w:p>
            <w:pPr>
              <w:spacing w:after="0" w:line="20" w:lineRule="exact"/>
              <w:rPr>
                <w:sz w:val="1"/>
                <w:szCs w:val="1"/>
                <w:color w:val="auto"/>
              </w:rPr>
            </w:pPr>
          </w:p>
        </w:tc>
        <w:tc>
          <w:tcPr>
            <w:tcW w:w="1040" w:type="dxa"/>
            <w:vAlign w:val="bottom"/>
            <w:shd w:val="clear" w:color="auto" w:fill="0000EE"/>
          </w:tcPr>
          <w:p>
            <w:pPr>
              <w:spacing w:after="0" w:line="20" w:lineRule="exact"/>
              <w:rPr>
                <w:sz w:val="1"/>
                <w:szCs w:val="1"/>
                <w:color w:val="auto"/>
              </w:rPr>
            </w:pPr>
          </w:p>
        </w:tc>
        <w:tc>
          <w:tcPr>
            <w:tcW w:w="1800" w:type="dxa"/>
            <w:vAlign w:val="bottom"/>
            <w:shd w:val="clear" w:color="auto" w:fill="0000EE"/>
          </w:tcPr>
          <w:p>
            <w:pPr>
              <w:spacing w:after="0" w:line="20" w:lineRule="exact"/>
              <w:rPr>
                <w:sz w:val="1"/>
                <w:szCs w:val="1"/>
                <w:color w:val="auto"/>
              </w:rPr>
            </w:pPr>
          </w:p>
        </w:tc>
        <w:tc>
          <w:tcPr>
            <w:tcW w:w="1300" w:type="dxa"/>
            <w:vAlign w:val="bottom"/>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r>
      <w:tr>
        <w:trPr>
          <w:trHeight w:val="196"/>
        </w:trPr>
        <w:tc>
          <w:tcPr>
            <w:tcW w:w="1340" w:type="dxa"/>
            <w:vAlign w:val="bottom"/>
          </w:tcPr>
          <w:p>
            <w:pPr>
              <w:spacing w:after="0"/>
              <w:rPr>
                <w:sz w:val="17"/>
                <w:szCs w:val="17"/>
                <w:color w:val="auto"/>
              </w:rPr>
            </w:pPr>
          </w:p>
        </w:tc>
        <w:tc>
          <w:tcPr>
            <w:tcW w:w="7340" w:type="dxa"/>
            <w:vAlign w:val="bottom"/>
            <w:gridSpan w:val="7"/>
          </w:tcPr>
          <w:p>
            <w:pPr>
              <w:spacing w:after="0" w:line="196" w:lineRule="exact"/>
              <w:rPr>
                <w:rFonts w:ascii="Arial" w:cs="Arial" w:eastAsia="Arial" w:hAnsi="Arial"/>
                <w:sz w:val="18"/>
                <w:szCs w:val="18"/>
                <w:color w:val="0000EE"/>
              </w:rPr>
            </w:pPr>
            <w:hyperlink w:anchor="page216">
              <w:r>
                <w:rPr>
                  <w:rFonts w:ascii="Arial" w:cs="Arial" w:eastAsia="Arial" w:hAnsi="Arial"/>
                  <w:sz w:val="18"/>
                  <w:szCs w:val="18"/>
                  <w:color w:val="0000EE"/>
                </w:rPr>
                <w:t>Schedule I — Summary of Investments — Other Than Investments in Related Parties</w:t>
              </w:r>
            </w:hyperlink>
          </w:p>
        </w:tc>
        <w:tc>
          <w:tcPr>
            <w:tcW w:w="2740" w:type="dxa"/>
            <w:vAlign w:val="bottom"/>
            <w:gridSpan w:val="3"/>
          </w:tcPr>
          <w:p>
            <w:pPr>
              <w:jc w:val="right"/>
              <w:ind w:right="1140"/>
              <w:spacing w:after="0" w:line="196" w:lineRule="exact"/>
              <w:rPr>
                <w:rFonts w:ascii="Arial" w:cs="Arial" w:eastAsia="Arial" w:hAnsi="Arial"/>
                <w:sz w:val="18"/>
                <w:szCs w:val="18"/>
                <w:color w:val="0000EE"/>
              </w:rPr>
            </w:pPr>
            <w:hyperlink w:anchor="page216">
              <w:r>
                <w:rPr>
                  <w:rFonts w:ascii="Arial" w:cs="Arial" w:eastAsia="Arial" w:hAnsi="Arial"/>
                  <w:sz w:val="18"/>
                  <w:szCs w:val="18"/>
                  <w:color w:val="0000EE"/>
                </w:rPr>
                <w:t>212</w:t>
              </w:r>
            </w:hyperlink>
          </w:p>
        </w:tc>
      </w:tr>
      <w:tr>
        <w:trPr>
          <w:trHeight w:val="20"/>
        </w:trPr>
        <w:tc>
          <w:tcPr>
            <w:tcW w:w="1340" w:type="dxa"/>
            <w:vAlign w:val="bottom"/>
            <w:tcBorders>
              <w:right w:val="single" w:sz="8" w:color="0000EE"/>
            </w:tcBorders>
          </w:tcPr>
          <w:p>
            <w:pPr>
              <w:spacing w:after="0" w:line="20" w:lineRule="exact"/>
              <w:rPr>
                <w:sz w:val="1"/>
                <w:szCs w:val="1"/>
                <w:color w:val="auto"/>
              </w:rPr>
            </w:pPr>
          </w:p>
        </w:tc>
        <w:tc>
          <w:tcPr>
            <w:tcW w:w="940" w:type="dxa"/>
            <w:vAlign w:val="bottom"/>
            <w:shd w:val="clear" w:color="auto" w:fill="0000EE"/>
          </w:tcPr>
          <w:p>
            <w:pPr>
              <w:spacing w:after="0" w:line="20" w:lineRule="exact"/>
              <w:rPr>
                <w:sz w:val="1"/>
                <w:szCs w:val="1"/>
                <w:color w:val="auto"/>
              </w:rPr>
            </w:pPr>
          </w:p>
        </w:tc>
        <w:tc>
          <w:tcPr>
            <w:tcW w:w="1040" w:type="dxa"/>
            <w:vAlign w:val="bottom"/>
            <w:shd w:val="clear" w:color="auto" w:fill="0000EE"/>
          </w:tcPr>
          <w:p>
            <w:pPr>
              <w:spacing w:after="0" w:line="20" w:lineRule="exact"/>
              <w:rPr>
                <w:sz w:val="1"/>
                <w:szCs w:val="1"/>
                <w:color w:val="auto"/>
              </w:rPr>
            </w:pPr>
          </w:p>
        </w:tc>
        <w:tc>
          <w:tcPr>
            <w:tcW w:w="1800" w:type="dxa"/>
            <w:vAlign w:val="bottom"/>
            <w:shd w:val="clear" w:color="auto" w:fill="0000EE"/>
          </w:tcPr>
          <w:p>
            <w:pPr>
              <w:spacing w:after="0" w:line="20" w:lineRule="exact"/>
              <w:rPr>
                <w:sz w:val="1"/>
                <w:szCs w:val="1"/>
                <w:color w:val="auto"/>
              </w:rPr>
            </w:pPr>
          </w:p>
        </w:tc>
        <w:tc>
          <w:tcPr>
            <w:tcW w:w="1600" w:type="dxa"/>
            <w:vAlign w:val="bottom"/>
            <w:gridSpan w:val="2"/>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r>
      <w:tr>
        <w:trPr>
          <w:trHeight w:val="196"/>
        </w:trPr>
        <w:tc>
          <w:tcPr>
            <w:tcW w:w="1340" w:type="dxa"/>
            <w:vAlign w:val="bottom"/>
          </w:tcPr>
          <w:p>
            <w:pPr>
              <w:spacing w:after="0"/>
              <w:rPr>
                <w:sz w:val="17"/>
                <w:szCs w:val="17"/>
                <w:color w:val="auto"/>
              </w:rPr>
            </w:pPr>
          </w:p>
        </w:tc>
        <w:tc>
          <w:tcPr>
            <w:tcW w:w="5380" w:type="dxa"/>
            <w:vAlign w:val="bottom"/>
            <w:gridSpan w:val="5"/>
          </w:tcPr>
          <w:p>
            <w:pPr>
              <w:spacing w:after="0" w:line="196" w:lineRule="exact"/>
              <w:rPr>
                <w:rFonts w:ascii="Arial" w:cs="Arial" w:eastAsia="Arial" w:hAnsi="Arial"/>
                <w:sz w:val="18"/>
                <w:szCs w:val="18"/>
                <w:color w:val="0000EE"/>
                <w:w w:val="89"/>
              </w:rPr>
            </w:pPr>
            <w:hyperlink w:anchor="page217">
              <w:r>
                <w:rPr>
                  <w:rFonts w:ascii="Arial" w:cs="Arial" w:eastAsia="Arial" w:hAnsi="Arial"/>
                  <w:sz w:val="18"/>
                  <w:szCs w:val="18"/>
                  <w:color w:val="0000EE"/>
                  <w:w w:val="89"/>
                </w:rPr>
                <w:t>Schedule II — Condensed Financial Information of Registrant (Parent Only)</w:t>
              </w:r>
            </w:hyperlink>
          </w:p>
        </w:tc>
        <w:tc>
          <w:tcPr>
            <w:tcW w:w="6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740" w:type="dxa"/>
            <w:vAlign w:val="bottom"/>
            <w:gridSpan w:val="3"/>
          </w:tcPr>
          <w:p>
            <w:pPr>
              <w:jc w:val="right"/>
              <w:ind w:right="1140"/>
              <w:spacing w:after="0" w:line="196" w:lineRule="exact"/>
              <w:rPr>
                <w:rFonts w:ascii="Arial" w:cs="Arial" w:eastAsia="Arial" w:hAnsi="Arial"/>
                <w:sz w:val="18"/>
                <w:szCs w:val="18"/>
                <w:color w:val="0000EE"/>
              </w:rPr>
            </w:pPr>
            <w:hyperlink w:anchor="page217">
              <w:r>
                <w:rPr>
                  <w:rFonts w:ascii="Arial" w:cs="Arial" w:eastAsia="Arial" w:hAnsi="Arial"/>
                  <w:sz w:val="18"/>
                  <w:szCs w:val="18"/>
                  <w:color w:val="0000EE"/>
                </w:rPr>
                <w:t>213</w:t>
              </w:r>
            </w:hyperlink>
          </w:p>
        </w:tc>
      </w:tr>
      <w:tr>
        <w:trPr>
          <w:trHeight w:val="20"/>
        </w:trPr>
        <w:tc>
          <w:tcPr>
            <w:tcW w:w="1340" w:type="dxa"/>
            <w:vAlign w:val="bottom"/>
            <w:tcBorders>
              <w:right w:val="single" w:sz="8" w:color="0000EE"/>
            </w:tcBorders>
          </w:tcPr>
          <w:p>
            <w:pPr>
              <w:spacing w:after="0" w:line="20" w:lineRule="exact"/>
              <w:rPr>
                <w:sz w:val="1"/>
                <w:szCs w:val="1"/>
                <w:color w:val="auto"/>
              </w:rPr>
            </w:pPr>
          </w:p>
        </w:tc>
        <w:tc>
          <w:tcPr>
            <w:tcW w:w="940" w:type="dxa"/>
            <w:vAlign w:val="bottom"/>
            <w:shd w:val="clear" w:color="auto" w:fill="0000EE"/>
          </w:tcPr>
          <w:p>
            <w:pPr>
              <w:spacing w:after="0" w:line="20" w:lineRule="exact"/>
              <w:rPr>
                <w:sz w:val="1"/>
                <w:szCs w:val="1"/>
                <w:color w:val="auto"/>
              </w:rPr>
            </w:pPr>
          </w:p>
        </w:tc>
        <w:tc>
          <w:tcPr>
            <w:tcW w:w="1040" w:type="dxa"/>
            <w:vAlign w:val="bottom"/>
            <w:shd w:val="clear" w:color="auto" w:fill="0000EE"/>
          </w:tcPr>
          <w:p>
            <w:pPr>
              <w:spacing w:after="0" w:line="20" w:lineRule="exact"/>
              <w:rPr>
                <w:sz w:val="1"/>
                <w:szCs w:val="1"/>
                <w:color w:val="auto"/>
              </w:rPr>
            </w:pPr>
          </w:p>
        </w:tc>
        <w:tc>
          <w:tcPr>
            <w:tcW w:w="1800" w:type="dxa"/>
            <w:vAlign w:val="bottom"/>
            <w:shd w:val="clear" w:color="auto" w:fill="0000EE"/>
          </w:tcPr>
          <w:p>
            <w:pPr>
              <w:spacing w:after="0" w:line="20" w:lineRule="exact"/>
              <w:rPr>
                <w:sz w:val="1"/>
                <w:szCs w:val="1"/>
                <w:color w:val="auto"/>
              </w:rPr>
            </w:pPr>
          </w:p>
        </w:tc>
        <w:tc>
          <w:tcPr>
            <w:tcW w:w="1600" w:type="dxa"/>
            <w:vAlign w:val="bottom"/>
            <w:gridSpan w:val="2"/>
            <w:shd w:val="clear" w:color="auto" w:fill="0000EE"/>
          </w:tcPr>
          <w:p>
            <w:pPr>
              <w:spacing w:after="0" w:line="20" w:lineRule="exact"/>
              <w:rPr>
                <w:sz w:val="1"/>
                <w:szCs w:val="1"/>
                <w:color w:val="auto"/>
              </w:rPr>
            </w:pPr>
          </w:p>
        </w:tc>
        <w:tc>
          <w:tcPr>
            <w:tcW w:w="1960" w:type="dxa"/>
            <w:vAlign w:val="bottom"/>
            <w:gridSpan w:val="2"/>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r>
      <w:tr>
        <w:trPr>
          <w:trHeight w:val="196"/>
        </w:trPr>
        <w:tc>
          <w:tcPr>
            <w:tcW w:w="1340" w:type="dxa"/>
            <w:vAlign w:val="bottom"/>
          </w:tcPr>
          <w:p>
            <w:pPr>
              <w:spacing w:after="0"/>
              <w:rPr>
                <w:sz w:val="17"/>
                <w:szCs w:val="17"/>
                <w:color w:val="auto"/>
              </w:rPr>
            </w:pPr>
          </w:p>
        </w:tc>
        <w:tc>
          <w:tcPr>
            <w:tcW w:w="5380" w:type="dxa"/>
            <w:vAlign w:val="bottom"/>
            <w:gridSpan w:val="5"/>
          </w:tcPr>
          <w:p>
            <w:pPr>
              <w:spacing w:after="0" w:line="196" w:lineRule="exact"/>
              <w:rPr>
                <w:rFonts w:ascii="Arial" w:cs="Arial" w:eastAsia="Arial" w:hAnsi="Arial"/>
                <w:sz w:val="18"/>
                <w:szCs w:val="18"/>
                <w:color w:val="0000EE"/>
              </w:rPr>
            </w:pPr>
            <w:hyperlink w:anchor="page221">
              <w:r>
                <w:rPr>
                  <w:rFonts w:ascii="Arial" w:cs="Arial" w:eastAsia="Arial" w:hAnsi="Arial"/>
                  <w:sz w:val="18"/>
                  <w:szCs w:val="18"/>
                  <w:color w:val="0000EE"/>
                </w:rPr>
                <w:t>Schedule III — Supplementary Insurance Information</w:t>
              </w:r>
            </w:hyperlink>
          </w:p>
        </w:tc>
        <w:tc>
          <w:tcPr>
            <w:tcW w:w="1960" w:type="dxa"/>
            <w:vAlign w:val="bottom"/>
            <w:gridSpan w:val="2"/>
          </w:tcPr>
          <w:p>
            <w:pPr>
              <w:spacing w:after="0"/>
              <w:rPr>
                <w:sz w:val="17"/>
                <w:szCs w:val="17"/>
                <w:color w:val="auto"/>
              </w:rPr>
            </w:pPr>
          </w:p>
        </w:tc>
        <w:tc>
          <w:tcPr>
            <w:tcW w:w="2740" w:type="dxa"/>
            <w:vAlign w:val="bottom"/>
            <w:gridSpan w:val="3"/>
          </w:tcPr>
          <w:p>
            <w:pPr>
              <w:jc w:val="right"/>
              <w:ind w:right="1140"/>
              <w:spacing w:after="0" w:line="196" w:lineRule="exact"/>
              <w:rPr>
                <w:rFonts w:ascii="Arial" w:cs="Arial" w:eastAsia="Arial" w:hAnsi="Arial"/>
                <w:sz w:val="18"/>
                <w:szCs w:val="18"/>
                <w:color w:val="0000EE"/>
              </w:rPr>
            </w:pPr>
            <w:hyperlink w:anchor="page221">
              <w:r>
                <w:rPr>
                  <w:rFonts w:ascii="Arial" w:cs="Arial" w:eastAsia="Arial" w:hAnsi="Arial"/>
                  <w:sz w:val="18"/>
                  <w:szCs w:val="18"/>
                  <w:color w:val="0000EE"/>
                </w:rPr>
                <w:t>217</w:t>
              </w:r>
            </w:hyperlink>
          </w:p>
        </w:tc>
      </w:tr>
      <w:tr>
        <w:trPr>
          <w:trHeight w:val="20"/>
        </w:trPr>
        <w:tc>
          <w:tcPr>
            <w:tcW w:w="1340" w:type="dxa"/>
            <w:vAlign w:val="bottom"/>
            <w:tcBorders>
              <w:right w:val="single" w:sz="8" w:color="0000EE"/>
            </w:tcBorders>
          </w:tcPr>
          <w:p>
            <w:pPr>
              <w:spacing w:after="0" w:line="20" w:lineRule="exact"/>
              <w:rPr>
                <w:sz w:val="1"/>
                <w:szCs w:val="1"/>
                <w:color w:val="auto"/>
              </w:rPr>
            </w:pPr>
          </w:p>
        </w:tc>
        <w:tc>
          <w:tcPr>
            <w:tcW w:w="940" w:type="dxa"/>
            <w:vAlign w:val="bottom"/>
            <w:shd w:val="clear" w:color="auto" w:fill="0000EE"/>
          </w:tcPr>
          <w:p>
            <w:pPr>
              <w:spacing w:after="0" w:line="20" w:lineRule="exact"/>
              <w:rPr>
                <w:sz w:val="1"/>
                <w:szCs w:val="1"/>
                <w:color w:val="auto"/>
              </w:rPr>
            </w:pPr>
          </w:p>
        </w:tc>
        <w:tc>
          <w:tcPr>
            <w:tcW w:w="1040" w:type="dxa"/>
            <w:vAlign w:val="bottom"/>
            <w:shd w:val="clear" w:color="auto" w:fill="0000EE"/>
          </w:tcPr>
          <w:p>
            <w:pPr>
              <w:spacing w:after="0" w:line="20" w:lineRule="exact"/>
              <w:rPr>
                <w:sz w:val="1"/>
                <w:szCs w:val="1"/>
                <w:color w:val="auto"/>
              </w:rPr>
            </w:pPr>
          </w:p>
        </w:tc>
        <w:tc>
          <w:tcPr>
            <w:tcW w:w="1800" w:type="dxa"/>
            <w:vAlign w:val="bottom"/>
            <w:shd w:val="clear" w:color="auto" w:fill="0000EE"/>
          </w:tcPr>
          <w:p>
            <w:pPr>
              <w:spacing w:after="0" w:line="20" w:lineRule="exact"/>
              <w:rPr>
                <w:sz w:val="1"/>
                <w:szCs w:val="1"/>
                <w:color w:val="auto"/>
              </w:rPr>
            </w:pPr>
          </w:p>
        </w:tc>
        <w:tc>
          <w:tcPr>
            <w:tcW w:w="3560" w:type="dxa"/>
            <w:vAlign w:val="bottom"/>
            <w:gridSpan w:val="4"/>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r>
      <w:tr>
        <w:trPr>
          <w:trHeight w:val="196"/>
        </w:trPr>
        <w:tc>
          <w:tcPr>
            <w:tcW w:w="1340" w:type="dxa"/>
            <w:vAlign w:val="bottom"/>
          </w:tcPr>
          <w:p>
            <w:pPr>
              <w:spacing w:after="0"/>
              <w:rPr>
                <w:sz w:val="17"/>
                <w:szCs w:val="17"/>
                <w:color w:val="auto"/>
              </w:rPr>
            </w:pPr>
          </w:p>
        </w:tc>
        <w:tc>
          <w:tcPr>
            <w:tcW w:w="3780" w:type="dxa"/>
            <w:vAlign w:val="bottom"/>
            <w:gridSpan w:val="3"/>
          </w:tcPr>
          <w:p>
            <w:pPr>
              <w:spacing w:after="0" w:line="196" w:lineRule="exact"/>
              <w:rPr>
                <w:rFonts w:ascii="Arial" w:cs="Arial" w:eastAsia="Arial" w:hAnsi="Arial"/>
                <w:sz w:val="18"/>
                <w:szCs w:val="18"/>
                <w:color w:val="0000EE"/>
              </w:rPr>
            </w:pPr>
            <w:hyperlink w:anchor="page223">
              <w:r>
                <w:rPr>
                  <w:rFonts w:ascii="Arial" w:cs="Arial" w:eastAsia="Arial" w:hAnsi="Arial"/>
                  <w:sz w:val="18"/>
                  <w:szCs w:val="18"/>
                  <w:color w:val="0000EE"/>
                </w:rPr>
                <w:t>Schedule IV — Reinsurance</w:t>
              </w:r>
            </w:hyperlink>
          </w:p>
        </w:tc>
        <w:tc>
          <w:tcPr>
            <w:tcW w:w="3560" w:type="dxa"/>
            <w:vAlign w:val="bottom"/>
            <w:gridSpan w:val="4"/>
          </w:tcPr>
          <w:p>
            <w:pPr>
              <w:spacing w:after="0"/>
              <w:rPr>
                <w:sz w:val="17"/>
                <w:szCs w:val="17"/>
                <w:color w:val="auto"/>
              </w:rPr>
            </w:pPr>
          </w:p>
        </w:tc>
        <w:tc>
          <w:tcPr>
            <w:tcW w:w="2740" w:type="dxa"/>
            <w:vAlign w:val="bottom"/>
            <w:gridSpan w:val="3"/>
          </w:tcPr>
          <w:p>
            <w:pPr>
              <w:jc w:val="right"/>
              <w:ind w:right="1140"/>
              <w:spacing w:after="0" w:line="196" w:lineRule="exact"/>
              <w:rPr>
                <w:rFonts w:ascii="Arial" w:cs="Arial" w:eastAsia="Arial" w:hAnsi="Arial"/>
                <w:sz w:val="18"/>
                <w:szCs w:val="18"/>
                <w:color w:val="0000EE"/>
              </w:rPr>
            </w:pPr>
            <w:hyperlink w:anchor="page223">
              <w:r>
                <w:rPr>
                  <w:rFonts w:ascii="Arial" w:cs="Arial" w:eastAsia="Arial" w:hAnsi="Arial"/>
                  <w:sz w:val="18"/>
                  <w:szCs w:val="18"/>
                  <w:color w:val="0000EE"/>
                </w:rPr>
                <w:t>219</w:t>
              </w:r>
            </w:hyperlink>
          </w:p>
        </w:tc>
      </w:tr>
      <w:tr>
        <w:trPr>
          <w:trHeight w:val="20"/>
        </w:trPr>
        <w:tc>
          <w:tcPr>
            <w:tcW w:w="1340" w:type="dxa"/>
            <w:vAlign w:val="bottom"/>
            <w:tcBorders>
              <w:right w:val="single" w:sz="8" w:color="0000EE"/>
            </w:tcBorders>
          </w:tcPr>
          <w:p>
            <w:pPr>
              <w:spacing w:after="0" w:line="20" w:lineRule="exact"/>
              <w:rPr>
                <w:sz w:val="1"/>
                <w:szCs w:val="1"/>
                <w:color w:val="auto"/>
              </w:rPr>
            </w:pPr>
          </w:p>
        </w:tc>
        <w:tc>
          <w:tcPr>
            <w:tcW w:w="940" w:type="dxa"/>
            <w:vAlign w:val="bottom"/>
            <w:shd w:val="clear" w:color="auto" w:fill="0000EE"/>
          </w:tcPr>
          <w:p>
            <w:pPr>
              <w:spacing w:after="0" w:line="20" w:lineRule="exact"/>
              <w:rPr>
                <w:sz w:val="1"/>
                <w:szCs w:val="1"/>
                <w:color w:val="auto"/>
              </w:rPr>
            </w:pPr>
          </w:p>
        </w:tc>
        <w:tc>
          <w:tcPr>
            <w:tcW w:w="1040" w:type="dxa"/>
            <w:vAlign w:val="bottom"/>
            <w:shd w:val="clear" w:color="auto" w:fill="0000EE"/>
          </w:tcPr>
          <w:p>
            <w:pPr>
              <w:spacing w:after="0" w:line="20" w:lineRule="exact"/>
              <w:rPr>
                <w:sz w:val="1"/>
                <w:szCs w:val="1"/>
                <w:color w:val="auto"/>
              </w:rPr>
            </w:pPr>
          </w:p>
        </w:tc>
        <w:tc>
          <w:tcPr>
            <w:tcW w:w="5360" w:type="dxa"/>
            <w:vAlign w:val="bottom"/>
            <w:gridSpan w:val="5"/>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r>
      <w:tr>
        <w:trPr>
          <w:trHeight w:val="196"/>
        </w:trPr>
        <w:tc>
          <w:tcPr>
            <w:tcW w:w="1340" w:type="dxa"/>
            <w:vAlign w:val="bottom"/>
          </w:tcPr>
          <w:p>
            <w:pPr>
              <w:spacing w:after="0"/>
              <w:rPr>
                <w:sz w:val="17"/>
                <w:szCs w:val="17"/>
                <w:color w:val="auto"/>
              </w:rPr>
            </w:pPr>
          </w:p>
        </w:tc>
        <w:tc>
          <w:tcPr>
            <w:tcW w:w="1980" w:type="dxa"/>
            <w:vAlign w:val="bottom"/>
            <w:gridSpan w:val="2"/>
          </w:tcPr>
          <w:p>
            <w:pPr>
              <w:spacing w:after="0" w:line="196" w:lineRule="exact"/>
              <w:rPr>
                <w:rFonts w:ascii="Arial" w:cs="Arial" w:eastAsia="Arial" w:hAnsi="Arial"/>
                <w:sz w:val="18"/>
                <w:szCs w:val="18"/>
                <w:color w:val="0000EE"/>
              </w:rPr>
            </w:pPr>
            <w:hyperlink w:anchor="page224">
              <w:r>
                <w:rPr>
                  <w:rFonts w:ascii="Arial" w:cs="Arial" w:eastAsia="Arial" w:hAnsi="Arial"/>
                  <w:sz w:val="18"/>
                  <w:szCs w:val="18"/>
                  <w:color w:val="0000EE"/>
                </w:rPr>
                <w:t>Exhibit Index</w:t>
              </w:r>
            </w:hyperlink>
          </w:p>
        </w:tc>
        <w:tc>
          <w:tcPr>
            <w:tcW w:w="5360" w:type="dxa"/>
            <w:vAlign w:val="bottom"/>
            <w:gridSpan w:val="5"/>
          </w:tcPr>
          <w:p>
            <w:pPr>
              <w:spacing w:after="0"/>
              <w:rPr>
                <w:sz w:val="17"/>
                <w:szCs w:val="17"/>
                <w:color w:val="auto"/>
              </w:rPr>
            </w:pPr>
          </w:p>
        </w:tc>
        <w:tc>
          <w:tcPr>
            <w:tcW w:w="2740" w:type="dxa"/>
            <w:vAlign w:val="bottom"/>
            <w:gridSpan w:val="3"/>
          </w:tcPr>
          <w:p>
            <w:pPr>
              <w:jc w:val="right"/>
              <w:ind w:right="1140"/>
              <w:spacing w:after="0" w:line="196" w:lineRule="exact"/>
              <w:rPr>
                <w:rFonts w:ascii="Arial" w:cs="Arial" w:eastAsia="Arial" w:hAnsi="Arial"/>
                <w:sz w:val="18"/>
                <w:szCs w:val="18"/>
                <w:color w:val="0000EE"/>
              </w:rPr>
            </w:pPr>
            <w:hyperlink w:anchor="page224">
              <w:r>
                <w:rPr>
                  <w:rFonts w:ascii="Arial" w:cs="Arial" w:eastAsia="Arial" w:hAnsi="Arial"/>
                  <w:sz w:val="18"/>
                  <w:szCs w:val="18"/>
                  <w:color w:val="0000EE"/>
                </w:rPr>
                <w:t>220</w:t>
              </w:r>
            </w:hyperlink>
          </w:p>
        </w:tc>
      </w:tr>
      <w:tr>
        <w:trPr>
          <w:trHeight w:val="451"/>
        </w:trPr>
        <w:tc>
          <w:tcPr>
            <w:tcW w:w="1340" w:type="dxa"/>
            <w:vAlign w:val="bottom"/>
          </w:tcPr>
          <w:p>
            <w:pPr>
              <w:spacing w:after="0"/>
              <w:rPr>
                <w:sz w:val="24"/>
                <w:szCs w:val="24"/>
                <w:color w:val="auto"/>
              </w:rPr>
            </w:pPr>
          </w:p>
        </w:tc>
        <w:tc>
          <w:tcPr>
            <w:tcW w:w="940" w:type="dxa"/>
            <w:vAlign w:val="bottom"/>
            <w:tcBorders>
              <w:top w:val="single" w:sz="8" w:color="0000EE"/>
            </w:tcBorders>
          </w:tcPr>
          <w:p>
            <w:pPr>
              <w:spacing w:after="0"/>
              <w:rPr>
                <w:sz w:val="24"/>
                <w:szCs w:val="24"/>
                <w:color w:val="auto"/>
              </w:rPr>
            </w:pPr>
          </w:p>
        </w:tc>
        <w:tc>
          <w:tcPr>
            <w:tcW w:w="4140" w:type="dxa"/>
            <w:vAlign w:val="bottom"/>
            <w:gridSpan w:val="3"/>
          </w:tcPr>
          <w:p>
            <w:pPr>
              <w:jc w:val="right"/>
              <w:ind w:right="660"/>
              <w:spacing w:after="0"/>
              <w:rPr>
                <w:sz w:val="20"/>
                <w:szCs w:val="20"/>
                <w:color w:val="auto"/>
              </w:rPr>
            </w:pPr>
            <w:r>
              <w:rPr>
                <w:rFonts w:ascii="Arial" w:cs="Arial" w:eastAsia="Arial" w:hAnsi="Arial"/>
                <w:sz w:val="18"/>
                <w:szCs w:val="18"/>
                <w:color w:val="auto"/>
              </w:rPr>
              <w:t>2</w:t>
            </w:r>
          </w:p>
        </w:tc>
        <w:tc>
          <w:tcPr>
            <w:tcW w:w="3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60" w:type="dxa"/>
            <w:vAlign w:val="bottom"/>
            <w:tcBorders>
              <w:top w:val="single" w:sz="8" w:color="0000EE"/>
            </w:tcBorders>
          </w:tcPr>
          <w:p>
            <w:pPr>
              <w:spacing w:after="0"/>
              <w:rPr>
                <w:sz w:val="24"/>
                <w:szCs w:val="24"/>
                <w:color w:val="auto"/>
              </w:rPr>
            </w:pPr>
          </w:p>
        </w:tc>
        <w:tc>
          <w:tcPr>
            <w:tcW w:w="1140" w:type="dxa"/>
            <w:vAlign w:val="bottom"/>
          </w:tcPr>
          <w:p>
            <w:pPr>
              <w:spacing w:after="0"/>
              <w:rPr>
                <w:sz w:val="24"/>
                <w:szCs w:val="24"/>
                <w:color w:val="auto"/>
              </w:rPr>
            </w:pPr>
          </w:p>
        </w:tc>
      </w:tr>
      <w:tr>
        <w:trPr>
          <w:trHeight w:val="228"/>
        </w:trPr>
        <w:tc>
          <w:tcPr>
            <w:tcW w:w="1340" w:type="dxa"/>
            <w:vAlign w:val="bottom"/>
            <w:tcBorders>
              <w:bottom w:val="single" w:sz="8" w:color="808080"/>
            </w:tcBorders>
          </w:tcPr>
          <w:p>
            <w:pPr>
              <w:spacing w:after="0"/>
              <w:rPr>
                <w:sz w:val="19"/>
                <w:szCs w:val="19"/>
                <w:color w:val="auto"/>
              </w:rPr>
            </w:pPr>
          </w:p>
        </w:tc>
        <w:tc>
          <w:tcPr>
            <w:tcW w:w="940" w:type="dxa"/>
            <w:vAlign w:val="bottom"/>
            <w:tcBorders>
              <w:bottom w:val="single" w:sz="8" w:color="808080"/>
            </w:tcBorders>
          </w:tcPr>
          <w:p>
            <w:pPr>
              <w:spacing w:after="0"/>
              <w:rPr>
                <w:sz w:val="19"/>
                <w:szCs w:val="19"/>
                <w:color w:val="auto"/>
              </w:rPr>
            </w:pPr>
          </w:p>
        </w:tc>
        <w:tc>
          <w:tcPr>
            <w:tcW w:w="1040" w:type="dxa"/>
            <w:vAlign w:val="bottom"/>
            <w:tcBorders>
              <w:bottom w:val="single" w:sz="8" w:color="808080"/>
            </w:tcBorders>
          </w:tcPr>
          <w:p>
            <w:pPr>
              <w:spacing w:after="0"/>
              <w:rPr>
                <w:sz w:val="19"/>
                <w:szCs w:val="19"/>
                <w:color w:val="auto"/>
              </w:rPr>
            </w:pPr>
          </w:p>
        </w:tc>
        <w:tc>
          <w:tcPr>
            <w:tcW w:w="1800" w:type="dxa"/>
            <w:vAlign w:val="bottom"/>
            <w:tcBorders>
              <w:bottom w:val="single" w:sz="8" w:color="808080"/>
            </w:tcBorders>
          </w:tcPr>
          <w:p>
            <w:pPr>
              <w:spacing w:after="0"/>
              <w:rPr>
                <w:sz w:val="19"/>
                <w:szCs w:val="19"/>
                <w:color w:val="auto"/>
              </w:rPr>
            </w:pPr>
          </w:p>
        </w:tc>
        <w:tc>
          <w:tcPr>
            <w:tcW w:w="130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620" w:type="dxa"/>
            <w:vAlign w:val="bottom"/>
            <w:tcBorders>
              <w:bottom w:val="single" w:sz="8" w:color="808080"/>
            </w:tcBorders>
          </w:tcPr>
          <w:p>
            <w:pPr>
              <w:spacing w:after="0"/>
              <w:rPr>
                <w:sz w:val="19"/>
                <w:szCs w:val="19"/>
                <w:color w:val="auto"/>
              </w:rPr>
            </w:pPr>
          </w:p>
        </w:tc>
        <w:tc>
          <w:tcPr>
            <w:tcW w:w="1340" w:type="dxa"/>
            <w:vAlign w:val="bottom"/>
            <w:tcBorders>
              <w:bottom w:val="single" w:sz="8" w:color="808080"/>
            </w:tcBorders>
          </w:tcPr>
          <w:p>
            <w:pPr>
              <w:spacing w:after="0"/>
              <w:rPr>
                <w:sz w:val="19"/>
                <w:szCs w:val="19"/>
                <w:color w:val="auto"/>
              </w:rPr>
            </w:pPr>
          </w:p>
        </w:tc>
        <w:tc>
          <w:tcPr>
            <w:tcW w:w="1340" w:type="dxa"/>
            <w:vAlign w:val="bottom"/>
            <w:tcBorders>
              <w:bottom w:val="single" w:sz="8" w:color="808080"/>
            </w:tcBorders>
          </w:tcPr>
          <w:p>
            <w:pPr>
              <w:spacing w:after="0"/>
              <w:rPr>
                <w:sz w:val="19"/>
                <w:szCs w:val="19"/>
                <w:color w:val="auto"/>
              </w:rPr>
            </w:pPr>
          </w:p>
        </w:tc>
        <w:tc>
          <w:tcPr>
            <w:tcW w:w="26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08" w:right="239" w:bottom="1440" w:gutter="0" w:footer="0" w:header="0"/>
        </w:sectPr>
      </w:pPr>
    </w:p>
    <w:bookmarkStart w:id="4" w:name="page5"/>
    <w:bookmarkEnd w:id="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 CONCERNING FORWARD-LOOKING STATEMENTS</w:t>
      </w:r>
    </w:p>
    <w:p>
      <w:pPr>
        <w:spacing w:after="0" w:line="231" w:lineRule="exact"/>
        <w:rPr>
          <w:sz w:val="20"/>
          <w:szCs w:val="20"/>
          <w:color w:val="auto"/>
        </w:rPr>
      </w:pPr>
    </w:p>
    <w:p>
      <w:pPr>
        <w:jc w:val="both"/>
        <w:ind w:firstLine="528"/>
        <w:spacing w:after="0" w:line="254" w:lineRule="auto"/>
        <w:rPr>
          <w:sz w:val="20"/>
          <w:szCs w:val="20"/>
          <w:color w:val="auto"/>
        </w:rPr>
      </w:pPr>
      <w:r>
        <w:rPr>
          <w:rFonts w:ascii="Arial" w:cs="Arial" w:eastAsia="Arial" w:hAnsi="Arial"/>
          <w:sz w:val="18"/>
          <w:szCs w:val="18"/>
          <w:color w:val="auto"/>
        </w:rPr>
        <w:t>This Annual Report on Form 10-K, including the Management's Discussion and Analysis of Financial Condition and Results of Operations, contains statements which constitute forward-looking statements within the meaning of the Private Securities Litigation Reform Act of 1995, including statements relating to trends in operations and financial results and the business and the products of the Registrant and its subsidiaries, as well as other statements including words such as "anticipate," "believe," "plan," "estimate," "expect," "intend" and other similar expressions. Forward-looking statements are made based upon management's current expectations and beliefs concerning future developments and their potential effects on us. Such forward-looking statements are not guarantees of future performance.</w:t>
      </w:r>
    </w:p>
    <w:p>
      <w:pPr>
        <w:spacing w:after="0" w:line="198" w:lineRule="exact"/>
        <w:rPr>
          <w:sz w:val="20"/>
          <w:szCs w:val="20"/>
          <w:color w:val="auto"/>
        </w:rPr>
      </w:pPr>
    </w:p>
    <w:p>
      <w:pPr>
        <w:jc w:val="both"/>
        <w:ind w:firstLine="345"/>
        <w:spacing w:after="0" w:line="268" w:lineRule="auto"/>
        <w:rPr>
          <w:sz w:val="20"/>
          <w:szCs w:val="20"/>
          <w:color w:val="auto"/>
        </w:rPr>
      </w:pPr>
      <w:r>
        <w:rPr>
          <w:rFonts w:ascii="Arial" w:cs="Arial" w:eastAsia="Arial" w:hAnsi="Arial"/>
          <w:sz w:val="18"/>
          <w:szCs w:val="18"/>
          <w:color w:val="auto"/>
        </w:rPr>
        <w:t>Actual results may differ materially from those included in the forward-looking statements as a result of risks and uncertainties. Those risks and uncertainties include, but are not limited to the risk factors listed in Item 1A. "Risk Factors."</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w:t>
      </w:r>
    </w:p>
    <w:p>
      <w:pPr>
        <w:spacing w:after="0" w:line="225"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4"/>
          <w:szCs w:val="14"/>
          <w:b w:val="1"/>
          <w:bCs w:val="1"/>
          <w:color w:val="auto"/>
        </w:rPr>
        <w:t>Business</w:t>
      </w:r>
    </w:p>
    <w:p>
      <w:pPr>
        <w:spacing w:after="0" w:line="231" w:lineRule="exact"/>
        <w:rPr>
          <w:sz w:val="20"/>
          <w:szCs w:val="20"/>
          <w:color w:val="auto"/>
        </w:rPr>
      </w:pPr>
    </w:p>
    <w:p>
      <w:pPr>
        <w:jc w:val="both"/>
        <w:ind w:firstLine="401"/>
        <w:spacing w:after="0" w:line="256" w:lineRule="auto"/>
        <w:rPr>
          <w:sz w:val="20"/>
          <w:szCs w:val="20"/>
          <w:color w:val="auto"/>
        </w:rPr>
      </w:pPr>
      <w:r>
        <w:rPr>
          <w:rFonts w:ascii="Arial" w:cs="Arial" w:eastAsia="Arial" w:hAnsi="Arial"/>
          <w:sz w:val="18"/>
          <w:szCs w:val="18"/>
          <w:color w:val="auto"/>
        </w:rPr>
        <w:t>Principal Financial Group, Inc. ("PFG") is a global investment management leader offering retirement services, insurance solutions and asset management. We offer businesses, individuals and institutional clients a wide range of financial products and services, including retirement, asset management and insurance through our diverse family of financial services companies. We have $483.2 billion in assets under management ("AUM") and approximately 19.4 million customers worldwide as of December 31, 2013.</w:t>
      </w:r>
    </w:p>
    <w:p>
      <w:pPr>
        <w:spacing w:after="0" w:line="197" w:lineRule="exact"/>
        <w:rPr>
          <w:sz w:val="20"/>
          <w:szCs w:val="20"/>
          <w:color w:val="auto"/>
        </w:rPr>
      </w:pPr>
    </w:p>
    <w:p>
      <w:pPr>
        <w:jc w:val="both"/>
        <w:ind w:firstLine="492"/>
        <w:spacing w:after="0" w:line="255" w:lineRule="auto"/>
        <w:rPr>
          <w:sz w:val="20"/>
          <w:szCs w:val="20"/>
          <w:color w:val="auto"/>
        </w:rPr>
      </w:pPr>
      <w:r>
        <w:rPr>
          <w:rFonts w:ascii="Arial" w:cs="Arial" w:eastAsia="Arial" w:hAnsi="Arial"/>
          <w:sz w:val="18"/>
          <w:szCs w:val="18"/>
          <w:color w:val="auto"/>
        </w:rPr>
        <w:t>We primarily focus on small and medium-sized businesses, which we define as companies with less than 1,000 employees, providing a broad array of retirement and employee benefit solutions to meet the needs of the business, the business owner and their employees. We are the leading provider of corporate defined contribution plans in the U.S., according to Spectrem Group. We are also the leading employee stock ownership plan consultant. In addition, we are a leading provider of nonqualified plans, defined benefit plans and plan termination annuities. We are also one of the largest providers of specialty benefits insurance product solutions.</w:t>
      </w:r>
    </w:p>
    <w:p>
      <w:pPr>
        <w:spacing w:after="0" w:line="197" w:lineRule="exact"/>
        <w:rPr>
          <w:sz w:val="20"/>
          <w:szCs w:val="20"/>
          <w:color w:val="auto"/>
        </w:rPr>
      </w:pPr>
    </w:p>
    <w:p>
      <w:pPr>
        <w:jc w:val="both"/>
        <w:ind w:firstLine="441"/>
        <w:spacing w:after="0" w:line="298" w:lineRule="auto"/>
        <w:rPr>
          <w:sz w:val="20"/>
          <w:szCs w:val="20"/>
          <w:color w:val="auto"/>
        </w:rPr>
      </w:pPr>
      <w:r>
        <w:rPr>
          <w:rFonts w:ascii="Arial" w:cs="Arial" w:eastAsia="Arial" w:hAnsi="Arial"/>
          <w:sz w:val="16"/>
          <w:szCs w:val="16"/>
          <w:color w:val="auto"/>
        </w:rPr>
        <w:t>We believe small and medium-sized businesses are an underserved market, offering attractive growth opportunities in the U.S. in retirement services and other employee benefits. We also believe there is a significant opportunity to leverage our U.S. retirement expertise into select international markets that have adopted or are moving toward private sector defined contribution pension systems. This opportunity is particularly compelling as aging populations around the world are driving increased demand for retirement accumulation, retirement asset management and retirement income management solutions.</w:t>
      </w:r>
    </w:p>
    <w:p>
      <w:pPr>
        <w:spacing w:after="0" w:line="3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Reportable Segments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organize our businesses into the following reportable segments:</w:t>
      </w:r>
    </w:p>
    <w:p>
      <w:pPr>
        <w:spacing w:after="0" w:line="239" w:lineRule="exact"/>
        <w:rPr>
          <w:sz w:val="20"/>
          <w:szCs w:val="20"/>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Retirement and Investor Services;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Principal Global Investors;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Principal International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U.S. Insurance Solutions.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also have a Corporate segment, which consists of the assets and activities that have not been allocated to any other segment.</w:t>
      </w:r>
    </w:p>
    <w:p>
      <w:pPr>
        <w:spacing w:after="0" w:line="225" w:lineRule="exact"/>
        <w:rPr>
          <w:sz w:val="20"/>
          <w:szCs w:val="20"/>
          <w:color w:val="auto"/>
        </w:rPr>
      </w:pPr>
    </w:p>
    <w:p>
      <w:pPr>
        <w:ind w:firstLine="359"/>
        <w:spacing w:after="0" w:line="332" w:lineRule="auto"/>
        <w:rPr>
          <w:sz w:val="20"/>
          <w:szCs w:val="20"/>
          <w:color w:val="auto"/>
        </w:rPr>
      </w:pPr>
      <w:r>
        <w:rPr>
          <w:rFonts w:ascii="Arial" w:cs="Arial" w:eastAsia="Arial" w:hAnsi="Arial"/>
          <w:sz w:val="16"/>
          <w:szCs w:val="16"/>
          <w:color w:val="auto"/>
        </w:rPr>
        <w:t>See Item 8. "Financial Statements and Supplementary Data, Notes to Consolidated Financial Statements, Note 16, Segment Information" for financial results of our segments, including our operating revenues for our products and services described in each of the subsequent segment discussions.</w:t>
      </w: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Retirement and Investor Services Segment</w:t>
      </w:r>
    </w:p>
    <w:p>
      <w:pPr>
        <w:spacing w:after="0" w:line="231" w:lineRule="exact"/>
        <w:rPr>
          <w:sz w:val="20"/>
          <w:szCs w:val="20"/>
          <w:color w:val="auto"/>
        </w:rPr>
      </w:pPr>
    </w:p>
    <w:p>
      <w:pPr>
        <w:ind w:firstLine="466"/>
        <w:spacing w:after="0" w:line="268" w:lineRule="auto"/>
        <w:rPr>
          <w:sz w:val="20"/>
          <w:szCs w:val="20"/>
          <w:color w:val="auto"/>
        </w:rPr>
      </w:pPr>
      <w:r>
        <w:rPr>
          <w:rFonts w:ascii="Arial" w:cs="Arial" w:eastAsia="Arial" w:hAnsi="Arial"/>
          <w:sz w:val="18"/>
          <w:szCs w:val="18"/>
          <w:color w:val="auto"/>
        </w:rPr>
        <w:t>Our asset accumulation activities in the U.S. date back to the 1940s when we first began providing pension plan products and services. We now offer a comprehensive portfolio of asset accumulation products and services for retirement savings and investment:</w:t>
      </w:r>
    </w:p>
    <w:p>
      <w:pPr>
        <w:spacing w:after="0" w:line="213" w:lineRule="exact"/>
        <w:rPr>
          <w:sz w:val="20"/>
          <w:szCs w:val="20"/>
          <w:color w:val="auto"/>
        </w:rPr>
      </w:pPr>
    </w:p>
    <w:p>
      <w:pPr>
        <w:jc w:val="both"/>
        <w:ind w:left="1080" w:hanging="532"/>
        <w:spacing w:after="0" w:line="256"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businesses of all sizes with a concentration on small and medium-sized businesses, we offer products and services for defined contribution pension plans, including 401(k) and 403(b) plans, defined benefit pension plans, nonqualified executive benefit plans and employee stock ownership plan ("ESOP") consulting services. For more basic investment needs, we offer SIMPLE Individual Retirement Accounts ("IRA") and payroll deduction plans;</w:t>
      </w:r>
    </w:p>
    <w:p>
      <w:pPr>
        <w:spacing w:after="0" w:line="210"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large institutional clients, we also offer investment-only products, including guaranteed investment contracts ("GICs") and funding agreements and</w:t>
      </w:r>
    </w:p>
    <w:p>
      <w:pPr>
        <w:spacing w:after="0" w:line="199"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employees of businesses and other individuals, we offer the ability to accumulate savings for retirement and other purposes through mutual funds, individual annuities and bank products.</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organize our Retirement and Investor Services ("RIS") operations into two business groupings:</w:t>
      </w:r>
    </w:p>
    <w:p>
      <w:pPr>
        <w:spacing w:after="0" w:line="252" w:lineRule="exact"/>
        <w:rPr>
          <w:sz w:val="20"/>
          <w:szCs w:val="20"/>
          <w:color w:val="auto"/>
        </w:rPr>
      </w:pPr>
    </w:p>
    <w:p>
      <w:pPr>
        <w:ind w:left="1080" w:hanging="532"/>
        <w:spacing w:after="0" w:line="268"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Accumulation business — which includes full service accumulation, Principal Funds (our mutual fund business), individual annuities and bank and trust services;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Guaranteed business — which includes investment only and full service payout.</w:t>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Accumulation Business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Full Service Accumulation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Products</w:t>
      </w:r>
    </w:p>
    <w:p>
      <w:pPr>
        <w:spacing w:after="0" w:line="225" w:lineRule="exact"/>
        <w:rPr>
          <w:sz w:val="20"/>
          <w:szCs w:val="20"/>
          <w:color w:val="auto"/>
        </w:rPr>
      </w:pPr>
    </w:p>
    <w:p>
      <w:pPr>
        <w:ind w:firstLine="363"/>
        <w:spacing w:after="0" w:line="268" w:lineRule="auto"/>
        <w:rPr>
          <w:sz w:val="20"/>
          <w:szCs w:val="20"/>
          <w:color w:val="auto"/>
        </w:rPr>
      </w:pPr>
      <w:r>
        <w:rPr>
          <w:rFonts w:ascii="Arial" w:cs="Arial" w:eastAsia="Arial" w:hAnsi="Arial"/>
          <w:sz w:val="18"/>
          <w:szCs w:val="18"/>
          <w:color w:val="auto"/>
        </w:rPr>
        <w:t>We offer a wide variety of investment and administrative products for defined contribution pension plans, including 401(k) and 403(b) plans, defined benefit pension plans, nonqualified executive benefit plans and ESOPs. A 403(b) plan is</w:t>
      </w:r>
    </w:p>
    <w:p>
      <w:pPr>
        <w:sectPr>
          <w:pgSz w:w="11900" w:h="16838" w:orient="portrait"/>
          <w:cols w:equalWidth="0" w:num="1">
            <w:col w:w="11420"/>
          </w:cols>
          <w:pgMar w:left="240" w:top="131" w:right="239" w:bottom="0" w:gutter="0" w:footer="0" w:header="0"/>
        </w:sectPr>
      </w:pP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4</w:t>
      </w:r>
    </w:p>
    <w:p>
      <w:pPr>
        <w:sectPr>
          <w:pgSz w:w="11900" w:h="16838" w:orient="portrait"/>
          <w:cols w:equalWidth="0" w:num="1">
            <w:col w:w="11420"/>
          </w:cols>
          <w:pgMar w:left="240" w:top="131" w:right="239" w:bottom="0" w:gutter="0" w:footer="0" w:header="0"/>
          <w:type w:val="continuous"/>
        </w:sectPr>
      </w:pPr>
    </w:p>
    <w:bookmarkStart w:id="6" w:name="page7"/>
    <w:bookmarkEnd w:id="6"/>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50430" cy="190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0430" cy="1905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7" w:name="page8"/>
    <w:bookmarkEnd w:id="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a plan described in Section 403(b) of the Internal Revenue Code that provides retirement benefits for employees of tax-exempt organizations and public schools.</w:t>
      </w:r>
    </w:p>
    <w:p>
      <w:pPr>
        <w:spacing w:after="0" w:line="248" w:lineRule="exact"/>
        <w:rPr>
          <w:sz w:val="20"/>
          <w:szCs w:val="20"/>
          <w:color w:val="auto"/>
        </w:rPr>
      </w:pPr>
    </w:p>
    <w:p>
      <w:pPr>
        <w:jc w:val="both"/>
        <w:ind w:firstLine="370"/>
        <w:spacing w:after="0" w:line="256" w:lineRule="auto"/>
        <w:rPr>
          <w:sz w:val="20"/>
          <w:szCs w:val="20"/>
          <w:color w:val="auto"/>
        </w:rPr>
      </w:pPr>
      <w:r>
        <w:rPr>
          <w:rFonts w:ascii="Arial" w:cs="Arial" w:eastAsia="Arial" w:hAnsi="Arial"/>
          <w:sz w:val="18"/>
          <w:szCs w:val="18"/>
          <w:color w:val="auto"/>
        </w:rPr>
        <w:t>Full service accumulation products respond to the needs of plan sponsors seeking both administrative and investment services for defined contribution plans or defined benefit plans. The investment component of both the defined contribution and defined benefit plans may be in the form of a general account, separate account, a mutual fund offering or a collective investment trust. In addition, defined contribution plans may also offer their own employer security as an investment option.</w:t>
      </w:r>
    </w:p>
    <w:p>
      <w:pPr>
        <w:spacing w:after="0" w:line="197" w:lineRule="exact"/>
        <w:rPr>
          <w:sz w:val="20"/>
          <w:szCs w:val="20"/>
          <w:color w:val="auto"/>
        </w:rPr>
      </w:pPr>
    </w:p>
    <w:p>
      <w:pPr>
        <w:jc w:val="both"/>
        <w:ind w:firstLine="433"/>
        <w:spacing w:after="0" w:line="255" w:lineRule="auto"/>
        <w:rPr>
          <w:sz w:val="20"/>
          <w:szCs w:val="20"/>
          <w:color w:val="auto"/>
        </w:rPr>
      </w:pPr>
      <w:r>
        <w:rPr>
          <w:rFonts w:ascii="Arial" w:cs="Arial" w:eastAsia="Arial" w:hAnsi="Arial"/>
          <w:sz w:val="18"/>
          <w:szCs w:val="18"/>
          <w:color w:val="auto"/>
        </w:rPr>
        <w:t>We deliver both administrative and investment services to our defined contribution plan and defined benefit plan customers through annuities and mutual funds. Group annuities and the underlying investment options are not required to be registered with the United States Securities and Exchange Commission ("SEC"). Our mutual fund offering is called Principal Advantage. It is a qualified plan product based on our series mutual fund, Principal Funds, Inc. ("PFI"). We offer investments covering the full range of stable value, equity, fixed income, real estate and international investment options managed by our Principal Global Investors segment as well as third-party asset managers.</w:t>
      </w:r>
    </w:p>
    <w:p>
      <w:pPr>
        <w:spacing w:after="0" w:line="197" w:lineRule="exact"/>
        <w:rPr>
          <w:sz w:val="20"/>
          <w:szCs w:val="20"/>
          <w:color w:val="auto"/>
        </w:rPr>
      </w:pPr>
    </w:p>
    <w:p>
      <w:pPr>
        <w:jc w:val="both"/>
        <w:ind w:firstLine="420"/>
        <w:spacing w:after="0" w:line="255" w:lineRule="auto"/>
        <w:rPr>
          <w:sz w:val="20"/>
          <w:szCs w:val="20"/>
          <w:color w:val="auto"/>
        </w:rPr>
      </w:pPr>
      <w:r>
        <w:rPr>
          <w:rFonts w:ascii="Arial" w:cs="Arial" w:eastAsia="Arial" w:hAnsi="Arial"/>
          <w:sz w:val="18"/>
          <w:szCs w:val="18"/>
          <w:color w:val="auto"/>
        </w:rPr>
        <w:t>As of December 31, 2013, we provided full service accumulation products to (a) over 32,600 defined contribution pension plans, of which approximately 27,400 were 401(k) plans, including $113.8 billion in assets and covering 3.8 million eligible plan participants, and (b) to over 2,300 defined benefit pension plans, including $17.2 billion in assets and covering over 338,000 eligible plan participants. As of December 31, 2013, approximately 58% of our full service accumulation account values were managed by our Principal Global Investors segment. Third-party asset managers provide asset management services with respect to the remaining assets.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Markets and Distribution</w:t>
      </w:r>
    </w:p>
    <w:p>
      <w:pPr>
        <w:spacing w:after="0" w:line="225" w:lineRule="exact"/>
        <w:rPr>
          <w:sz w:val="20"/>
          <w:szCs w:val="20"/>
          <w:color w:val="auto"/>
        </w:rPr>
      </w:pPr>
    </w:p>
    <w:p>
      <w:pPr>
        <w:jc w:val="both"/>
        <w:ind w:firstLine="352"/>
        <w:spacing w:after="0" w:line="291" w:lineRule="auto"/>
        <w:rPr>
          <w:sz w:val="20"/>
          <w:szCs w:val="20"/>
          <w:color w:val="auto"/>
        </w:rPr>
      </w:pPr>
      <w:r>
        <w:rPr>
          <w:rFonts w:ascii="Arial" w:cs="Arial" w:eastAsia="Arial" w:hAnsi="Arial"/>
          <w:sz w:val="16"/>
          <w:szCs w:val="16"/>
          <w:color w:val="auto"/>
        </w:rPr>
        <w:t>We offer our full service accumulation products and services to employer-sponsored pension plans, including qualified and nonqualified defined contribution plans and defined benefit plans. Our primary target market is plans sponsored by small and medium-sized businesses, which we believe remains under-penetrated. According to Spectrem Group, in 2012, only 22% of businesses with between 10 and 49 employees, 52% of businesses with between 50 and 99 employees, 54% of businesses with between 100 and 249 employees and 72% of businesses with between 250 and 500 employees offered a 401(k) plan. The same study indicates that 75% of employers with between 500 and 1,000 employees, 82% of employers with between 1,000 and 5,000 employees and 83% of employers with 5,000 or more employees offered a 401(k) plan in 2012.</w:t>
      </w:r>
    </w:p>
    <w:p>
      <w:pPr>
        <w:spacing w:after="0" w:line="174" w:lineRule="exact"/>
        <w:rPr>
          <w:sz w:val="20"/>
          <w:szCs w:val="20"/>
          <w:color w:val="auto"/>
        </w:rPr>
      </w:pPr>
    </w:p>
    <w:p>
      <w:pPr>
        <w:jc w:val="both"/>
        <w:ind w:firstLine="367"/>
        <w:spacing w:after="0" w:line="255" w:lineRule="auto"/>
        <w:rPr>
          <w:sz w:val="20"/>
          <w:szCs w:val="20"/>
          <w:color w:val="auto"/>
        </w:rPr>
      </w:pPr>
      <w:r>
        <w:rPr>
          <w:rFonts w:ascii="Arial" w:cs="Arial" w:eastAsia="Arial" w:hAnsi="Arial"/>
          <w:sz w:val="18"/>
          <w:szCs w:val="18"/>
          <w:color w:val="auto"/>
        </w:rPr>
        <w:t>We distribute our full service accumulation products and services nationally, primarily through a captive retirement services sales force. As of December 31, 2013, 117 retirement services sales representatives in 42 offices, operating as a wholesale distribution network, maintained relationships with over 13,500 independent brokers, consultants and agents. Retirement services sales representatives are an integral part of the sales process alongside the referring consultant or independent broker. We compensate retirement services sales representatives through a blend of salary and production-based incentives, while we pay independent brokers, consultants and agents a commission or fee.</w:t>
      </w:r>
    </w:p>
    <w:p>
      <w:pPr>
        <w:spacing w:after="0" w:line="197" w:lineRule="exact"/>
        <w:rPr>
          <w:sz w:val="20"/>
          <w:szCs w:val="20"/>
          <w:color w:val="auto"/>
        </w:rPr>
      </w:pPr>
    </w:p>
    <w:p>
      <w:pPr>
        <w:jc w:val="both"/>
        <w:ind w:firstLine="344"/>
        <w:spacing w:after="0" w:line="256" w:lineRule="auto"/>
        <w:rPr>
          <w:sz w:val="20"/>
          <w:szCs w:val="20"/>
          <w:color w:val="auto"/>
        </w:rPr>
      </w:pPr>
      <w:r>
        <w:rPr>
          <w:rFonts w:ascii="Arial" w:cs="Arial" w:eastAsia="Arial" w:hAnsi="Arial"/>
          <w:sz w:val="18"/>
          <w:szCs w:val="18"/>
          <w:color w:val="auto"/>
        </w:rPr>
        <w:t>As of December 31, 2013, we had a separate staff of over 280 service and education specialists located in the sales offices who play a key role in the ongoing servicing of pension plans by providing local services to our customers, such as reviewing plan performance, investment options and plan design; communicating the customers' needs and feedback to us and helping employees understand the benefits of their pension plans. The following summarizes our distribution channels:</w:t>
      </w:r>
    </w:p>
    <w:p>
      <w:pPr>
        <w:spacing w:after="0" w:line="211" w:lineRule="exact"/>
        <w:rPr>
          <w:sz w:val="20"/>
          <w:szCs w:val="20"/>
          <w:color w:val="auto"/>
        </w:rPr>
      </w:pPr>
    </w:p>
    <w:p>
      <w:pPr>
        <w:ind w:left="1080" w:hanging="532"/>
        <w:spacing w:after="0"/>
        <w:tabs>
          <w:tab w:leader="none" w:pos="1080" w:val="left"/>
        </w:tabs>
        <w:numPr>
          <w:ilvl w:val="0"/>
          <w:numId w:val="6"/>
        </w:numPr>
        <w:rPr>
          <w:rFonts w:ascii="Arial" w:cs="Arial" w:eastAsia="Arial" w:hAnsi="Arial"/>
          <w:sz w:val="16"/>
          <w:szCs w:val="16"/>
          <w:color w:val="auto"/>
        </w:rPr>
      </w:pPr>
      <w:r>
        <w:rPr>
          <w:rFonts w:ascii="Arial" w:cs="Arial" w:eastAsia="Arial" w:hAnsi="Arial"/>
          <w:sz w:val="16"/>
          <w:szCs w:val="16"/>
          <w:color w:val="auto"/>
        </w:rPr>
        <w:t>We distribute our annuity-based products through sales representatives, agents and brokers who are primarily state licensed individuals.</w:t>
      </w:r>
    </w:p>
    <w:p>
      <w:pPr>
        <w:spacing w:after="0" w:line="275" w:lineRule="exact"/>
        <w:rPr>
          <w:rFonts w:ascii="Arial" w:cs="Arial" w:eastAsia="Arial" w:hAnsi="Arial"/>
          <w:sz w:val="16"/>
          <w:szCs w:val="16"/>
          <w:color w:val="auto"/>
        </w:rPr>
      </w:pPr>
    </w:p>
    <w:p>
      <w:pPr>
        <w:jc w:val="both"/>
        <w:ind w:left="1080" w:hanging="532"/>
        <w:spacing w:after="0" w:line="306" w:lineRule="auto"/>
        <w:tabs>
          <w:tab w:leader="none" w:pos="1080" w:val="left"/>
        </w:tabs>
        <w:numPr>
          <w:ilvl w:val="0"/>
          <w:numId w:val="6"/>
        </w:numPr>
        <w:rPr>
          <w:rFonts w:ascii="Arial" w:cs="Arial" w:eastAsia="Arial" w:hAnsi="Arial"/>
          <w:sz w:val="16"/>
          <w:szCs w:val="16"/>
          <w:color w:val="auto"/>
        </w:rPr>
      </w:pPr>
      <w:r>
        <w:rPr>
          <w:rFonts w:ascii="Arial" w:cs="Arial" w:eastAsia="Arial" w:hAnsi="Arial"/>
          <w:sz w:val="16"/>
          <w:szCs w:val="16"/>
          <w:color w:val="auto"/>
        </w:rPr>
        <w:t>Principal Advantage, our mutual fund-based product, is targeted at defined contribution plans through broker-dealer distribution channels. Principal Advantage gives us access to Financial Industry Regulatory Authority-registered distributors who are not traditional sellers of annuity-based products and broadens opportunities for us in the investment advisor and broker-dealer distribution channels.</w:t>
      </w:r>
    </w:p>
    <w:p>
      <w:pPr>
        <w:spacing w:after="0" w:line="174" w:lineRule="exact"/>
        <w:rPr>
          <w:rFonts w:ascii="Arial" w:cs="Arial" w:eastAsia="Arial" w:hAnsi="Arial"/>
          <w:sz w:val="16"/>
          <w:szCs w:val="16"/>
          <w:color w:val="auto"/>
        </w:rPr>
      </w:pPr>
    </w:p>
    <w:p>
      <w:pPr>
        <w:jc w:val="both"/>
        <w:ind w:left="1080" w:hanging="532"/>
        <w:spacing w:after="0" w:line="256"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Principal Retirement Income Edge® is designed to create a coordinated experience from accumulation to income management for advisors to use with their individual clients and plan participants who are nearing or enjoying retirement. The Principal Retirement Income Edge® program provides education and planning tools as well as a wide variety of products such as annuities, mutual funds and bank products to provide personalized income management solutions.</w:t>
      </w:r>
    </w:p>
    <w:p>
      <w:pPr>
        <w:spacing w:after="0" w:line="210"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Through our Retire Secure strategy we provide financial education and assistance to individual investors who are participants/members of employer-based accumulation solutions to help them achieve financial security.</w:t>
      </w:r>
    </w:p>
    <w:p>
      <w:pPr>
        <w:spacing w:after="0" w:line="186" w:lineRule="exact"/>
        <w:rPr>
          <w:sz w:val="20"/>
          <w:szCs w:val="20"/>
          <w:color w:val="auto"/>
        </w:rPr>
      </w:pPr>
    </w:p>
    <w:p>
      <w:pPr>
        <w:ind w:right="20" w:firstLine="351"/>
        <w:spacing w:after="0" w:line="332" w:lineRule="auto"/>
        <w:rPr>
          <w:sz w:val="20"/>
          <w:szCs w:val="20"/>
          <w:color w:val="auto"/>
        </w:rPr>
      </w:pPr>
      <w:r>
        <w:rPr>
          <w:rFonts w:ascii="Arial" w:cs="Arial" w:eastAsia="Arial" w:hAnsi="Arial"/>
          <w:sz w:val="16"/>
          <w:szCs w:val="16"/>
          <w:color w:val="auto"/>
        </w:rPr>
        <w:t>We believe our approach to full service accumulation plan services distribution gives us a local sales and service presence that differentiates us from many of our competitors. We have also established a number of marketing and distribution relationships to increase the sales of our accumulation products.</w:t>
      </w:r>
    </w:p>
    <w:p>
      <w:pPr>
        <w:spacing w:after="0" w:line="1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Principal Funds</w:t>
      </w:r>
    </w:p>
    <w:p>
      <w:pPr>
        <w:spacing w:after="0" w:line="225" w:lineRule="exact"/>
        <w:rPr>
          <w:sz w:val="20"/>
          <w:szCs w:val="20"/>
          <w:color w:val="auto"/>
        </w:rPr>
      </w:pPr>
    </w:p>
    <w:p>
      <w:pPr>
        <w:jc w:val="both"/>
        <w:ind w:right="20" w:firstLine="420"/>
        <w:spacing w:after="0" w:line="332" w:lineRule="auto"/>
        <w:rPr>
          <w:sz w:val="20"/>
          <w:szCs w:val="20"/>
          <w:color w:val="auto"/>
        </w:rPr>
      </w:pPr>
      <w:r>
        <w:rPr>
          <w:rFonts w:ascii="Arial" w:cs="Arial" w:eastAsia="Arial" w:hAnsi="Arial"/>
          <w:sz w:val="16"/>
          <w:szCs w:val="16"/>
          <w:color w:val="auto"/>
        </w:rPr>
        <w:t>We have been providing mutual funds to customers since 1969. We offer mutual funds to individuals, businesses and institutional investors for use within variable life and variable annuity contracts, for use in employer-sponsored pension plans, as a rollover investment option, and for general investment purposes.</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Products and Services</w:t>
      </w:r>
    </w:p>
    <w:p>
      <w:pPr>
        <w:spacing w:after="0" w:line="225" w:lineRule="exact"/>
        <w:rPr>
          <w:sz w:val="20"/>
          <w:szCs w:val="20"/>
          <w:color w:val="auto"/>
        </w:rPr>
      </w:pPr>
    </w:p>
    <w:p>
      <w:pPr>
        <w:jc w:val="both"/>
        <w:ind w:firstLine="479"/>
        <w:spacing w:after="0" w:line="223" w:lineRule="auto"/>
        <w:rPr>
          <w:sz w:val="20"/>
          <w:szCs w:val="20"/>
          <w:color w:val="auto"/>
        </w:rPr>
      </w:pPr>
      <w:r>
        <w:rPr>
          <w:rFonts w:ascii="Arial" w:cs="Arial" w:eastAsia="Arial" w:hAnsi="Arial"/>
          <w:sz w:val="18"/>
          <w:szCs w:val="18"/>
          <w:color w:val="auto"/>
        </w:rPr>
        <w:t>Principal Funds plans to grow into a top advisor sold mutual fund company with a sales force focused on multiple channels. As of December 2013, as reported by the Strategic Insight, we are ranked 17</w:t>
      </w:r>
      <w:r>
        <w:rPr>
          <w:rFonts w:ascii="Arial" w:cs="Arial" w:eastAsia="Arial" w:hAnsi="Arial"/>
          <w:sz w:val="29"/>
          <w:szCs w:val="29"/>
          <w:color w:val="auto"/>
          <w:vertAlign w:val="superscript"/>
        </w:rPr>
        <w:t>th</w:t>
      </w:r>
      <w:r>
        <w:rPr>
          <w:rFonts w:ascii="Arial" w:cs="Arial" w:eastAsia="Arial" w:hAnsi="Arial"/>
          <w:sz w:val="18"/>
          <w:szCs w:val="18"/>
          <w:color w:val="auto"/>
        </w:rPr>
        <w:t xml:space="preserve"> according to AUM (long term funds) of the top 50 intermediary sold mutual funds. We provide accounting, compliance, corporate governance and product development for all mutual funds we organize.</w:t>
      </w:r>
    </w:p>
    <w:p>
      <w:pPr>
        <w:spacing w:after="0" w:line="210" w:lineRule="exact"/>
        <w:rPr>
          <w:sz w:val="20"/>
          <w:szCs w:val="20"/>
          <w:color w:val="auto"/>
        </w:rPr>
      </w:pPr>
    </w:p>
    <w:p>
      <w:pPr>
        <w:jc w:val="both"/>
        <w:ind w:firstLine="373"/>
        <w:spacing w:after="0" w:line="291" w:lineRule="auto"/>
        <w:rPr>
          <w:sz w:val="20"/>
          <w:szCs w:val="20"/>
          <w:color w:val="auto"/>
        </w:rPr>
      </w:pPr>
      <w:r>
        <w:rPr>
          <w:rFonts w:ascii="Arial" w:cs="Arial" w:eastAsia="Arial" w:hAnsi="Arial"/>
          <w:sz w:val="16"/>
          <w:szCs w:val="16"/>
          <w:b w:val="1"/>
          <w:bCs w:val="1"/>
          <w:i w:val="1"/>
          <w:iCs w:val="1"/>
          <w:color w:val="auto"/>
        </w:rPr>
        <w:t xml:space="preserve">Principal Funds, Inc. </w:t>
      </w:r>
      <w:r>
        <w:rPr>
          <w:rFonts w:ascii="Arial" w:cs="Arial" w:eastAsia="Arial" w:hAnsi="Arial"/>
          <w:sz w:val="16"/>
          <w:szCs w:val="16"/>
          <w:color w:val="auto"/>
        </w:rPr>
        <w:t>PFI is a series mutual fund that, as of December 31, 2013, offered 65 investment options. This fund's five R share classes act as the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funding vehicles for Principal Advantage, the defined contribution product described above under "Retirement and Investor Services Segment-Full Service Accumulation-Products." This fund also offers three classes of shares to individuals. One of these three share classes is for IRA rollovers (J shares) and two are for general investment purposes (A and C shares). PFI offers two additional classes of shares: (1) I shares, which are offered primarily to specified institutional investors, and (2) P shares, which are used primarily in adviser fee-based programs. As of December 31, 2013, the fund held $101.5 billion of AUM. We report the results for this fund in "Full Service Accumulation" or "Principal Funds" based on the distribution channel associated with the AUM.</w:t>
      </w:r>
    </w:p>
    <w:p>
      <w:pPr>
        <w:spacing w:after="0" w:line="174" w:lineRule="exact"/>
        <w:rPr>
          <w:sz w:val="20"/>
          <w:szCs w:val="20"/>
          <w:color w:val="auto"/>
        </w:rPr>
      </w:pPr>
    </w:p>
    <w:p>
      <w:pPr>
        <w:jc w:val="both"/>
        <w:ind w:firstLine="450"/>
        <w:spacing w:after="0" w:line="255" w:lineRule="auto"/>
        <w:rPr>
          <w:sz w:val="20"/>
          <w:szCs w:val="20"/>
          <w:color w:val="auto"/>
        </w:rPr>
      </w:pPr>
      <w:r>
        <w:rPr>
          <w:rFonts w:ascii="Arial" w:cs="Arial" w:eastAsia="Arial" w:hAnsi="Arial"/>
          <w:sz w:val="18"/>
          <w:szCs w:val="18"/>
          <w:b w:val="1"/>
          <w:bCs w:val="1"/>
          <w:i w:val="1"/>
          <w:iCs w:val="1"/>
          <w:color w:val="auto"/>
        </w:rPr>
        <w:t xml:space="preserve">Principal Variable Contracts Funds, Inc. </w:t>
      </w:r>
      <w:r>
        <w:rPr>
          <w:rFonts w:ascii="Arial" w:cs="Arial" w:eastAsia="Arial" w:hAnsi="Arial"/>
          <w:sz w:val="18"/>
          <w:szCs w:val="18"/>
          <w:color w:val="auto"/>
        </w:rPr>
        <w:t>Principal Variable Contracts Funds, Inc. is a series mutual fund that, as of December 31, 2013, provided 39</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investment options for variable annuity and variable life insurance contracts issued by Principal Life Insurance Company ("Principal Life") and other insurance companies not affiliated with Principal Life. As of December 31, 2013, this fund had AUM of $7.4 billion. AUM backing Principal Life variable annuity contracts is reported in this segment under "Individual Annuities." AUM backing Principal Life variable life insurance contracts is reported in the U.S. Insurance Solutions segment.</w:t>
      </w:r>
    </w:p>
    <w:p>
      <w:pPr>
        <w:spacing w:after="0" w:line="197" w:lineRule="exact"/>
        <w:rPr>
          <w:sz w:val="20"/>
          <w:szCs w:val="20"/>
          <w:color w:val="auto"/>
        </w:rPr>
      </w:pPr>
    </w:p>
    <w:p>
      <w:pPr>
        <w:jc w:val="both"/>
        <w:ind w:firstLine="384"/>
        <w:spacing w:after="0" w:line="294" w:lineRule="auto"/>
        <w:rPr>
          <w:sz w:val="20"/>
          <w:szCs w:val="20"/>
          <w:color w:val="auto"/>
        </w:rPr>
      </w:pPr>
      <w:r>
        <w:rPr>
          <w:rFonts w:ascii="Arial" w:cs="Arial" w:eastAsia="Arial" w:hAnsi="Arial"/>
          <w:sz w:val="16"/>
          <w:szCs w:val="16"/>
          <w:b w:val="1"/>
          <w:bCs w:val="1"/>
          <w:i w:val="1"/>
          <w:iCs w:val="1"/>
          <w:color w:val="auto"/>
        </w:rPr>
        <w:t xml:space="preserve">Principal Managed Portfolio. </w:t>
      </w:r>
      <w:r>
        <w:rPr>
          <w:rFonts w:ascii="Arial" w:cs="Arial" w:eastAsia="Arial" w:hAnsi="Arial"/>
          <w:sz w:val="16"/>
          <w:szCs w:val="16"/>
          <w:color w:val="auto"/>
        </w:rPr>
        <w:t>Principal Managed Portfolio is an advisory product offered by one of our registered investment advisers, Princor Financial</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Services Corporation ("Princor"), which permits the client to invest primarily in mutual funds of Principal Funds, Inc. The other investments offered through the program are municipal bond funds comprising the fixed income component in the tax-sensitive non-qualified Model Portfolios and a limited number of mutual funds and Exchange Traded Funds ("ETFs") representing alternative asset classes and investment strategies. Clients are charged a quarterly asset-based fee on this product. As of December 31, 2013, Principal Managed Portfolio had accumulated $852.4 million in assets.</w:t>
      </w:r>
    </w:p>
    <w:p>
      <w:pPr>
        <w:spacing w:after="0" w:line="170"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b w:val="1"/>
          <w:bCs w:val="1"/>
          <w:i w:val="1"/>
          <w:iCs w:val="1"/>
          <w:color w:val="auto"/>
        </w:rPr>
        <w:t xml:space="preserve">Principal Advisory Select and Principal Dynamic Portfolios. </w:t>
      </w:r>
      <w:r>
        <w:rPr>
          <w:rFonts w:ascii="Arial" w:cs="Arial" w:eastAsia="Arial" w:hAnsi="Arial"/>
          <w:sz w:val="18"/>
          <w:szCs w:val="18"/>
          <w:color w:val="auto"/>
        </w:rPr>
        <w:t>These are advisory products offered by one of our registered investment advisors, Princor,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which permits the client to invest in a broad array of investments. Clients are charged a quarterly asset-based fee on these products. As of December 31, 2013, these products had accumulated $2.6 billion in assets.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Markets and Distribution</w:t>
      </w:r>
    </w:p>
    <w:p>
      <w:pPr>
        <w:spacing w:after="0" w:line="225" w:lineRule="exact"/>
        <w:rPr>
          <w:sz w:val="20"/>
          <w:szCs w:val="20"/>
          <w:color w:val="auto"/>
        </w:rPr>
      </w:pPr>
    </w:p>
    <w:p>
      <w:pPr>
        <w:jc w:val="both"/>
        <w:ind w:firstLine="373"/>
        <w:spacing w:after="0" w:line="259" w:lineRule="auto"/>
        <w:rPr>
          <w:sz w:val="20"/>
          <w:szCs w:val="20"/>
          <w:color w:val="auto"/>
        </w:rPr>
      </w:pPr>
      <w:r>
        <w:rPr>
          <w:rFonts w:ascii="Arial" w:cs="Arial" w:eastAsia="Arial" w:hAnsi="Arial"/>
          <w:sz w:val="18"/>
          <w:szCs w:val="18"/>
          <w:color w:val="auto"/>
        </w:rPr>
        <w:t>Our markets for PFI's retail share classes are individuals seeking to accumulate savings for retirement and other purposes, as well as nonqualified individual savings plans utilizing payroll deductions. We also market PFI's retail share classes to participants in pension plans who are departing their plans and reinvesting their retirement assets into individual retirement accounts.</w:t>
      </w:r>
    </w:p>
    <w:p>
      <w:pPr>
        <w:spacing w:after="0" w:line="194" w:lineRule="exact"/>
        <w:rPr>
          <w:sz w:val="20"/>
          <w:szCs w:val="20"/>
          <w:color w:val="auto"/>
        </w:rPr>
      </w:pPr>
    </w:p>
    <w:p>
      <w:pPr>
        <w:jc w:val="both"/>
        <w:ind w:firstLine="425"/>
        <w:spacing w:after="0" w:line="254" w:lineRule="auto"/>
        <w:rPr>
          <w:sz w:val="20"/>
          <w:szCs w:val="20"/>
          <w:color w:val="auto"/>
        </w:rPr>
      </w:pPr>
      <w:r>
        <w:rPr>
          <w:rFonts w:ascii="Arial" w:cs="Arial" w:eastAsia="Arial" w:hAnsi="Arial"/>
          <w:sz w:val="18"/>
          <w:szCs w:val="18"/>
          <w:color w:val="auto"/>
        </w:rPr>
        <w:t>We sell PFI's share classes primarily through registered representatives from other broker-dealers; affiliated financial representatives; independent brokers registered with our securities broker-dealer, Princor; direct deposits from our employees and others and Principal Connection. As of December 31, 2013, 62 retail sales representatives across the United States, operating as a wholesale distribution network, maintained relationships with over 50,000 independent brokers, consultants and agents. Principal Connection is our direct response distribution channel for retail financial services products to individuals. Principal Connection's services are available over the phone, on the Internet or by mail. Princor recruits, trains and supervises registered representatives selling our products through Principal Connection.</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Individual Annuities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Individual annuities offer a tax-deferred means of accumulating retirement savings, as well as a tax-efficient source of income during the payout period.</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Products</w:t>
      </w:r>
    </w:p>
    <w:p>
      <w:pPr>
        <w:spacing w:after="0" w:line="225" w:lineRule="exact"/>
        <w:rPr>
          <w:sz w:val="20"/>
          <w:szCs w:val="20"/>
          <w:color w:val="auto"/>
        </w:rPr>
      </w:pPr>
    </w:p>
    <w:p>
      <w:pPr>
        <w:jc w:val="both"/>
        <w:ind w:firstLine="358"/>
        <w:spacing w:after="0" w:line="259" w:lineRule="auto"/>
        <w:rPr>
          <w:sz w:val="20"/>
          <w:szCs w:val="20"/>
          <w:color w:val="auto"/>
        </w:rPr>
      </w:pPr>
      <w:r>
        <w:rPr>
          <w:rFonts w:ascii="Arial" w:cs="Arial" w:eastAsia="Arial" w:hAnsi="Arial"/>
          <w:sz w:val="18"/>
          <w:szCs w:val="18"/>
          <w:color w:val="auto"/>
        </w:rPr>
        <w:t>We offer both fixed and variable annuities to individuals and pension plans. Individual annuities may be categorized in two ways: (1) deferred, in which case assets accumulate until the contract is surrendered, the customer dies or the customer begins receiving benefits under an annuity payout option, or (2) payout, in which case payments are made for a fixed period of time or for life.</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firstLine="513"/>
        <w:spacing w:after="0" w:line="310" w:lineRule="auto"/>
        <w:rPr>
          <w:sz w:val="20"/>
          <w:szCs w:val="20"/>
          <w:color w:val="auto"/>
        </w:rPr>
      </w:pPr>
      <w:r>
        <w:rPr>
          <w:rFonts w:ascii="Arial" w:cs="Arial" w:eastAsia="Arial" w:hAnsi="Arial"/>
          <w:sz w:val="15"/>
          <w:szCs w:val="15"/>
          <w:b w:val="1"/>
          <w:bCs w:val="1"/>
          <w:i w:val="1"/>
          <w:iCs w:val="1"/>
          <w:color w:val="auto"/>
        </w:rPr>
        <w:t xml:space="preserve">Fixed Deferred Annuities. </w:t>
      </w:r>
      <w:r>
        <w:rPr>
          <w:rFonts w:ascii="Arial" w:cs="Arial" w:eastAsia="Arial" w:hAnsi="Arial"/>
          <w:sz w:val="15"/>
          <w:szCs w:val="15"/>
          <w:color w:val="auto"/>
        </w:rPr>
        <w:t>Our individual fixed deferred annuities consist of both single premium deferred annuity contracts and flexible premium</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deferred annuity contracts ("FPDAs"). Some FPDA contracts limit the period of time deposits are allowed (e.g., only one year). For most contracts, the principal amount is guaranteed. We credit the customer's account with a fixed interest rate for a specified number of years. Thereafter, we reset, typically annually, the interest rate credited to the contract based upon our discretion, subject to contractual minimums, by taking into account market and other conditions. We also offer a fixed deferred annuity where the interest credited is linked to an external equity index, subject to maximum and minimum values. Our major source of income from fixed deferred annuities is the spread between the investment income earned on the underlying general account assets and the interest rate credited to the contracts. We bear the investment risk because, while we credit customers' accounts with a stated interest rate, we cannot be certain the investment income we earn on our general account assets will exceed that rate. The Principal Global Investors segment manages the assets supporting these contracts.</w:t>
      </w:r>
    </w:p>
    <w:p>
      <w:pPr>
        <w:spacing w:after="0" w:line="162" w:lineRule="exact"/>
        <w:rPr>
          <w:sz w:val="20"/>
          <w:szCs w:val="20"/>
          <w:color w:val="auto"/>
        </w:rPr>
      </w:pPr>
    </w:p>
    <w:p>
      <w:pPr>
        <w:jc w:val="both"/>
        <w:ind w:firstLine="481"/>
        <w:spacing w:after="0" w:line="286" w:lineRule="auto"/>
        <w:rPr>
          <w:sz w:val="20"/>
          <w:szCs w:val="20"/>
          <w:color w:val="auto"/>
        </w:rPr>
      </w:pPr>
      <w:r>
        <w:rPr>
          <w:rFonts w:ascii="Arial" w:cs="Arial" w:eastAsia="Arial" w:hAnsi="Arial"/>
          <w:sz w:val="16"/>
          <w:szCs w:val="16"/>
          <w:b w:val="1"/>
          <w:bCs w:val="1"/>
          <w:i w:val="1"/>
          <w:iCs w:val="1"/>
          <w:color w:val="auto"/>
        </w:rPr>
        <w:t xml:space="preserve">Variable Deferred Annuities. </w:t>
      </w:r>
      <w:r>
        <w:rPr>
          <w:rFonts w:ascii="Arial" w:cs="Arial" w:eastAsia="Arial" w:hAnsi="Arial"/>
          <w:sz w:val="16"/>
          <w:szCs w:val="16"/>
          <w:color w:val="auto"/>
        </w:rPr>
        <w:t>Individual variable deferred annuities are savings vehicles through which the customer makes one or more deposits of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varying amounts and intervals. Customers have the flexibility to allocate their deposits to mutual funds managed by the Principal Global Investors segment or unaffiliated third-party asset managers. As of December 31, 2013, 87% of our $8.1 billion in variable annuity account balances was allocated to mutual funds and our general account, which are managed by the Principal Global Investors segment and 13% was allocated to mutual funds managed by unaffiliated third-party asset managers. Generally speaking, the customers bear the investment risk and have the right to allocate their assets among various separate mutual funds. The value of the annuity fluctuates in accordance with the experience of the mutual funds chosen by the customer. Customers have the option to allocate all or a portion of their account to our general account, in which case we credit interest at rates we determine, subject to contractual minimums. Customers may elect a living benefit guarantee (commonly known in the industry as a guaranteed minimum withdrawal benefit, or "GMWB"). We bear the GMWB investment risk. Our goal is to hedge the GMWB investment risk through the use of sophisticated risk management techniques. As of December 31, 2013, $4.8 billion of the $8.1 billion of variable annuity account value had the GMWB rider. Our major source of revenue from variable annuities is mortality and expense fees we charge to the customer, generally determined as a percentage of the market value of the assets held in a separate investment sub-account. Account balances of variable annuity contracts with the GMWB rider were invested in separate account investment options as follows:</w:t>
      </w:r>
    </w:p>
    <w:p>
      <w:pPr>
        <w:spacing w:after="0" w:line="17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400" w:type="dxa"/>
            <w:vAlign w:val="bottom"/>
          </w:tcPr>
          <w:p>
            <w:pPr>
              <w:spacing w:after="0"/>
              <w:rPr>
                <w:sz w:val="14"/>
                <w:szCs w:val="14"/>
                <w:color w:val="auto"/>
              </w:rPr>
            </w:pPr>
          </w:p>
        </w:tc>
        <w:tc>
          <w:tcPr>
            <w:tcW w:w="18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2013</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2012</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400" w:type="dxa"/>
            <w:vAlign w:val="bottom"/>
          </w:tcPr>
          <w:p>
            <w:pPr>
              <w:spacing w:after="0"/>
              <w:rPr>
                <w:sz w:val="12"/>
                <w:szCs w:val="12"/>
                <w:color w:val="auto"/>
              </w:rPr>
            </w:pPr>
          </w:p>
        </w:tc>
        <w:tc>
          <w:tcPr>
            <w:tcW w:w="18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ind w:right="5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1420" w:type="dxa"/>
            <w:vAlign w:val="bottom"/>
            <w:gridSpan w:val="4"/>
          </w:tcPr>
          <w:p>
            <w:pPr>
              <w:jc w:val="right"/>
              <w:ind w:right="952"/>
              <w:spacing w:after="0"/>
              <w:rPr>
                <w:sz w:val="20"/>
                <w:szCs w:val="20"/>
                <w:color w:val="auto"/>
              </w:rPr>
            </w:pPr>
            <w:r>
              <w:rPr>
                <w:rFonts w:ascii="Arial" w:cs="Arial" w:eastAsia="Arial" w:hAnsi="Arial"/>
                <w:sz w:val="12"/>
                <w:szCs w:val="12"/>
                <w:b w:val="1"/>
                <w:bCs w:val="1"/>
                <w:i w:val="1"/>
                <w:iCs w:val="1"/>
                <w:color w:val="auto"/>
                <w:w w:val="76"/>
              </w:rPr>
              <w:t>millions)</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Equity funds</w:t>
            </w:r>
          </w:p>
        </w:tc>
        <w:tc>
          <w:tcPr>
            <w:tcW w:w="194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469.6</w:t>
            </w:r>
          </w:p>
        </w:tc>
        <w:tc>
          <w:tcPr>
            <w:tcW w:w="140" w:type="dxa"/>
            <w:vAlign w:val="bottom"/>
            <w:shd w:val="clear" w:color="auto" w:fill="CCEEFF"/>
          </w:tcPr>
          <w:p>
            <w:pPr>
              <w:spacing w:after="0"/>
              <w:rPr>
                <w:sz w:val="12"/>
                <w:szCs w:val="12"/>
                <w:color w:val="auto"/>
              </w:rPr>
            </w:pPr>
          </w:p>
        </w:tc>
        <w:tc>
          <w:tcPr>
            <w:tcW w:w="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482.5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00" w:type="dxa"/>
            <w:vAlign w:val="bottom"/>
          </w:tcPr>
          <w:p>
            <w:pPr>
              <w:spacing w:after="0" w:line="149" w:lineRule="exact"/>
              <w:rPr>
                <w:sz w:val="20"/>
                <w:szCs w:val="20"/>
                <w:color w:val="auto"/>
              </w:rPr>
            </w:pPr>
            <w:r>
              <w:rPr>
                <w:rFonts w:ascii="Arial" w:cs="Arial" w:eastAsia="Arial" w:hAnsi="Arial"/>
                <w:sz w:val="14"/>
                <w:szCs w:val="14"/>
                <w:color w:val="auto"/>
              </w:rPr>
              <w:t>Bond funds</w:t>
            </w:r>
          </w:p>
        </w:tc>
        <w:tc>
          <w:tcPr>
            <w:tcW w:w="18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256.9</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266.1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Balanced funds</w:t>
            </w:r>
          </w:p>
        </w:tc>
        <w:tc>
          <w:tcPr>
            <w:tcW w:w="18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4,077.2</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2,782.7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00" w:type="dxa"/>
            <w:vAlign w:val="bottom"/>
          </w:tcPr>
          <w:p>
            <w:pPr>
              <w:spacing w:after="0" w:line="149" w:lineRule="exact"/>
              <w:rPr>
                <w:sz w:val="20"/>
                <w:szCs w:val="20"/>
                <w:color w:val="auto"/>
              </w:rPr>
            </w:pPr>
            <w:r>
              <w:rPr>
                <w:rFonts w:ascii="Arial" w:cs="Arial" w:eastAsia="Arial" w:hAnsi="Arial"/>
                <w:sz w:val="14"/>
                <w:szCs w:val="14"/>
                <w:color w:val="auto"/>
              </w:rPr>
              <w:t>Money market funds</w:t>
            </w:r>
          </w:p>
        </w:tc>
        <w:tc>
          <w:tcPr>
            <w:tcW w:w="18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8.0</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7.3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40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w:t>
            </w:r>
          </w:p>
        </w:tc>
        <w:tc>
          <w:tcPr>
            <w:tcW w:w="194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4,811.7</w:t>
            </w:r>
          </w:p>
        </w:tc>
        <w:tc>
          <w:tcPr>
            <w:tcW w:w="140" w:type="dxa"/>
            <w:vAlign w:val="bottom"/>
            <w:shd w:val="clear" w:color="auto" w:fill="CCEEFF"/>
          </w:tcPr>
          <w:p>
            <w:pPr>
              <w:spacing w:after="0"/>
              <w:rPr>
                <w:sz w:val="12"/>
                <w:szCs w:val="12"/>
                <w:color w:val="auto"/>
              </w:rPr>
            </w:pPr>
          </w:p>
        </w:tc>
        <w:tc>
          <w:tcPr>
            <w:tcW w:w="8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3,538.6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420" w:type="dxa"/>
            <w:vAlign w:val="bottom"/>
            <w:gridSpan w:val="2"/>
            <w:vMerge w:val="restart"/>
          </w:tcPr>
          <w:p>
            <w:pPr>
              <w:spacing w:after="0"/>
              <w:rPr>
                <w:sz w:val="20"/>
                <w:szCs w:val="20"/>
                <w:color w:val="auto"/>
              </w:rPr>
            </w:pPr>
            <w:r>
              <w:rPr>
                <w:rFonts w:ascii="Arial" w:cs="Arial" w:eastAsia="Arial" w:hAnsi="Arial"/>
                <w:sz w:val="14"/>
                <w:szCs w:val="14"/>
                <w:color w:val="auto"/>
              </w:rPr>
              <w:t>Percent of total variable annuity account values</w:t>
            </w:r>
          </w:p>
        </w:tc>
        <w:tc>
          <w:tcPr>
            <w:tcW w:w="18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4420" w:type="dxa"/>
            <w:vAlign w:val="bottom"/>
            <w:gridSpan w:val="2"/>
            <w:vMerge w:val="continue"/>
          </w:tcPr>
          <w:p>
            <w:pPr>
              <w:spacing w:after="0"/>
              <w:rPr>
                <w:sz w:val="11"/>
                <w:szCs w:val="11"/>
                <w:color w:val="auto"/>
              </w:rPr>
            </w:pPr>
          </w:p>
        </w:tc>
        <w:tc>
          <w:tcPr>
            <w:tcW w:w="18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4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rPr>
              <w:t>59%</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360" w:type="dxa"/>
            <w:vAlign w:val="bottom"/>
            <w:gridSpan w:val="2"/>
          </w:tcPr>
          <w:p>
            <w:pPr>
              <w:jc w:val="right"/>
              <w:ind w:right="60"/>
              <w:spacing w:after="0" w:line="129" w:lineRule="exact"/>
              <w:rPr>
                <w:sz w:val="20"/>
                <w:szCs w:val="20"/>
                <w:color w:val="auto"/>
              </w:rPr>
            </w:pPr>
            <w:r>
              <w:rPr>
                <w:rFonts w:ascii="Arial" w:cs="Arial" w:eastAsia="Arial" w:hAnsi="Arial"/>
                <w:sz w:val="14"/>
                <w:szCs w:val="14"/>
                <w:color w:val="auto"/>
              </w:rPr>
              <w:t>55%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0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firstLine="427"/>
        <w:spacing w:after="0" w:line="289" w:lineRule="auto"/>
        <w:rPr>
          <w:sz w:val="20"/>
          <w:szCs w:val="20"/>
          <w:color w:val="auto"/>
        </w:rPr>
      </w:pPr>
      <w:r>
        <w:rPr>
          <w:rFonts w:ascii="Arial" w:cs="Arial" w:eastAsia="Arial" w:hAnsi="Arial"/>
          <w:sz w:val="16"/>
          <w:szCs w:val="16"/>
          <w:b w:val="1"/>
          <w:bCs w:val="1"/>
          <w:i w:val="1"/>
          <w:iCs w:val="1"/>
          <w:color w:val="auto"/>
        </w:rPr>
        <w:t xml:space="preserve">Fixed Income Annuities. </w:t>
      </w:r>
      <w:r>
        <w:rPr>
          <w:rFonts w:ascii="Arial" w:cs="Arial" w:eastAsia="Arial" w:hAnsi="Arial"/>
          <w:sz w:val="16"/>
          <w:szCs w:val="16"/>
          <w:color w:val="auto"/>
        </w:rPr>
        <w:t>Our individual fixed income annuities consist of single premium immediate annuity contracts ("SPIAs") and deferred income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annuity contracts ("DIAs"). SPIAs and DIAs are products where the customer pays a premium in return for periodic benefit payments. SPIA payments begin immediately and DIA payments begin after a deferral period, during which a return-of-premium death benefit is included. Payments may be contingent upon the survival of one or two individuals or payments may be fixed, meaning payments are contractually guaranteed and do not depend on the continuing survival of any individual. Our major source of income from fixed immediate annuities is the spread between the investment income earned on the underlying general account assets and the interest rate implied in the calculation of annuity benefit payments. We bear the investment risk because we cannot be certain the investment income we earn on our general account assets will exceed the rate implied in the SPIA and DIA contracts. The Principal Global Investors segment manages the assets supporting these contracts.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Markets and Distribution</w:t>
      </w:r>
    </w:p>
    <w:p>
      <w:pPr>
        <w:spacing w:after="0" w:line="225" w:lineRule="exact"/>
        <w:rPr>
          <w:sz w:val="20"/>
          <w:szCs w:val="20"/>
          <w:color w:val="auto"/>
        </w:rPr>
      </w:pPr>
    </w:p>
    <w:p>
      <w:pPr>
        <w:jc w:val="both"/>
        <w:ind w:firstLine="471"/>
        <w:spacing w:after="0" w:line="259" w:lineRule="auto"/>
        <w:rPr>
          <w:sz w:val="20"/>
          <w:szCs w:val="20"/>
          <w:color w:val="auto"/>
        </w:rPr>
      </w:pPr>
      <w:r>
        <w:rPr>
          <w:rFonts w:ascii="Arial" w:cs="Arial" w:eastAsia="Arial" w:hAnsi="Arial"/>
          <w:sz w:val="18"/>
          <w:szCs w:val="18"/>
          <w:color w:val="auto"/>
        </w:rPr>
        <w:t>Our target markets for individual annuities include owners, executives and employees of small and medium-sized businesses and individuals seeking to accumulate and/or eventually receive distributions of assets for retirement. We market both fixed and variable annuities to individuals for both qualified and nonqualified retirement savings.</w:t>
      </w:r>
    </w:p>
    <w:p>
      <w:pPr>
        <w:spacing w:after="0" w:line="194" w:lineRule="exact"/>
        <w:rPr>
          <w:sz w:val="20"/>
          <w:szCs w:val="20"/>
          <w:color w:val="auto"/>
        </w:rPr>
      </w:pPr>
    </w:p>
    <w:p>
      <w:pPr>
        <w:jc w:val="both"/>
        <w:ind w:firstLine="372"/>
        <w:spacing w:after="0" w:line="255" w:lineRule="auto"/>
        <w:rPr>
          <w:sz w:val="20"/>
          <w:szCs w:val="20"/>
          <w:color w:val="auto"/>
        </w:rPr>
      </w:pPr>
      <w:r>
        <w:rPr>
          <w:rFonts w:ascii="Arial" w:cs="Arial" w:eastAsia="Arial" w:hAnsi="Arial"/>
          <w:sz w:val="18"/>
          <w:szCs w:val="18"/>
          <w:color w:val="auto"/>
        </w:rPr>
        <w:t>We sell our individual annuity products through our affiliated financial representatives, who accounted for 47%, 46% and 50% of annuity sales for the years ended December 31, 2013, 2012 and 2011, respectively. The remaining sales were made through banks, brokerage general agencies, mutual fund companies, Principal Connection and unaffiliated broker-dealer firms. Affiliated financial representatives continued to be the primary distribution channel of our variable deferred annuities. The majority of overall annuity sales, however, were from non-affiliated distribution channels, as a result of focused efforts to increase fixed annuity sales through non-affiliated distribution channels.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Bank and Trust Services</w:t>
      </w:r>
    </w:p>
    <w:p>
      <w:pPr>
        <w:spacing w:after="0" w:line="225" w:lineRule="exact"/>
        <w:rPr>
          <w:sz w:val="20"/>
          <w:szCs w:val="20"/>
          <w:color w:val="auto"/>
        </w:rPr>
      </w:pPr>
    </w:p>
    <w:p>
      <w:pPr>
        <w:ind w:right="20" w:firstLine="396"/>
        <w:spacing w:after="0" w:line="268" w:lineRule="auto"/>
        <w:rPr>
          <w:sz w:val="20"/>
          <w:szCs w:val="20"/>
          <w:color w:val="auto"/>
        </w:rPr>
      </w:pPr>
      <w:r>
        <w:rPr>
          <w:rFonts w:ascii="Arial" w:cs="Arial" w:eastAsia="Arial" w:hAnsi="Arial"/>
          <w:sz w:val="18"/>
          <w:szCs w:val="18"/>
          <w:color w:val="auto"/>
        </w:rPr>
        <w:t>Bank and trust services includes Principal Bank and Principal Trust Company. Principal Bank is a federal savings bank that began its activities in February 1998. As of December 31, 2013, Principal Bank had over 262,000 customers and</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294" w:lineRule="auto"/>
        <w:rPr>
          <w:sz w:val="20"/>
          <w:szCs w:val="20"/>
          <w:color w:val="auto"/>
        </w:rPr>
      </w:pPr>
      <w:r>
        <w:rPr>
          <w:rFonts w:ascii="Arial" w:cs="Arial" w:eastAsia="Arial" w:hAnsi="Arial"/>
          <w:sz w:val="16"/>
          <w:szCs w:val="16"/>
          <w:color w:val="auto"/>
        </w:rPr>
        <w:t>approximately $2.1 billion in assets. Principal Bank operates under a limited purpose charter and may only accept deposits held in a fiduciary capacity, and may not hold demand deposits or make commercial loans. Delaware Charter Guarantee &amp; Trust Company, dba Principal Trust Company, is a Delaware state-chartered non-deposit trust company that was chartered in 1899. It is one of the largest non-deposit trust companies in the U.S. As of December 31, 2013, we served as trustee or custodian to over 240,000 accounts, which held assets of approximately $150.0 billion. Principal Trust Company may not accept deposits and cannot make personal or commercial loans. The majority of the trust assets are affiliated and reported in "Full Service Accumulation" AUM.</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Products</w:t>
      </w:r>
    </w:p>
    <w:p>
      <w:pPr>
        <w:spacing w:after="0" w:line="225" w:lineRule="exact"/>
        <w:rPr>
          <w:sz w:val="20"/>
          <w:szCs w:val="20"/>
          <w:color w:val="auto"/>
        </w:rPr>
      </w:pPr>
    </w:p>
    <w:p>
      <w:pPr>
        <w:jc w:val="both"/>
        <w:ind w:firstLine="499"/>
        <w:spacing w:after="0" w:line="306" w:lineRule="auto"/>
        <w:rPr>
          <w:sz w:val="20"/>
          <w:szCs w:val="20"/>
          <w:color w:val="auto"/>
        </w:rPr>
      </w:pPr>
      <w:r>
        <w:rPr>
          <w:rFonts w:ascii="Arial" w:cs="Arial" w:eastAsia="Arial" w:hAnsi="Arial"/>
          <w:sz w:val="16"/>
          <w:szCs w:val="16"/>
          <w:color w:val="auto"/>
        </w:rPr>
        <w:t>Our current bank products and services include IRAs that are primarily funded by moneys rolled over from qualified retirement plans. The IRAs hold savings accounts, money market accounts and certificates of deposit. The deposit products provide a relatively stable source of funding and liquidity for Principal Bank and are used to fund purchases of investment securities and residential mortgage loans. Principal Bank does not originate any loans.</w:t>
      </w:r>
    </w:p>
    <w:p>
      <w:pPr>
        <w:spacing w:after="0" w:line="161" w:lineRule="exact"/>
        <w:rPr>
          <w:sz w:val="20"/>
          <w:szCs w:val="20"/>
          <w:color w:val="auto"/>
        </w:rPr>
      </w:pPr>
    </w:p>
    <w:p>
      <w:pPr>
        <w:jc w:val="both"/>
        <w:ind w:firstLine="398"/>
        <w:spacing w:after="0" w:line="259" w:lineRule="auto"/>
        <w:rPr>
          <w:sz w:val="20"/>
          <w:szCs w:val="20"/>
          <w:color w:val="auto"/>
        </w:rPr>
      </w:pPr>
      <w:r>
        <w:rPr>
          <w:rFonts w:ascii="Arial" w:cs="Arial" w:eastAsia="Arial" w:hAnsi="Arial"/>
          <w:sz w:val="18"/>
          <w:szCs w:val="18"/>
          <w:color w:val="auto"/>
        </w:rPr>
        <w:t>Principal Trust Company specializes in providing trust solutions for a full array of employee benefit plans and accounts including 401(k) and 403(b) plans, defined benefit pension plans, nonqualified executive benefit plans, ESOPs, and self-directed tax-advantaged savings accounts, such as IRAs. Principal Trust Company also maintains collective investment funds and provides personal trust services.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Markets and Distribution</w:t>
      </w:r>
    </w:p>
    <w:p>
      <w:pPr>
        <w:spacing w:after="0" w:line="225" w:lineRule="exact"/>
        <w:rPr>
          <w:sz w:val="20"/>
          <w:szCs w:val="20"/>
          <w:color w:val="auto"/>
        </w:rPr>
      </w:pPr>
    </w:p>
    <w:p>
      <w:pPr>
        <w:jc w:val="both"/>
        <w:ind w:firstLine="452"/>
        <w:spacing w:after="0" w:line="259" w:lineRule="auto"/>
        <w:rPr>
          <w:sz w:val="20"/>
          <w:szCs w:val="20"/>
          <w:color w:val="auto"/>
        </w:rPr>
      </w:pPr>
      <w:r>
        <w:rPr>
          <w:rFonts w:ascii="Arial" w:cs="Arial" w:eastAsia="Arial" w:hAnsi="Arial"/>
          <w:sz w:val="18"/>
          <w:szCs w:val="18"/>
          <w:color w:val="auto"/>
        </w:rPr>
        <w:t>Bank employees pursue asset retention strategies by offering our bank products and services to participants of qualified retirement plans, with a primary focus on helping customers understand their retirement options and accumulate savings for retirement. Principal Bank services customers through the telephone, mail and Internet.</w:t>
      </w:r>
    </w:p>
    <w:p>
      <w:pPr>
        <w:spacing w:after="0" w:line="194" w:lineRule="exact"/>
        <w:rPr>
          <w:sz w:val="20"/>
          <w:szCs w:val="20"/>
          <w:color w:val="auto"/>
        </w:rPr>
      </w:pPr>
    </w:p>
    <w:p>
      <w:pPr>
        <w:jc w:val="both"/>
        <w:ind w:firstLine="520"/>
        <w:spacing w:after="0" w:line="259" w:lineRule="auto"/>
        <w:rPr>
          <w:sz w:val="20"/>
          <w:szCs w:val="20"/>
          <w:color w:val="auto"/>
        </w:rPr>
      </w:pPr>
      <w:r>
        <w:rPr>
          <w:rFonts w:ascii="Arial" w:cs="Arial" w:eastAsia="Arial" w:hAnsi="Arial"/>
          <w:sz w:val="18"/>
          <w:szCs w:val="18"/>
          <w:color w:val="auto"/>
        </w:rPr>
        <w:t>We deliver our directed trust services and collective investment funds to customers through our PFG affiliates and affiliated financial representatives. Administrative trust services for self-directed tax-advantaged savings accounts are sold through non-affiliated brokerage firms, clearing firms, financial advisors and asset managers.</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Guaranteed Business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 Only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Products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three primary products for which we provide investment only services are: GICs, funding agreements and other investment only products.</w:t>
      </w:r>
    </w:p>
    <w:p>
      <w:pPr>
        <w:spacing w:after="0" w:line="248" w:lineRule="exact"/>
        <w:rPr>
          <w:sz w:val="20"/>
          <w:szCs w:val="20"/>
          <w:color w:val="auto"/>
        </w:rPr>
      </w:pPr>
    </w:p>
    <w:p>
      <w:pPr>
        <w:jc w:val="both"/>
        <w:ind w:firstLine="401"/>
        <w:spacing w:after="0" w:line="332" w:lineRule="auto"/>
        <w:rPr>
          <w:sz w:val="20"/>
          <w:szCs w:val="20"/>
          <w:color w:val="auto"/>
        </w:rPr>
      </w:pPr>
      <w:r>
        <w:rPr>
          <w:rFonts w:ascii="Arial" w:cs="Arial" w:eastAsia="Arial" w:hAnsi="Arial"/>
          <w:sz w:val="16"/>
          <w:szCs w:val="16"/>
          <w:color w:val="auto"/>
        </w:rPr>
        <w:t>GICs and funding agreements pay a specified rate of return. The rate of return can be a floating rate based on an external market index or a fixed rate. Our investment only products contain provisions disallowing or limiting early surrenders, including penalties for early surrenders and minimum notice requirements.</w:t>
      </w:r>
    </w:p>
    <w:p>
      <w:pPr>
        <w:spacing w:after="0" w:line="139" w:lineRule="exact"/>
        <w:rPr>
          <w:sz w:val="20"/>
          <w:szCs w:val="20"/>
          <w:color w:val="auto"/>
        </w:rPr>
      </w:pPr>
    </w:p>
    <w:p>
      <w:pPr>
        <w:jc w:val="both"/>
        <w:ind w:firstLine="400"/>
        <w:spacing w:after="0" w:line="256" w:lineRule="auto"/>
        <w:rPr>
          <w:sz w:val="20"/>
          <w:szCs w:val="20"/>
          <w:color w:val="auto"/>
        </w:rPr>
      </w:pPr>
      <w:r>
        <w:rPr>
          <w:rFonts w:ascii="Arial" w:cs="Arial" w:eastAsia="Arial" w:hAnsi="Arial"/>
          <w:sz w:val="18"/>
          <w:szCs w:val="18"/>
          <w:color w:val="auto"/>
        </w:rPr>
        <w:t>Deposits to investment only products are predominantly in the form of single payments. As a result, the level of new deposits can fluctuate from one fiscal quarter to another. Assets invested in GICs and funding agreements generate a spread between the investment income earned by us and the amount credited to the customer. Our other investment only products consist of separate accounts invested in either equities or fixed income instruments. The Principal Global Investors segment manages the assets supporting investment only account values.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Markets and Distribution</w:t>
      </w:r>
    </w:p>
    <w:p>
      <w:pPr>
        <w:spacing w:after="0" w:line="225" w:lineRule="exact"/>
        <w:rPr>
          <w:sz w:val="20"/>
          <w:szCs w:val="20"/>
          <w:color w:val="auto"/>
        </w:rPr>
      </w:pPr>
    </w:p>
    <w:p>
      <w:pPr>
        <w:jc w:val="both"/>
        <w:ind w:firstLine="588"/>
        <w:spacing w:after="0" w:line="289" w:lineRule="auto"/>
        <w:rPr>
          <w:sz w:val="20"/>
          <w:szCs w:val="20"/>
          <w:color w:val="auto"/>
        </w:rPr>
      </w:pPr>
      <w:r>
        <w:rPr>
          <w:rFonts w:ascii="Arial" w:cs="Arial" w:eastAsia="Arial" w:hAnsi="Arial"/>
          <w:sz w:val="16"/>
          <w:szCs w:val="16"/>
          <w:color w:val="auto"/>
        </w:rPr>
        <w:t>We market GICs and funding agreements primarily to pension plan sponsors and other institutions. We also offer them as part of our full service accumulation products. We sell our GICs primarily to plan sponsors for funding of tax-qualified retirement plans. We sell our funding agreements directly to institutions that may or may not be pension funds and unconsolidated special purpose vehicles domiciled either in the U.S. or offshore for funding agreement-backed note programs. The funding agreements sold as part of these funding agreement-backed note programs work by having investors purchase debt obligations from the special purpose vehicle which, in turn, purchases the funding agreement from us with terms similar to those of the debt obligations. The strength of this market is dependent on debt capital market conditions. As a result, our sales through this channel can vary widely from one quarter to another. In addition to the special purpose vehicle selling the funding agreement-backed notes to U.S. and foreign institutional investors, the special purpose vehicle may also sell notes to U.S. retail investors through a SEC-registered shelf debt issuance program.</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Full Service Payout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Products</w:t>
      </w:r>
    </w:p>
    <w:p>
      <w:pPr>
        <w:spacing w:after="0" w:line="225" w:lineRule="exact"/>
        <w:rPr>
          <w:sz w:val="20"/>
          <w:szCs w:val="20"/>
          <w:color w:val="auto"/>
        </w:rPr>
      </w:pPr>
    </w:p>
    <w:p>
      <w:pPr>
        <w:jc w:val="both"/>
        <w:ind w:firstLine="398"/>
        <w:spacing w:after="0" w:line="298" w:lineRule="auto"/>
        <w:rPr>
          <w:sz w:val="20"/>
          <w:szCs w:val="20"/>
          <w:color w:val="auto"/>
        </w:rPr>
      </w:pPr>
      <w:r>
        <w:rPr>
          <w:rFonts w:ascii="Arial" w:cs="Arial" w:eastAsia="Arial" w:hAnsi="Arial"/>
          <w:sz w:val="16"/>
          <w:szCs w:val="16"/>
          <w:color w:val="auto"/>
        </w:rPr>
        <w:t>Full service payout products respond to the needs of pension plan participants who, upon retirement or termination of their employment, seek a guaranteed income stream. Plan participants who seek these services include those from pension plans we service, as well as pension plans other providers service. We primarily offer single premium group annuities, which are immediate or deferred annuities that provide a current or future specific income amount, fully guaranteed by us. These are available to defined contribution and defined benefit plan participants. We make regular</w:t>
      </w:r>
    </w:p>
    <w:p>
      <w:pPr>
        <w:sectPr>
          <w:pgSz w:w="11900" w:h="16838" w:orient="portrait"/>
          <w:cols w:equalWidth="0" w:num="1">
            <w:col w:w="11420"/>
          </w:cols>
          <w:pgMar w:left="240" w:top="131" w:right="239" w:bottom="1440" w:gutter="0" w:footer="0" w:header="0"/>
        </w:sectPr>
      </w:pP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175260</wp:posOffset>
            </wp:positionV>
            <wp:extent cx="7250430"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1" w:name="page12"/>
    <w:bookmarkEnd w:id="1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268" w:lineRule="auto"/>
        <w:rPr>
          <w:sz w:val="20"/>
          <w:szCs w:val="20"/>
          <w:color w:val="auto"/>
        </w:rPr>
      </w:pPr>
      <w:r>
        <w:rPr>
          <w:rFonts w:ascii="Arial" w:cs="Arial" w:eastAsia="Arial" w:hAnsi="Arial"/>
          <w:sz w:val="18"/>
          <w:szCs w:val="18"/>
          <w:color w:val="auto"/>
        </w:rPr>
        <w:t>payments to individuals, invest the underlying assets on their behalf and provide tax reporting to them. We also reinsure single premium immediate annuities issued by another insurer.</w:t>
      </w:r>
    </w:p>
    <w:p>
      <w:pPr>
        <w:spacing w:after="0" w:line="186" w:lineRule="exact"/>
        <w:rPr>
          <w:sz w:val="20"/>
          <w:szCs w:val="20"/>
          <w:color w:val="auto"/>
        </w:rPr>
      </w:pPr>
    </w:p>
    <w:p>
      <w:pPr>
        <w:jc w:val="both"/>
        <w:ind w:firstLine="444"/>
        <w:spacing w:after="0" w:line="298" w:lineRule="auto"/>
        <w:rPr>
          <w:sz w:val="20"/>
          <w:szCs w:val="20"/>
          <w:color w:val="auto"/>
        </w:rPr>
      </w:pPr>
      <w:r>
        <w:rPr>
          <w:rFonts w:ascii="Arial" w:cs="Arial" w:eastAsia="Arial" w:hAnsi="Arial"/>
          <w:sz w:val="16"/>
          <w:szCs w:val="16"/>
          <w:color w:val="auto"/>
        </w:rPr>
        <w:t>Single premium group annuities are traditionally used in conjunction with defined benefit plans, particularly those where the plan is being terminated. In such instances, the plan sponsor transfers all its obligations under the plan to an insurer by paying a single premium. Increasingly, these products are purchased by defined contribution plan participants who reach retirement age. Generally, plan sponsors restrict their purchases to insurance companies with superior or excellent financial quality ratings because the Department of Labor has mandated that annuities be purchased only from the "safest available" insurers.</w:t>
      </w:r>
    </w:p>
    <w:p>
      <w:pPr>
        <w:spacing w:after="0" w:line="167" w:lineRule="exact"/>
        <w:rPr>
          <w:sz w:val="20"/>
          <w:szCs w:val="20"/>
          <w:color w:val="auto"/>
        </w:rPr>
      </w:pPr>
    </w:p>
    <w:p>
      <w:pPr>
        <w:jc w:val="both"/>
        <w:ind w:firstLine="476"/>
        <w:spacing w:after="0" w:line="259" w:lineRule="auto"/>
        <w:rPr>
          <w:sz w:val="20"/>
          <w:szCs w:val="20"/>
          <w:color w:val="auto"/>
        </w:rPr>
      </w:pPr>
      <w:r>
        <w:rPr>
          <w:rFonts w:ascii="Arial" w:cs="Arial" w:eastAsia="Arial" w:hAnsi="Arial"/>
          <w:sz w:val="18"/>
          <w:szCs w:val="18"/>
          <w:color w:val="auto"/>
        </w:rPr>
        <w:t>Premium received from full service payout products are generally in the form of single payments. As a result, the level of new premiums can fluctuate depending on the number of retirements and large-scale annuity sales in a particular fiscal quarter. The Principal Global Investors segment manages the assets supporting full service payout account values.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Markets and Distribution</w:t>
      </w:r>
    </w:p>
    <w:p>
      <w:pPr>
        <w:spacing w:after="0" w:line="225" w:lineRule="exact"/>
        <w:rPr>
          <w:sz w:val="20"/>
          <w:szCs w:val="20"/>
          <w:color w:val="auto"/>
        </w:rPr>
      </w:pPr>
    </w:p>
    <w:p>
      <w:pPr>
        <w:jc w:val="both"/>
        <w:ind w:firstLine="551"/>
        <w:spacing w:after="0" w:line="256" w:lineRule="auto"/>
        <w:rPr>
          <w:sz w:val="20"/>
          <w:szCs w:val="20"/>
          <w:color w:val="auto"/>
        </w:rPr>
      </w:pPr>
      <w:r>
        <w:rPr>
          <w:rFonts w:ascii="Arial" w:cs="Arial" w:eastAsia="Arial" w:hAnsi="Arial"/>
          <w:sz w:val="18"/>
          <w:szCs w:val="18"/>
          <w:color w:val="auto"/>
        </w:rPr>
        <w:t>Our primary distribution channel for full service payout products is comprised of several specialized home office sales consultants working through consultants and brokers that specialize in this type of business. Our sales consultants also make sales directly to institutions. Our nationally dispersed retirement services sales representatives act as a secondary distribution channel for these products. Principal Connection also distributes full service payout products to participants in plans we service who are terminating employment or retiring.</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Principal Global Investors Segment</w:t>
      </w:r>
    </w:p>
    <w:p>
      <w:pPr>
        <w:spacing w:after="0" w:line="231" w:lineRule="exact"/>
        <w:rPr>
          <w:sz w:val="20"/>
          <w:szCs w:val="20"/>
          <w:color w:val="auto"/>
        </w:rPr>
      </w:pPr>
    </w:p>
    <w:p>
      <w:pPr>
        <w:jc w:val="both"/>
        <w:ind w:firstLine="531"/>
        <w:spacing w:after="0" w:line="255" w:lineRule="auto"/>
        <w:rPr>
          <w:sz w:val="20"/>
          <w:szCs w:val="20"/>
          <w:color w:val="auto"/>
        </w:rPr>
      </w:pPr>
      <w:r>
        <w:rPr>
          <w:rFonts w:ascii="Arial" w:cs="Arial" w:eastAsia="Arial" w:hAnsi="Arial"/>
          <w:sz w:val="18"/>
          <w:szCs w:val="18"/>
          <w:color w:val="auto"/>
        </w:rPr>
        <w:t>Our Principal Global Investors segment manages assets for sophisticated investors around the world, using a multi-boutique strategy that enables the segment to provide an expanded range of diverse investment capabilities including equity, fixed income, real estate, and other alternative investments. We also have experience in asset allocation, stable value management and other structured investment strategies. We focus on providing services to our other segments and third-party institutional clients. We maintain offices in Australia, Brazil, Dubai, Germany, Hong Kong, Japan, Netherlands, Singapore, the United Kingdom and the United States.</w:t>
      </w:r>
    </w:p>
    <w:p>
      <w:pPr>
        <w:spacing w:after="0" w:line="197" w:lineRule="exact"/>
        <w:rPr>
          <w:sz w:val="20"/>
          <w:szCs w:val="20"/>
          <w:color w:val="auto"/>
        </w:rPr>
      </w:pPr>
    </w:p>
    <w:p>
      <w:pPr>
        <w:jc w:val="both"/>
        <w:ind w:firstLine="383"/>
        <w:spacing w:after="0" w:line="294" w:lineRule="auto"/>
        <w:rPr>
          <w:sz w:val="20"/>
          <w:szCs w:val="20"/>
          <w:color w:val="auto"/>
        </w:rPr>
      </w:pPr>
      <w:r>
        <w:rPr>
          <w:rFonts w:ascii="Arial" w:cs="Arial" w:eastAsia="Arial" w:hAnsi="Arial"/>
          <w:sz w:val="16"/>
          <w:szCs w:val="16"/>
          <w:color w:val="auto"/>
        </w:rPr>
        <w:t>We deliver our products and services through our network of specialized investment groups and boutiques including Principal Global Investors — Equities; Principal Global Investors — Fixed Income; Principal Real Estate Investors, LLC; Principal Enterprise Capital, LLC; Spectrum Asset Management Inc.; Post Advisory Group, LLC; Columbus Circle Investors; Edge Asset Management Inc.; Morley Financial Services Inc.; Macro Currency Group; Finisterre Capital LLP; Origin Asset Management LLP; CIMB Principal Islamic Asset Management Sdn Bhd; Multi-Asset Advisors Group and Liongate Capital Management LLP. As of December 31, 2013, Principal Global Investors and its boutiques managed $292.1 billion in assets.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Products and Services</w:t>
      </w:r>
    </w:p>
    <w:p>
      <w:pPr>
        <w:spacing w:after="0" w:line="225" w:lineRule="exact"/>
        <w:rPr>
          <w:sz w:val="20"/>
          <w:szCs w:val="20"/>
          <w:color w:val="auto"/>
        </w:rPr>
      </w:pPr>
    </w:p>
    <w:p>
      <w:pPr>
        <w:jc w:val="both"/>
        <w:ind w:firstLine="505"/>
        <w:spacing w:after="0" w:line="268" w:lineRule="auto"/>
        <w:rPr>
          <w:sz w:val="20"/>
          <w:szCs w:val="20"/>
          <w:color w:val="auto"/>
        </w:rPr>
      </w:pPr>
      <w:r>
        <w:rPr>
          <w:rFonts w:ascii="Arial" w:cs="Arial" w:eastAsia="Arial" w:hAnsi="Arial"/>
          <w:sz w:val="18"/>
          <w:szCs w:val="18"/>
          <w:color w:val="auto"/>
        </w:rPr>
        <w:t>Our products and services are provided for a fee as defined by client mandates. Our fees are generally driven by AUM. We are diversified across the following primary asset classes.</w:t>
      </w:r>
    </w:p>
    <w:p>
      <w:pPr>
        <w:spacing w:after="0" w:line="186" w:lineRule="exact"/>
        <w:rPr>
          <w:sz w:val="20"/>
          <w:szCs w:val="20"/>
          <w:color w:val="auto"/>
        </w:rPr>
      </w:pPr>
    </w:p>
    <w:p>
      <w:pPr>
        <w:jc w:val="both"/>
        <w:ind w:firstLine="351"/>
        <w:spacing w:after="0" w:line="256" w:lineRule="auto"/>
        <w:rPr>
          <w:sz w:val="20"/>
          <w:szCs w:val="20"/>
          <w:color w:val="auto"/>
        </w:rPr>
      </w:pPr>
      <w:r>
        <w:rPr>
          <w:rFonts w:ascii="Arial" w:cs="Arial" w:eastAsia="Arial" w:hAnsi="Arial"/>
          <w:sz w:val="18"/>
          <w:szCs w:val="18"/>
          <w:b w:val="1"/>
          <w:bCs w:val="1"/>
          <w:i w:val="1"/>
          <w:iCs w:val="1"/>
          <w:color w:val="auto"/>
        </w:rPr>
        <w:t xml:space="preserve">Equity Investments. </w:t>
      </w:r>
      <w:r>
        <w:rPr>
          <w:rFonts w:ascii="Arial" w:cs="Arial" w:eastAsia="Arial" w:hAnsi="Arial"/>
          <w:sz w:val="18"/>
          <w:szCs w:val="18"/>
          <w:color w:val="auto"/>
        </w:rPr>
        <w:t>As of December 31, 2013, Principal Global Investors — Equities along with Columbus Circle Investors, Edge Asset Management Inc.</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and Origin Asset Management LLP managed $103.1 billion in global equity assets. Our equity capabilities encompass large-cap, mid-cap and small-cap stocks in developed and emerging markets worldwide. As of December 31, 2013, 45% of equity AUM was derived from our pension products, 30% from other products of PFG and the remaining 25% from third-party institutional clients.</w:t>
      </w:r>
    </w:p>
    <w:p>
      <w:pPr>
        <w:spacing w:after="0" w:line="197" w:lineRule="exact"/>
        <w:rPr>
          <w:sz w:val="20"/>
          <w:szCs w:val="20"/>
          <w:color w:val="auto"/>
        </w:rPr>
      </w:pPr>
    </w:p>
    <w:p>
      <w:pPr>
        <w:jc w:val="both"/>
        <w:ind w:firstLine="438"/>
        <w:spacing w:after="0" w:line="291" w:lineRule="auto"/>
        <w:rPr>
          <w:sz w:val="20"/>
          <w:szCs w:val="20"/>
          <w:color w:val="auto"/>
        </w:rPr>
      </w:pPr>
      <w:r>
        <w:rPr>
          <w:rFonts w:ascii="Arial" w:cs="Arial" w:eastAsia="Arial" w:hAnsi="Arial"/>
          <w:sz w:val="16"/>
          <w:szCs w:val="16"/>
          <w:b w:val="1"/>
          <w:bCs w:val="1"/>
          <w:i w:val="1"/>
          <w:iCs w:val="1"/>
          <w:color w:val="auto"/>
        </w:rPr>
        <w:t xml:space="preserve">Fixed Income Investments. </w:t>
      </w:r>
      <w:r>
        <w:rPr>
          <w:rFonts w:ascii="Arial" w:cs="Arial" w:eastAsia="Arial" w:hAnsi="Arial"/>
          <w:sz w:val="16"/>
          <w:szCs w:val="16"/>
          <w:color w:val="auto"/>
        </w:rPr>
        <w:t>As of December 31, 2013, Principal Global Investors — Fixed Income along with Spectrum Asset Management Inc.; Post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Advisory Group, LLC; Edge Asset Management Inc.; and Morley Financial Services Inc. managed $126.4 billion in global fixed income assets. Collectively, our experience in fixed income management spans multiple economic and credit market cycles, and encompasses all major fixed income sectors and security types. Our research and risk management capabilities in worldwide debt markets provide a strong foundation for broadly diversified "multi-sector" portfolios, tailored to specific client objectives. As of December 31, 2013, 31% of these assets were derived from our pension products, 32% from other products of PFG, and the remaining 37% from third-party institutional clients.</w:t>
      </w:r>
    </w:p>
    <w:p>
      <w:pPr>
        <w:spacing w:after="0" w:line="174" w:lineRule="exact"/>
        <w:rPr>
          <w:sz w:val="20"/>
          <w:szCs w:val="20"/>
          <w:color w:val="auto"/>
        </w:rPr>
      </w:pPr>
    </w:p>
    <w:p>
      <w:pPr>
        <w:jc w:val="both"/>
        <w:ind w:firstLine="448"/>
        <w:spacing w:after="0" w:line="294" w:lineRule="auto"/>
        <w:rPr>
          <w:sz w:val="20"/>
          <w:szCs w:val="20"/>
          <w:color w:val="auto"/>
        </w:rPr>
      </w:pPr>
      <w:r>
        <w:rPr>
          <w:rFonts w:ascii="Arial" w:cs="Arial" w:eastAsia="Arial" w:hAnsi="Arial"/>
          <w:sz w:val="16"/>
          <w:szCs w:val="16"/>
          <w:b w:val="1"/>
          <w:bCs w:val="1"/>
          <w:i w:val="1"/>
          <w:iCs w:val="1"/>
          <w:color w:val="auto"/>
        </w:rPr>
        <w:t xml:space="preserve">Real Estate Investments. </w:t>
      </w:r>
      <w:r>
        <w:rPr>
          <w:rFonts w:ascii="Arial" w:cs="Arial" w:eastAsia="Arial" w:hAnsi="Arial"/>
          <w:sz w:val="16"/>
          <w:szCs w:val="16"/>
          <w:color w:val="auto"/>
        </w:rPr>
        <w:t>Principal Global Investors, through its affiliates Principal Real Estate Investors, LLC and Principal Enterprise Capital, LLC,</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managed a portfolio of primarily U.S. commercial real estate assets of $48.8 billion as of December 31, 2013. Principal Real Estate Investors, LLC provides our clients with a broad range of real estate investment options including private real estate equity, commercial mortgages, bridge/mezzanine loans, commercial mortgage-backed securities and real estate investment trust securities. As of December 31, 2013, 25% of the commercial real estate portfolio was derived from our pension products, 27% from other products of PFG and the remaining 48% from third-party institutional clients.</w:t>
      </w:r>
    </w:p>
    <w:p>
      <w:pPr>
        <w:spacing w:after="0" w:line="170" w:lineRule="exact"/>
        <w:rPr>
          <w:sz w:val="20"/>
          <w:szCs w:val="20"/>
          <w:color w:val="auto"/>
        </w:rPr>
      </w:pPr>
    </w:p>
    <w:p>
      <w:pPr>
        <w:jc w:val="both"/>
        <w:ind w:firstLine="384"/>
        <w:spacing w:after="0" w:line="259" w:lineRule="auto"/>
        <w:rPr>
          <w:sz w:val="20"/>
          <w:szCs w:val="20"/>
          <w:color w:val="auto"/>
        </w:rPr>
      </w:pPr>
      <w:r>
        <w:rPr>
          <w:rFonts w:ascii="Arial" w:cs="Arial" w:eastAsia="Arial" w:hAnsi="Arial"/>
          <w:sz w:val="18"/>
          <w:szCs w:val="18"/>
          <w:b w:val="1"/>
          <w:bCs w:val="1"/>
          <w:i w:val="1"/>
          <w:iCs w:val="1"/>
          <w:color w:val="auto"/>
        </w:rPr>
        <w:t xml:space="preserve">Other Alternative Investments. </w:t>
      </w:r>
      <w:r>
        <w:rPr>
          <w:rFonts w:ascii="Arial" w:cs="Arial" w:eastAsia="Arial" w:hAnsi="Arial"/>
          <w:sz w:val="18"/>
          <w:szCs w:val="18"/>
          <w:color w:val="auto"/>
        </w:rPr>
        <w:t>We offer products and services through other alternative asset classes including managing currency mandates through our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Macro Currency Group boutique and hedge fund mandates through the Liongate Capital Management LLP, Finisterre Capital LLP, and Columbus Circle Investors boutiques. As of</w:t>
      </w:r>
    </w:p>
    <w:p>
      <w:pPr>
        <w:sectPr>
          <w:pgSz w:w="11900" w:h="16838" w:orient="portrait"/>
          <w:cols w:equalWidth="0" w:num="1">
            <w:col w:w="11420"/>
          </w:cols>
          <w:pgMar w:left="240" w:top="131" w:right="239" w:bottom="1440" w:gutter="0" w:footer="0" w:header="0"/>
        </w:sectPr>
      </w:pP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175260</wp:posOffset>
            </wp:positionV>
            <wp:extent cx="72504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2" w:name="page13"/>
    <w:bookmarkEnd w:id="1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right="20"/>
        <w:spacing w:after="0" w:line="268" w:lineRule="auto"/>
        <w:rPr>
          <w:sz w:val="20"/>
          <w:szCs w:val="20"/>
          <w:color w:val="auto"/>
        </w:rPr>
      </w:pPr>
      <w:r>
        <w:rPr>
          <w:rFonts w:ascii="Arial" w:cs="Arial" w:eastAsia="Arial" w:hAnsi="Arial"/>
          <w:sz w:val="18"/>
          <w:szCs w:val="18"/>
          <w:color w:val="auto"/>
        </w:rPr>
        <w:t>December 31, 2013, we managed $13.8 billion with 2% from other products of PFG and the remaining 98% of these assets derived from third-party institutional clients.</w:t>
      </w:r>
    </w:p>
    <w:p>
      <w:pPr>
        <w:spacing w:after="0" w:line="186" w:lineRule="exact"/>
        <w:rPr>
          <w:sz w:val="20"/>
          <w:szCs w:val="20"/>
          <w:color w:val="auto"/>
        </w:rPr>
      </w:pPr>
    </w:p>
    <w:p>
      <w:pPr>
        <w:jc w:val="both"/>
        <w:ind w:firstLine="386"/>
        <w:spacing w:after="0" w:line="259" w:lineRule="auto"/>
        <w:rPr>
          <w:sz w:val="20"/>
          <w:szCs w:val="20"/>
          <w:color w:val="auto"/>
        </w:rPr>
      </w:pPr>
      <w:r>
        <w:rPr>
          <w:rFonts w:ascii="Arial" w:cs="Arial" w:eastAsia="Arial" w:hAnsi="Arial"/>
          <w:sz w:val="18"/>
          <w:szCs w:val="18"/>
          <w:color w:val="auto"/>
        </w:rPr>
        <w:t>Multi-Asset Advisors Group was established to provide advice on multi-asset strategies to global clients and to develop and manage customized multi-asset products to address specific client needs. Multi-Asset Advisors Group helps Principal Global Investors optimize our broad range of capabilities while enhancing our position as a thought leader and trusted advisor to large institutional clients.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Markets and Distribution</w:t>
      </w:r>
    </w:p>
    <w:p>
      <w:pPr>
        <w:spacing w:after="0" w:line="225" w:lineRule="exact"/>
        <w:rPr>
          <w:sz w:val="20"/>
          <w:szCs w:val="20"/>
          <w:color w:val="auto"/>
        </w:rPr>
      </w:pPr>
    </w:p>
    <w:p>
      <w:pPr>
        <w:jc w:val="both"/>
        <w:ind w:firstLine="394"/>
        <w:spacing w:after="0" w:line="259" w:lineRule="auto"/>
        <w:rPr>
          <w:sz w:val="20"/>
          <w:szCs w:val="20"/>
          <w:color w:val="auto"/>
        </w:rPr>
      </w:pPr>
      <w:r>
        <w:rPr>
          <w:rFonts w:ascii="Arial" w:cs="Arial" w:eastAsia="Arial" w:hAnsi="Arial"/>
          <w:sz w:val="18"/>
          <w:szCs w:val="18"/>
          <w:color w:val="auto"/>
        </w:rPr>
        <w:t>We employed 144 institutional sales, relationship management and client service professionals as of December 31, 2013, who worked with consultants and directly with large investors to acquire and retain third-party institutional clients. As of December 31, 2013, Principal Global Investors and its boutiques had approximately 797 third-party institutional clients with $109.4 billion of AUM in 37 countries.</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Principal International Segment</w:t>
      </w:r>
    </w:p>
    <w:p>
      <w:pPr>
        <w:spacing w:after="0" w:line="231" w:lineRule="exact"/>
        <w:rPr>
          <w:sz w:val="20"/>
          <w:szCs w:val="20"/>
          <w:color w:val="auto"/>
        </w:rPr>
      </w:pPr>
    </w:p>
    <w:p>
      <w:pPr>
        <w:jc w:val="both"/>
        <w:ind w:firstLine="571"/>
        <w:spacing w:after="0" w:line="259" w:lineRule="auto"/>
        <w:rPr>
          <w:sz w:val="20"/>
          <w:szCs w:val="20"/>
          <w:color w:val="auto"/>
        </w:rPr>
      </w:pPr>
      <w:r>
        <w:rPr>
          <w:rFonts w:ascii="Arial" w:cs="Arial" w:eastAsia="Arial" w:hAnsi="Arial"/>
          <w:sz w:val="18"/>
          <w:szCs w:val="18"/>
          <w:color w:val="auto"/>
        </w:rPr>
        <w:t>Our Principal International segment has operations in Brazil, Chile, China, Hong Kong Special Administrative Region ("SAR"), India, Mexico and Southeast Asia. We focus on countries with growing middle classes, favorable demographics, and increasing long-term savings, ideally with defined contribution retirement markets. We entered these locations through acquisitions, start-up operations and joint ventures.</w:t>
      </w:r>
    </w:p>
    <w:p>
      <w:pPr>
        <w:spacing w:after="0" w:line="194" w:lineRule="exact"/>
        <w:rPr>
          <w:sz w:val="20"/>
          <w:szCs w:val="20"/>
          <w:color w:val="auto"/>
        </w:rPr>
      </w:pPr>
    </w:p>
    <w:p>
      <w:pPr>
        <w:jc w:val="both"/>
        <w:ind w:firstLine="362"/>
        <w:spacing w:after="0" w:line="259" w:lineRule="auto"/>
        <w:rPr>
          <w:sz w:val="20"/>
          <w:szCs w:val="20"/>
          <w:color w:val="auto"/>
        </w:rPr>
      </w:pPr>
      <w:r>
        <w:rPr>
          <w:rFonts w:ascii="Arial" w:cs="Arial" w:eastAsia="Arial" w:hAnsi="Arial"/>
          <w:sz w:val="18"/>
          <w:szCs w:val="18"/>
          <w:color w:val="auto"/>
        </w:rPr>
        <w:t>The activities of our Principal International segment reflect our efforts to accelerate the growth of our AUM by capitalizing on the international trend toward private sector defined contribution pension systems and individual long-term savings. We offer retirement products and services, mutual funds, institutional asset management, annuities and life insurance accumulation products.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Products, Markets and Distribution</w:t>
      </w:r>
    </w:p>
    <w:p>
      <w:pPr>
        <w:spacing w:after="0" w:line="225" w:lineRule="exact"/>
        <w:rPr>
          <w:sz w:val="20"/>
          <w:szCs w:val="20"/>
          <w:color w:val="auto"/>
        </w:rPr>
      </w:pPr>
    </w:p>
    <w:p>
      <w:pPr>
        <w:jc w:val="both"/>
        <w:ind w:firstLine="500"/>
        <w:spacing w:after="0" w:line="298" w:lineRule="auto"/>
        <w:rPr>
          <w:sz w:val="20"/>
          <w:szCs w:val="20"/>
          <w:color w:val="auto"/>
        </w:rPr>
      </w:pPr>
      <w:r>
        <w:rPr>
          <w:rFonts w:ascii="Arial" w:cs="Arial" w:eastAsia="Arial" w:hAnsi="Arial"/>
          <w:sz w:val="16"/>
          <w:szCs w:val="16"/>
          <w:b w:val="1"/>
          <w:bCs w:val="1"/>
          <w:i w:val="1"/>
          <w:iCs w:val="1"/>
          <w:color w:val="auto"/>
        </w:rPr>
        <w:t xml:space="preserve">Brazil. </w:t>
      </w:r>
      <w:r>
        <w:rPr>
          <w:rFonts w:ascii="Arial" w:cs="Arial" w:eastAsia="Arial" w:hAnsi="Arial"/>
          <w:sz w:val="16"/>
          <w:szCs w:val="16"/>
          <w:color w:val="auto"/>
        </w:rPr>
        <w:t>We offer pension, retirement income and asset accumulation products through a co-managed joint venture, Brasilprev Seguros e Previdencia</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("Brasilprev"). We own 25% of the economic interest and 50.01% of the voting shares, and the partner is Banco do Brasil ("Banco"), the largest bank in Latin America which had approximately 5,300 Brazilian branches as of September 30, 2013. According to Federação Nacional de Previdência e Vida, our joint venture ranked third in the Brazilian private pension market based upon managed assets as of November 30, 2013 and first in 2013 net sales.</w:t>
      </w:r>
    </w:p>
    <w:p>
      <w:pPr>
        <w:spacing w:after="0" w:line="167" w:lineRule="exact"/>
        <w:rPr>
          <w:sz w:val="20"/>
          <w:szCs w:val="20"/>
          <w:color w:val="auto"/>
        </w:rPr>
      </w:pPr>
    </w:p>
    <w:p>
      <w:pPr>
        <w:jc w:val="both"/>
        <w:ind w:firstLine="421"/>
        <w:spacing w:after="0" w:line="298" w:lineRule="auto"/>
        <w:rPr>
          <w:sz w:val="20"/>
          <w:szCs w:val="20"/>
          <w:color w:val="auto"/>
        </w:rPr>
      </w:pPr>
      <w:r>
        <w:rPr>
          <w:rFonts w:ascii="Arial" w:cs="Arial" w:eastAsia="Arial" w:hAnsi="Arial"/>
          <w:sz w:val="16"/>
          <w:szCs w:val="16"/>
          <w:color w:val="auto"/>
        </w:rPr>
        <w:t>Brasilprev has the exclusive distribution rights of its pension, retirement and long-term asset allocation products through the Banco network until October 2032. Our joint venture provides products for the retirement needs of individuals and employers. Banco's employees sell these products directly to individual clients through its bank branches. In addition, our joint venture reaches corporate clients through two wholesale distribution channels: (1) a network of independent brokers who sell to the public and (2) Banco's corporate account executives who sell to existing and prospective corporate clients.</w:t>
      </w:r>
    </w:p>
    <w:p>
      <w:pPr>
        <w:spacing w:after="0" w:line="167" w:lineRule="exact"/>
        <w:rPr>
          <w:sz w:val="20"/>
          <w:szCs w:val="20"/>
          <w:color w:val="auto"/>
        </w:rPr>
      </w:pPr>
    </w:p>
    <w:p>
      <w:pPr>
        <w:jc w:val="both"/>
        <w:ind w:firstLine="376"/>
        <w:spacing w:after="0" w:line="306" w:lineRule="auto"/>
        <w:rPr>
          <w:sz w:val="20"/>
          <w:szCs w:val="20"/>
          <w:color w:val="auto"/>
        </w:rPr>
      </w:pPr>
      <w:r>
        <w:rPr>
          <w:rFonts w:ascii="Arial" w:cs="Arial" w:eastAsia="Arial" w:hAnsi="Arial"/>
          <w:sz w:val="16"/>
          <w:szCs w:val="16"/>
          <w:color w:val="auto"/>
        </w:rPr>
        <w:t>We offer mutual fund and asset management services through Claritas Administração de Recursos Ltda ("Claritas"), a leading independent Brazilian mutual fund and asset management company. We own 62.7% of the economic interest and the remainder is owned by employee-partners. The company manages equity funds, balanced funds, managed accounts and other strategies for affluent clients and institutions and sells through its multi-channel distribution network.</w:t>
      </w:r>
    </w:p>
    <w:p>
      <w:pPr>
        <w:spacing w:after="0" w:line="161" w:lineRule="exact"/>
        <w:rPr>
          <w:sz w:val="20"/>
          <w:szCs w:val="20"/>
          <w:color w:val="auto"/>
        </w:rPr>
      </w:pPr>
    </w:p>
    <w:p>
      <w:pPr>
        <w:jc w:val="both"/>
        <w:ind w:firstLine="351"/>
        <w:spacing w:after="0" w:line="306" w:lineRule="auto"/>
        <w:rPr>
          <w:sz w:val="20"/>
          <w:szCs w:val="20"/>
          <w:color w:val="auto"/>
        </w:rPr>
      </w:pPr>
      <w:r>
        <w:rPr>
          <w:rFonts w:ascii="Arial" w:cs="Arial" w:eastAsia="Arial" w:hAnsi="Arial"/>
          <w:sz w:val="16"/>
          <w:szCs w:val="16"/>
          <w:b w:val="1"/>
          <w:bCs w:val="1"/>
          <w:i w:val="1"/>
          <w:iCs w:val="1"/>
          <w:color w:val="auto"/>
        </w:rPr>
        <w:t xml:space="preserve">Chile. </w:t>
      </w:r>
      <w:r>
        <w:rPr>
          <w:rFonts w:ascii="Arial" w:cs="Arial" w:eastAsia="Arial" w:hAnsi="Arial"/>
          <w:sz w:val="16"/>
          <w:szCs w:val="16"/>
          <w:color w:val="auto"/>
        </w:rPr>
        <w:t>We offer a complete array of pension accumulation and retirement payout products including mandatory employee-funded pension plans, individual</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voluntary plans ("APV"), voluntary savings funds, employer-based voluntary retirement plans ("APVC"), pension products, retirement annuities, mutual funds, life insurance accumulation products, institutional asset management services and other long-term savings products.</w:t>
      </w:r>
    </w:p>
    <w:p>
      <w:pPr>
        <w:spacing w:after="0" w:line="161" w:lineRule="exact"/>
        <w:rPr>
          <w:sz w:val="20"/>
          <w:szCs w:val="20"/>
          <w:color w:val="auto"/>
        </w:rPr>
      </w:pPr>
    </w:p>
    <w:p>
      <w:pPr>
        <w:jc w:val="both"/>
        <w:ind w:firstLine="498"/>
        <w:spacing w:after="0" w:line="256" w:lineRule="auto"/>
        <w:rPr>
          <w:sz w:val="20"/>
          <w:szCs w:val="20"/>
          <w:color w:val="auto"/>
        </w:rPr>
      </w:pPr>
      <w:r>
        <w:rPr>
          <w:rFonts w:ascii="Arial" w:cs="Arial" w:eastAsia="Arial" w:hAnsi="Arial"/>
          <w:sz w:val="18"/>
          <w:szCs w:val="18"/>
          <w:color w:val="auto"/>
        </w:rPr>
        <w:t>We offer mandatory employee-funded pension, APV and voluntary savings plans through Cuprum, the company we acquired in February 2013. As of December 31, 2013 we own 94.05% of Cuprum, and the rest is publicly floated. Cuprum's products are sold through a proprietary sales network of approximately 650 sales employees. Cuprum ranked first in the Pension Superintendence Customer Service Index for 19 consecutive trimesters (as of trimester ending August 2013).</w:t>
      </w:r>
    </w:p>
    <w:p>
      <w:pPr>
        <w:spacing w:after="0" w:line="197" w:lineRule="exact"/>
        <w:rPr>
          <w:sz w:val="20"/>
          <w:szCs w:val="20"/>
          <w:color w:val="auto"/>
        </w:rPr>
      </w:pPr>
    </w:p>
    <w:p>
      <w:pPr>
        <w:jc w:val="both"/>
        <w:ind w:firstLine="568"/>
        <w:spacing w:after="0" w:line="294" w:lineRule="auto"/>
        <w:rPr>
          <w:sz w:val="20"/>
          <w:szCs w:val="20"/>
          <w:color w:val="auto"/>
        </w:rPr>
      </w:pPr>
      <w:r>
        <w:rPr>
          <w:rFonts w:ascii="Arial" w:cs="Arial" w:eastAsia="Arial" w:hAnsi="Arial"/>
          <w:sz w:val="16"/>
          <w:szCs w:val="16"/>
          <w:color w:val="auto"/>
        </w:rPr>
        <w:t>We offer APV and APVC plans through Principal Administradora Generale de Fondos, our wholly-owned mutual fund company. According to the Asociacion de Adminstradoras de Fondos Mutuous de Chile, we ranked first in AUM for mutual fund companies offering these plans in Chile as of November 30, 2013. The plans, together with non-qualified mutual fund products, are distributed to retail clients through our proprietary sales force, financial advisors, brokerage houses and alliances with financial institutions. We also offer institutional asset management services to pension funds, insurance companies, sophisticated investors, mutual fund companies and investment platforms through our proprietary sales force.</w:t>
      </w:r>
    </w:p>
    <w:p>
      <w:pPr>
        <w:spacing w:after="0" w:line="170" w:lineRule="exact"/>
        <w:rPr>
          <w:sz w:val="20"/>
          <w:szCs w:val="20"/>
          <w:color w:val="auto"/>
        </w:rPr>
      </w:pPr>
    </w:p>
    <w:p>
      <w:pPr>
        <w:jc w:val="both"/>
        <w:ind w:right="20" w:firstLine="406"/>
        <w:spacing w:after="0" w:line="268" w:lineRule="auto"/>
        <w:rPr>
          <w:sz w:val="20"/>
          <w:szCs w:val="20"/>
          <w:color w:val="auto"/>
        </w:rPr>
      </w:pPr>
      <w:r>
        <w:rPr>
          <w:rFonts w:ascii="Arial" w:cs="Arial" w:eastAsia="Arial" w:hAnsi="Arial"/>
          <w:sz w:val="18"/>
          <w:szCs w:val="18"/>
          <w:color w:val="auto"/>
        </w:rPr>
        <w:t>We offer mandatory retirement annuities and life insurance accumulation products through Principal Compania de Seguros de Vida Chile S.A., our wholly owned life insurance company. Annuity products are distributed through a</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right="20"/>
        <w:spacing w:after="0" w:line="268" w:lineRule="auto"/>
        <w:rPr>
          <w:sz w:val="20"/>
          <w:szCs w:val="20"/>
          <w:color w:val="auto"/>
        </w:rPr>
      </w:pPr>
      <w:r>
        <w:rPr>
          <w:rFonts w:ascii="Arial" w:cs="Arial" w:eastAsia="Arial" w:hAnsi="Arial"/>
          <w:sz w:val="18"/>
          <w:szCs w:val="18"/>
          <w:color w:val="auto"/>
        </w:rPr>
        <w:t>network of brokers and independent agents numbering approximately 385 as of December 31, 2013. Life insurance accumulation products are also offered to individuals through brokers and financial advisors.</w:t>
      </w:r>
    </w:p>
    <w:p>
      <w:pPr>
        <w:spacing w:after="0" w:line="186" w:lineRule="exact"/>
        <w:rPr>
          <w:sz w:val="20"/>
          <w:szCs w:val="20"/>
          <w:color w:val="auto"/>
        </w:rPr>
      </w:pPr>
    </w:p>
    <w:p>
      <w:pPr>
        <w:jc w:val="both"/>
        <w:ind w:firstLine="419"/>
        <w:spacing w:after="0" w:line="256" w:lineRule="auto"/>
        <w:rPr>
          <w:sz w:val="20"/>
          <w:szCs w:val="20"/>
          <w:color w:val="auto"/>
        </w:rPr>
      </w:pPr>
      <w:r>
        <w:rPr>
          <w:rFonts w:ascii="Arial" w:cs="Arial" w:eastAsia="Arial" w:hAnsi="Arial"/>
          <w:sz w:val="18"/>
          <w:szCs w:val="18"/>
          <w:b w:val="1"/>
          <w:bCs w:val="1"/>
          <w:i w:val="1"/>
          <w:iCs w:val="1"/>
          <w:color w:val="auto"/>
        </w:rPr>
        <w:t xml:space="preserve">China. </w:t>
      </w:r>
      <w:r>
        <w:rPr>
          <w:rFonts w:ascii="Arial" w:cs="Arial" w:eastAsia="Arial" w:hAnsi="Arial"/>
          <w:sz w:val="18"/>
          <w:szCs w:val="18"/>
          <w:color w:val="auto"/>
        </w:rPr>
        <w:t>We offer mutual funds and asset management services to individuals and institutions through a joint venture, CCB Principal Asset Management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Company, LTD. We own 25% and China Construction Bank ("CCB") is the majority partner with 65% ownership. We sell mutual funds primarily through our partner bank, CCB. The bank provides extensive distribution capabilities for the joint venture in terms of brand awareness and the number of branch outlets, which number approximately 15,000 as of June 2013.</w:t>
      </w:r>
    </w:p>
    <w:p>
      <w:pPr>
        <w:spacing w:after="0" w:line="197" w:lineRule="exact"/>
        <w:rPr>
          <w:sz w:val="20"/>
          <w:szCs w:val="20"/>
          <w:color w:val="auto"/>
        </w:rPr>
      </w:pPr>
    </w:p>
    <w:p>
      <w:pPr>
        <w:ind w:left="360"/>
        <w:spacing w:after="0"/>
        <w:tabs>
          <w:tab w:leader="none" w:pos="1780" w:val="left"/>
        </w:tabs>
        <w:rPr>
          <w:sz w:val="20"/>
          <w:szCs w:val="20"/>
          <w:color w:val="auto"/>
        </w:rPr>
      </w:pPr>
      <w:r>
        <w:rPr>
          <w:rFonts w:ascii="Arial" w:cs="Arial" w:eastAsia="Arial" w:hAnsi="Arial"/>
          <w:sz w:val="18"/>
          <w:szCs w:val="18"/>
          <w:b w:val="1"/>
          <w:bCs w:val="1"/>
          <w:i w:val="1"/>
          <w:iCs w:val="1"/>
          <w:color w:val="auto"/>
        </w:rPr>
        <w:t>Hong Kong SAR.</w:t>
      </w:r>
      <w:r>
        <w:rPr>
          <w:sz w:val="20"/>
          <w:szCs w:val="20"/>
          <w:color w:val="auto"/>
        </w:rPr>
        <w:tab/>
      </w:r>
      <w:r>
        <w:rPr>
          <w:rFonts w:ascii="Arial" w:cs="Arial" w:eastAsia="Arial" w:hAnsi="Arial"/>
          <w:sz w:val="16"/>
          <w:szCs w:val="16"/>
          <w:color w:val="auto"/>
        </w:rPr>
        <w:t>We offer both defined contribution pension and mutual fund products to corporate and retail clients through wholly owned companies.</w:t>
      </w:r>
    </w:p>
    <w:p>
      <w:pPr>
        <w:spacing w:after="0" w:line="225" w:lineRule="exact"/>
        <w:rPr>
          <w:sz w:val="20"/>
          <w:szCs w:val="20"/>
          <w:color w:val="auto"/>
        </w:rPr>
      </w:pPr>
    </w:p>
    <w:p>
      <w:pPr>
        <w:jc w:val="both"/>
        <w:ind w:firstLine="548"/>
        <w:spacing w:after="0" w:line="256" w:lineRule="auto"/>
        <w:rPr>
          <w:sz w:val="20"/>
          <w:szCs w:val="20"/>
          <w:color w:val="auto"/>
        </w:rPr>
      </w:pPr>
      <w:r>
        <w:rPr>
          <w:rFonts w:ascii="Arial" w:cs="Arial" w:eastAsia="Arial" w:hAnsi="Arial"/>
          <w:sz w:val="18"/>
          <w:szCs w:val="18"/>
          <w:color w:val="auto"/>
        </w:rPr>
        <w:t>We offer Mandatory Provident Fund ("MPF") schemes to serve the mandatory retirement market. We target small and medium-sized employers and distribute products through a proprietary sales force that maintains relationships with third-party intermediaries such as insurance companies, independent financial advisors, brokers, consultants and banks. We also target individual account holders who have changed jobs or are looking to consolidate their retirement accounts. We service over 225,000 MPF accounts.</w:t>
      </w:r>
    </w:p>
    <w:p>
      <w:pPr>
        <w:spacing w:after="0" w:line="197" w:lineRule="exact"/>
        <w:rPr>
          <w:sz w:val="20"/>
          <w:szCs w:val="20"/>
          <w:color w:val="auto"/>
        </w:rPr>
      </w:pPr>
    </w:p>
    <w:p>
      <w:pPr>
        <w:jc w:val="both"/>
        <w:ind w:firstLine="370"/>
        <w:spacing w:after="0" w:line="294" w:lineRule="auto"/>
        <w:rPr>
          <w:sz w:val="20"/>
          <w:szCs w:val="20"/>
          <w:color w:val="auto"/>
        </w:rPr>
      </w:pPr>
      <w:r>
        <w:rPr>
          <w:rFonts w:ascii="Arial" w:cs="Arial" w:eastAsia="Arial" w:hAnsi="Arial"/>
          <w:sz w:val="16"/>
          <w:szCs w:val="16"/>
          <w:color w:val="auto"/>
        </w:rPr>
        <w:t>We sell mutual funds to retail customers seeking to accumulate assets for retirement and other long-term investment needs. Our mutual funds are distributed through a proprietary sales force that maintains relationships with third-party intermediaries such as banks, insurance companies and independent financial advisors. To further grow our mutual fund business we will seek to leverage our operations in the Hong Kong SAR to pursue potential opportunities created by the mutual recognition of fund products between Hong Kong and China. Mutual recognition was highlighted in Supplement 10 of the Closer Economic Partnership Arrangement agreement, and is subject to the approval of the Hong Kong and Chinese governments.</w:t>
      </w:r>
    </w:p>
    <w:p>
      <w:pPr>
        <w:spacing w:after="0" w:line="170" w:lineRule="exact"/>
        <w:rPr>
          <w:sz w:val="20"/>
          <w:szCs w:val="20"/>
          <w:color w:val="auto"/>
        </w:rPr>
      </w:pPr>
    </w:p>
    <w:p>
      <w:pPr>
        <w:jc w:val="both"/>
        <w:ind w:firstLine="500"/>
        <w:spacing w:after="0" w:line="256" w:lineRule="auto"/>
        <w:rPr>
          <w:sz w:val="20"/>
          <w:szCs w:val="20"/>
          <w:color w:val="auto"/>
        </w:rPr>
      </w:pPr>
      <w:r>
        <w:rPr>
          <w:rFonts w:ascii="Arial" w:cs="Arial" w:eastAsia="Arial" w:hAnsi="Arial"/>
          <w:sz w:val="18"/>
          <w:szCs w:val="18"/>
          <w:b w:val="1"/>
          <w:bCs w:val="1"/>
          <w:i w:val="1"/>
          <w:iCs w:val="1"/>
          <w:color w:val="auto"/>
        </w:rPr>
        <w:t xml:space="preserve">India. </w:t>
      </w:r>
      <w:r>
        <w:rPr>
          <w:rFonts w:ascii="Arial" w:cs="Arial" w:eastAsia="Arial" w:hAnsi="Arial"/>
          <w:sz w:val="18"/>
          <w:szCs w:val="18"/>
          <w:color w:val="auto"/>
        </w:rPr>
        <w:t>We offer mutual funds and asset management services to both retail and corporate customers through our joint venture Principal PNB Asset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Management Company Private Limited. We own 66% and the partners are Punjab National Bank (30%) and Vijaya Bank (4%), two large Indian commercial banks with a combined network of approximately 7,000 branches. Mutual funds are sold through bank branches and proprietary sales offices located throughout India, by independent distributors and direct sales.</w:t>
      </w:r>
    </w:p>
    <w:p>
      <w:pPr>
        <w:spacing w:after="0" w:line="197" w:lineRule="exact"/>
        <w:rPr>
          <w:sz w:val="20"/>
          <w:szCs w:val="20"/>
          <w:color w:val="auto"/>
        </w:rPr>
      </w:pPr>
    </w:p>
    <w:p>
      <w:pPr>
        <w:jc w:val="both"/>
        <w:ind w:right="20" w:firstLine="510"/>
        <w:spacing w:after="0" w:line="268" w:lineRule="auto"/>
        <w:rPr>
          <w:sz w:val="20"/>
          <w:szCs w:val="20"/>
          <w:color w:val="auto"/>
        </w:rPr>
      </w:pPr>
      <w:r>
        <w:rPr>
          <w:rFonts w:ascii="Arial" w:cs="Arial" w:eastAsia="Arial" w:hAnsi="Arial"/>
          <w:sz w:val="18"/>
          <w:szCs w:val="18"/>
          <w:color w:val="auto"/>
        </w:rPr>
        <w:t>We also have a proprietary distribution company, Principal Retirement Advisors, that focuses on promoting and advising on retirement and long term investment products in these emerging markets.</w:t>
      </w:r>
    </w:p>
    <w:p>
      <w:pPr>
        <w:spacing w:after="0" w:line="186" w:lineRule="exact"/>
        <w:rPr>
          <w:sz w:val="20"/>
          <w:szCs w:val="20"/>
          <w:color w:val="auto"/>
        </w:rPr>
      </w:pPr>
    </w:p>
    <w:p>
      <w:pPr>
        <w:jc w:val="both"/>
        <w:ind w:firstLine="513"/>
        <w:spacing w:after="0" w:line="268" w:lineRule="auto"/>
        <w:rPr>
          <w:sz w:val="20"/>
          <w:szCs w:val="20"/>
          <w:color w:val="auto"/>
        </w:rPr>
      </w:pPr>
      <w:r>
        <w:rPr>
          <w:rFonts w:ascii="Arial" w:cs="Arial" w:eastAsia="Arial" w:hAnsi="Arial"/>
          <w:sz w:val="18"/>
          <w:szCs w:val="18"/>
          <w:b w:val="1"/>
          <w:bCs w:val="1"/>
          <w:i w:val="1"/>
          <w:iCs w:val="1"/>
          <w:color w:val="auto"/>
        </w:rPr>
        <w:t xml:space="preserve">Mexico. </w:t>
      </w:r>
      <w:r>
        <w:rPr>
          <w:rFonts w:ascii="Arial" w:cs="Arial" w:eastAsia="Arial" w:hAnsi="Arial"/>
          <w:sz w:val="18"/>
          <w:szCs w:val="18"/>
          <w:color w:val="auto"/>
        </w:rPr>
        <w:t>We offer defined contribution pension products, mutual funds, annuities and asset management services to institutional clients through our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wholly-owned companies.</w:t>
      </w:r>
    </w:p>
    <w:p>
      <w:pPr>
        <w:spacing w:after="0" w:line="186" w:lineRule="exact"/>
        <w:rPr>
          <w:sz w:val="20"/>
          <w:szCs w:val="20"/>
          <w:color w:val="auto"/>
        </w:rPr>
      </w:pPr>
    </w:p>
    <w:p>
      <w:pPr>
        <w:jc w:val="both"/>
        <w:ind w:firstLine="356"/>
        <w:spacing w:after="0" w:line="298" w:lineRule="auto"/>
        <w:rPr>
          <w:sz w:val="20"/>
          <w:szCs w:val="20"/>
          <w:color w:val="auto"/>
        </w:rPr>
      </w:pPr>
      <w:r>
        <w:rPr>
          <w:rFonts w:ascii="Arial" w:cs="Arial" w:eastAsia="Arial" w:hAnsi="Arial"/>
          <w:sz w:val="16"/>
          <w:szCs w:val="16"/>
          <w:color w:val="auto"/>
        </w:rPr>
        <w:t>Through our AFORE pension company, we manage and administer approximately 3.8 million individual retirement accounts under the mandatory privatized social security system for all non-government and government employees in Mexico. We distribute products and services through a proprietary sales force of approximately 1,000 sales representatives as of December 31, 2013, as well as independent brokers who sell directly to individuals. In addition, we have an agreement for the exclusive distribution of Principal AFORE's products through HSBC Bank's extensive network in Mexico through 2017.</w:t>
      </w:r>
    </w:p>
    <w:p>
      <w:pPr>
        <w:spacing w:after="0" w:line="167" w:lineRule="exact"/>
        <w:rPr>
          <w:sz w:val="20"/>
          <w:szCs w:val="20"/>
          <w:color w:val="auto"/>
        </w:rPr>
      </w:pPr>
    </w:p>
    <w:p>
      <w:pPr>
        <w:jc w:val="both"/>
        <w:ind w:firstLine="397"/>
        <w:spacing w:after="0" w:line="268" w:lineRule="auto"/>
        <w:rPr>
          <w:sz w:val="20"/>
          <w:szCs w:val="20"/>
          <w:color w:val="auto"/>
        </w:rPr>
      </w:pPr>
      <w:r>
        <w:rPr>
          <w:rFonts w:ascii="Arial" w:cs="Arial" w:eastAsia="Arial" w:hAnsi="Arial"/>
          <w:sz w:val="18"/>
          <w:szCs w:val="18"/>
          <w:color w:val="auto"/>
        </w:rPr>
        <w:t>Our mutual fund company distributes products and services through a sales force of approximately 70 employees and through distribution agreements with other financial entities. We administer previously sold annuities and life products.</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Mexico has institutional asset management services, offering both domestic and international products, typically sold direct.</w:t>
      </w:r>
    </w:p>
    <w:p>
      <w:pPr>
        <w:spacing w:after="0" w:line="225" w:lineRule="exact"/>
        <w:rPr>
          <w:sz w:val="20"/>
          <w:szCs w:val="20"/>
          <w:color w:val="auto"/>
        </w:rPr>
      </w:pPr>
    </w:p>
    <w:p>
      <w:pPr>
        <w:jc w:val="both"/>
        <w:ind w:firstLine="555"/>
        <w:spacing w:after="0" w:line="256" w:lineRule="auto"/>
        <w:rPr>
          <w:sz w:val="20"/>
          <w:szCs w:val="20"/>
          <w:color w:val="auto"/>
        </w:rPr>
      </w:pPr>
      <w:r>
        <w:rPr>
          <w:rFonts w:ascii="Arial" w:cs="Arial" w:eastAsia="Arial" w:hAnsi="Arial"/>
          <w:sz w:val="18"/>
          <w:szCs w:val="18"/>
          <w:b w:val="1"/>
          <w:bCs w:val="1"/>
          <w:i w:val="1"/>
          <w:iCs w:val="1"/>
          <w:color w:val="auto"/>
        </w:rPr>
        <w:t xml:space="preserve">Southeast Asia. </w:t>
      </w:r>
      <w:r>
        <w:rPr>
          <w:rFonts w:ascii="Arial" w:cs="Arial" w:eastAsia="Arial" w:hAnsi="Arial"/>
          <w:sz w:val="18"/>
          <w:szCs w:val="18"/>
          <w:color w:val="auto"/>
        </w:rPr>
        <w:t>We offer conventional and Islamic mutual funds and fund management services through our joint venture CIMB-Principal Asset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Management ("CPAM"). We own 40% and the partner is CIMB Group, the second largest Malaysian bank with a strong presence in many Asian countries. CPAM ranked second in total unit trust assets managed and second in Islamic unit trust assets managed in the Malaysian asset management industry as of December 31, 2013. CPAM also manages a significant amount of institutional asset mandates.</w:t>
      </w:r>
    </w:p>
    <w:p>
      <w:pPr>
        <w:spacing w:after="0" w:line="197" w:lineRule="exact"/>
        <w:rPr>
          <w:sz w:val="20"/>
          <w:szCs w:val="20"/>
          <w:color w:val="auto"/>
        </w:rPr>
      </w:pPr>
    </w:p>
    <w:p>
      <w:pPr>
        <w:jc w:val="both"/>
        <w:ind w:firstLine="379"/>
        <w:spacing w:after="0" w:line="259" w:lineRule="auto"/>
        <w:rPr>
          <w:sz w:val="20"/>
          <w:szCs w:val="20"/>
          <w:color w:val="auto"/>
        </w:rPr>
      </w:pPr>
      <w:r>
        <w:rPr>
          <w:rFonts w:ascii="Arial" w:cs="Arial" w:eastAsia="Arial" w:hAnsi="Arial"/>
          <w:sz w:val="18"/>
          <w:szCs w:val="18"/>
          <w:color w:val="auto"/>
        </w:rPr>
        <w:t>CPAM distributes mutual funds through the branches of its partner bank (approximately 1,300 bank branches throughout Malaysia, Indonesia, Thailand and Singapore) and through an agency sales force of approximately 5,100 agents selling to retail customers. CPAM also distributes its mutual funds through third party institutions including other banks and security houses.</w:t>
      </w:r>
    </w:p>
    <w:p>
      <w:pPr>
        <w:spacing w:after="0" w:line="19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of December 31, 2013 CPAM ranked second in private retirement schemes managed in the new voluntary retirement market.</w:t>
      </w:r>
    </w:p>
    <w:p>
      <w:pPr>
        <w:spacing w:after="0" w:line="225" w:lineRule="exact"/>
        <w:rPr>
          <w:sz w:val="20"/>
          <w:szCs w:val="20"/>
          <w:color w:val="auto"/>
        </w:rPr>
      </w:pPr>
    </w:p>
    <w:p>
      <w:pPr>
        <w:jc w:val="both"/>
        <w:ind w:firstLine="404"/>
        <w:spacing w:after="0" w:line="268" w:lineRule="auto"/>
        <w:rPr>
          <w:sz w:val="20"/>
          <w:szCs w:val="20"/>
          <w:color w:val="auto"/>
        </w:rPr>
      </w:pPr>
      <w:r>
        <w:rPr>
          <w:rFonts w:ascii="Arial" w:cs="Arial" w:eastAsia="Arial" w:hAnsi="Arial"/>
          <w:sz w:val="18"/>
          <w:szCs w:val="18"/>
          <w:color w:val="auto"/>
        </w:rPr>
        <w:t>The joint venture also has wholly owned subsidiaries in Singapore (CIMB-Principal Asset Management (S) Pte Ltd), Indonesia (PT CIMB-Principal Asset Management) and Thailand (CIMB-Principal Asset Management Company Limited).</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 w:name="page15"/>
    <w:bookmarkEnd w:id="1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 Insurance Solutions Segment</w:t>
      </w:r>
    </w:p>
    <w:p>
      <w:pPr>
        <w:spacing w:after="0" w:line="231" w:lineRule="exact"/>
        <w:rPr>
          <w:sz w:val="20"/>
          <w:szCs w:val="20"/>
          <w:color w:val="auto"/>
        </w:rPr>
      </w:pPr>
    </w:p>
    <w:p>
      <w:pPr>
        <w:jc w:val="both"/>
        <w:ind w:firstLine="395"/>
        <w:spacing w:after="0" w:line="306" w:lineRule="auto"/>
        <w:rPr>
          <w:sz w:val="20"/>
          <w:szCs w:val="20"/>
          <w:color w:val="auto"/>
        </w:rPr>
      </w:pPr>
      <w:r>
        <w:rPr>
          <w:rFonts w:ascii="Arial" w:cs="Arial" w:eastAsia="Arial" w:hAnsi="Arial"/>
          <w:sz w:val="16"/>
          <w:szCs w:val="16"/>
          <w:color w:val="auto"/>
        </w:rPr>
        <w:t>Our U.S. Insurance Solutions segment offers individual and group insurance solutions. We focus on providing comprehensive insurance solutions for small and medium-sized businesses and their owners and executives. We organize our operations into two divisions: Individual Life Insurance and Specialty Benefits Insurance. However, we share key resources in our core areas such as strategic leadership, distribution, and marketing.</w:t>
      </w: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Individual Life Insurance</w:t>
      </w:r>
    </w:p>
    <w:p>
      <w:pPr>
        <w:spacing w:after="0" w:line="231" w:lineRule="exact"/>
        <w:rPr>
          <w:sz w:val="20"/>
          <w:szCs w:val="20"/>
          <w:color w:val="auto"/>
        </w:rPr>
      </w:pPr>
    </w:p>
    <w:p>
      <w:pPr>
        <w:jc w:val="both"/>
        <w:ind w:firstLine="583"/>
        <w:spacing w:after="0" w:line="259" w:lineRule="auto"/>
        <w:rPr>
          <w:sz w:val="20"/>
          <w:szCs w:val="20"/>
          <w:color w:val="auto"/>
        </w:rPr>
      </w:pPr>
      <w:r>
        <w:rPr>
          <w:rFonts w:ascii="Arial" w:cs="Arial" w:eastAsia="Arial" w:hAnsi="Arial"/>
          <w:sz w:val="18"/>
          <w:szCs w:val="18"/>
          <w:color w:val="auto"/>
        </w:rPr>
        <w:t>We began as an individual life insurer in 1879. Our U.S. operations administer approximately 546,000 individual life insurance policies with over $197 billion of individual life insurance in force as of December 31, 2013. We assist not only in personal insurance but also specialize in business insurance needs for small to medium-sized companies through our wide range of business and nonqualified solutions.</w:t>
      </w:r>
    </w:p>
    <w:p>
      <w:pPr>
        <w:spacing w:after="0" w:line="194" w:lineRule="exact"/>
        <w:rPr>
          <w:sz w:val="20"/>
          <w:szCs w:val="20"/>
          <w:color w:val="auto"/>
        </w:rPr>
      </w:pPr>
    </w:p>
    <w:p>
      <w:pPr>
        <w:jc w:val="both"/>
        <w:ind w:right="20" w:firstLine="359"/>
        <w:spacing w:after="0" w:line="259" w:lineRule="auto"/>
        <w:rPr>
          <w:sz w:val="20"/>
          <w:szCs w:val="20"/>
          <w:color w:val="auto"/>
        </w:rPr>
      </w:pPr>
      <w:r>
        <w:rPr>
          <w:rFonts w:ascii="Arial" w:cs="Arial" w:eastAsia="Arial" w:hAnsi="Arial"/>
          <w:sz w:val="18"/>
          <w:szCs w:val="18"/>
          <w:color w:val="auto"/>
        </w:rPr>
        <w:t>Small and medium-sized companies are challenged with how to build quality benefits packages for executives, how to transition the company's ownership to a partner or family member and how to save for retirement. In addition, executives and other key employees often have personal insurance needs. These needs are the focus of our products within the individual life insurance arena.</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Products and Services</w:t>
      </w:r>
    </w:p>
    <w:p>
      <w:pPr>
        <w:spacing w:after="0" w:line="225" w:lineRule="exact"/>
        <w:rPr>
          <w:sz w:val="20"/>
          <w:szCs w:val="20"/>
          <w:color w:val="auto"/>
        </w:rPr>
      </w:pPr>
    </w:p>
    <w:p>
      <w:pPr>
        <w:jc w:val="both"/>
        <w:ind w:firstLine="397"/>
        <w:spacing w:after="0" w:line="298" w:lineRule="auto"/>
        <w:rPr>
          <w:sz w:val="20"/>
          <w:szCs w:val="20"/>
          <w:color w:val="auto"/>
        </w:rPr>
      </w:pPr>
      <w:r>
        <w:rPr>
          <w:rFonts w:ascii="Arial" w:cs="Arial" w:eastAsia="Arial" w:hAnsi="Arial"/>
          <w:sz w:val="16"/>
          <w:szCs w:val="16"/>
          <w:color w:val="auto"/>
        </w:rPr>
        <w:t>Our Business Owner and Executive Solutions platform as well as our nonqualified deferred compensation offering combines administration and consulting to service our clients' needs. We target the business and personal insurance needs of owners and executives of small and medium-sized businesses with an increasing focus on providing insurance solutions for nonqualified executive benefits. In addition, we market our products to meet traditional retail insurance needs. We offer a variety of individual life insurance products, including universal life insurance, variable universal life insurance and term life insurance.</w:t>
      </w:r>
    </w:p>
    <w:p>
      <w:pPr>
        <w:spacing w:after="0" w:line="167" w:lineRule="exact"/>
        <w:rPr>
          <w:sz w:val="20"/>
          <w:szCs w:val="20"/>
          <w:color w:val="auto"/>
        </w:rPr>
      </w:pPr>
    </w:p>
    <w:p>
      <w:pPr>
        <w:jc w:val="both"/>
        <w:ind w:firstLine="393"/>
        <w:spacing w:after="0" w:line="254" w:lineRule="auto"/>
        <w:rPr>
          <w:sz w:val="20"/>
          <w:szCs w:val="20"/>
          <w:color w:val="auto"/>
        </w:rPr>
      </w:pPr>
      <w:r>
        <w:rPr>
          <w:rFonts w:ascii="Arial" w:cs="Arial" w:eastAsia="Arial" w:hAnsi="Arial"/>
          <w:sz w:val="18"/>
          <w:szCs w:val="18"/>
          <w:b w:val="1"/>
          <w:bCs w:val="1"/>
          <w:i w:val="1"/>
          <w:iCs w:val="1"/>
          <w:color w:val="auto"/>
        </w:rPr>
        <w:t xml:space="preserve">Universal and Variable Universal Life Insurance. </w:t>
      </w:r>
      <w:r>
        <w:rPr>
          <w:rFonts w:ascii="Arial" w:cs="Arial" w:eastAsia="Arial" w:hAnsi="Arial"/>
          <w:sz w:val="18"/>
          <w:szCs w:val="18"/>
          <w:color w:val="auto"/>
        </w:rPr>
        <w:t>Universal and variable universal life insurance products offer the policyholder the option of adjusting</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both the premium and the death benefit amounts of the insurance contract. Universal life insurance typically includes a cash value account that accumulates at a credited interest rate based on the investment returns of the block of business. Variable universal life insurance is credited with the investment returns of the various investment options selected. For the year ended December 31, 2013, 72% of individual life insurance annualized first year premium sales were generated from universal and variable universal life insurance products. Universal and variable universal life insurance represents 40% of individual life insurance in force as of December 31, 2013.</w:t>
      </w:r>
    </w:p>
    <w:p>
      <w:pPr>
        <w:spacing w:after="0" w:line="198" w:lineRule="exact"/>
        <w:rPr>
          <w:sz w:val="20"/>
          <w:szCs w:val="20"/>
          <w:color w:val="auto"/>
        </w:rPr>
      </w:pPr>
    </w:p>
    <w:p>
      <w:pPr>
        <w:jc w:val="both"/>
        <w:ind w:firstLine="463"/>
        <w:spacing w:after="0" w:line="289" w:lineRule="auto"/>
        <w:rPr>
          <w:sz w:val="20"/>
          <w:szCs w:val="20"/>
          <w:color w:val="auto"/>
        </w:rPr>
      </w:pPr>
      <w:r>
        <w:rPr>
          <w:rFonts w:ascii="Arial" w:cs="Arial" w:eastAsia="Arial" w:hAnsi="Arial"/>
          <w:sz w:val="16"/>
          <w:szCs w:val="16"/>
          <w:color w:val="auto"/>
        </w:rPr>
        <w:t>After a deduction for policy level expenses, we credit net deposits to an account maintained for the policyholder. For universal life contracts, the entire account balance is invested in the general account. Interest is credited to the policyholder's account based on the earnings on general account investments. For variable universal life contracts, the policyholder may allocate the account balance among our general account and a variety of mutual funds underlying the contract. Interest is credited on amounts allocated to the Principal Life general account in the same manner as for universal life. Net investment performance on mutual funds is allocated directly to the policyholder accounts; the policyholder bears the investment risk. Some of our universal life and variable universal life insurance contracts contain what are commonly referred to as "secondary" or "no-lapse" guarantee provisions. A no-lapse guarantee keeps the contract in force, even if the contractholder's account balance is insufficient to cover all of the contract charges, provided that the contractholder has continually paid a specified minimum premium.</w:t>
      </w:r>
    </w:p>
    <w:p>
      <w:pPr>
        <w:spacing w:after="0" w:line="172" w:lineRule="exact"/>
        <w:rPr>
          <w:sz w:val="20"/>
          <w:szCs w:val="20"/>
          <w:color w:val="auto"/>
        </w:rPr>
      </w:pPr>
    </w:p>
    <w:p>
      <w:pPr>
        <w:jc w:val="both"/>
        <w:ind w:firstLine="405"/>
        <w:spacing w:after="0" w:line="254" w:lineRule="auto"/>
        <w:rPr>
          <w:sz w:val="20"/>
          <w:szCs w:val="20"/>
          <w:color w:val="auto"/>
        </w:rPr>
      </w:pPr>
      <w:r>
        <w:rPr>
          <w:rFonts w:ascii="Arial" w:cs="Arial" w:eastAsia="Arial" w:hAnsi="Arial"/>
          <w:sz w:val="18"/>
          <w:szCs w:val="18"/>
          <w:b w:val="1"/>
          <w:bCs w:val="1"/>
          <w:i w:val="1"/>
          <w:iCs w:val="1"/>
          <w:color w:val="auto"/>
        </w:rPr>
        <w:t xml:space="preserve">Traditional Life Insurance. </w:t>
      </w:r>
      <w:r>
        <w:rPr>
          <w:rFonts w:ascii="Arial" w:cs="Arial" w:eastAsia="Arial" w:hAnsi="Arial"/>
          <w:sz w:val="18"/>
          <w:szCs w:val="18"/>
          <w:color w:val="auto"/>
        </w:rPr>
        <w:t>Traditional life insurance includes participating whole life, adjustable life products and non-participating term life insurance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products. Participating products and non-participating term life insurance products represented 28% of our individual life insurance annualized first year premium sales for the year ended December 31, 2013, and 60% of individual life insurance in force as of December 31, 2013. Adjustable life insurance products provide a guaranteed benefit in return for the payment of a fixed premium and allow the policyholder to set the coverage period, premium and face amount combination. Term insurance products provide a guaranteed death benefit for a specified period of time in return for the payment of a fixed premium. Policyholder dividends are not paid on term insurance.</w:t>
      </w: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Specialty Benefits Insurance</w:t>
      </w:r>
    </w:p>
    <w:p>
      <w:pPr>
        <w:spacing w:after="0" w:line="231" w:lineRule="exact"/>
        <w:rPr>
          <w:sz w:val="20"/>
          <w:szCs w:val="20"/>
          <w:color w:val="auto"/>
        </w:rPr>
      </w:pPr>
    </w:p>
    <w:p>
      <w:pPr>
        <w:jc w:val="both"/>
        <w:ind w:firstLine="359"/>
        <w:spacing w:after="0" w:line="259" w:lineRule="auto"/>
        <w:rPr>
          <w:sz w:val="20"/>
          <w:szCs w:val="20"/>
          <w:color w:val="auto"/>
        </w:rPr>
      </w:pPr>
      <w:r>
        <w:rPr>
          <w:rFonts w:ascii="Arial" w:cs="Arial" w:eastAsia="Arial" w:hAnsi="Arial"/>
          <w:sz w:val="18"/>
          <w:szCs w:val="18"/>
          <w:color w:val="auto"/>
        </w:rPr>
        <w:t>Specialty benefits insurance, which includes group dental, vision, life and disability insurance and individual disability insurance, is an important component of the employee benefit offering at small and medium-sized businesses. We offer traditional employer sponsored and voluntary products for group dental, vision, life and disability. We also offer group dental, vision, and disability on a fee-for-service basis.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Products and Services</w:t>
      </w:r>
    </w:p>
    <w:p>
      <w:pPr>
        <w:spacing w:after="0" w:line="225" w:lineRule="exact"/>
        <w:rPr>
          <w:sz w:val="20"/>
          <w:szCs w:val="20"/>
          <w:color w:val="auto"/>
        </w:rPr>
      </w:pPr>
    </w:p>
    <w:p>
      <w:pPr>
        <w:jc w:val="both"/>
        <w:ind w:firstLine="396"/>
        <w:spacing w:after="0" w:line="298" w:lineRule="auto"/>
        <w:rPr>
          <w:sz w:val="20"/>
          <w:szCs w:val="20"/>
          <w:color w:val="auto"/>
        </w:rPr>
      </w:pPr>
      <w:r>
        <w:rPr>
          <w:rFonts w:ascii="Arial" w:cs="Arial" w:eastAsia="Arial" w:hAnsi="Arial"/>
          <w:sz w:val="16"/>
          <w:szCs w:val="16"/>
          <w:b w:val="1"/>
          <w:bCs w:val="1"/>
          <w:i w:val="1"/>
          <w:iCs w:val="1"/>
          <w:color w:val="auto"/>
        </w:rPr>
        <w:t xml:space="preserve">Group Dental and Vision Insurance. </w:t>
      </w:r>
      <w:r>
        <w:rPr>
          <w:rFonts w:ascii="Arial" w:cs="Arial" w:eastAsia="Arial" w:hAnsi="Arial"/>
          <w:sz w:val="16"/>
          <w:szCs w:val="16"/>
          <w:color w:val="auto"/>
        </w:rPr>
        <w:t>We began selling group dental and vision insurance in the late 1960's. Our plans provide partial reimbursement for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dental and vision expenses. As of December 31, 2013, we had over 34,000 group dental and vision insurance policies in force covering nearly 902,000 employee lives. According to Life Insurance and Market Research Association ("LIMRA"), we were the 7th largest group dental insurer in terms of number of contracts/employer groups in force in 2012. In addition to indemnity and preferred provider organization dental offered on both an employer</w:t>
      </w:r>
    </w:p>
    <w:p>
      <w:pPr>
        <w:sectPr>
          <w:pgSz w:w="11900" w:h="16838" w:orient="portrait"/>
          <w:cols w:equalWidth="0" w:num="1">
            <w:col w:w="11420"/>
          </w:cols>
          <w:pgMar w:left="240" w:top="131" w:right="239" w:bottom="1440" w:gutter="0" w:footer="0" w:header="0"/>
        </w:sectPr>
      </w:pP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5" w:name="page16"/>
    <w:bookmarkEnd w:id="1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paid and voluntary basis, we offer a prepaid dental plan in Arizona through our Employers Dental Services, Inc. subsidiary. On November 1, 2012, we finalized the purchase of a 100% interest in First Dental Health, a California based independent dental preferred provider organization. We acquired First Dental Health to expand our owned dental networks primarily in California.</w:t>
      </w:r>
    </w:p>
    <w:p>
      <w:pPr>
        <w:spacing w:after="0" w:line="194" w:lineRule="exact"/>
        <w:rPr>
          <w:sz w:val="20"/>
          <w:szCs w:val="20"/>
          <w:color w:val="auto"/>
        </w:rPr>
      </w:pPr>
    </w:p>
    <w:p>
      <w:pPr>
        <w:jc w:val="both"/>
        <w:ind w:firstLine="362"/>
        <w:spacing w:after="0" w:line="253" w:lineRule="auto"/>
        <w:rPr>
          <w:sz w:val="20"/>
          <w:szCs w:val="20"/>
          <w:color w:val="auto"/>
        </w:rPr>
      </w:pPr>
      <w:r>
        <w:rPr>
          <w:rFonts w:ascii="Arial" w:cs="Arial" w:eastAsia="Arial" w:hAnsi="Arial"/>
          <w:sz w:val="18"/>
          <w:szCs w:val="18"/>
          <w:b w:val="1"/>
          <w:bCs w:val="1"/>
          <w:i w:val="1"/>
          <w:iCs w:val="1"/>
          <w:color w:val="auto"/>
        </w:rPr>
        <w:t xml:space="preserve">Group Life Insurance. </w:t>
      </w:r>
      <w:r>
        <w:rPr>
          <w:rFonts w:ascii="Arial" w:cs="Arial" w:eastAsia="Arial" w:hAnsi="Arial"/>
          <w:sz w:val="18"/>
          <w:szCs w:val="18"/>
          <w:color w:val="auto"/>
        </w:rPr>
        <w:t>Group life insurance was one of our first group products beginning in the early 1940's. Our group life insurance provides coverage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to employees and their dependents for a specified period. As of December 31, 2013, we had over 47,000 group policies providing nearly $117.6 billion of group life insurance in force to approximately 1.9 million employee lives. According to LIMRA in 2012, we were ranked 4th in the U.S. in terms of the number of group life insurance contracts in force. We currently sell traditional group life insurance that does not provide for accumulation of cash values on both an employer paid and voluntary basis. Our group life insurance business remains focused on the traditional, annually renewable term product. Group term life and group universal life accounted for 97% and 3%, respectively, of our total group life insurance in force as of December 31, 2013. We no longer market group universal life insurance to new employer groups.</w:t>
      </w:r>
    </w:p>
    <w:p>
      <w:pPr>
        <w:spacing w:after="0" w:line="201" w:lineRule="exact"/>
        <w:rPr>
          <w:sz w:val="20"/>
          <w:szCs w:val="20"/>
          <w:color w:val="auto"/>
        </w:rPr>
      </w:pPr>
    </w:p>
    <w:p>
      <w:pPr>
        <w:jc w:val="both"/>
        <w:ind w:firstLine="448"/>
        <w:spacing w:after="0" w:line="287" w:lineRule="auto"/>
        <w:rPr>
          <w:sz w:val="20"/>
          <w:szCs w:val="20"/>
          <w:color w:val="auto"/>
        </w:rPr>
      </w:pPr>
      <w:r>
        <w:rPr>
          <w:rFonts w:ascii="Arial" w:cs="Arial" w:eastAsia="Arial" w:hAnsi="Arial"/>
          <w:sz w:val="16"/>
          <w:szCs w:val="16"/>
          <w:b w:val="1"/>
          <w:bCs w:val="1"/>
          <w:i w:val="1"/>
          <w:iCs w:val="1"/>
          <w:color w:val="auto"/>
        </w:rPr>
        <w:t xml:space="preserve">Group Disability Insurance. </w:t>
      </w:r>
      <w:r>
        <w:rPr>
          <w:rFonts w:ascii="Arial" w:cs="Arial" w:eastAsia="Arial" w:hAnsi="Arial"/>
          <w:sz w:val="16"/>
          <w:szCs w:val="16"/>
          <w:color w:val="auto"/>
        </w:rPr>
        <w:t>Group disability insurance has also been sold since the early 1940's. Our group disability insurance provides a benefit to</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insured employees who become disabled. In most instances, this benefit is in the form of a monthly income. Our group disability products include both short-term and long-term disability, offered on both an employer paid and voluntary basis. As of December 31, 2013, long-term disability represents 63% of total group disability premium, while short-term disability represents 37% of total group disability premium. In addition, we provide disability management services, also called rehabilitation services, to assist individuals in returning to work as quickly as possible following disability. We also work with disability claimants to improve the approval rate of Social Security benefits, thereby reducing payment of benefits by the amount of Social Security payments received. As of December 31, 2013, we served approximately 1.4 million employee lives under nearly 35,000 contracts. According to LIMRA, our group short-term disability business was ranked 6th and our group long-term disability business was ranked 4th in the U.S. as of December 31, 2012, in terms of number of contracts/employer groups in force. We recently expanded our product offering to include voluntary critical illness insurance. The insurance provides a lump-sum cash benefit to pay for additional expenses associated with the five most common critical illnesses.</w:t>
      </w:r>
    </w:p>
    <w:p>
      <w:pPr>
        <w:spacing w:after="0" w:line="177" w:lineRule="exact"/>
        <w:rPr>
          <w:sz w:val="20"/>
          <w:szCs w:val="20"/>
          <w:color w:val="auto"/>
        </w:rPr>
      </w:pPr>
    </w:p>
    <w:p>
      <w:pPr>
        <w:jc w:val="both"/>
        <w:ind w:firstLine="384"/>
        <w:spacing w:after="0" w:line="253" w:lineRule="auto"/>
        <w:rPr>
          <w:sz w:val="20"/>
          <w:szCs w:val="20"/>
          <w:color w:val="auto"/>
        </w:rPr>
      </w:pPr>
      <w:r>
        <w:rPr>
          <w:rFonts w:ascii="Arial" w:cs="Arial" w:eastAsia="Arial" w:hAnsi="Arial"/>
          <w:sz w:val="18"/>
          <w:szCs w:val="18"/>
          <w:b w:val="1"/>
          <w:bCs w:val="1"/>
          <w:i w:val="1"/>
          <w:iCs w:val="1"/>
          <w:color w:val="auto"/>
        </w:rPr>
        <w:t xml:space="preserve">Individual Disability Insurance. </w:t>
      </w:r>
      <w:r>
        <w:rPr>
          <w:rFonts w:ascii="Arial" w:cs="Arial" w:eastAsia="Arial" w:hAnsi="Arial"/>
          <w:sz w:val="18"/>
          <w:szCs w:val="18"/>
          <w:color w:val="auto"/>
        </w:rPr>
        <w:t>Individual disability insurance has been sold since the early 1950's. Our individual disability insurance products provide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income protection to the insured member and/or business in the event of disability. In most instances, this benefit is in the form of a monthly income. In addition to income replacement, we offer products to pay business-related costs such as overhead expenses for a disabled business owner, buy-out costs for business owners purchasing a disabled owner's interest in the business, expenditures for replacement of a key person and business loan payments. We also offer a product to protect retirement savings in the event of disability. As of December 31, 2013, we served approximately 159,000 individual disability policyholders. According to LIMRA, our individual disability business is ranked 5th in the U.S. in terms of premium in force in the non-cancellable segment of the market and 7th overall, as of December 31, 2012.</w:t>
      </w:r>
    </w:p>
    <w:p>
      <w:pPr>
        <w:spacing w:after="0" w:line="201" w:lineRule="exact"/>
        <w:rPr>
          <w:sz w:val="20"/>
          <w:szCs w:val="20"/>
          <w:color w:val="auto"/>
        </w:rPr>
      </w:pPr>
    </w:p>
    <w:p>
      <w:pPr>
        <w:ind w:left="360"/>
        <w:spacing w:after="0"/>
        <w:tabs>
          <w:tab w:leader="none" w:pos="1680" w:val="left"/>
        </w:tabs>
        <w:rPr>
          <w:sz w:val="20"/>
          <w:szCs w:val="20"/>
          <w:color w:val="auto"/>
        </w:rPr>
      </w:pPr>
      <w:r>
        <w:rPr>
          <w:rFonts w:ascii="Arial" w:cs="Arial" w:eastAsia="Arial" w:hAnsi="Arial"/>
          <w:sz w:val="18"/>
          <w:szCs w:val="18"/>
          <w:b w:val="1"/>
          <w:bCs w:val="1"/>
          <w:i w:val="1"/>
          <w:iCs w:val="1"/>
          <w:color w:val="auto"/>
        </w:rPr>
        <w:t>Fee-for-Service.</w:t>
      </w:r>
      <w:r>
        <w:rPr>
          <w:sz w:val="20"/>
          <w:szCs w:val="20"/>
          <w:color w:val="auto"/>
        </w:rPr>
        <w:tab/>
      </w:r>
      <w:r>
        <w:rPr>
          <w:rFonts w:ascii="Arial" w:cs="Arial" w:eastAsia="Arial" w:hAnsi="Arial"/>
          <w:sz w:val="16"/>
          <w:szCs w:val="16"/>
          <w:color w:val="auto"/>
        </w:rPr>
        <w:t>We offer administration of group dental, disability and vision benefits on a fee-for-service basis.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 Insurance Solutions Markets and Distribution</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For each of our products, administration and distribution channels are customized to meet customer needs and expectations for that product.</w:t>
      </w:r>
    </w:p>
    <w:p>
      <w:pPr>
        <w:spacing w:after="0" w:line="248" w:lineRule="exact"/>
        <w:rPr>
          <w:sz w:val="20"/>
          <w:szCs w:val="20"/>
          <w:color w:val="auto"/>
        </w:rPr>
      </w:pPr>
    </w:p>
    <w:p>
      <w:pPr>
        <w:jc w:val="both"/>
        <w:ind w:firstLine="379"/>
        <w:spacing w:after="0" w:line="291" w:lineRule="auto"/>
        <w:rPr>
          <w:sz w:val="20"/>
          <w:szCs w:val="20"/>
          <w:color w:val="auto"/>
        </w:rPr>
      </w:pPr>
      <w:r>
        <w:rPr>
          <w:rFonts w:ascii="Arial" w:cs="Arial" w:eastAsia="Arial" w:hAnsi="Arial"/>
          <w:sz w:val="16"/>
          <w:szCs w:val="16"/>
          <w:color w:val="auto"/>
        </w:rPr>
        <w:t>We sell our individual life and individual disability income products in all 50 states and the District of Columbia, primarily targeting owners and executives of small and medium-sized businesses. Small and medium-sized business sales represented 57% of individual life sales and 63% of individual disability sales for the year ended December 31, 2013. Much of our life insurance sales efforts focus on the Business Owner &amp; Executive Solutions market. This strategy offers solutions to address business owner financial challenges such as exiting the business, business transition, retaining key employees and retirement planning. Key employees also have needs to supplement retirement income, survivor income, and business protection. We believe the Business Owner &amp; Executive Solutions segment offers growth opportunities and we will continue to develop strategies to capitalize on this expanding market.</w:t>
      </w:r>
    </w:p>
    <w:p>
      <w:pPr>
        <w:spacing w:after="0" w:line="174" w:lineRule="exact"/>
        <w:rPr>
          <w:sz w:val="20"/>
          <w:szCs w:val="20"/>
          <w:color w:val="auto"/>
        </w:rPr>
      </w:pPr>
    </w:p>
    <w:p>
      <w:pPr>
        <w:jc w:val="both"/>
        <w:ind w:firstLine="360"/>
        <w:spacing w:after="0" w:line="289" w:lineRule="auto"/>
        <w:rPr>
          <w:sz w:val="20"/>
          <w:szCs w:val="20"/>
          <w:color w:val="auto"/>
        </w:rPr>
      </w:pPr>
      <w:r>
        <w:rPr>
          <w:rFonts w:ascii="Arial" w:cs="Arial" w:eastAsia="Arial" w:hAnsi="Arial"/>
          <w:sz w:val="16"/>
          <w:szCs w:val="16"/>
          <w:color w:val="auto"/>
        </w:rPr>
        <w:t>We distribute our individual life and individual disability insurance products through our affiliated financial representatives and independent brokers, as well as other marketing and distribution alliances. Affiliated financial representatives were responsible for 23% of individual life insurance sales based on first year annualized premium and 14% of individual disability sales for the year ended December 31, 2013. We had 1,121 affiliated financial representatives in 31 offices as of December 31, 2013. Although they are independent contractors, we have a close tie with affiliated financial representatives and we offer them benefits, training and access to tools and expertise. To meet the needs of the various marketing channels, particularly the independent brokers, we employ wholesale distributors — Regional Vice Presidents for individual life and Regional Vice Presidents for individual disability. A key differentiator in the nonqualified executive benefit sale is our Regional Vice Presidents-Nonqualified Plans, who are not only wholesalers but also consultants and subject-matter experts providing point-of-sale support in closing cases.</w:t>
      </w:r>
    </w:p>
    <w:p>
      <w:pPr>
        <w:spacing w:after="0" w:line="172" w:lineRule="exact"/>
        <w:rPr>
          <w:sz w:val="20"/>
          <w:szCs w:val="20"/>
          <w:color w:val="auto"/>
        </w:rPr>
      </w:pPr>
    </w:p>
    <w:p>
      <w:pPr>
        <w:jc w:val="both"/>
        <w:ind w:firstLine="355"/>
        <w:spacing w:after="0" w:line="259" w:lineRule="auto"/>
        <w:rPr>
          <w:sz w:val="20"/>
          <w:szCs w:val="20"/>
          <w:color w:val="auto"/>
        </w:rPr>
      </w:pPr>
      <w:r>
        <w:rPr>
          <w:rFonts w:ascii="Arial" w:cs="Arial" w:eastAsia="Arial" w:hAnsi="Arial"/>
          <w:sz w:val="18"/>
          <w:szCs w:val="18"/>
          <w:color w:val="auto"/>
        </w:rPr>
        <w:t>We market our group life, disability, dental and vision insurance products to small and medium-sized businesses, primarily targeting our sales toward owners and human resources professionals. We sell our group life, disability, dental and vision products in all 50 states and the District of Columbia. We continually adapt our products and pricing to meet</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268" w:lineRule="auto"/>
        <w:rPr>
          <w:sz w:val="20"/>
          <w:szCs w:val="20"/>
          <w:color w:val="auto"/>
        </w:rPr>
      </w:pPr>
      <w:r>
        <w:rPr>
          <w:rFonts w:ascii="Arial" w:cs="Arial" w:eastAsia="Arial" w:hAnsi="Arial"/>
          <w:sz w:val="18"/>
          <w:szCs w:val="18"/>
          <w:color w:val="auto"/>
        </w:rPr>
        <w:t>local market conditions. We market our fee-for-service capabilities to employers that self-insure their employees' dental, disability and vision benefits. We market our fee-for-service businesses in all 50 states and the District of Columbia.</w:t>
      </w:r>
    </w:p>
    <w:p>
      <w:pPr>
        <w:spacing w:after="0" w:line="186" w:lineRule="exact"/>
        <w:rPr>
          <w:sz w:val="20"/>
          <w:szCs w:val="20"/>
          <w:color w:val="auto"/>
        </w:rPr>
      </w:pPr>
    </w:p>
    <w:p>
      <w:pPr>
        <w:jc w:val="both"/>
        <w:ind w:firstLine="478"/>
        <w:spacing w:after="0" w:line="306" w:lineRule="auto"/>
        <w:rPr>
          <w:sz w:val="20"/>
          <w:szCs w:val="20"/>
          <w:color w:val="auto"/>
        </w:rPr>
      </w:pPr>
      <w:r>
        <w:rPr>
          <w:rFonts w:ascii="Arial" w:cs="Arial" w:eastAsia="Arial" w:hAnsi="Arial"/>
          <w:sz w:val="16"/>
          <w:szCs w:val="16"/>
          <w:color w:val="auto"/>
        </w:rPr>
        <w:t>The group insurance market continues to see a shift to voluntary/worksite products due to various pressures on employers. In keeping with this market change, which shifts the funding of such products from the employer to the employee, we continue to place an enhanced focus on our voluntary benefits platform. We believe the voluntary/worksite market presents growth opportunities, and we will continue to develop strategies to capitalize on this expanding market.</w:t>
      </w:r>
    </w:p>
    <w:p>
      <w:pPr>
        <w:spacing w:after="0" w:line="161" w:lineRule="exact"/>
        <w:rPr>
          <w:sz w:val="20"/>
          <w:szCs w:val="20"/>
          <w:color w:val="auto"/>
        </w:rPr>
      </w:pPr>
    </w:p>
    <w:p>
      <w:pPr>
        <w:jc w:val="both"/>
        <w:ind w:firstLine="352"/>
        <w:spacing w:after="0" w:line="298" w:lineRule="auto"/>
        <w:rPr>
          <w:sz w:val="20"/>
          <w:szCs w:val="20"/>
          <w:color w:val="auto"/>
        </w:rPr>
      </w:pPr>
      <w:r>
        <w:rPr>
          <w:rFonts w:ascii="Arial" w:cs="Arial" w:eastAsia="Arial" w:hAnsi="Arial"/>
          <w:sz w:val="16"/>
          <w:szCs w:val="16"/>
          <w:color w:val="auto"/>
        </w:rPr>
        <w:t>As of December 31, 2013, we had 108 sales representatives and 131 service representatives in 28 offices. Our sales representatives accounted for 97% of our group insurance sales for the year ended December 31, 2013. The group sales force plays a key role in the ongoing servicing of the case by providing local, responsive services to our customers and their brokers, such as renewing contracts, revising plans and solving any administrative issues; communicating the customers' needs and feedback to us and helping employees understand the benefits of their plans.</w:t>
      </w:r>
    </w:p>
    <w:p>
      <w:pPr>
        <w:spacing w:after="0" w:line="3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Segment</w:t>
      </w:r>
    </w:p>
    <w:p>
      <w:pPr>
        <w:spacing w:after="0" w:line="231" w:lineRule="exact"/>
        <w:rPr>
          <w:sz w:val="20"/>
          <w:szCs w:val="20"/>
          <w:color w:val="auto"/>
        </w:rPr>
      </w:pPr>
    </w:p>
    <w:p>
      <w:pPr>
        <w:jc w:val="both"/>
        <w:ind w:firstLine="387"/>
        <w:spacing w:after="0" w:line="294" w:lineRule="auto"/>
        <w:rPr>
          <w:sz w:val="20"/>
          <w:szCs w:val="20"/>
          <w:color w:val="auto"/>
        </w:rPr>
      </w:pPr>
      <w:r>
        <w:rPr>
          <w:rFonts w:ascii="Arial" w:cs="Arial" w:eastAsia="Arial" w:hAnsi="Arial"/>
          <w:sz w:val="16"/>
          <w:szCs w:val="16"/>
          <w:color w:val="auto"/>
        </w:rPr>
        <w:t>Our Corporate segment manages the assets representing capital that has not been allocated to any other segment. Financial results of the Corporate segment primarily reflect our financing activities (including interest expense and preferred stock dividends), income on capital not allocated to other segments, inter-segment eliminations, income tax risks and certain income, expenses and other after-tax adjustments not allocated to the segments based on the nature of such items. Results of our exited group medical insurance business are reported in this segment. For further details, see Item 7. "Management's Discussion and Analysis of Financial Condition and Results of Operations — Transactions Affecting Comparability of Results of Operations."</w:t>
      </w:r>
    </w:p>
    <w:p>
      <w:pPr>
        <w:spacing w:after="0" w:line="3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231" w:lineRule="exact"/>
        <w:rPr>
          <w:sz w:val="20"/>
          <w:szCs w:val="20"/>
          <w:color w:val="auto"/>
        </w:rPr>
      </w:pPr>
    </w:p>
    <w:p>
      <w:pPr>
        <w:jc w:val="both"/>
        <w:ind w:firstLine="547"/>
        <w:spacing w:after="0" w:line="318" w:lineRule="auto"/>
        <w:rPr>
          <w:sz w:val="20"/>
          <w:szCs w:val="20"/>
          <w:color w:val="auto"/>
        </w:rPr>
      </w:pPr>
      <w:r>
        <w:rPr>
          <w:rFonts w:ascii="Arial" w:cs="Arial" w:eastAsia="Arial" w:hAnsi="Arial"/>
          <w:sz w:val="15"/>
          <w:szCs w:val="15"/>
          <w:color w:val="auto"/>
        </w:rPr>
        <w:t>Competition in our segments is based on a number of factors including: scale, service, product features, price, investment performance, commission structure, distribution capacity, financial strength ratings and name recognition. We compete with a large number of financial services companies such as banks, mutual funds, broker-dealers, insurers and asset managers. Some of these companies offer a broader array of products, more competitive pricing, greater diversity of distribution sources, better brand recognition or, with respect to insurers, higher financial strength ratings. Some may also have greater financial resources with which to compete or may have better investment performance at various times. We believe we distinguish ourselves from our competitors through our:</w:t>
      </w:r>
    </w:p>
    <w:p>
      <w:pPr>
        <w:spacing w:after="0" w:line="167" w:lineRule="exact"/>
        <w:rPr>
          <w:sz w:val="20"/>
          <w:szCs w:val="20"/>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full service platform;</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strong customer relationships;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focus on financial performance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expansive product portfolio.</w:t>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Ratings</w:t>
      </w:r>
    </w:p>
    <w:p>
      <w:pPr>
        <w:spacing w:after="0" w:line="231" w:lineRule="exact"/>
        <w:rPr>
          <w:sz w:val="20"/>
          <w:szCs w:val="20"/>
          <w:color w:val="auto"/>
        </w:rPr>
      </w:pPr>
    </w:p>
    <w:p>
      <w:pPr>
        <w:jc w:val="both"/>
        <w:ind w:firstLine="435"/>
        <w:spacing w:after="0" w:line="256" w:lineRule="auto"/>
        <w:rPr>
          <w:sz w:val="20"/>
          <w:szCs w:val="20"/>
          <w:color w:val="auto"/>
        </w:rPr>
      </w:pPr>
      <w:r>
        <w:rPr>
          <w:rFonts w:ascii="Arial" w:cs="Arial" w:eastAsia="Arial" w:hAnsi="Arial"/>
          <w:sz w:val="18"/>
          <w:szCs w:val="18"/>
          <w:color w:val="auto"/>
        </w:rPr>
        <w:t>Insurance companies are assigned financial strength ratings by rating agencies based upon factors relevant to policyholders. Financial strength ratings are generally defined as opinions as to an insurer's financial strength and ability to meet ongoing obligations to policyholders. Information about ratings provides both industry participants and insurance consumers meaningful insights on specific insurance companies. Higher ratings generally indicate financial stability and a stronger ability to pay claims.</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Principal Life and Principal National Life Insurance Company ("PNLIC") have been assigned the following insurer financial strength ratings:</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740" w:type="dxa"/>
            <w:vAlign w:val="bottom"/>
            <w:gridSpan w:val="2"/>
          </w:tcPr>
          <w:p>
            <w:pPr>
              <w:spacing w:after="0"/>
              <w:rPr>
                <w:sz w:val="20"/>
                <w:szCs w:val="20"/>
                <w:color w:val="auto"/>
              </w:rPr>
            </w:pPr>
            <w:r>
              <w:rPr>
                <w:rFonts w:ascii="Arial" w:cs="Arial" w:eastAsia="Arial" w:hAnsi="Arial"/>
                <w:sz w:val="14"/>
                <w:szCs w:val="14"/>
                <w:b w:val="1"/>
                <w:bCs w:val="1"/>
                <w:color w:val="auto"/>
              </w:rPr>
              <w:t>Rating Agency</w:t>
            </w:r>
          </w:p>
        </w:tc>
        <w:tc>
          <w:tcPr>
            <w:tcW w:w="160" w:type="dxa"/>
            <w:vAlign w:val="bottom"/>
          </w:tcPr>
          <w:p>
            <w:pPr>
              <w:spacing w:after="0"/>
              <w:rPr>
                <w:sz w:val="14"/>
                <w:szCs w:val="14"/>
                <w:color w:val="auto"/>
              </w:rPr>
            </w:pPr>
          </w:p>
        </w:tc>
        <w:tc>
          <w:tcPr>
            <w:tcW w:w="4060" w:type="dxa"/>
            <w:vAlign w:val="bottom"/>
          </w:tcPr>
          <w:p>
            <w:pPr>
              <w:ind w:left="1280"/>
              <w:spacing w:after="0"/>
              <w:rPr>
                <w:sz w:val="20"/>
                <w:szCs w:val="20"/>
                <w:color w:val="auto"/>
              </w:rPr>
            </w:pPr>
            <w:r>
              <w:rPr>
                <w:rFonts w:ascii="Arial" w:cs="Arial" w:eastAsia="Arial" w:hAnsi="Arial"/>
                <w:sz w:val="14"/>
                <w:szCs w:val="14"/>
                <w:b w:val="1"/>
                <w:bCs w:val="1"/>
                <w:color w:val="auto"/>
              </w:rPr>
              <w:t>Financial Strength Rating</w:t>
            </w:r>
          </w:p>
        </w:tc>
        <w:tc>
          <w:tcPr>
            <w:tcW w:w="160" w:type="dxa"/>
            <w:vAlign w:val="bottom"/>
          </w:tcPr>
          <w:p>
            <w:pPr>
              <w:spacing w:after="0"/>
              <w:rPr>
                <w:sz w:val="14"/>
                <w:szCs w:val="14"/>
                <w:color w:val="auto"/>
              </w:rPr>
            </w:pPr>
          </w:p>
        </w:tc>
        <w:tc>
          <w:tcPr>
            <w:tcW w:w="2060" w:type="dxa"/>
            <w:vAlign w:val="bottom"/>
          </w:tcPr>
          <w:p>
            <w:pPr>
              <w:ind w:left="540"/>
              <w:spacing w:after="0"/>
              <w:rPr>
                <w:sz w:val="20"/>
                <w:szCs w:val="20"/>
                <w:color w:val="auto"/>
              </w:rPr>
            </w:pPr>
            <w:r>
              <w:rPr>
                <w:rFonts w:ascii="Arial" w:cs="Arial" w:eastAsia="Arial" w:hAnsi="Arial"/>
                <w:sz w:val="14"/>
                <w:szCs w:val="14"/>
                <w:b w:val="1"/>
                <w:bCs w:val="1"/>
                <w:color w:val="auto"/>
              </w:rPr>
              <w:t>Rating Structure</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7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27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A.M. Best Company, Inc.</w:t>
            </w:r>
          </w:p>
        </w:tc>
        <w:tc>
          <w:tcPr>
            <w:tcW w:w="4220" w:type="dxa"/>
            <w:vAlign w:val="bottom"/>
            <w:gridSpan w:val="2"/>
            <w:shd w:val="clear" w:color="auto" w:fill="CCEEFF"/>
          </w:tcPr>
          <w:p>
            <w:pPr>
              <w:ind w:left="160"/>
              <w:spacing w:after="0" w:line="142" w:lineRule="exact"/>
              <w:rPr>
                <w:sz w:val="20"/>
                <w:szCs w:val="20"/>
                <w:color w:val="auto"/>
              </w:rPr>
            </w:pPr>
            <w:r>
              <w:rPr>
                <w:rFonts w:ascii="Arial" w:cs="Arial" w:eastAsia="Arial" w:hAnsi="Arial"/>
                <w:sz w:val="14"/>
                <w:szCs w:val="14"/>
                <w:color w:val="auto"/>
              </w:rPr>
              <w:t>A+ ("Superior") with a stable outlook</w:t>
            </w:r>
          </w:p>
        </w:tc>
        <w:tc>
          <w:tcPr>
            <w:tcW w:w="2220" w:type="dxa"/>
            <w:vAlign w:val="bottom"/>
            <w:gridSpan w:val="2"/>
            <w:shd w:val="clear" w:color="auto" w:fill="CCEEFF"/>
          </w:tcPr>
          <w:p>
            <w:pPr>
              <w:ind w:left="160"/>
              <w:spacing w:after="0" w:line="142" w:lineRule="exact"/>
              <w:rPr>
                <w:sz w:val="20"/>
                <w:szCs w:val="20"/>
                <w:color w:val="auto"/>
              </w:rPr>
            </w:pPr>
            <w:r>
              <w:rPr>
                <w:rFonts w:ascii="Arial" w:cs="Arial" w:eastAsia="Arial" w:hAnsi="Arial"/>
                <w:sz w:val="14"/>
                <w:szCs w:val="14"/>
                <w:color w:val="auto"/>
                <w:w w:val="97"/>
              </w:rPr>
              <w:t>Second highest of 16 rating levels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720" w:type="dxa"/>
            <w:vAlign w:val="bottom"/>
          </w:tcPr>
          <w:p>
            <w:pPr>
              <w:spacing w:after="0" w:line="149" w:lineRule="exact"/>
              <w:rPr>
                <w:sz w:val="20"/>
                <w:szCs w:val="20"/>
                <w:color w:val="auto"/>
              </w:rPr>
            </w:pPr>
            <w:r>
              <w:rPr>
                <w:rFonts w:ascii="Arial" w:cs="Arial" w:eastAsia="Arial" w:hAnsi="Arial"/>
                <w:sz w:val="14"/>
                <w:szCs w:val="14"/>
                <w:color w:val="auto"/>
              </w:rPr>
              <w:t>Fitch Ratings Ltd.</w:t>
            </w:r>
          </w:p>
        </w:tc>
        <w:tc>
          <w:tcPr>
            <w:tcW w:w="4220" w:type="dxa"/>
            <w:vAlign w:val="bottom"/>
            <w:gridSpan w:val="2"/>
          </w:tcPr>
          <w:p>
            <w:pPr>
              <w:ind w:left="160"/>
              <w:spacing w:after="0" w:line="149" w:lineRule="exact"/>
              <w:rPr>
                <w:sz w:val="20"/>
                <w:szCs w:val="20"/>
                <w:color w:val="auto"/>
              </w:rPr>
            </w:pPr>
            <w:r>
              <w:rPr>
                <w:rFonts w:ascii="Arial" w:cs="Arial" w:eastAsia="Arial" w:hAnsi="Arial"/>
                <w:sz w:val="14"/>
                <w:szCs w:val="14"/>
                <w:color w:val="auto"/>
              </w:rPr>
              <w:t>AA- ("Very Strong") with a negative outlook</w:t>
            </w:r>
          </w:p>
        </w:tc>
        <w:tc>
          <w:tcPr>
            <w:tcW w:w="2220" w:type="dxa"/>
            <w:vAlign w:val="bottom"/>
            <w:gridSpan w:val="2"/>
          </w:tcPr>
          <w:p>
            <w:pPr>
              <w:ind w:left="160"/>
              <w:spacing w:after="0" w:line="149" w:lineRule="exact"/>
              <w:rPr>
                <w:sz w:val="20"/>
                <w:szCs w:val="20"/>
                <w:color w:val="auto"/>
              </w:rPr>
            </w:pPr>
            <w:r>
              <w:rPr>
                <w:rFonts w:ascii="Arial" w:cs="Arial" w:eastAsia="Arial" w:hAnsi="Arial"/>
                <w:sz w:val="14"/>
                <w:szCs w:val="14"/>
                <w:color w:val="auto"/>
              </w:rPr>
              <w:t>Fourth highest of 21 rating levels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7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Moody's Investors Service</w:t>
            </w:r>
          </w:p>
        </w:tc>
        <w:tc>
          <w:tcPr>
            <w:tcW w:w="422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rPr>
              <w:t>A1 ("Good") with a stable outlook</w:t>
            </w:r>
          </w:p>
        </w:tc>
        <w:tc>
          <w:tcPr>
            <w:tcW w:w="222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rPr>
              <w:t>Fifth highest of 21 rating levels</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720" w:type="dxa"/>
            <w:vAlign w:val="bottom"/>
          </w:tcPr>
          <w:p>
            <w:pPr>
              <w:spacing w:after="0"/>
              <w:rPr>
                <w:sz w:val="20"/>
                <w:szCs w:val="20"/>
                <w:color w:val="auto"/>
              </w:rPr>
            </w:pPr>
            <w:r>
              <w:rPr>
                <w:rFonts w:ascii="Arial" w:cs="Arial" w:eastAsia="Arial" w:hAnsi="Arial"/>
                <w:sz w:val="14"/>
                <w:szCs w:val="14"/>
                <w:color w:val="auto"/>
              </w:rPr>
              <w:t>Standard &amp; Poor's</w:t>
            </w:r>
          </w:p>
        </w:tc>
        <w:tc>
          <w:tcPr>
            <w:tcW w:w="4220" w:type="dxa"/>
            <w:vAlign w:val="bottom"/>
            <w:gridSpan w:val="2"/>
          </w:tcPr>
          <w:p>
            <w:pPr>
              <w:ind w:left="160"/>
              <w:spacing w:after="0"/>
              <w:rPr>
                <w:sz w:val="20"/>
                <w:szCs w:val="20"/>
                <w:color w:val="auto"/>
              </w:rPr>
            </w:pPr>
            <w:r>
              <w:rPr>
                <w:rFonts w:ascii="Arial" w:cs="Arial" w:eastAsia="Arial" w:hAnsi="Arial"/>
                <w:sz w:val="14"/>
                <w:szCs w:val="14"/>
                <w:color w:val="auto"/>
              </w:rPr>
              <w:t>A+ ("Strong") with a stable outlook</w:t>
            </w:r>
          </w:p>
        </w:tc>
        <w:tc>
          <w:tcPr>
            <w:tcW w:w="2220" w:type="dxa"/>
            <w:vAlign w:val="bottom"/>
            <w:gridSpan w:val="2"/>
          </w:tcPr>
          <w:p>
            <w:pPr>
              <w:ind w:left="160"/>
              <w:spacing w:after="0"/>
              <w:rPr>
                <w:sz w:val="20"/>
                <w:szCs w:val="20"/>
                <w:color w:val="auto"/>
              </w:rPr>
            </w:pPr>
            <w:r>
              <w:rPr>
                <w:rFonts w:ascii="Arial" w:cs="Arial" w:eastAsia="Arial" w:hAnsi="Arial"/>
                <w:sz w:val="14"/>
                <w:szCs w:val="14"/>
                <w:color w:val="auto"/>
              </w:rPr>
              <w:t>Fifth highest of 21 rating levels</w:t>
            </w:r>
          </w:p>
        </w:tc>
        <w:tc>
          <w:tcPr>
            <w:tcW w:w="0" w:type="dxa"/>
            <w:vAlign w:val="bottom"/>
          </w:tcPr>
          <w:p>
            <w:pPr>
              <w:spacing w:after="0"/>
              <w:rPr>
                <w:sz w:val="1"/>
                <w:szCs w:val="1"/>
                <w:color w:val="auto"/>
              </w:rPr>
            </w:pPr>
          </w:p>
        </w:tc>
      </w:tr>
    </w:tbl>
    <w:p>
      <w:pPr>
        <w:spacing w:after="0" w:line="184" w:lineRule="exact"/>
        <w:rPr>
          <w:sz w:val="20"/>
          <w:szCs w:val="20"/>
          <w:color w:val="auto"/>
        </w:rPr>
      </w:pPr>
    </w:p>
    <w:p>
      <w:pPr>
        <w:jc w:val="both"/>
        <w:ind w:firstLine="348"/>
        <w:spacing w:after="0" w:line="288" w:lineRule="auto"/>
        <w:rPr>
          <w:sz w:val="20"/>
          <w:szCs w:val="20"/>
          <w:color w:val="auto"/>
        </w:rPr>
      </w:pPr>
      <w:r>
        <w:rPr>
          <w:rFonts w:ascii="Arial" w:cs="Arial" w:eastAsia="Arial" w:hAnsi="Arial"/>
          <w:sz w:val="16"/>
          <w:szCs w:val="16"/>
          <w:color w:val="auto"/>
        </w:rPr>
        <w:t>A.M. Best's ratings for insurance companies range from "A++" to "S". A.M. Best indicates that "A++" and "A+" ratings are assigned to those companies that in A.M. Best's opinion have superior ability to meet ongoing obligations to policyholders. Fitch's ratings for insurance companies range from "AAA" to "C". Fitch "AA" ratings indicate very strong capacity to meet policyholder and contractholder obligations on a timely basis. Moody's Investors Service ratings for insurance companies range from "Aaa" to "C". Moody's Investors Service indicates that "A" ratings are assigned to those companies that have demonstrated good financial security. Standard &amp; Poor's ratings for insurance companies range from "AAA" to "R". Standard &amp; Poor's indicates that "A" ratings are assigned to those companies that have demonstrated strong financial security characteristics. In evaluating a company's financial and operating performance, these rating agencies review its profitability, leverage and liquidity, as well as its book of business, the adequacy and soundness of its reinsurance, the quality and estimated market value of its assets, the adequacy of its policy reserves, the soundness of its risk management programs, the experience and competency of its management and other factors. All of the four rating</w:t>
      </w:r>
    </w:p>
    <w:p>
      <w:pPr>
        <w:sectPr>
          <w:pgSz w:w="11900" w:h="16838" w:orient="portrait"/>
          <w:cols w:equalWidth="0" w:num="1">
            <w:col w:w="11420"/>
          </w:cols>
          <w:pgMar w:left="240" w:top="131" w:right="239" w:bottom="1440" w:gutter="0" w:footer="0" w:header="0"/>
        </w:sectPr>
      </w:pP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7" w:name="page18"/>
    <w:bookmarkEnd w:id="1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agencies maintain a 'stable' outlook on the U.S. life insurance sector. Moody's revised its outlook to 'stable' from 'negative' in December 2013. The rating agencies have indicated they expect gradually increasing interest rates to take some of the earnings pressure off insurers, and rising equity markets will improve performance on variable products and assets under management. They expect some stabilization of life insurers' revenues and earnings over the next 12-18 months.</w:t>
      </w:r>
    </w:p>
    <w:p>
      <w:pPr>
        <w:spacing w:after="0" w:line="197" w:lineRule="exact"/>
        <w:rPr>
          <w:sz w:val="20"/>
          <w:szCs w:val="20"/>
          <w:color w:val="auto"/>
        </w:rPr>
      </w:pPr>
    </w:p>
    <w:p>
      <w:pPr>
        <w:jc w:val="both"/>
        <w:ind w:firstLine="550"/>
        <w:spacing w:after="0" w:line="294" w:lineRule="auto"/>
        <w:rPr>
          <w:sz w:val="20"/>
          <w:szCs w:val="20"/>
          <w:color w:val="auto"/>
        </w:rPr>
      </w:pPr>
      <w:r>
        <w:rPr>
          <w:rFonts w:ascii="Arial" w:cs="Arial" w:eastAsia="Arial" w:hAnsi="Arial"/>
          <w:sz w:val="16"/>
          <w:szCs w:val="16"/>
          <w:color w:val="auto"/>
        </w:rPr>
        <w:t>We believe our strong ratings are an important factor in marketing our products to our distributors and customers, as ratings information is broadly disseminated and generally used throughout the industry. Our ratings reflect each rating agency's opinion of our financial strength, operating performance and ability to meet our obligations to policyholders and are not evaluations directed toward the protection of investors. Such ratings are neither a rating of securities nor a recommendation to buy, hold or sell any security, including our common stock. For more information on ratings, see Item 7. "Management's Discussion and Analysis of Financial Condition and Results of Operations — Liquidity and Capital Resources — Financial Strength Rating and Credit Ratings."</w:t>
      </w:r>
    </w:p>
    <w:p>
      <w:pPr>
        <w:spacing w:after="0" w:line="3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Regulation</w:t>
      </w:r>
    </w:p>
    <w:p>
      <w:pPr>
        <w:spacing w:after="0" w:line="231" w:lineRule="exact"/>
        <w:rPr>
          <w:sz w:val="20"/>
          <w:szCs w:val="20"/>
          <w:color w:val="auto"/>
        </w:rPr>
      </w:pPr>
    </w:p>
    <w:p>
      <w:pPr>
        <w:jc w:val="both"/>
        <w:ind w:firstLine="434"/>
        <w:spacing w:after="0" w:line="259" w:lineRule="auto"/>
        <w:rPr>
          <w:sz w:val="20"/>
          <w:szCs w:val="20"/>
          <w:color w:val="auto"/>
        </w:rPr>
      </w:pPr>
      <w:r>
        <w:rPr>
          <w:rFonts w:ascii="Arial" w:cs="Arial" w:eastAsia="Arial" w:hAnsi="Arial"/>
          <w:sz w:val="18"/>
          <w:szCs w:val="18"/>
          <w:color w:val="auto"/>
        </w:rPr>
        <w:t>Our businesses are subject to regulation and supervision by U.S. federal and state regulatory authorities as well as non-U.S. regulatory authorities for our operations outside the U.S., which can have a significant effect on our business. Our businesses are also affected by U.S. federal, state and local tax laws as well as tax laws for jurisdictions outside the U.S.</w:t>
      </w:r>
    </w:p>
    <w:p>
      <w:pPr>
        <w:spacing w:after="0" w:line="194" w:lineRule="exact"/>
        <w:rPr>
          <w:sz w:val="20"/>
          <w:szCs w:val="20"/>
          <w:color w:val="auto"/>
        </w:rPr>
      </w:pPr>
    </w:p>
    <w:p>
      <w:pPr>
        <w:jc w:val="both"/>
        <w:ind w:firstLine="386"/>
        <w:spacing w:after="0" w:line="256" w:lineRule="auto"/>
        <w:rPr>
          <w:sz w:val="20"/>
          <w:szCs w:val="20"/>
          <w:color w:val="auto"/>
        </w:rPr>
      </w:pPr>
      <w:r>
        <w:rPr>
          <w:rFonts w:ascii="Arial" w:cs="Arial" w:eastAsia="Arial" w:hAnsi="Arial"/>
          <w:sz w:val="18"/>
          <w:szCs w:val="18"/>
          <w:color w:val="auto"/>
        </w:rPr>
        <w:t>PFG, our parent holding company, is not licensed as an insurer, investment advisor, broker-dealer, bank or other regulated entity. However, because it is the holding company for all of our operations, it is subject to regulation of our regulated entities, including as an insurance holding company. We are subject to legal and regulatory requirements applicable to public companies, including public reporting and disclosure, securities trading, accounting and financial reporting and corporate governance.</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 Insurance Regulation</w:t>
      </w:r>
    </w:p>
    <w:p>
      <w:pPr>
        <w:spacing w:after="0" w:line="225" w:lineRule="exact"/>
        <w:rPr>
          <w:sz w:val="20"/>
          <w:szCs w:val="20"/>
          <w:color w:val="auto"/>
        </w:rPr>
      </w:pPr>
    </w:p>
    <w:p>
      <w:pPr>
        <w:jc w:val="both"/>
        <w:ind w:firstLine="351"/>
        <w:spacing w:after="0" w:line="289" w:lineRule="auto"/>
        <w:rPr>
          <w:sz w:val="20"/>
          <w:szCs w:val="20"/>
          <w:color w:val="auto"/>
        </w:rPr>
      </w:pPr>
      <w:r>
        <w:rPr>
          <w:rFonts w:ascii="Arial" w:cs="Arial" w:eastAsia="Arial" w:hAnsi="Arial"/>
          <w:sz w:val="16"/>
          <w:szCs w:val="16"/>
          <w:color w:val="auto"/>
        </w:rPr>
        <w:t>We are subject to the insurance holding company laws in the states where our insurance companies are domiciled. Principal Life and PNLIC are domiciled in Iowa and their principal insurance regulatory authority is the Insurance Division of the Department of Commerce of the State of Iowa. Our other U.S. insurance companies are principally regulated by the insurance departments of the states in which they are domiciled. These laws generally require each insurance company directly or indirectly owned by the holding company to register with the insurance department in the insurance company's state of domicile and to furnish financial and other information about the operations of the companies within the holding company system. Transactions affecting the insurers in the holding company system must be fair and at arm's length. Most states have insurance laws that require regulatory approval of a direct or indirect change in control of an insurer or an insurer's holding company and laws requiring prior notification of state insurance departments of a change in control of a non-domiciliary insurance company doing business in that state.</w:t>
      </w:r>
    </w:p>
    <w:p>
      <w:pPr>
        <w:spacing w:after="0" w:line="172" w:lineRule="exact"/>
        <w:rPr>
          <w:sz w:val="20"/>
          <w:szCs w:val="20"/>
          <w:color w:val="auto"/>
        </w:rPr>
      </w:pPr>
    </w:p>
    <w:p>
      <w:pPr>
        <w:jc w:val="both"/>
        <w:ind w:firstLine="399"/>
        <w:spacing w:after="0" w:line="256" w:lineRule="auto"/>
        <w:rPr>
          <w:sz w:val="20"/>
          <w:szCs w:val="20"/>
          <w:color w:val="auto"/>
        </w:rPr>
      </w:pPr>
      <w:r>
        <w:rPr>
          <w:rFonts w:ascii="Arial" w:cs="Arial" w:eastAsia="Arial" w:hAnsi="Arial"/>
          <w:sz w:val="18"/>
          <w:szCs w:val="18"/>
          <w:color w:val="auto"/>
        </w:rPr>
        <w:t>Annually, our U.S. insurance companies must submit an opinion from a board-appointed qualified actuary to state insurance regulators, where licensed, on whether the statutory assets held backing statutory reserves are sufficient to meet contractual obligations and related expenses of the insurer. If such an opinion cannot be rendered noting the sufficiency of assets, then the insurance company must set up additional statutory reserves drawing from available statutory surplus until such an opinion can be given.</w:t>
      </w:r>
    </w:p>
    <w:p>
      <w:pPr>
        <w:spacing w:after="0" w:line="197" w:lineRule="exact"/>
        <w:rPr>
          <w:sz w:val="20"/>
          <w:szCs w:val="20"/>
          <w:color w:val="auto"/>
        </w:rPr>
      </w:pPr>
    </w:p>
    <w:p>
      <w:pPr>
        <w:jc w:val="both"/>
        <w:ind w:firstLine="412"/>
        <w:spacing w:after="0" w:line="294" w:lineRule="auto"/>
        <w:rPr>
          <w:sz w:val="20"/>
          <w:szCs w:val="20"/>
          <w:color w:val="auto"/>
        </w:rPr>
      </w:pPr>
      <w:r>
        <w:rPr>
          <w:rFonts w:ascii="Arial" w:cs="Arial" w:eastAsia="Arial" w:hAnsi="Arial"/>
          <w:sz w:val="16"/>
          <w:szCs w:val="16"/>
          <w:color w:val="auto"/>
        </w:rPr>
        <w:t>State insurance departments have broad administrative powers over the insurance business, including insurance company licensing and examination, agent licensing, establishment of reserve requirements and solvency standards, premium rate regulation, admittance of assets to statutory surplus, policy form approval, unfair trade and claims practices regulation and other matters. State insurance statutes also typically place restrictions and limitations on the amount of dividends or other distributions payable by insurance company subsidiaries to their parent companies. See Item 7. "Management's Discussion and Analysis of Financial Condition and Results of Operations — Liquidity and Capital Resources" for further details.</w:t>
      </w:r>
    </w:p>
    <w:p>
      <w:pPr>
        <w:spacing w:after="0" w:line="170" w:lineRule="exact"/>
        <w:rPr>
          <w:sz w:val="20"/>
          <w:szCs w:val="20"/>
          <w:color w:val="auto"/>
        </w:rPr>
      </w:pPr>
    </w:p>
    <w:p>
      <w:pPr>
        <w:jc w:val="both"/>
        <w:ind w:firstLine="443"/>
        <w:spacing w:after="0" w:line="298" w:lineRule="auto"/>
        <w:rPr>
          <w:sz w:val="20"/>
          <w:szCs w:val="20"/>
          <w:color w:val="auto"/>
        </w:rPr>
      </w:pPr>
      <w:r>
        <w:rPr>
          <w:rFonts w:ascii="Arial" w:cs="Arial" w:eastAsia="Arial" w:hAnsi="Arial"/>
          <w:sz w:val="16"/>
          <w:szCs w:val="16"/>
          <w:color w:val="auto"/>
        </w:rPr>
        <w:t>In order to enhance the regulation of insurer solvency, the National Association of Insurance Commissioners ("NAIC") has established risk-based capital standards. The standards require life insurers to submit a report to state regulators on an annual basis regarding their risk-based capital based upon four categories of risk: asset risk, insurance risk, interest rate risk and business risk. As of December 31, 2012, the statutory surplus of each of our U.S. life insurance companies exceeded the minimum level of risk-based capital requirements required before state insurance departments would take action against an insurer.</w:t>
      </w:r>
    </w:p>
    <w:p>
      <w:pPr>
        <w:spacing w:after="0" w:line="167" w:lineRule="exact"/>
        <w:rPr>
          <w:sz w:val="20"/>
          <w:szCs w:val="20"/>
          <w:color w:val="auto"/>
        </w:rPr>
      </w:pPr>
    </w:p>
    <w:p>
      <w:pPr>
        <w:jc w:val="both"/>
        <w:ind w:firstLine="370"/>
        <w:spacing w:after="0" w:line="332" w:lineRule="auto"/>
        <w:rPr>
          <w:sz w:val="20"/>
          <w:szCs w:val="20"/>
          <w:color w:val="auto"/>
        </w:rPr>
      </w:pPr>
      <w:r>
        <w:rPr>
          <w:rFonts w:ascii="Arial" w:cs="Arial" w:eastAsia="Arial" w:hAnsi="Arial"/>
          <w:sz w:val="16"/>
          <w:szCs w:val="16"/>
          <w:color w:val="auto"/>
        </w:rPr>
        <w:t>State and federal insurance and securities regulatory authorities and other state law enforcement agencies and attorneys general regularly make inquiries and conduct examinations or investigations regarding our compliance with, among other things, insurance laws and securities laws.</w:t>
      </w:r>
    </w:p>
    <w:p>
      <w:pPr>
        <w:spacing w:after="0" w:line="139" w:lineRule="exact"/>
        <w:rPr>
          <w:sz w:val="20"/>
          <w:szCs w:val="20"/>
          <w:color w:val="auto"/>
        </w:rPr>
      </w:pPr>
    </w:p>
    <w:p>
      <w:pPr>
        <w:jc w:val="both"/>
        <w:ind w:firstLine="394"/>
        <w:spacing w:after="0" w:line="259" w:lineRule="auto"/>
        <w:rPr>
          <w:sz w:val="20"/>
          <w:szCs w:val="20"/>
          <w:color w:val="auto"/>
        </w:rPr>
      </w:pPr>
      <w:r>
        <w:rPr>
          <w:rFonts w:ascii="Arial" w:cs="Arial" w:eastAsia="Arial" w:hAnsi="Arial"/>
          <w:sz w:val="18"/>
          <w:szCs w:val="18"/>
          <w:color w:val="auto"/>
        </w:rPr>
        <w:t>Each state has insurance guaranty association laws under which insurers doing business in a state can be assessed, up to prescribed limits, in order to cover contractual benefit obligations of insolvent insurance companies. The guaranty associations levy assessments on each member insurer in a jurisdiction on the basis of the proportionate share of the</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8" w:name="page19"/>
    <w:bookmarkEnd w:id="1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268" w:lineRule="auto"/>
        <w:rPr>
          <w:sz w:val="20"/>
          <w:szCs w:val="20"/>
          <w:color w:val="auto"/>
        </w:rPr>
      </w:pPr>
      <w:r>
        <w:rPr>
          <w:rFonts w:ascii="Arial" w:cs="Arial" w:eastAsia="Arial" w:hAnsi="Arial"/>
          <w:sz w:val="18"/>
          <w:szCs w:val="18"/>
          <w:color w:val="auto"/>
        </w:rPr>
        <w:t>premiums written by such insurer in the lines of business in which the insolvent insurer is engaged. Some jurisdictions permit the member insurers to recover the assessments paid through full or partial premium tax offsets.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Securities Regulation</w:t>
      </w:r>
    </w:p>
    <w:p>
      <w:pPr>
        <w:spacing w:after="0" w:line="225" w:lineRule="exact"/>
        <w:rPr>
          <w:sz w:val="20"/>
          <w:szCs w:val="20"/>
          <w:color w:val="auto"/>
        </w:rPr>
      </w:pPr>
    </w:p>
    <w:p>
      <w:pPr>
        <w:jc w:val="both"/>
        <w:ind w:firstLine="363"/>
        <w:spacing w:after="0" w:line="306" w:lineRule="auto"/>
        <w:rPr>
          <w:sz w:val="20"/>
          <w:szCs w:val="20"/>
          <w:color w:val="auto"/>
        </w:rPr>
      </w:pPr>
      <w:r>
        <w:rPr>
          <w:rFonts w:ascii="Arial" w:cs="Arial" w:eastAsia="Arial" w:hAnsi="Arial"/>
          <w:sz w:val="16"/>
          <w:szCs w:val="16"/>
          <w:color w:val="auto"/>
        </w:rPr>
        <w:t>Insurance and investment products such as variable annuities, variable life insurance and some funding agreements that constitute securities and mutual fund products are subject to securities laws and regulations, including state securities regulation as well as federal regulation under the SEC, the Financial Industry Regulatory Authority and other regulatory authorities. These regulations affect investment advice, sales and related activities for these products.</w:t>
      </w:r>
    </w:p>
    <w:p>
      <w:pPr>
        <w:spacing w:after="0" w:line="16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also have entities which are registered as investment advisers with the SEC under the Investment Advisers Act of 1940.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Employee Retirement Income Security Act</w:t>
      </w:r>
    </w:p>
    <w:p>
      <w:pPr>
        <w:spacing w:after="0" w:line="225" w:lineRule="exact"/>
        <w:rPr>
          <w:sz w:val="20"/>
          <w:szCs w:val="20"/>
          <w:color w:val="auto"/>
        </w:rPr>
      </w:pPr>
    </w:p>
    <w:p>
      <w:pPr>
        <w:jc w:val="both"/>
        <w:ind w:firstLine="450"/>
        <w:spacing w:after="0" w:line="268" w:lineRule="auto"/>
        <w:rPr>
          <w:sz w:val="20"/>
          <w:szCs w:val="20"/>
          <w:color w:val="auto"/>
        </w:rPr>
      </w:pPr>
      <w:r>
        <w:rPr>
          <w:rFonts w:ascii="Arial" w:cs="Arial" w:eastAsia="Arial" w:hAnsi="Arial"/>
          <w:sz w:val="18"/>
          <w:szCs w:val="18"/>
          <w:color w:val="auto"/>
        </w:rPr>
        <w:t>As we provide products and services for U.S. employee benefit plans, we are subject to regulation under the Employee Retirement Income Security Act ("ERISA"). ERISA provisions include reporting and disclosure requirements and standards of conduct.</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Banking Regulation</w:t>
      </w:r>
    </w:p>
    <w:p>
      <w:pPr>
        <w:spacing w:after="0" w:line="225" w:lineRule="exact"/>
        <w:rPr>
          <w:sz w:val="20"/>
          <w:szCs w:val="20"/>
          <w:color w:val="auto"/>
        </w:rPr>
      </w:pPr>
    </w:p>
    <w:p>
      <w:pPr>
        <w:jc w:val="both"/>
        <w:ind w:firstLine="410"/>
        <w:spacing w:after="0" w:line="256" w:lineRule="auto"/>
        <w:rPr>
          <w:sz w:val="20"/>
          <w:szCs w:val="20"/>
          <w:color w:val="auto"/>
        </w:rPr>
      </w:pPr>
      <w:r>
        <w:rPr>
          <w:rFonts w:ascii="Arial" w:cs="Arial" w:eastAsia="Arial" w:hAnsi="Arial"/>
          <w:sz w:val="18"/>
          <w:szCs w:val="18"/>
          <w:color w:val="auto"/>
        </w:rPr>
        <w:t>Principal Bank, a wholly owned subsidiary, is a federal savings bank regulated by the Office of the Comptroller of the Currency. Principal Bank's deposits are insured by the Federal Deposit Insurance Corporation ("FDIC") making the Bank subject to certain of the FDIC's regulations. On December 31, 2013, our application to deregister as a savings and loan holding company was approved by the Federal Reserve Board ("Federal Reserve"). As a result, we are no longer subject to oversight from or examination by the Federal Reserve.</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Environmental Regulation</w:t>
      </w:r>
    </w:p>
    <w:p>
      <w:pPr>
        <w:spacing w:after="0" w:line="225" w:lineRule="exact"/>
        <w:rPr>
          <w:sz w:val="20"/>
          <w:szCs w:val="20"/>
          <w:color w:val="auto"/>
        </w:rPr>
      </w:pPr>
    </w:p>
    <w:p>
      <w:pPr>
        <w:jc w:val="both"/>
        <w:ind w:firstLine="355"/>
        <w:spacing w:after="0" w:line="259" w:lineRule="auto"/>
        <w:rPr>
          <w:sz w:val="20"/>
          <w:szCs w:val="20"/>
          <w:color w:val="auto"/>
        </w:rPr>
      </w:pPr>
      <w:r>
        <w:rPr>
          <w:rFonts w:ascii="Arial" w:cs="Arial" w:eastAsia="Arial" w:hAnsi="Arial"/>
          <w:sz w:val="18"/>
          <w:szCs w:val="18"/>
          <w:color w:val="auto"/>
        </w:rPr>
        <w:t>As we own and operate real property, we are subject to federal, state and local environmental laws and could be subject to environmental liabilities and costs associated with required remediation of our properties. We routinely have environmental assessments performed for real estate being acquired or used as collateral for commercial mortgages we use for investment.</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Regulation of International Businesses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international businesses are supervised by regulatory authorities in the jurisdictions in which they operate.</w:t>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 Management</w:t>
      </w:r>
    </w:p>
    <w:p>
      <w:pPr>
        <w:spacing w:after="0" w:line="231" w:lineRule="exact"/>
        <w:rPr>
          <w:sz w:val="20"/>
          <w:szCs w:val="20"/>
          <w:color w:val="auto"/>
        </w:rPr>
      </w:pPr>
    </w:p>
    <w:p>
      <w:pPr>
        <w:ind w:left="440"/>
        <w:spacing w:after="0"/>
        <w:rPr>
          <w:sz w:val="20"/>
          <w:szCs w:val="20"/>
          <w:color w:val="auto"/>
        </w:rPr>
      </w:pPr>
      <w:r>
        <w:rPr>
          <w:rFonts w:ascii="Arial" w:cs="Arial" w:eastAsia="Arial" w:hAnsi="Arial"/>
          <w:sz w:val="16"/>
          <w:szCs w:val="16"/>
          <w:color w:val="auto"/>
        </w:rPr>
        <w:t>Like all financial services companies, we are exposed to a wide variety of financial, operational and other risks, as described in Item 1A. "Risk Factors."</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Effective enterprise risk management is, therefore, a key component of our business model. Enterprise risk management helps us to:</w:t>
      </w:r>
    </w:p>
    <w:p>
      <w:pPr>
        <w:spacing w:after="0" w:line="232" w:lineRule="exact"/>
        <w:rPr>
          <w:sz w:val="20"/>
          <w:szCs w:val="20"/>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identify and manage those risks that present profitable growth opportunities, and avoid those that do not and</w:t>
      </w:r>
    </w:p>
    <w:p>
      <w:pPr>
        <w:spacing w:after="0" w:line="252"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balance the sometimes competing demands of our various stakeholders, meet our customer obligations, satisfy regulatory requirements and optimize shareholder returns relative to the risks we take.</w:t>
      </w:r>
    </w:p>
    <w:p>
      <w:pPr>
        <w:spacing w:after="0" w:line="186" w:lineRule="exact"/>
        <w:rPr>
          <w:sz w:val="20"/>
          <w:szCs w:val="20"/>
          <w:color w:val="auto"/>
        </w:rPr>
      </w:pPr>
    </w:p>
    <w:p>
      <w:pPr>
        <w:jc w:val="both"/>
        <w:ind w:firstLine="470"/>
        <w:spacing w:after="0" w:line="306" w:lineRule="auto"/>
        <w:rPr>
          <w:sz w:val="20"/>
          <w:szCs w:val="20"/>
          <w:color w:val="auto"/>
        </w:rPr>
      </w:pPr>
      <w:r>
        <w:rPr>
          <w:rFonts w:ascii="Arial" w:cs="Arial" w:eastAsia="Arial" w:hAnsi="Arial"/>
          <w:sz w:val="16"/>
          <w:szCs w:val="16"/>
          <w:color w:val="auto"/>
        </w:rPr>
        <w:t>We utilize an integrated risk management framework to help us identify, assess, monitor, report and manage our risks within established limits and risk tolerances. The framework delivers important perspective that is used in strategic and tactical decision making and is adaptable to changes in our businesses and in the external environments in which we operate. Our approach also requires a commitment to continuous improvement and periodic validation.</w:t>
      </w:r>
    </w:p>
    <w:p>
      <w:pPr>
        <w:spacing w:after="0" w:line="161" w:lineRule="exact"/>
        <w:rPr>
          <w:sz w:val="20"/>
          <w:szCs w:val="20"/>
          <w:color w:val="auto"/>
        </w:rPr>
      </w:pPr>
    </w:p>
    <w:p>
      <w:pPr>
        <w:jc w:val="both"/>
        <w:ind w:firstLine="580"/>
        <w:spacing w:after="0" w:line="298" w:lineRule="auto"/>
        <w:rPr>
          <w:sz w:val="20"/>
          <w:szCs w:val="20"/>
          <w:color w:val="auto"/>
        </w:rPr>
      </w:pPr>
      <w:r>
        <w:rPr>
          <w:rFonts w:ascii="Arial" w:cs="Arial" w:eastAsia="Arial" w:hAnsi="Arial"/>
          <w:sz w:val="16"/>
          <w:szCs w:val="16"/>
          <w:color w:val="auto"/>
        </w:rPr>
        <w:t>Our governance structure includes Board of Director oversight, internal risk committees, a corporate risk management function and embedded risk professionals in all of our business units and functional areas. Our Board of Directors, Audit Committee, Finance Committee, Human Resource Committee and Nominating and Governance Committee provide oversight no less frequently than quarterly addressing various aspects and assessments of our risk profile. Quarterly reports on risk topics and an annual enterprise-wide risk report are provided to the Board of Directors by the Corporate Chief Risk Officer.</w:t>
      </w:r>
    </w:p>
    <w:p>
      <w:pPr>
        <w:spacing w:after="0" w:line="167" w:lineRule="exact"/>
        <w:rPr>
          <w:sz w:val="20"/>
          <w:szCs w:val="20"/>
          <w:color w:val="auto"/>
        </w:rPr>
      </w:pPr>
    </w:p>
    <w:p>
      <w:pPr>
        <w:jc w:val="both"/>
        <w:ind w:firstLine="537"/>
        <w:spacing w:after="0" w:line="291" w:lineRule="auto"/>
        <w:rPr>
          <w:sz w:val="20"/>
          <w:szCs w:val="20"/>
          <w:color w:val="auto"/>
        </w:rPr>
      </w:pPr>
      <w:r>
        <w:rPr>
          <w:rFonts w:ascii="Arial" w:cs="Arial" w:eastAsia="Arial" w:hAnsi="Arial"/>
          <w:sz w:val="16"/>
          <w:szCs w:val="16"/>
          <w:color w:val="auto"/>
        </w:rPr>
        <w:t>Our internal risk committees meet on a regular and frequent basis to discuss various issues and reflect on profile status. Each business unit and key functional area has its own risk committee that is responsible for oversight of all risks within the unit. These committees typically include key corporate leaders. We also have committees that provide oversight around a certain risk or group of related risks across the organization. This matrix approach helps us maintain comprehensive risk coverage and preserve an integrated view of risks. Two committees reside at the top of our internal risk committee hierarchy. The Corporate Strategic Working Group provides enterprise-wide oversight around our strategic risk profile and the Enterprise Risk Management Committee, comprised of members from corporate senior management, exercises enterprise-wide oversight around all other risk profiles.</w:t>
      </w:r>
    </w:p>
    <w:p>
      <w:pPr>
        <w:sectPr>
          <w:pgSz w:w="11900" w:h="16838" w:orient="portrait"/>
          <w:cols w:equalWidth="0" w:num="1">
            <w:col w:w="11420"/>
          </w:cols>
          <w:pgMar w:left="240" w:top="131" w:right="239" w:bottom="1440" w:gutter="0" w:footer="0" w:header="0"/>
        </w:sectPr>
      </w:pP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9" w:name="page20"/>
    <w:bookmarkEnd w:id="1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firstLine="410"/>
        <w:spacing w:after="0" w:line="323" w:lineRule="auto"/>
        <w:rPr>
          <w:sz w:val="20"/>
          <w:szCs w:val="20"/>
          <w:color w:val="auto"/>
        </w:rPr>
      </w:pPr>
      <w:r>
        <w:rPr>
          <w:rFonts w:ascii="Arial" w:cs="Arial" w:eastAsia="Arial" w:hAnsi="Arial"/>
          <w:sz w:val="15"/>
          <w:szCs w:val="15"/>
          <w:color w:val="auto"/>
        </w:rPr>
        <w:t>The business units and functional areas are responsible for identifying, assessing, monitoring, reporting and managing their own risks. Chief Risk Officers embedded within each business unit or risk professionals in functional areas help align risk management practice with the strategies of the unit as well as with enterprise-wide objectives. The Corporate Chief Risk Officer and supporting staff are separate from the business units and provide objective oversight, framework enablement and aggregated risk analysis. Internal Audit provides independent assurance around effective risk management design and control execution.</w:t>
      </w:r>
    </w:p>
    <w:p>
      <w:pPr>
        <w:spacing w:after="0" w:line="152" w:lineRule="exact"/>
        <w:rPr>
          <w:sz w:val="20"/>
          <w:szCs w:val="20"/>
          <w:color w:val="auto"/>
        </w:rPr>
      </w:pPr>
    </w:p>
    <w:p>
      <w:pPr>
        <w:jc w:val="both"/>
        <w:ind w:firstLine="449"/>
        <w:spacing w:after="0" w:line="290" w:lineRule="auto"/>
        <w:rPr>
          <w:sz w:val="20"/>
          <w:szCs w:val="20"/>
          <w:color w:val="auto"/>
        </w:rPr>
      </w:pPr>
      <w:r>
        <w:rPr>
          <w:rFonts w:ascii="Arial" w:cs="Arial" w:eastAsia="Arial" w:hAnsi="Arial"/>
          <w:sz w:val="16"/>
          <w:szCs w:val="16"/>
          <w:color w:val="auto"/>
        </w:rPr>
        <w:t>We have established risk tolerances from an overall corporate perspective, a business unit perspective, and for specific categories of risks. We monitor a variety of risk metrics on an ongoing basis and take the appropriate steps to help us stay within our established risk tolerances. Potentially significant actions are considered in terms of the possible impact on our risk profile, including but not limited to the capital required, the impact on near term and long-term earnings and the ability to meet our targets with respect to return on equity, liquidity, debt/capital, cash coverage, business risk and operational risk. Quarterly risk reporting provides a feedback loop between the business units and the Corporate Chief Risk Officer and includes, among other things, emerging risk outlooks or incident reporting, if necessary. We have developed a Business Continuity Management Program that identifies critical business functions and includes plans for their protection and recovery in the event of a disaster or other business interruption.</w:t>
      </w:r>
    </w:p>
    <w:p>
      <w:pPr>
        <w:spacing w:after="0" w:line="172" w:lineRule="exact"/>
        <w:rPr>
          <w:sz w:val="20"/>
          <w:szCs w:val="20"/>
          <w:color w:val="auto"/>
        </w:rPr>
      </w:pPr>
    </w:p>
    <w:p>
      <w:pPr>
        <w:jc w:val="both"/>
        <w:ind w:firstLine="385"/>
        <w:spacing w:after="0" w:line="268" w:lineRule="auto"/>
        <w:rPr>
          <w:sz w:val="20"/>
          <w:szCs w:val="20"/>
          <w:color w:val="auto"/>
        </w:rPr>
      </w:pPr>
      <w:r>
        <w:rPr>
          <w:rFonts w:ascii="Arial" w:cs="Arial" w:eastAsia="Arial" w:hAnsi="Arial"/>
          <w:sz w:val="18"/>
          <w:szCs w:val="18"/>
          <w:color w:val="auto"/>
        </w:rPr>
        <w:t>We regularly build upon our already strong risk management practices to incorporate updated modeling tools, processes and metrics, which we actively use to better understand and manage our business.</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231" w:lineRule="exact"/>
        <w:rPr>
          <w:sz w:val="20"/>
          <w:szCs w:val="20"/>
          <w:color w:val="auto"/>
        </w:rPr>
      </w:pPr>
    </w:p>
    <w:p>
      <w:pPr>
        <w:ind w:left="340"/>
        <w:spacing w:after="0"/>
        <w:rPr>
          <w:sz w:val="20"/>
          <w:szCs w:val="20"/>
          <w:color w:val="auto"/>
        </w:rPr>
      </w:pPr>
      <w:r>
        <w:rPr>
          <w:rFonts w:ascii="Arial" w:cs="Arial" w:eastAsia="Arial" w:hAnsi="Arial"/>
          <w:sz w:val="15"/>
          <w:szCs w:val="15"/>
          <w:color w:val="auto"/>
        </w:rPr>
        <w:t>As of December 31, 2013, we had 14,792 employees. None of our employees are subject to collective bargaining agreements governing employment with us.</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We believe that our employee relations are satisfactory.</w:t>
      </w:r>
    </w:p>
    <w:p>
      <w:pPr>
        <w:spacing w:after="0" w:line="200" w:lineRule="exact"/>
        <w:rPr>
          <w:sz w:val="20"/>
          <w:szCs w:val="20"/>
          <w:color w:val="auto"/>
        </w:rPr>
      </w:pP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Internet Website</w:t>
      </w:r>
    </w:p>
    <w:p>
      <w:pPr>
        <w:spacing w:after="0" w:line="231" w:lineRule="exact"/>
        <w:rPr>
          <w:sz w:val="20"/>
          <w:szCs w:val="20"/>
          <w:color w:val="auto"/>
        </w:rPr>
      </w:pPr>
    </w:p>
    <w:p>
      <w:pPr>
        <w:jc w:val="both"/>
        <w:ind w:firstLine="405"/>
        <w:spacing w:after="0" w:line="294" w:lineRule="auto"/>
        <w:rPr>
          <w:sz w:val="20"/>
          <w:szCs w:val="20"/>
          <w:color w:val="auto"/>
        </w:rPr>
      </w:pPr>
      <w:r>
        <w:rPr>
          <w:rFonts w:ascii="Arial" w:cs="Arial" w:eastAsia="Arial" w:hAnsi="Arial"/>
          <w:sz w:val="16"/>
          <w:szCs w:val="16"/>
          <w:color w:val="auto"/>
        </w:rPr>
        <w:t>Our Internet website can be found at www.principal.com. We make available free of charge on or through our Internet website, access to our annual report on Form 10-K, quarterly reports on Form 10-Q, current reports on Form 8-K and amendments to those reports filed or furnished pursuant to Section 13(a) or 15(d) of the Securities Exchange Act of 1934 as soon as reasonably practicable after such material is filed with or furnished to the SEC. Also available free of charge on our Internet website is our code of business conduct and ethics, corporate governance guidelines and charters for the Audit, Finance, Human Resources and Nominating and Governance committees of our Board of Directors. Also see Item 10. "Directors, Executive Officers and Corporate Governance."</w:t>
      </w:r>
    </w:p>
    <w:p>
      <w:pPr>
        <w:spacing w:after="0" w:line="164" w:lineRule="exact"/>
        <w:rPr>
          <w:sz w:val="20"/>
          <w:szCs w:val="20"/>
          <w:color w:val="auto"/>
        </w:rPr>
      </w:pPr>
    </w:p>
    <w:p>
      <w:pPr>
        <w:spacing w:after="0"/>
        <w:tabs>
          <w:tab w:leader="none" w:pos="82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5"/>
          <w:szCs w:val="15"/>
          <w:b w:val="1"/>
          <w:bCs w:val="1"/>
          <w:color w:val="auto"/>
        </w:rPr>
        <w:t>Risk Factors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This section provides an overview of the risks that may impact our performance in the future.</w:t>
      </w:r>
    </w:p>
    <w:p>
      <w:pPr>
        <w:spacing w:after="0" w:line="219" w:lineRule="exact"/>
        <w:rPr>
          <w:sz w:val="20"/>
          <w:szCs w:val="20"/>
          <w:color w:val="auto"/>
        </w:rPr>
      </w:pPr>
    </w:p>
    <w:p>
      <w:pPr>
        <w:jc w:val="both"/>
        <w:spacing w:after="0" w:line="275" w:lineRule="auto"/>
        <w:rPr>
          <w:sz w:val="20"/>
          <w:szCs w:val="20"/>
          <w:color w:val="auto"/>
        </w:rPr>
      </w:pPr>
      <w:r>
        <w:rPr>
          <w:rFonts w:ascii="Arial" w:cs="Arial" w:eastAsia="Arial" w:hAnsi="Arial"/>
          <w:sz w:val="18"/>
          <w:szCs w:val="18"/>
          <w:b w:val="1"/>
          <w:bCs w:val="1"/>
          <w:color w:val="auto"/>
        </w:rPr>
        <w:t>Adverse capital and credit market conditions may significantly affect our ability to meet liquidity needs, as well as our access to capital and cost of capital.</w:t>
      </w:r>
    </w:p>
    <w:p>
      <w:pPr>
        <w:spacing w:after="0" w:line="180" w:lineRule="exact"/>
        <w:rPr>
          <w:sz w:val="20"/>
          <w:szCs w:val="20"/>
          <w:color w:val="auto"/>
        </w:rPr>
      </w:pPr>
    </w:p>
    <w:p>
      <w:pPr>
        <w:jc w:val="both"/>
        <w:ind w:firstLine="413"/>
        <w:spacing w:after="0" w:line="268" w:lineRule="auto"/>
        <w:rPr>
          <w:sz w:val="20"/>
          <w:szCs w:val="20"/>
          <w:color w:val="auto"/>
        </w:rPr>
      </w:pPr>
      <w:r>
        <w:rPr>
          <w:rFonts w:ascii="Arial" w:cs="Arial" w:eastAsia="Arial" w:hAnsi="Arial"/>
          <w:sz w:val="18"/>
          <w:szCs w:val="18"/>
          <w:color w:val="auto"/>
        </w:rPr>
        <w:t>Our results of operations, financial condition, cash flows and statutory capital position could be materially adversely affected by volatility, uncertainty and disruption in the capital and credit markets.</w:t>
      </w:r>
    </w:p>
    <w:p>
      <w:pPr>
        <w:spacing w:after="0" w:line="186" w:lineRule="exact"/>
        <w:rPr>
          <w:sz w:val="20"/>
          <w:szCs w:val="20"/>
          <w:color w:val="auto"/>
        </w:rPr>
      </w:pPr>
    </w:p>
    <w:p>
      <w:pPr>
        <w:jc w:val="both"/>
        <w:ind w:firstLine="478"/>
        <w:spacing w:after="0" w:line="285" w:lineRule="auto"/>
        <w:rPr>
          <w:sz w:val="20"/>
          <w:szCs w:val="20"/>
          <w:color w:val="auto"/>
        </w:rPr>
      </w:pPr>
      <w:r>
        <w:rPr>
          <w:rFonts w:ascii="Arial" w:cs="Arial" w:eastAsia="Arial" w:hAnsi="Arial"/>
          <w:sz w:val="16"/>
          <w:szCs w:val="16"/>
          <w:color w:val="auto"/>
        </w:rPr>
        <w:t>We maintain a level of cash and securities which, combined with expected cash inflows from investments and operations, is believed adequate to meet anticipated short-term and long-term benefit and expense payment obligations. However, withdrawal and surrender levels may differ from anticipated levels for a variety of reasons, such as changes in economic conditions or changes in our claims paying ability and financial strength ratings. For additional information regarding our exposure to interest rate risk and the impact of a downgrade in our financial strength ratings, see "— Changes in interest rates or credit spreads or a sustained low interest rate environment may adversely affect our results of operations, financial condition and liquidity, and our net income can vary from period-to-period" and "— A downgrade in our financial strength or credit ratings may increase policy surrenders and withdrawals, reduce new sales and terminate relationships with distributors, impact existing liabilities and increase our cost of capital, any of which could adversely affect our profitability and financial condition." In addition, mark-to-market adjustments on our derivative instruments may lead to fluctuations in our reported statutory capital. These fluctuations may result in the need for additional capital to maintain a targeted level of statutory capital relative to the NAIC's risk-based capital requirements. In the event our current internal sources of liquidity do not satisfy our needs, we may have to seek additional financing and, in such case, we may not be able to successfully obtain additional financing on favorable terms, or at all. The availability of additional financing will depend on a variety of factors such as market conditions, the general availability of credit, the volume of trading activities, the overall availability of credit to the financial services industry, our credit ratings and credit capacity, as well as customers' or lenders' perception of our long- or short-term financial prospects. Similarly, our access to funds may be impaired if regulatory authorities or rating agencies take negative actions against us.</w:t>
      </w:r>
    </w:p>
    <w:p>
      <w:pPr>
        <w:spacing w:after="0" w:line="182" w:lineRule="exact"/>
        <w:rPr>
          <w:sz w:val="20"/>
          <w:szCs w:val="20"/>
          <w:color w:val="auto"/>
        </w:rPr>
      </w:pPr>
    </w:p>
    <w:p>
      <w:pPr>
        <w:jc w:val="both"/>
        <w:ind w:right="20" w:firstLine="376"/>
        <w:spacing w:after="0" w:line="306" w:lineRule="auto"/>
        <w:rPr>
          <w:sz w:val="20"/>
          <w:szCs w:val="20"/>
          <w:color w:val="auto"/>
        </w:rPr>
      </w:pPr>
      <w:r>
        <w:rPr>
          <w:rFonts w:ascii="Arial" w:cs="Arial" w:eastAsia="Arial" w:hAnsi="Arial"/>
          <w:sz w:val="16"/>
          <w:szCs w:val="16"/>
          <w:color w:val="auto"/>
        </w:rPr>
        <w:t>Disruptions, uncertainty or volatility in the capital and credit markets may limit our access to capital required to operate our business, most significantly our insurance operations. Such market conditions may limit our ability to replace, in a timely manner, maturing liabilities; satisfy statutory capital requirements; fund redemption requests on insurance or other financial products; generate fee income and market-related revenue to meet liquidity needs and access the capital</w:t>
      </w:r>
    </w:p>
    <w:p>
      <w:pPr>
        <w:sectPr>
          <w:pgSz w:w="11900" w:h="16838" w:orient="portrait"/>
          <w:cols w:equalWidth="0" w:num="1">
            <w:col w:w="11420"/>
          </w:cols>
          <w:pgMar w:left="240" w:top="131" w:right="239" w:bottom="1440" w:gutter="0" w:footer="0" w:header="0"/>
        </w:sectPr>
      </w:pP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20" w:name="page21"/>
    <w:bookmarkEnd w:id="2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332" w:lineRule="auto"/>
        <w:rPr>
          <w:sz w:val="20"/>
          <w:szCs w:val="20"/>
          <w:color w:val="auto"/>
        </w:rPr>
      </w:pPr>
      <w:r>
        <w:rPr>
          <w:rFonts w:ascii="Arial" w:cs="Arial" w:eastAsia="Arial" w:hAnsi="Arial"/>
          <w:sz w:val="16"/>
          <w:szCs w:val="16"/>
          <w:color w:val="auto"/>
        </w:rPr>
        <w:t>necessary to grow our business. As such, we may be forced to delay raising capital, issue shorter tenor securities than we prefer, utilize available internal resources or bear an unattractive cost of capital, which could decrease our profitability and significantly reduce our financial flexibility and liquidity.</w:t>
      </w:r>
    </w:p>
    <w:p>
      <w:pPr>
        <w:spacing w:after="0" w:line="139" w:lineRule="exact"/>
        <w:rPr>
          <w:sz w:val="20"/>
          <w:szCs w:val="20"/>
          <w:color w:val="auto"/>
        </w:rPr>
      </w:pPr>
    </w:p>
    <w:p>
      <w:pPr>
        <w:jc w:val="both"/>
        <w:ind w:firstLine="639"/>
        <w:spacing w:after="0" w:line="268" w:lineRule="auto"/>
        <w:rPr>
          <w:sz w:val="20"/>
          <w:szCs w:val="20"/>
          <w:color w:val="auto"/>
        </w:rPr>
      </w:pPr>
      <w:r>
        <w:rPr>
          <w:rFonts w:ascii="Arial" w:cs="Arial" w:eastAsia="Arial" w:hAnsi="Arial"/>
          <w:sz w:val="18"/>
          <w:szCs w:val="18"/>
          <w:color w:val="auto"/>
        </w:rPr>
        <w:t>For further discussion on liquidity risk management, see Item 7. "Management's Discussion and Analysis of Financial Condition and Results of Operations — Liquidity and Capital Resources."</w:t>
      </w:r>
    </w:p>
    <w:p>
      <w:pPr>
        <w:spacing w:after="0" w:line="18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Conditions in the global capital markets and the economy generally may materially and adversely affect our business and results of operations.</w:t>
      </w:r>
    </w:p>
    <w:p>
      <w:pPr>
        <w:spacing w:after="0" w:line="254" w:lineRule="exact"/>
        <w:rPr>
          <w:sz w:val="20"/>
          <w:szCs w:val="20"/>
          <w:color w:val="auto"/>
        </w:rPr>
      </w:pPr>
    </w:p>
    <w:p>
      <w:pPr>
        <w:jc w:val="both"/>
        <w:ind w:firstLine="480"/>
        <w:spacing w:after="0" w:line="256" w:lineRule="auto"/>
        <w:rPr>
          <w:sz w:val="20"/>
          <w:szCs w:val="20"/>
          <w:color w:val="auto"/>
        </w:rPr>
      </w:pPr>
      <w:r>
        <w:rPr>
          <w:rFonts w:ascii="Arial" w:cs="Arial" w:eastAsia="Arial" w:hAnsi="Arial"/>
          <w:sz w:val="18"/>
          <w:szCs w:val="18"/>
          <w:color w:val="auto"/>
        </w:rPr>
        <w:t>Our results of operations are materially affected by conditions in the global capital markets and the economy generally, both in the U.S. and elsewhere around the world. Our AUM and revenues may decline and our profit margins could erode. In addition, in the event of extreme prolonged market events and economic downturns, such as the recent global financial crisis, we could incur significant losses. Even in the absence of a market downturn, we are exposed to substantial risk of loss due to market volatility.</w:t>
      </w:r>
    </w:p>
    <w:p>
      <w:pPr>
        <w:spacing w:after="0" w:line="197" w:lineRule="exact"/>
        <w:rPr>
          <w:sz w:val="20"/>
          <w:szCs w:val="20"/>
          <w:color w:val="auto"/>
        </w:rPr>
      </w:pPr>
    </w:p>
    <w:p>
      <w:pPr>
        <w:jc w:val="both"/>
        <w:ind w:firstLine="455"/>
        <w:spacing w:after="0" w:line="287" w:lineRule="auto"/>
        <w:rPr>
          <w:sz w:val="20"/>
          <w:szCs w:val="20"/>
          <w:color w:val="auto"/>
        </w:rPr>
      </w:pPr>
      <w:r>
        <w:rPr>
          <w:rFonts w:ascii="Arial" w:cs="Arial" w:eastAsia="Arial" w:hAnsi="Arial"/>
          <w:sz w:val="16"/>
          <w:szCs w:val="16"/>
          <w:color w:val="auto"/>
        </w:rPr>
        <w:t>Factors such as consumer spending, business investment, government spending, the volatility and strength of the capital markets, investor and consumer confidence and inflation levels all affect the business and economic environment and, ultimately, the amount and profitability of our business. In an economic downturn characterized by higher unemployment, lower family income, lower corporate earnings, lower business investment, negative investor sentiment and lower consumer spending, the demand for our financial and insurance products could be adversely affected. In addition, we may experience an elevated incidence of claims and lapses or surrenders of policies. Our policyholders may choose to defer paying insurance premiums or stop paying insurance premiums altogether. In addition, reductions in employment levels of our existing employer customers may result in a reduction in membership levels and premium income for our specialty benefits products. Participants within the retirement plans for which we provide administrative services may elect to reduce or stop their payroll deferrals to these plans, which would reduce AUM and revenues. In addition, reductions in employment levels may result in a decline in employee deposits into retirement plans. Adverse changes in the economy could affect net income negatively and could have a material adverse effect on our business, results of operations and financial condition.</w:t>
      </w:r>
    </w:p>
    <w:p>
      <w:pPr>
        <w:spacing w:after="0" w:line="171" w:lineRule="exact"/>
        <w:rPr>
          <w:sz w:val="20"/>
          <w:szCs w:val="20"/>
          <w:color w:val="auto"/>
        </w:rPr>
      </w:pPr>
    </w:p>
    <w:p>
      <w:pPr>
        <w:jc w:val="both"/>
        <w:spacing w:after="0" w:line="275" w:lineRule="auto"/>
        <w:rPr>
          <w:sz w:val="20"/>
          <w:szCs w:val="20"/>
          <w:color w:val="auto"/>
        </w:rPr>
      </w:pPr>
      <w:r>
        <w:rPr>
          <w:rFonts w:ascii="Arial" w:cs="Arial" w:eastAsia="Arial" w:hAnsi="Arial"/>
          <w:sz w:val="18"/>
          <w:szCs w:val="18"/>
          <w:b w:val="1"/>
          <w:bCs w:val="1"/>
          <w:color w:val="auto"/>
        </w:rPr>
        <w:t>Continued volatility or declines in the equity, bond or real estate markets could reduce our AUM and may result in investors withdrawing from the markets or decreasing their rates of investment, all of which could reduce our revenues and net income.</w:t>
      </w:r>
    </w:p>
    <w:p>
      <w:pPr>
        <w:spacing w:after="0" w:line="180" w:lineRule="exact"/>
        <w:rPr>
          <w:sz w:val="20"/>
          <w:szCs w:val="20"/>
          <w:color w:val="auto"/>
        </w:rPr>
      </w:pPr>
    </w:p>
    <w:p>
      <w:pPr>
        <w:jc w:val="both"/>
        <w:ind w:firstLine="423"/>
        <w:spacing w:after="0" w:line="306" w:lineRule="auto"/>
        <w:rPr>
          <w:sz w:val="20"/>
          <w:szCs w:val="20"/>
          <w:color w:val="auto"/>
        </w:rPr>
      </w:pPr>
      <w:r>
        <w:rPr>
          <w:rFonts w:ascii="Arial" w:cs="Arial" w:eastAsia="Arial" w:hAnsi="Arial"/>
          <w:sz w:val="16"/>
          <w:szCs w:val="16"/>
          <w:color w:val="auto"/>
        </w:rPr>
        <w:t>Because the revenues of our asset management and accumulation businesses are, to a large extent, based on the value of AUM, a decline in domestic and global equity, bond or real estate markets will decrease our revenues. Turmoil in these markets could lead investors to withdraw from these markets, decrease their rates of investment or refrain from making new investments, which may reduce our net income, revenues and AUM.</w:t>
      </w:r>
    </w:p>
    <w:p>
      <w:pPr>
        <w:spacing w:after="0" w:line="16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For further discussion on equity risk management, see Item 7A. "Quantitative and Qualitative Disclosures About Market Risk — Equity Risk."</w:t>
      </w:r>
    </w:p>
    <w:p>
      <w:pPr>
        <w:spacing w:after="0" w:line="242" w:lineRule="exact"/>
        <w:rPr>
          <w:sz w:val="20"/>
          <w:szCs w:val="20"/>
          <w:color w:val="auto"/>
        </w:rPr>
      </w:pPr>
    </w:p>
    <w:p>
      <w:pPr>
        <w:jc w:val="both"/>
        <w:ind w:right="20"/>
        <w:spacing w:after="0" w:line="275" w:lineRule="auto"/>
        <w:rPr>
          <w:sz w:val="20"/>
          <w:szCs w:val="20"/>
          <w:color w:val="auto"/>
        </w:rPr>
      </w:pPr>
      <w:r>
        <w:rPr>
          <w:rFonts w:ascii="Arial" w:cs="Arial" w:eastAsia="Arial" w:hAnsi="Arial"/>
          <w:sz w:val="18"/>
          <w:szCs w:val="18"/>
          <w:b w:val="1"/>
          <w:bCs w:val="1"/>
          <w:color w:val="auto"/>
        </w:rPr>
        <w:t>Changes in interest rates or credit spreads or a sustained low interest rate environment may adversely affect our results of operations, financial condition and liquidity, and our net income can vary from period-to-period.</w:t>
      </w:r>
    </w:p>
    <w:p>
      <w:pPr>
        <w:spacing w:after="0" w:line="180" w:lineRule="exact"/>
        <w:rPr>
          <w:sz w:val="20"/>
          <w:szCs w:val="20"/>
          <w:color w:val="auto"/>
        </w:rPr>
      </w:pPr>
    </w:p>
    <w:p>
      <w:pPr>
        <w:jc w:val="both"/>
        <w:ind w:firstLine="419"/>
        <w:spacing w:after="0" w:line="285" w:lineRule="auto"/>
        <w:rPr>
          <w:sz w:val="20"/>
          <w:szCs w:val="20"/>
          <w:color w:val="auto"/>
        </w:rPr>
      </w:pPr>
      <w:r>
        <w:rPr>
          <w:rFonts w:ascii="Arial" w:cs="Arial" w:eastAsia="Arial" w:hAnsi="Arial"/>
          <w:sz w:val="16"/>
          <w:szCs w:val="16"/>
          <w:color w:val="auto"/>
        </w:rPr>
        <w:t>In recent years, interest rates have remained at or near historically low levels. During periods of declining interest rates or sustained low interest rates, the interest rates we earn on our assets may be lower than the rates assumed in pricing our products, thereby reducing our profitability. For some of our products, such as GICs and funding agreements, we are unable to lower the rate we credit to customers in response to the lower return we will earn on our investments. In addition, guaranteed minimum interest rates on our life insurance and annuity products may constrain our ability to lower the rate we credit to customers. If interest rates remain low over a sustained period of time, this may result in increases in our reserves and unlocking of our deferred acquisition cost ("DAC") asset and other actuarial balances. During periods of declining interest rates, borrowers may prepay or redeem mortgages and bonds that we own, which would force us to reinvest the proceeds at lower interest rates. Furthermore, declining interest rates may reduce the rate of policyholder surrenders and withdrawals on our life insurance and annuity products, thus increasing the duration of the liabilities and creating asset and liability duration mismatches. Low interest rates may also result in increased hedging costs. Although we take measures to manage the economic risks of investing in a changing interest rate environment, we may not be able to mitigate the interest rate risk of our assets relative to our liabilities. Declining interest rates or a sustained low interest rate environment may also result in changes to the discount rate assumption used for valuing our pension and other postretirement benefit obligations, which could negatively impact our results of operations and financial condition. In addition, certain statutory capital and reserve requirements are based on formulas or models that consider interest rates, and a prolonged period of low interest rates may increase the statutory capital we are required to hold as well as the amount of assets we must maintain to support statutory reserves.</w:t>
      </w:r>
    </w:p>
    <w:p>
      <w:pPr>
        <w:spacing w:after="0" w:line="182" w:lineRule="exact"/>
        <w:rPr>
          <w:sz w:val="20"/>
          <w:szCs w:val="20"/>
          <w:color w:val="auto"/>
        </w:rPr>
      </w:pPr>
    </w:p>
    <w:p>
      <w:pPr>
        <w:jc w:val="both"/>
        <w:ind w:firstLine="396"/>
        <w:spacing w:after="0" w:line="306" w:lineRule="auto"/>
        <w:rPr>
          <w:sz w:val="20"/>
          <w:szCs w:val="20"/>
          <w:color w:val="auto"/>
        </w:rPr>
      </w:pPr>
      <w:r>
        <w:rPr>
          <w:rFonts w:ascii="Arial" w:cs="Arial" w:eastAsia="Arial" w:hAnsi="Arial"/>
          <w:sz w:val="16"/>
          <w:szCs w:val="16"/>
          <w:color w:val="auto"/>
        </w:rPr>
        <w:t>Increases in market interest rates may also adversely affect our results of operations, financial condition, and liquidity. During periods of increasing market interest rates, we may offer higher crediting rates on our insurance and annuity products in order to keep these products competitive. Because returns on our portfolio of invested assets may not increase as quickly as current interest rates, we may have to accept lower spreads, thus reducing our profitability. Rapidly</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rising interest rates may also result in an increase in policy surrenders, withdrawals, and requests for policy loans as customers seek to achieve higher returns. In addition, rising interest rates would cause unrealized losses in our investment portfolio. Despite our efforts to reduce the impact of rising interest rates, we may be required to sell assets to raise the cash necessary to respond to an increase in surrenders, withdrawals and loans, thereby realizing capital losses on the assets sold. An increase in policy surrenders and withdrawals may also require us to accelerate amortization of our DAC relating to these products, which would further reduce our profitability.</w:t>
      </w:r>
    </w:p>
    <w:p>
      <w:pPr>
        <w:spacing w:after="0" w:line="197" w:lineRule="exact"/>
        <w:rPr>
          <w:sz w:val="20"/>
          <w:szCs w:val="20"/>
          <w:color w:val="auto"/>
        </w:rPr>
      </w:pPr>
    </w:p>
    <w:p>
      <w:pPr>
        <w:jc w:val="both"/>
        <w:ind w:firstLine="386"/>
        <w:spacing w:after="0" w:line="259" w:lineRule="auto"/>
        <w:rPr>
          <w:sz w:val="20"/>
          <w:szCs w:val="20"/>
          <w:color w:val="auto"/>
        </w:rPr>
      </w:pPr>
      <w:r>
        <w:rPr>
          <w:rFonts w:ascii="Arial" w:cs="Arial" w:eastAsia="Arial" w:hAnsi="Arial"/>
          <w:sz w:val="18"/>
          <w:szCs w:val="18"/>
          <w:color w:val="auto"/>
        </w:rPr>
        <w:t>We attempt to significantly reduce the impact of changes in interest rates on our results of operations and financial condition. We accomplish this reduction primarily by managing the duration of our assets relative to the duration of our liabilities. For further discussion on interest rate risk management, see Item 7A. "Quantitative and Qualitative Disclosures About Market Risk — Interest Rate Risk".</w:t>
      </w:r>
    </w:p>
    <w:p>
      <w:pPr>
        <w:spacing w:after="0" w:line="194" w:lineRule="exact"/>
        <w:rPr>
          <w:sz w:val="20"/>
          <w:szCs w:val="20"/>
          <w:color w:val="auto"/>
        </w:rPr>
      </w:pPr>
    </w:p>
    <w:p>
      <w:pPr>
        <w:jc w:val="both"/>
        <w:ind w:firstLine="420"/>
        <w:spacing w:after="0" w:line="289" w:lineRule="auto"/>
        <w:rPr>
          <w:sz w:val="20"/>
          <w:szCs w:val="20"/>
          <w:color w:val="auto"/>
        </w:rPr>
      </w:pPr>
      <w:r>
        <w:rPr>
          <w:rFonts w:ascii="Arial" w:cs="Arial" w:eastAsia="Arial" w:hAnsi="Arial"/>
          <w:sz w:val="16"/>
          <w:szCs w:val="16"/>
          <w:color w:val="auto"/>
        </w:rPr>
        <w:t>Our exposure to credit spreads primarily relates to market price variability and reinvestment risk associated with changes in credit spreads. A widening of credit spreads would cause unrealized losses in our investment portfolio, would increase losses associated with credit-based derivatives we have sold that do not qualify or have not been designated for hedge accounting where we assume credit exposure and, if issuer credit spreads increase as a result of fundamental credit deterioration, would likely result in higher other-than-temporary impairments. Credit spread tightening will reduce net investment income associated with new purchases of fixed maturities. Credit spread tightening may also cause an increase in the reported value of certain liabilities that are valued using a discount rate that reflects our own credit spread. In addition, market volatility may make it difficult to value certain of our securities if trading becomes less frequent. As such, valuations may include assumptions or estimates that may have significant period-to-period changes from market volatility, which could have a material adverse effect on our results of operations or financial condition.</w:t>
      </w:r>
    </w:p>
    <w:p>
      <w:pPr>
        <w:spacing w:after="0" w:line="166" w:lineRule="exact"/>
        <w:rPr>
          <w:sz w:val="20"/>
          <w:szCs w:val="20"/>
          <w:color w:val="auto"/>
        </w:rPr>
      </w:pPr>
    </w:p>
    <w:p>
      <w:pPr>
        <w:jc w:val="both"/>
        <w:spacing w:after="0" w:line="275" w:lineRule="auto"/>
        <w:rPr>
          <w:sz w:val="20"/>
          <w:szCs w:val="20"/>
          <w:color w:val="auto"/>
        </w:rPr>
      </w:pPr>
      <w:r>
        <w:rPr>
          <w:rFonts w:ascii="Arial" w:cs="Arial" w:eastAsia="Arial" w:hAnsi="Arial"/>
          <w:sz w:val="18"/>
          <w:szCs w:val="18"/>
          <w:b w:val="1"/>
          <w:bCs w:val="1"/>
          <w:color w:val="auto"/>
        </w:rPr>
        <w:t>Our investment portfolio is subject to several risks that may diminish the value of our invested assets and the investment returns credited to customers, which could reduce our sales, revenues, AUM and net income.</w:t>
      </w:r>
    </w:p>
    <w:p>
      <w:pPr>
        <w:spacing w:after="0" w:line="180"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An increase in defaults or write-downs on our fixed maturities portfolio may reduce our profitability.</w:t>
      </w:r>
    </w:p>
    <w:p>
      <w:pPr>
        <w:spacing w:after="0" w:line="225" w:lineRule="exact"/>
        <w:rPr>
          <w:sz w:val="20"/>
          <w:szCs w:val="20"/>
          <w:color w:val="auto"/>
        </w:rPr>
      </w:pPr>
    </w:p>
    <w:p>
      <w:pPr>
        <w:jc w:val="both"/>
        <w:ind w:firstLine="388"/>
        <w:spacing w:after="0" w:line="255" w:lineRule="auto"/>
        <w:rPr>
          <w:sz w:val="20"/>
          <w:szCs w:val="20"/>
          <w:color w:val="auto"/>
        </w:rPr>
      </w:pPr>
      <w:r>
        <w:rPr>
          <w:rFonts w:ascii="Arial" w:cs="Arial" w:eastAsia="Arial" w:hAnsi="Arial"/>
          <w:sz w:val="18"/>
          <w:szCs w:val="18"/>
          <w:color w:val="auto"/>
        </w:rPr>
        <w:t>We are subject to the risk that the issuers of the fixed maturities we own will default on principal and interest payments, particularly if a major downturn in economic activity occurs. As of December 31, 2013, our U.S. investment operations held $46.0 billion of fixed maturities, or 76% of total U.S. invested assets, of which approximately 7% were below investment grade, including $574.1 million, or 1.25% of our total fixed maturities which we classified as either "problem," "potential problem" or "restructured." See Item 7. "Management's Discussion and Analysis of Financial Condition and Results of Operations — Investments — U.S. Investment Operations — Fixed Maturities."</w:t>
      </w:r>
    </w:p>
    <w:p>
      <w:pPr>
        <w:spacing w:after="0" w:line="197" w:lineRule="exact"/>
        <w:rPr>
          <w:sz w:val="20"/>
          <w:szCs w:val="20"/>
          <w:color w:val="auto"/>
        </w:rPr>
      </w:pPr>
    </w:p>
    <w:p>
      <w:pPr>
        <w:jc w:val="both"/>
        <w:ind w:firstLine="475"/>
        <w:spacing w:after="0" w:line="288" w:lineRule="auto"/>
        <w:rPr>
          <w:sz w:val="20"/>
          <w:szCs w:val="20"/>
          <w:color w:val="auto"/>
        </w:rPr>
      </w:pPr>
      <w:r>
        <w:rPr>
          <w:rFonts w:ascii="Arial" w:cs="Arial" w:eastAsia="Arial" w:hAnsi="Arial"/>
          <w:sz w:val="16"/>
          <w:szCs w:val="16"/>
          <w:color w:val="auto"/>
        </w:rPr>
        <w:t>Our U.S. fixed maturities portfolio includes securities collateralized by residential and commercial mortgage loans. As of December 31, 2013, our U.S. investment operations held $3.9 billion of residential mortgage-backed securities, of which $2.9 billion are Government National Mortgage Association, Federal National Mortgage Association or Federal Home Loan Mortgage Corporation pass-through securities, and $4.0 billion of commercial mortgage-backed securities, which represent in combination 17% of our total fixed maturities portfolio. For residential mortgage-backed securities, prepayment speeds, changes in mortgage delinquency or recovery rates, credit rating changes by rating agencies, changes in property values underlying the loans and the quality of service provided by service providers on securities in our portfolios could lead to write-downs on these securities. For commercial mortgage-backed securities, changes in mortgage delinquency or default rates, interest rate movements, credit quality and vintage of the underlying loans, changes in property values underlying the loans and credit rating changes by rating agencies could result in write-downs of those securities. See Item 7. "Management's Discussion and Analysis of Financial Condition and Results of Operations — Investments — U.S. Investment Operations — Fixed Maturities."</w:t>
      </w:r>
    </w:p>
    <w:p>
      <w:pPr>
        <w:spacing w:after="0" w:line="174" w:lineRule="exact"/>
        <w:rPr>
          <w:sz w:val="20"/>
          <w:szCs w:val="20"/>
          <w:color w:val="auto"/>
        </w:rPr>
      </w:pPr>
    </w:p>
    <w:p>
      <w:pPr>
        <w:jc w:val="both"/>
        <w:ind w:firstLine="355"/>
        <w:spacing w:after="0" w:line="254" w:lineRule="auto"/>
        <w:rPr>
          <w:sz w:val="20"/>
          <w:szCs w:val="20"/>
          <w:color w:val="auto"/>
        </w:rPr>
      </w:pPr>
      <w:r>
        <w:rPr>
          <w:rFonts w:ascii="Arial" w:cs="Arial" w:eastAsia="Arial" w:hAnsi="Arial"/>
          <w:sz w:val="18"/>
          <w:szCs w:val="18"/>
          <w:color w:val="auto"/>
        </w:rPr>
        <w:t>As of December 31, 2013, the international investment operations of our fully consolidated subsidiaries held $3.4 billion of fixed maturities, or 55%, of total international invested assets, of which 17% are government bonds. Some non-government bonds have been rated on the basis of the issuer's country credit rating. However, the ratings relationship between national ratings and global ratings is not linear with the U.S. The starting point for national ratings differs by country, which makes the assessment of credit quality more difficult. See Item 7. "Management's Discussion and Analysis of Financial Condition and Results of Operations — Investments — International Investment Operations." An increase in defaults on our fixed maturities portfolio could harm our financial strength and reduce our profitability.</w:t>
      </w:r>
    </w:p>
    <w:p>
      <w:pPr>
        <w:spacing w:after="0" w:line="198" w:lineRule="exact"/>
        <w:rPr>
          <w:sz w:val="20"/>
          <w:szCs w:val="20"/>
          <w:color w:val="auto"/>
        </w:rPr>
      </w:pPr>
    </w:p>
    <w:p>
      <w:pPr>
        <w:ind w:left="540"/>
        <w:spacing w:after="0" w:line="268" w:lineRule="auto"/>
        <w:rPr>
          <w:sz w:val="20"/>
          <w:szCs w:val="20"/>
          <w:color w:val="auto"/>
        </w:rPr>
      </w:pPr>
      <w:r>
        <w:rPr>
          <w:rFonts w:ascii="Arial" w:cs="Arial" w:eastAsia="Arial" w:hAnsi="Arial"/>
          <w:sz w:val="18"/>
          <w:szCs w:val="18"/>
          <w:b w:val="1"/>
          <w:bCs w:val="1"/>
          <w:i w:val="1"/>
          <w:iCs w:val="1"/>
          <w:color w:val="auto"/>
        </w:rPr>
        <w:t>An increased rate of delinquency and defaults on our commercial mortgage loans, including balloon maturities with and without amortizing payments, may adversely affect our profitability.</w:t>
      </w:r>
    </w:p>
    <w:p>
      <w:pPr>
        <w:spacing w:after="0" w:line="186" w:lineRule="exact"/>
        <w:rPr>
          <w:sz w:val="20"/>
          <w:szCs w:val="20"/>
          <w:color w:val="auto"/>
        </w:rPr>
      </w:pPr>
    </w:p>
    <w:p>
      <w:pPr>
        <w:jc w:val="both"/>
        <w:ind w:firstLine="392"/>
        <w:spacing w:after="0" w:line="298" w:lineRule="auto"/>
        <w:rPr>
          <w:sz w:val="20"/>
          <w:szCs w:val="20"/>
          <w:color w:val="auto"/>
        </w:rPr>
      </w:pPr>
      <w:r>
        <w:rPr>
          <w:rFonts w:ascii="Arial" w:cs="Arial" w:eastAsia="Arial" w:hAnsi="Arial"/>
          <w:sz w:val="16"/>
          <w:szCs w:val="16"/>
          <w:color w:val="auto"/>
        </w:rPr>
        <w:t>Our commercial mortgage loan portfolio faces both delinquency and default risk. Commercial mortgage loans of $10.3 billion represented 15% of our total invested assets as of December 31, 2013. As of December 31, 2013, loans that were in the process of foreclosure totaled $8.0 million, or 0.1% of our commercial mortgage loan portfolio. The performance of our commercial mortgage loan investments, however, may fluctuate in the future. An increase in the delinquency rate of, and defaults under, our commercial mortgage loan portfolio could harm our financial strength and decrease our profitability.</w:t>
      </w:r>
    </w:p>
    <w:p>
      <w:pPr>
        <w:spacing w:after="0" w:line="167" w:lineRule="exact"/>
        <w:rPr>
          <w:sz w:val="20"/>
          <w:szCs w:val="20"/>
          <w:color w:val="auto"/>
        </w:rPr>
      </w:pPr>
    </w:p>
    <w:p>
      <w:pPr>
        <w:jc w:val="both"/>
        <w:ind w:firstLine="550"/>
        <w:spacing w:after="0" w:line="259" w:lineRule="auto"/>
        <w:rPr>
          <w:sz w:val="20"/>
          <w:szCs w:val="20"/>
          <w:color w:val="auto"/>
        </w:rPr>
      </w:pPr>
      <w:r>
        <w:rPr>
          <w:rFonts w:ascii="Arial" w:cs="Arial" w:eastAsia="Arial" w:hAnsi="Arial"/>
          <w:sz w:val="18"/>
          <w:szCs w:val="18"/>
          <w:color w:val="auto"/>
        </w:rPr>
        <w:t>As of December 31, 2013, approximately $8.5 billion, or 82%, of our commercial mortgage loans before valuation allowance had balloon payment maturities. A balloon maturity is a loan with all or a meaningful portion of the loan amount due at the maturity of the loan. The default rate on commercial mortgage loans with balloon payment maturities</w:t>
      </w:r>
    </w:p>
    <w:p>
      <w:pPr>
        <w:sectPr>
          <w:pgSz w:w="11900" w:h="16838" w:orient="portrait"/>
          <w:cols w:equalWidth="0" w:num="1">
            <w:col w:w="11420"/>
          </w:cols>
          <w:pgMar w:left="240" w:top="131" w:right="239" w:bottom="1440" w:gutter="0" w:footer="0" w:header="0"/>
        </w:sectPr>
      </w:pP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22" w:name="page23"/>
    <w:bookmarkEnd w:id="2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has historically been higher than for commercial mortgage loans with a fully amortizing loan structure. Since a significant portion of the principal is repaid at maturity, the amount of loss on a default is generally greater than fully amortizing commercial mortgage loans. An increase in defaults on balloon maturity loans as a result of the foregoing factors could harm our financial strength and decrease our profitability.</w:t>
      </w:r>
    </w:p>
    <w:p>
      <w:pPr>
        <w:spacing w:after="0" w:line="194" w:lineRule="exact"/>
        <w:rPr>
          <w:sz w:val="20"/>
          <w:szCs w:val="20"/>
          <w:color w:val="auto"/>
        </w:rPr>
      </w:pPr>
    </w:p>
    <w:p>
      <w:pPr>
        <w:ind w:left="540"/>
        <w:spacing w:after="0" w:line="268" w:lineRule="auto"/>
        <w:rPr>
          <w:sz w:val="20"/>
          <w:szCs w:val="20"/>
          <w:color w:val="auto"/>
        </w:rPr>
      </w:pPr>
      <w:r>
        <w:rPr>
          <w:rFonts w:ascii="Arial" w:cs="Arial" w:eastAsia="Arial" w:hAnsi="Arial"/>
          <w:sz w:val="18"/>
          <w:szCs w:val="18"/>
          <w:b w:val="1"/>
          <w:bCs w:val="1"/>
          <w:i w:val="1"/>
          <w:iCs w:val="1"/>
          <w:color w:val="auto"/>
        </w:rPr>
        <w:t>Mark-to-market adjustments on certain equity method investments and trading securities may reduce our profitability or cause volatility in our reported earnings.</w:t>
      </w:r>
    </w:p>
    <w:p>
      <w:pPr>
        <w:spacing w:after="0" w:line="186" w:lineRule="exact"/>
        <w:rPr>
          <w:sz w:val="20"/>
          <w:szCs w:val="20"/>
          <w:color w:val="auto"/>
        </w:rPr>
      </w:pPr>
    </w:p>
    <w:p>
      <w:pPr>
        <w:jc w:val="both"/>
        <w:ind w:firstLine="411"/>
        <w:spacing w:after="0" w:line="256" w:lineRule="auto"/>
        <w:rPr>
          <w:sz w:val="20"/>
          <w:szCs w:val="20"/>
          <w:color w:val="auto"/>
        </w:rPr>
      </w:pPr>
      <w:r>
        <w:rPr>
          <w:rFonts w:ascii="Arial" w:cs="Arial" w:eastAsia="Arial" w:hAnsi="Arial"/>
          <w:sz w:val="18"/>
          <w:szCs w:val="18"/>
          <w:color w:val="auto"/>
        </w:rPr>
        <w:t>Our investment portfolio includes certain equity method investments and trading securities that are reported at fair value on the consolidated statements of financial position, with changes in fair value reported in net investment income on the consolidated statements of operations. Mark-to-market adjustments on these investments may reduce our profitability or cause our net income to vary from period to period. We anticipate that acquisition and investment activities may increase the number and magnitude of these investments in the future.</w:t>
      </w:r>
    </w:p>
    <w:p>
      <w:pPr>
        <w:spacing w:after="0" w:line="197" w:lineRule="exact"/>
        <w:rPr>
          <w:sz w:val="20"/>
          <w:szCs w:val="20"/>
          <w:color w:val="auto"/>
        </w:rPr>
      </w:pPr>
    </w:p>
    <w:p>
      <w:pPr>
        <w:ind w:left="540"/>
        <w:spacing w:after="0" w:line="268" w:lineRule="auto"/>
        <w:rPr>
          <w:sz w:val="20"/>
          <w:szCs w:val="20"/>
          <w:color w:val="auto"/>
        </w:rPr>
      </w:pPr>
      <w:r>
        <w:rPr>
          <w:rFonts w:ascii="Arial" w:cs="Arial" w:eastAsia="Arial" w:hAnsi="Arial"/>
          <w:sz w:val="18"/>
          <w:szCs w:val="18"/>
          <w:b w:val="1"/>
          <w:bCs w:val="1"/>
          <w:i w:val="1"/>
          <w:iCs w:val="1"/>
          <w:color w:val="auto"/>
        </w:rPr>
        <w:t>We may have difficulty selling our privately placed fixed maturities, commercial mortgage loans and real estate investments because they are less liquid than our publicly traded fixed maturities.</w:t>
      </w:r>
    </w:p>
    <w:p>
      <w:pPr>
        <w:spacing w:after="0" w:line="186" w:lineRule="exact"/>
        <w:rPr>
          <w:sz w:val="20"/>
          <w:szCs w:val="20"/>
          <w:color w:val="auto"/>
        </w:rPr>
      </w:pPr>
    </w:p>
    <w:p>
      <w:pPr>
        <w:jc w:val="both"/>
        <w:ind w:firstLine="352"/>
        <w:spacing w:after="0" w:line="268" w:lineRule="auto"/>
        <w:rPr>
          <w:sz w:val="20"/>
          <w:szCs w:val="20"/>
          <w:color w:val="auto"/>
        </w:rPr>
      </w:pPr>
      <w:r>
        <w:rPr>
          <w:rFonts w:ascii="Arial" w:cs="Arial" w:eastAsia="Arial" w:hAnsi="Arial"/>
          <w:sz w:val="18"/>
          <w:szCs w:val="18"/>
          <w:color w:val="auto"/>
        </w:rPr>
        <w:t>We hold certain investments that may lack liquidity, such as privately placed fixed maturities, mortgage loans and real estate investments. These asset classes represented approximately 42% of the value of our invested assets as of December 31, 2013.</w:t>
      </w:r>
    </w:p>
    <w:p>
      <w:pPr>
        <w:spacing w:after="0" w:line="186" w:lineRule="exact"/>
        <w:rPr>
          <w:sz w:val="20"/>
          <w:szCs w:val="20"/>
          <w:color w:val="auto"/>
        </w:rPr>
      </w:pPr>
    </w:p>
    <w:p>
      <w:pPr>
        <w:jc w:val="both"/>
        <w:ind w:firstLine="364"/>
        <w:spacing w:after="0" w:line="255" w:lineRule="auto"/>
        <w:rPr>
          <w:sz w:val="20"/>
          <w:szCs w:val="20"/>
          <w:color w:val="auto"/>
        </w:rPr>
      </w:pPr>
      <w:r>
        <w:rPr>
          <w:rFonts w:ascii="Arial" w:cs="Arial" w:eastAsia="Arial" w:hAnsi="Arial"/>
          <w:sz w:val="18"/>
          <w:szCs w:val="18"/>
          <w:color w:val="auto"/>
        </w:rPr>
        <w:t>If we require significant amounts of cash on short notice, we may have difficulty selling these investments in a timely manner, be forced to sell them for less than we otherwise would have been able to realize or both. The reported value of our relatively illiquid types of investments, our investments in the asset classes described above and, at times, our high quality, generally liquid asset classes, do not necessarily reflect the lowest possible price for the asset. If we were forced to sell certain of our assets in the current market, there can be no assurance that we will be able to sell them for the prices at which we have recorded them and we may be forced to sell them at significantly lower prices.</w:t>
      </w:r>
    </w:p>
    <w:p>
      <w:pPr>
        <w:spacing w:after="0" w:line="197"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The impairment of other financial institutions could adversely affect us.</w:t>
      </w:r>
    </w:p>
    <w:p>
      <w:pPr>
        <w:spacing w:after="0" w:line="225" w:lineRule="exact"/>
        <w:rPr>
          <w:sz w:val="20"/>
          <w:szCs w:val="20"/>
          <w:color w:val="auto"/>
        </w:rPr>
      </w:pPr>
    </w:p>
    <w:p>
      <w:pPr>
        <w:jc w:val="both"/>
        <w:ind w:firstLine="359"/>
        <w:spacing w:after="0" w:line="287" w:lineRule="auto"/>
        <w:rPr>
          <w:sz w:val="20"/>
          <w:szCs w:val="20"/>
          <w:color w:val="auto"/>
        </w:rPr>
      </w:pPr>
      <w:r>
        <w:rPr>
          <w:rFonts w:ascii="Arial" w:cs="Arial" w:eastAsia="Arial" w:hAnsi="Arial"/>
          <w:sz w:val="16"/>
          <w:szCs w:val="16"/>
          <w:color w:val="auto"/>
        </w:rPr>
        <w:t>We use derivative instruments to hedge various risks we face in our businesses. See Item 7A. "Quantitative and Qualitative Disclosures About Market Risk." We enter into a variety of derivative instruments, including interest rate swaps, interest rate options, swaptions, interest rate futures, currency swaps, currency forwards, currency options, equity options, equity futures, credit default swaps and total return swaps, with a number of counterparties in the financial services industry, including brokers and dealers, commercial banks, investment banks, clearinghouses, exchanges and other institutions. For transactions where we are in-the-money, we are exposed to credit risk in the event of default of our counterparty. We establish collateral agreements with nominal thresholds for a large majority of our counterparties to limit our exposure. However, our credit risk may be exacerbated when the collateral held by us cannot be realized or is liquidated at prices not sufficient to recover the full amount of the loan or derivative exposure. With regard to our derivative exposure, we have over-collateralization requirements on the portion of collateral we hold, based on the risk profile of the assets posted as collateral. We also have exposure to these financial institutions in the form of unsecured debt instruments and equity investments. Such losses or impairments to the carrying value of these assets may materially and adversely affect our business and results of operations.</w:t>
      </w:r>
    </w:p>
    <w:p>
      <w:pPr>
        <w:spacing w:after="0" w:line="177" w:lineRule="exact"/>
        <w:rPr>
          <w:sz w:val="20"/>
          <w:szCs w:val="20"/>
          <w:color w:val="auto"/>
        </w:rPr>
      </w:pPr>
    </w:p>
    <w:p>
      <w:pPr>
        <w:ind w:left="540"/>
        <w:spacing w:after="0" w:line="268" w:lineRule="auto"/>
        <w:rPr>
          <w:sz w:val="20"/>
          <w:szCs w:val="20"/>
          <w:color w:val="auto"/>
        </w:rPr>
      </w:pPr>
      <w:r>
        <w:rPr>
          <w:rFonts w:ascii="Arial" w:cs="Arial" w:eastAsia="Arial" w:hAnsi="Arial"/>
          <w:sz w:val="18"/>
          <w:szCs w:val="18"/>
          <w:b w:val="1"/>
          <w:bCs w:val="1"/>
          <w:i w:val="1"/>
          <w:iCs w:val="1"/>
          <w:color w:val="auto"/>
        </w:rPr>
        <w:t>Our requirements to post collateral or make payments related to declines in market value of specified assets may adversely affect our liquidity and expose us to counterparty credit risk.</w:t>
      </w:r>
    </w:p>
    <w:p>
      <w:pPr>
        <w:spacing w:after="0" w:line="186" w:lineRule="exact"/>
        <w:rPr>
          <w:sz w:val="20"/>
          <w:szCs w:val="20"/>
          <w:color w:val="auto"/>
        </w:rPr>
      </w:pPr>
    </w:p>
    <w:p>
      <w:pPr>
        <w:jc w:val="both"/>
        <w:ind w:firstLine="355"/>
        <w:spacing w:after="0" w:line="291" w:lineRule="auto"/>
        <w:rPr>
          <w:sz w:val="20"/>
          <w:szCs w:val="20"/>
          <w:color w:val="auto"/>
        </w:rPr>
      </w:pPr>
      <w:r>
        <w:rPr>
          <w:rFonts w:ascii="Arial" w:cs="Arial" w:eastAsia="Arial" w:hAnsi="Arial"/>
          <w:sz w:val="16"/>
          <w:szCs w:val="16"/>
          <w:color w:val="auto"/>
        </w:rPr>
        <w:t>Many of our derivative transactions with financial and other institutions specify the circumstances under which the parties are required to post collateral. The amount of collateral we may be required to post under these agreements may increase under certain circumstances, which could adversely affect our liquidity. In addition, under the terms of some of our transactions we may be required to make payment to our counterparties related to any decline in the market value of the specified assets. Such payments could have an adverse effect on our liquidity. Furthermore, with respect to any such payments, we will have unsecured risk to the counterparty as these amounts are not required to be segregated from the counterparty's other funds, are not held in a third-party custodial account, and are not required to be paid to us by the counterparty until the termination of the transaction.</w:t>
      </w:r>
    </w:p>
    <w:p>
      <w:pPr>
        <w:spacing w:after="0" w:line="174"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Environmental liability exposure may result from our commercial mortgage loan portfolio and real estate investments.</w:t>
      </w:r>
    </w:p>
    <w:p>
      <w:pPr>
        <w:spacing w:after="0" w:line="225" w:lineRule="exact"/>
        <w:rPr>
          <w:sz w:val="20"/>
          <w:szCs w:val="20"/>
          <w:color w:val="auto"/>
        </w:rPr>
      </w:pPr>
    </w:p>
    <w:p>
      <w:pPr>
        <w:jc w:val="both"/>
        <w:ind w:firstLine="443"/>
        <w:spacing w:after="0" w:line="290" w:lineRule="auto"/>
        <w:rPr>
          <w:sz w:val="20"/>
          <w:szCs w:val="20"/>
          <w:color w:val="auto"/>
        </w:rPr>
      </w:pPr>
      <w:r>
        <w:rPr>
          <w:rFonts w:ascii="Arial" w:cs="Arial" w:eastAsia="Arial" w:hAnsi="Arial"/>
          <w:sz w:val="16"/>
          <w:szCs w:val="16"/>
          <w:color w:val="auto"/>
        </w:rPr>
        <w:t>Liability under environmental protection laws resulting from our commercial mortgage loan portfolio and real estate investments may harm our financial strength and reduce our profitability. Under the laws of several states, contamination of a property may give rise to a lien on the property to secure recovery of the costs of cleanup. In some states, this kind of lien has priority over the lien of an existing mortgage against the property, which would impair our ability to foreclose on that property should the related loan be in default. In addition, under the laws of some states and under the federal Comprehensive Environmental Response, Compensation and Liability Act of 1980, we may be liable for costs of addressing releases or threatened releases of hazardous substances that require remedy at a property securing a mortgage loan held by us, if our agents or employees have become sufficiently involved in the hazardous waste aspects of the operations of the related obligor on that loan, regardless of whether or not the environmental damage or threat was</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268" w:lineRule="auto"/>
        <w:rPr>
          <w:sz w:val="20"/>
          <w:szCs w:val="20"/>
          <w:color w:val="auto"/>
        </w:rPr>
      </w:pPr>
      <w:r>
        <w:rPr>
          <w:rFonts w:ascii="Arial" w:cs="Arial" w:eastAsia="Arial" w:hAnsi="Arial"/>
          <w:sz w:val="18"/>
          <w:szCs w:val="18"/>
          <w:color w:val="auto"/>
        </w:rPr>
        <w:t>caused by the obligor. We also may face this liability after foreclosing on a property securing a mortgage loan held by us. This may harm our financial strength and decrease our profitability.</w:t>
      </w:r>
    </w:p>
    <w:p>
      <w:pPr>
        <w:spacing w:after="0" w:line="186" w:lineRule="exact"/>
        <w:rPr>
          <w:sz w:val="20"/>
          <w:szCs w:val="20"/>
          <w:color w:val="auto"/>
        </w:rPr>
      </w:pPr>
    </w:p>
    <w:p>
      <w:pPr>
        <w:ind w:left="540"/>
        <w:spacing w:after="0" w:line="268" w:lineRule="auto"/>
        <w:rPr>
          <w:sz w:val="20"/>
          <w:szCs w:val="20"/>
          <w:color w:val="auto"/>
        </w:rPr>
      </w:pPr>
      <w:r>
        <w:rPr>
          <w:rFonts w:ascii="Arial" w:cs="Arial" w:eastAsia="Arial" w:hAnsi="Arial"/>
          <w:sz w:val="18"/>
          <w:szCs w:val="18"/>
          <w:b w:val="1"/>
          <w:bCs w:val="1"/>
          <w:i w:val="1"/>
          <w:iCs w:val="1"/>
          <w:color w:val="auto"/>
        </w:rPr>
        <w:t>Regional concentration of our commercial mortgage loan portfolio in California may subject us to economic downturns or losses attributable to earthquakes in that state.</w:t>
      </w:r>
    </w:p>
    <w:p>
      <w:pPr>
        <w:spacing w:after="0" w:line="186" w:lineRule="exact"/>
        <w:rPr>
          <w:sz w:val="20"/>
          <w:szCs w:val="20"/>
          <w:color w:val="auto"/>
        </w:rPr>
      </w:pPr>
    </w:p>
    <w:p>
      <w:pPr>
        <w:jc w:val="both"/>
        <w:ind w:firstLine="403"/>
        <w:spacing w:after="0" w:line="253" w:lineRule="auto"/>
        <w:rPr>
          <w:sz w:val="20"/>
          <w:szCs w:val="20"/>
          <w:color w:val="auto"/>
        </w:rPr>
      </w:pPr>
      <w:r>
        <w:rPr>
          <w:rFonts w:ascii="Arial" w:cs="Arial" w:eastAsia="Arial" w:hAnsi="Arial"/>
          <w:sz w:val="18"/>
          <w:szCs w:val="18"/>
          <w:color w:val="auto"/>
        </w:rPr>
        <w:t>Commercial mortgage lending in the state of California accounted for 21%, or $2.2 billion, of our commercial mortgage loan portfolio as of December 31, 2013. Due to this concentration of commercial mortgage loans in California, we are exposed to potential losses resulting from the risk of an economic downturn in California as well as to catastrophes, such as earthquakes, that may affect the region. While we generally do not require earthquake insurance for properties on which we make commercial mortgage loans, we do take into account property specific engineering reports, construction type and geographical concentration by fault lines in our investment underwriting guidelines. If economic conditions in California deteriorate or catastrophes occur, we may in the future experience delinquencies or defaults on the portion of our commercial mortgage loan portfolio located in California, which may harm our financial strength and reduce our profitability.</w:t>
      </w:r>
    </w:p>
    <w:p>
      <w:pPr>
        <w:spacing w:after="0" w:line="195" w:lineRule="exact"/>
        <w:rPr>
          <w:sz w:val="20"/>
          <w:szCs w:val="20"/>
          <w:color w:val="auto"/>
        </w:rPr>
      </w:pPr>
    </w:p>
    <w:p>
      <w:pPr>
        <w:jc w:val="both"/>
        <w:spacing w:after="0" w:line="262" w:lineRule="auto"/>
        <w:rPr>
          <w:sz w:val="20"/>
          <w:szCs w:val="20"/>
          <w:color w:val="auto"/>
        </w:rPr>
      </w:pPr>
      <w:r>
        <w:rPr>
          <w:rFonts w:ascii="Arial" w:cs="Arial" w:eastAsia="Arial" w:hAnsi="Arial"/>
          <w:sz w:val="18"/>
          <w:szCs w:val="18"/>
          <w:b w:val="1"/>
          <w:bCs w:val="1"/>
          <w:color w:val="auto"/>
        </w:rPr>
        <w:t>Our valuation of fixed maturities, equity securities and derivatives may include methodologies, estimations and assumptions which are subject to differing interpretations and could result in changes to investment valuations that may materially adversely affect our results of operations or financial condition.</w:t>
      </w:r>
    </w:p>
    <w:p>
      <w:pPr>
        <w:spacing w:after="0" w:line="192" w:lineRule="exact"/>
        <w:rPr>
          <w:sz w:val="20"/>
          <w:szCs w:val="20"/>
          <w:color w:val="auto"/>
        </w:rPr>
      </w:pPr>
    </w:p>
    <w:p>
      <w:pPr>
        <w:jc w:val="both"/>
        <w:ind w:firstLine="396"/>
        <w:spacing w:after="0" w:line="294" w:lineRule="auto"/>
        <w:rPr>
          <w:sz w:val="20"/>
          <w:szCs w:val="20"/>
          <w:color w:val="auto"/>
        </w:rPr>
      </w:pPr>
      <w:r>
        <w:rPr>
          <w:rFonts w:ascii="Arial" w:cs="Arial" w:eastAsia="Arial" w:hAnsi="Arial"/>
          <w:sz w:val="16"/>
          <w:szCs w:val="16"/>
          <w:color w:val="auto"/>
        </w:rPr>
        <w:t>Fixed maturities, equity securities and derivatives reported at fair value on our consolidated statements of financial position represented the majority of our total cash and invested assets. The fair value hierarchy prioritizes the inputs to valuation techniques used to measure fair value into three levels. The level in the fair value hierarchy is based on the priority of the inputs to the respective valuation technique. The fair value hierarchy gives the highest priority to quoted prices in active markets for identical assets or liabilities (Level 1) and the lowest priority to unobservable inputs (Level 3). An asset or liability's classification within the fair value hierarchy is based on the lowest level of significant input to its valuation.</w:t>
      </w:r>
    </w:p>
    <w:p>
      <w:pPr>
        <w:spacing w:after="0" w:line="183" w:lineRule="exact"/>
        <w:rPr>
          <w:sz w:val="20"/>
          <w:szCs w:val="20"/>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Level 1: Fair values are based on unadjusted quoted prices in active markets for identical assets or liabilities.</w:t>
      </w:r>
    </w:p>
    <w:p>
      <w:pPr>
        <w:spacing w:after="0" w:line="252"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Level 2: Fair values are based on inputs other than quoted prices within Level 1 that are observable for the asset or liability, either directly or indirectly.</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Level 3: Fair values are based on at least one significant unobservable input for the asset or liability.</w:t>
      </w:r>
    </w:p>
    <w:p>
      <w:pPr>
        <w:spacing w:after="0" w:line="225" w:lineRule="exact"/>
        <w:rPr>
          <w:sz w:val="20"/>
          <w:szCs w:val="20"/>
          <w:color w:val="auto"/>
        </w:rPr>
      </w:pPr>
    </w:p>
    <w:p>
      <w:pPr>
        <w:jc w:val="both"/>
        <w:ind w:firstLine="449"/>
        <w:spacing w:after="0" w:line="287" w:lineRule="auto"/>
        <w:rPr>
          <w:sz w:val="20"/>
          <w:szCs w:val="20"/>
          <w:color w:val="auto"/>
        </w:rPr>
      </w:pPr>
      <w:r>
        <w:rPr>
          <w:rFonts w:ascii="Arial" w:cs="Arial" w:eastAsia="Arial" w:hAnsi="Arial"/>
          <w:sz w:val="16"/>
          <w:szCs w:val="16"/>
          <w:color w:val="auto"/>
        </w:rPr>
        <w:t>Excluding separate account assets as of December 31, 2013, 1%, 98% and 1% of our net assets and liabilities reported at fair value represented Level 1, Level 2 and Level 3, respectively. Our Level 1 assets and liabilities primarily include exchange traded equity securities and U.S. Treasury bonds. Our Level 2 assets and liabilities primarily include fixed maturities (including public and private bonds), equity securities, derivatives and other investments for which public quotations are not available but that are priced by third-party pricing services or internal models using substantially all observable inputs. Our Level 3 assets and liabilities include certain fixed maturities, private equity securities, commercial mortgage loan investments and obligations of consolidated variable interest entities for which the fair value option was elected, complex derivatives, embedded derivatives and equity method real estate investments for which the fair value option was elected. Level 3 securities contain at least one significant unobservable market input and as a result considerable judgment may be used in determining the fair values. These fair values are generally obtained through the use of valuation models or methodologies using at least one significant unobservable input or broker quotes. Prices provided by independent pricing services or independent broker quotes that are used in the determination of fair value can vary for a particular security.</w:t>
      </w:r>
    </w:p>
    <w:p>
      <w:pPr>
        <w:spacing w:after="0" w:line="177" w:lineRule="exact"/>
        <w:rPr>
          <w:sz w:val="20"/>
          <w:szCs w:val="20"/>
          <w:color w:val="auto"/>
        </w:rPr>
      </w:pPr>
    </w:p>
    <w:p>
      <w:pPr>
        <w:jc w:val="both"/>
        <w:ind w:right="20" w:firstLine="497"/>
        <w:spacing w:after="0" w:line="268" w:lineRule="auto"/>
        <w:rPr>
          <w:sz w:val="20"/>
          <w:szCs w:val="20"/>
          <w:color w:val="auto"/>
        </w:rPr>
      </w:pPr>
      <w:r>
        <w:rPr>
          <w:rFonts w:ascii="Arial" w:cs="Arial" w:eastAsia="Arial" w:hAnsi="Arial"/>
          <w:sz w:val="18"/>
          <w:szCs w:val="18"/>
          <w:color w:val="auto"/>
        </w:rPr>
        <w:t>For additional information on our valuation methodology, see Item 8. "Financial Statements and Supplementary Data, Notes to Consolidated Financial Statements, Note 15, Fair Value Measurements."</w:t>
      </w:r>
    </w:p>
    <w:p>
      <w:pPr>
        <w:spacing w:after="0" w:line="186" w:lineRule="exact"/>
        <w:rPr>
          <w:sz w:val="20"/>
          <w:szCs w:val="20"/>
          <w:color w:val="auto"/>
        </w:rPr>
      </w:pPr>
    </w:p>
    <w:p>
      <w:pPr>
        <w:jc w:val="both"/>
        <w:ind w:firstLine="420"/>
        <w:spacing w:after="0" w:line="289" w:lineRule="auto"/>
        <w:rPr>
          <w:sz w:val="20"/>
          <w:szCs w:val="20"/>
          <w:color w:val="auto"/>
        </w:rPr>
      </w:pPr>
      <w:r>
        <w:rPr>
          <w:rFonts w:ascii="Arial" w:cs="Arial" w:eastAsia="Arial" w:hAnsi="Arial"/>
          <w:sz w:val="16"/>
          <w:szCs w:val="16"/>
          <w:color w:val="auto"/>
        </w:rPr>
        <w:t>During periods of market disruption including periods of significantly rising or high interest rates, rapidly widening credit spreads or illiquidity, it may be difficult to value certain securities, for example collateralized mortgage obligations and collateralized debt obligations, if trading becomes less frequent and/or market data becomes less observable. There may be certain asset classes that were in active markets with significant observable data that become illiquid due to the current financial environment. In such cases, more securities may fall to Level 3 and thus require more subjectivity and management judgment. As such, valuations may include inputs and assumptions that are less observable or require greater estimation as well as valuation methods that require greater estimation, which could result in values that are different from the value at which the investments may be ultimately sold. Further, rapidly changing credit and equity market conditions could materially impact the valuation of securities as reported within our consolidated financial statements and the period-to-period changes in value could vary significantly. Decreases in value may have a material adverse effect on our results of operations or financial condition.</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jc w:val="both"/>
        <w:spacing w:after="0" w:line="275" w:lineRule="auto"/>
        <w:rPr>
          <w:sz w:val="20"/>
          <w:szCs w:val="20"/>
          <w:color w:val="auto"/>
        </w:rPr>
      </w:pPr>
      <w:r>
        <w:rPr>
          <w:rFonts w:ascii="Arial" w:cs="Arial" w:eastAsia="Arial" w:hAnsi="Arial"/>
          <w:sz w:val="18"/>
          <w:szCs w:val="18"/>
          <w:b w:val="1"/>
          <w:bCs w:val="1"/>
          <w:color w:val="auto"/>
        </w:rPr>
        <w:t>The determination of the amount of allowances and impairments taken on our investments requires estimations and assumptions which are subject to differing interpretations and could materially impact our results of operations or financial position.</w:t>
      </w:r>
    </w:p>
    <w:p>
      <w:pPr>
        <w:spacing w:after="0" w:line="180" w:lineRule="exact"/>
        <w:rPr>
          <w:sz w:val="20"/>
          <w:szCs w:val="20"/>
          <w:color w:val="auto"/>
        </w:rPr>
      </w:pPr>
    </w:p>
    <w:p>
      <w:pPr>
        <w:jc w:val="both"/>
        <w:ind w:firstLine="481"/>
        <w:spacing w:after="0" w:line="255" w:lineRule="auto"/>
        <w:rPr>
          <w:sz w:val="20"/>
          <w:szCs w:val="20"/>
          <w:color w:val="auto"/>
        </w:rPr>
      </w:pPr>
      <w:r>
        <w:rPr>
          <w:rFonts w:ascii="Arial" w:cs="Arial" w:eastAsia="Arial" w:hAnsi="Arial"/>
          <w:sz w:val="18"/>
          <w:szCs w:val="18"/>
          <w:color w:val="auto"/>
        </w:rPr>
        <w:t>The determination of the amount of allowances and impairments vary by investment type and is based upon our periodic evaluation and assessment of known and inherent risks associated with the respective asset class. Such evaluations and assessments are revised as conditions change and new information becomes available. There can be no assurance that our management has accurately assessed the level of impairments taken and allowances reflected in our financial statements. Furthermore, additional impairments may need to be taken or allowances provided for in the future. Historical trends may not be indicative of future impairments or allowances.</w:t>
      </w:r>
    </w:p>
    <w:p>
      <w:pPr>
        <w:spacing w:after="0" w:line="197" w:lineRule="exact"/>
        <w:rPr>
          <w:sz w:val="20"/>
          <w:szCs w:val="20"/>
          <w:color w:val="auto"/>
        </w:rPr>
      </w:pPr>
    </w:p>
    <w:p>
      <w:pPr>
        <w:jc w:val="both"/>
        <w:ind w:firstLine="467"/>
        <w:spacing w:after="0" w:line="255" w:lineRule="auto"/>
        <w:rPr>
          <w:sz w:val="20"/>
          <w:szCs w:val="20"/>
          <w:color w:val="auto"/>
        </w:rPr>
      </w:pPr>
      <w:r>
        <w:rPr>
          <w:rFonts w:ascii="Arial" w:cs="Arial" w:eastAsia="Arial" w:hAnsi="Arial"/>
          <w:sz w:val="18"/>
          <w:szCs w:val="18"/>
          <w:color w:val="auto"/>
        </w:rPr>
        <w:t>Additionally, our management considers a wide range of factors about the instrument issuer and uses their best judgment in evaluating the cause of the decline in the estimated fair value of the instrument and in assessing the prospects for recovery. Inherent in management's evaluation of the instrument are assumptions and estimates about the operations of the issuer and its future earnings potential. For further information regarding our impairment methodology, see Item 7. "Management's Discussion and Analysis of Financial Condition and Results of Operations — Investments — U.S. Investment Operations — Fixed Maturities."</w:t>
      </w:r>
    </w:p>
    <w:p>
      <w:pPr>
        <w:spacing w:after="0" w:line="19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Any impairments of or valuation allowances against our deferred tax assets could adversely affect our results of operations and financial condition.</w:t>
      </w:r>
    </w:p>
    <w:p>
      <w:pPr>
        <w:spacing w:after="0" w:line="254" w:lineRule="exact"/>
        <w:rPr>
          <w:sz w:val="20"/>
          <w:szCs w:val="20"/>
          <w:color w:val="auto"/>
        </w:rPr>
      </w:pPr>
    </w:p>
    <w:p>
      <w:pPr>
        <w:jc w:val="both"/>
        <w:ind w:firstLine="369"/>
        <w:spacing w:after="0" w:line="291" w:lineRule="auto"/>
        <w:rPr>
          <w:sz w:val="20"/>
          <w:szCs w:val="20"/>
          <w:color w:val="auto"/>
        </w:rPr>
      </w:pPr>
      <w:r>
        <w:rPr>
          <w:rFonts w:ascii="Arial" w:cs="Arial" w:eastAsia="Arial" w:hAnsi="Arial"/>
          <w:sz w:val="16"/>
          <w:szCs w:val="16"/>
          <w:color w:val="auto"/>
        </w:rPr>
        <w:t>Deferred tax liabilities and assets are determined based on the difference between the financial statement and tax bases of assets and liabilities using enacted tax rates expected to be in effect during the years in which the basis differences reverse. We are required to evaluate the recoverability of our deferred tax assets each quarter and establish a valuation allowance, if necessary, to reduce our deferred tax assets to an amount that is more-likely-than-not to be realizable. In determining the need for a valuation allowance, we consider many factors, including future reversals of existing taxable temporary differences, future taxable income exclusive of reversing temporary differences and carryforwards, taxable income in prior carryback years and implementation of any feasible and prudent tax planning strategies management would employ to realize the tax benefit.</w:t>
      </w:r>
    </w:p>
    <w:p>
      <w:pPr>
        <w:spacing w:after="0" w:line="174" w:lineRule="exact"/>
        <w:rPr>
          <w:sz w:val="20"/>
          <w:szCs w:val="20"/>
          <w:color w:val="auto"/>
        </w:rPr>
      </w:pPr>
    </w:p>
    <w:p>
      <w:pPr>
        <w:jc w:val="both"/>
        <w:ind w:firstLine="417"/>
        <w:spacing w:after="0" w:line="254" w:lineRule="auto"/>
        <w:rPr>
          <w:sz w:val="20"/>
          <w:szCs w:val="20"/>
          <w:color w:val="auto"/>
        </w:rPr>
      </w:pPr>
      <w:r>
        <w:rPr>
          <w:rFonts w:ascii="Arial" w:cs="Arial" w:eastAsia="Arial" w:hAnsi="Arial"/>
          <w:sz w:val="18"/>
          <w:szCs w:val="18"/>
          <w:color w:val="auto"/>
        </w:rPr>
        <w:t>Inherent in the provision for income taxes are estimates regarding the deductibility of certain items, the timing of income and expense recognition and the current or future realization of operating losses, capital losses and certain tax credits. In the event these estimates differ from our prior estimates due to the receipt of new information, we may be required to significantly change the provision for income taxes recorded in the consolidated financial statements. Any such change could significantly affect the amounts reported in the consolidated financial statements in the year these estimates change. A further significant decline in value of assets incorporated into our tax planning strategies could lead to an increase of our valuation allowance on deferred tax assets having an adverse effect on current and future results.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Gross unrealized losses may be realized or result in future impairments, resulting in a reduction in our net income.</w:t>
      </w:r>
    </w:p>
    <w:p>
      <w:pPr>
        <w:spacing w:after="0" w:line="231" w:lineRule="exact"/>
        <w:rPr>
          <w:sz w:val="20"/>
          <w:szCs w:val="20"/>
          <w:color w:val="auto"/>
        </w:rPr>
      </w:pPr>
    </w:p>
    <w:p>
      <w:pPr>
        <w:jc w:val="both"/>
        <w:ind w:firstLine="428"/>
        <w:spacing w:after="0" w:line="253" w:lineRule="auto"/>
        <w:rPr>
          <w:sz w:val="20"/>
          <w:szCs w:val="20"/>
          <w:color w:val="auto"/>
        </w:rPr>
      </w:pPr>
      <w:r>
        <w:rPr>
          <w:rFonts w:ascii="Arial" w:cs="Arial" w:eastAsia="Arial" w:hAnsi="Arial"/>
          <w:sz w:val="18"/>
          <w:szCs w:val="18"/>
          <w:color w:val="auto"/>
        </w:rPr>
        <w:t>Fixed maturities that are classified as available-for-sale ("AFS") are reported on the consolidated statements of financial position at fair value. Unrealized gains or losses on AFS securities are recognized as a component of equity and are, therefore, excluded from net income. Our U.S. investment operations held gross unrealized losses on fixed maturities of $0.8 billion pre-tax as of December 31, 2013, and the component of gross unrealized losses for securities trading down 20% or more for over six months was approximately $0.3 billion pre-tax. The accumulated change in fair value of the AFS securities is recognized in net income when the gain or loss is realized upon the sale of the asset or in the event that the decline in fair value is determined to be other than temporary (referred to as an other-than-temporary impairment). Realized losses or impairments may have a material adverse impact on our net income in a particular quarterly or annual period.</w:t>
      </w:r>
    </w:p>
    <w:p>
      <w:pPr>
        <w:spacing w:after="0" w:line="195" w:lineRule="exact"/>
        <w:rPr>
          <w:sz w:val="20"/>
          <w:szCs w:val="20"/>
          <w:color w:val="auto"/>
        </w:rPr>
      </w:pPr>
    </w:p>
    <w:p>
      <w:pPr>
        <w:jc w:val="both"/>
        <w:spacing w:after="0" w:line="275" w:lineRule="auto"/>
        <w:rPr>
          <w:sz w:val="20"/>
          <w:szCs w:val="20"/>
          <w:color w:val="auto"/>
        </w:rPr>
      </w:pPr>
      <w:r>
        <w:rPr>
          <w:rFonts w:ascii="Arial" w:cs="Arial" w:eastAsia="Arial" w:hAnsi="Arial"/>
          <w:sz w:val="18"/>
          <w:szCs w:val="18"/>
          <w:b w:val="1"/>
          <w:bCs w:val="1"/>
          <w:color w:val="auto"/>
        </w:rPr>
        <w:t>Competition from companies that may have greater financial resources, broader arrays of products, higher ratings and stronger financial performance may impair our ability to retain existing customers, attract new customers and maintain our profitability.</w:t>
      </w:r>
    </w:p>
    <w:p>
      <w:pPr>
        <w:spacing w:after="0" w:line="180" w:lineRule="exact"/>
        <w:rPr>
          <w:sz w:val="20"/>
          <w:szCs w:val="20"/>
          <w:color w:val="auto"/>
        </w:rPr>
      </w:pPr>
    </w:p>
    <w:p>
      <w:pPr>
        <w:jc w:val="both"/>
        <w:ind w:firstLine="366"/>
        <w:spacing w:after="0" w:line="335" w:lineRule="auto"/>
        <w:rPr>
          <w:sz w:val="20"/>
          <w:szCs w:val="20"/>
          <w:color w:val="auto"/>
        </w:rPr>
      </w:pPr>
      <w:r>
        <w:rPr>
          <w:rFonts w:ascii="Arial" w:cs="Arial" w:eastAsia="Arial" w:hAnsi="Arial"/>
          <w:sz w:val="15"/>
          <w:szCs w:val="15"/>
          <w:color w:val="auto"/>
        </w:rPr>
        <w:t>We believe that our ability to compete is based on a number of factors including scale, service, product features, price, investment performance, commission structure, distribution capacity, financial strength ratings and name recognition. We compete with a large number of financial services companies such as banks, mutual funds, broker-dealers, insurers and asset managers, many of which have advantages over us in one or more of the above competitive factors.</w:t>
      </w:r>
    </w:p>
    <w:p>
      <w:pPr>
        <w:spacing w:after="0" w:line="142" w:lineRule="exact"/>
        <w:rPr>
          <w:sz w:val="20"/>
          <w:szCs w:val="20"/>
          <w:color w:val="auto"/>
        </w:rPr>
      </w:pPr>
    </w:p>
    <w:p>
      <w:pPr>
        <w:jc w:val="both"/>
        <w:ind w:firstLine="394"/>
        <w:spacing w:after="0" w:line="298" w:lineRule="auto"/>
        <w:rPr>
          <w:sz w:val="20"/>
          <w:szCs w:val="20"/>
          <w:color w:val="auto"/>
        </w:rPr>
      </w:pPr>
      <w:r>
        <w:rPr>
          <w:rFonts w:ascii="Arial" w:cs="Arial" w:eastAsia="Arial" w:hAnsi="Arial"/>
          <w:sz w:val="16"/>
          <w:szCs w:val="16"/>
          <w:color w:val="auto"/>
        </w:rPr>
        <w:t>Each of our segments faces strong competition. The primary competitors for our Retirement and Investor Services and Principal Global Investors segments are asset managers, banks, broker-dealers and insurers. Our ability to increase and retain AUM is directly related to the performance of our investments as measured against market averages and the performance of our competitors. Even when securities prices are generally rising, performance can be affected by investment styles. Also, there is a risk that we may not be able to attract and retain the top talent needed to compete in our industry.</w:t>
      </w:r>
    </w:p>
    <w:p>
      <w:pPr>
        <w:spacing w:after="0" w:line="167" w:lineRule="exact"/>
        <w:rPr>
          <w:sz w:val="20"/>
          <w:szCs w:val="20"/>
          <w:color w:val="auto"/>
        </w:rPr>
      </w:pPr>
    </w:p>
    <w:p>
      <w:pPr>
        <w:jc w:val="both"/>
        <w:ind w:firstLine="435"/>
        <w:spacing w:after="0" w:line="268" w:lineRule="auto"/>
        <w:rPr>
          <w:sz w:val="20"/>
          <w:szCs w:val="20"/>
          <w:color w:val="auto"/>
        </w:rPr>
      </w:pPr>
      <w:r>
        <w:rPr>
          <w:rFonts w:ascii="Arial" w:cs="Arial" w:eastAsia="Arial" w:hAnsi="Arial"/>
          <w:sz w:val="18"/>
          <w:szCs w:val="18"/>
          <w:color w:val="auto"/>
        </w:rPr>
        <w:t>Competition for our Principal International segment comes primarily from local financial services firms and other international companies operating on a stand-alone basis or in partnership with local firms.</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U.S. Insurance Solutions segment competes with other insurance companies.</w:t>
      </w:r>
    </w:p>
    <w:p>
      <w:pPr>
        <w:spacing w:after="0" w:line="225" w:lineRule="exact"/>
        <w:rPr>
          <w:sz w:val="20"/>
          <w:szCs w:val="20"/>
          <w:color w:val="auto"/>
        </w:rPr>
      </w:pPr>
    </w:p>
    <w:p>
      <w:pPr>
        <w:jc w:val="both"/>
        <w:ind w:firstLine="396"/>
        <w:spacing w:after="0" w:line="294" w:lineRule="auto"/>
        <w:rPr>
          <w:sz w:val="20"/>
          <w:szCs w:val="20"/>
          <w:color w:val="auto"/>
        </w:rPr>
      </w:pPr>
      <w:r>
        <w:rPr>
          <w:rFonts w:ascii="Arial" w:cs="Arial" w:eastAsia="Arial" w:hAnsi="Arial"/>
          <w:sz w:val="16"/>
          <w:szCs w:val="16"/>
          <w:color w:val="auto"/>
        </w:rPr>
        <w:t>National banks, with their large existing customer bases, may increasingly compete with insurers as a result of court rulings allowing national banks to sell annuity products in some circumstances, and as a result of legislation removing restrictions on bank affiliations with insurers. Specifically, the Gramm-Leach-Bliley Act of 1999 permits mergers that combine commercial banks, insurers and securities firms under one holding company. These developments may increase competition, in particular for our asset management and accumulation businesses, by substantially increasing the number, size and financial strength of potential competitors who may be able to offer, due to economies of scale, more competitive pricing than we can.</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may not be able to protect our intellectual property and may be subject to infringement claims.</w:t>
      </w:r>
    </w:p>
    <w:p>
      <w:pPr>
        <w:spacing w:after="0" w:line="231" w:lineRule="exact"/>
        <w:rPr>
          <w:sz w:val="20"/>
          <w:szCs w:val="20"/>
          <w:color w:val="auto"/>
        </w:rPr>
      </w:pPr>
    </w:p>
    <w:p>
      <w:pPr>
        <w:jc w:val="both"/>
        <w:ind w:firstLine="485"/>
        <w:spacing w:after="0" w:line="294" w:lineRule="auto"/>
        <w:rPr>
          <w:sz w:val="20"/>
          <w:szCs w:val="20"/>
          <w:color w:val="auto"/>
        </w:rPr>
      </w:pPr>
      <w:r>
        <w:rPr>
          <w:rFonts w:ascii="Arial" w:cs="Arial" w:eastAsia="Arial" w:hAnsi="Arial"/>
          <w:sz w:val="16"/>
          <w:szCs w:val="16"/>
          <w:color w:val="auto"/>
        </w:rPr>
        <w:t>We rely on a combination of contractual rights and copyright, trademark, patent and trade secret laws to establish and protect our intellectual property. Although we use a broad range of measures to protect our intellectual property rights, third parties may infringe or misappropriate our intellectual property. We may have to litigate to enforce and protect our copyrights, trademarks, patents, trade secrets and know-how or to determine their scope, validity or enforceability, which represents a diversion of resources that may be significant in amount and may not prove successful. The loss of intellectual property protection or the inability to secure or enforce the protection of our intellectual property assets could have a material adverse effect on our business and our ability to compete.</w:t>
      </w:r>
    </w:p>
    <w:p>
      <w:pPr>
        <w:spacing w:after="0" w:line="170" w:lineRule="exact"/>
        <w:rPr>
          <w:sz w:val="20"/>
          <w:szCs w:val="20"/>
          <w:color w:val="auto"/>
        </w:rPr>
      </w:pPr>
    </w:p>
    <w:p>
      <w:pPr>
        <w:jc w:val="both"/>
        <w:ind w:firstLine="446"/>
        <w:spacing w:after="0" w:line="288" w:lineRule="auto"/>
        <w:rPr>
          <w:sz w:val="20"/>
          <w:szCs w:val="20"/>
          <w:color w:val="auto"/>
        </w:rPr>
      </w:pPr>
      <w:r>
        <w:rPr>
          <w:rFonts w:ascii="Arial" w:cs="Arial" w:eastAsia="Arial" w:hAnsi="Arial"/>
          <w:sz w:val="16"/>
          <w:szCs w:val="16"/>
          <w:color w:val="auto"/>
        </w:rPr>
        <w:t>We also may be subject to costly litigation in the event that another party alleges our operations or activities infringe upon such other party's intellectual property rights. Third parties may have, or may eventually be issued, patents or other protections that could be infringed by our products, methods, processes or services or could otherwise limit our ability to offer certain product features. Any party that holds such a patent could make a claim of infringement against us. We may also be subject to claims by third parties for breach of copyright, trademark, license usage rights, or misappropriation of trade secret rights. Any such claims and any resulting litigation could result in significant liability for damages. If we were found to have infringed or misappropriated a third party patent or other intellectual property rights, we could incur substantial liability, and in some circumstances could be enjoined from providing certain products or services to our customers or utilizing and benefiting from certain methods, processes, copyrights, trademarks, trade secrets or licenses, or alternatively could be required to enter into costly licensing arrangements with third parties, all of which could have a material adverse effect on our business, results of operations and financial condition.</w:t>
      </w:r>
    </w:p>
    <w:p>
      <w:pPr>
        <w:spacing w:after="0" w:line="168" w:lineRule="exact"/>
        <w:rPr>
          <w:sz w:val="20"/>
          <w:szCs w:val="20"/>
          <w:color w:val="auto"/>
        </w:rPr>
      </w:pPr>
    </w:p>
    <w:p>
      <w:pPr>
        <w:jc w:val="both"/>
        <w:spacing w:after="0" w:line="378" w:lineRule="auto"/>
        <w:rPr>
          <w:sz w:val="20"/>
          <w:szCs w:val="20"/>
          <w:color w:val="auto"/>
        </w:rPr>
      </w:pPr>
      <w:r>
        <w:rPr>
          <w:rFonts w:ascii="Arial" w:cs="Arial" w:eastAsia="Arial" w:hAnsi="Arial"/>
          <w:sz w:val="15"/>
          <w:szCs w:val="15"/>
          <w:b w:val="1"/>
          <w:bCs w:val="1"/>
          <w:color w:val="auto"/>
        </w:rPr>
        <w:t>A downgrade in our financial strength or credit ratings may increase policy surrenders and withdrawals, reduce new sales and terminate relationships with distributors, impact existing liabilities and increase our cost of capital, any of which could adversely affect our profitability and financial condition.</w:t>
      </w:r>
    </w:p>
    <w:p>
      <w:pPr>
        <w:spacing w:after="0" w:line="111" w:lineRule="exact"/>
        <w:rPr>
          <w:sz w:val="20"/>
          <w:szCs w:val="20"/>
          <w:color w:val="auto"/>
        </w:rPr>
      </w:pPr>
    </w:p>
    <w:p>
      <w:pPr>
        <w:jc w:val="both"/>
        <w:ind w:firstLine="352"/>
        <w:spacing w:after="0" w:line="298" w:lineRule="auto"/>
        <w:rPr>
          <w:sz w:val="20"/>
          <w:szCs w:val="20"/>
          <w:color w:val="auto"/>
        </w:rPr>
      </w:pPr>
      <w:r>
        <w:rPr>
          <w:rFonts w:ascii="Arial" w:cs="Arial" w:eastAsia="Arial" w:hAnsi="Arial"/>
          <w:sz w:val="16"/>
          <w:szCs w:val="16"/>
          <w:color w:val="auto"/>
        </w:rPr>
        <w:t>A.M. Best, Fitch, Moody's Investors Services and Standard &amp; Poor's publish financial strength ratings on U.S. life insurance companies that are indicators of an insurance company's ability to meet contractholder and policyholder obligations. These rating agencies also assign credit ratings on non-life insurance entities, such as PFG and Principal Financial Services, Inc. ("PFS"). Credit ratings are indicators of a debt issuer's ability to meet the terms of debt obligations in a timely manner, and are important factors in overall funding profile and ability to access external capital.</w:t>
      </w:r>
    </w:p>
    <w:p>
      <w:pPr>
        <w:spacing w:after="0" w:line="167" w:lineRule="exact"/>
        <w:rPr>
          <w:sz w:val="20"/>
          <w:szCs w:val="20"/>
          <w:color w:val="auto"/>
        </w:rPr>
      </w:pPr>
    </w:p>
    <w:p>
      <w:pPr>
        <w:jc w:val="both"/>
        <w:ind w:right="20" w:firstLine="351"/>
        <w:spacing w:after="0" w:line="268" w:lineRule="auto"/>
        <w:rPr>
          <w:sz w:val="20"/>
          <w:szCs w:val="20"/>
          <w:color w:val="auto"/>
        </w:rPr>
      </w:pPr>
      <w:r>
        <w:rPr>
          <w:rFonts w:ascii="Arial" w:cs="Arial" w:eastAsia="Arial" w:hAnsi="Arial"/>
          <w:sz w:val="18"/>
          <w:szCs w:val="18"/>
          <w:color w:val="auto"/>
        </w:rPr>
        <w:t>Ratings are important factors in establishing the competitive position of insurance companies and maintaining public confidence in products being offered. A ratings downgrade, or the potential for such a downgrade, could, among other things:</w:t>
      </w:r>
    </w:p>
    <w:p>
      <w:pPr>
        <w:spacing w:after="0" w:line="199" w:lineRule="exact"/>
        <w:rPr>
          <w:sz w:val="20"/>
          <w:szCs w:val="20"/>
          <w:color w:val="auto"/>
        </w:rPr>
      </w:pPr>
    </w:p>
    <w:p>
      <w:pPr>
        <w:ind w:left="1080" w:right="20" w:hanging="532"/>
        <w:spacing w:after="0" w:line="268"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materially increase the number of surrenders for all or a portion of the net cash values by the owners of policies and contracts we have issued, and materially increase the number of withdrawals by policyholders of cash values from their policies;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6"/>
          <w:szCs w:val="16"/>
          <w:color w:val="auto"/>
        </w:rPr>
      </w:pPr>
      <w:r>
        <w:rPr>
          <w:rFonts w:ascii="Arial" w:cs="Arial" w:eastAsia="Arial" w:hAnsi="Arial"/>
          <w:sz w:val="16"/>
          <w:szCs w:val="16"/>
          <w:color w:val="auto"/>
        </w:rPr>
        <w:t>result in the termination of our relationships with broker-dealers, banks, agents, wholesalers and other distributors of our products and services;</w:t>
      </w:r>
    </w:p>
    <w:p>
      <w:pPr>
        <w:spacing w:after="0" w:line="261" w:lineRule="exact"/>
        <w:rPr>
          <w:rFonts w:ascii="Arial" w:cs="Arial" w:eastAsia="Arial" w:hAnsi="Arial"/>
          <w:sz w:val="16"/>
          <w:szCs w:val="16"/>
          <w:color w:val="auto"/>
        </w:rPr>
      </w:pPr>
    </w:p>
    <w:p>
      <w:pPr>
        <w:ind w:left="1080" w:right="20" w:hanging="532"/>
        <w:spacing w:after="0" w:line="268"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reduce new sales, particularly with respect to full service payout product and general account GICs and funding agreements purchased by pension plans and other institutions;</w:t>
      </w:r>
    </w:p>
    <w:p>
      <w:pPr>
        <w:spacing w:after="0" w:line="199"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cause some of our existing liabilities to be subject to acceleration, additional collateral support, changes in terms, or creation of additional financial obligations and</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increase our cost of capital and limit our access to the capital markets.</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Any of these consequences could adversely affect our profitability and financial condition.</w:t>
      </w:r>
    </w:p>
    <w:p>
      <w:pPr>
        <w:spacing w:after="0" w:line="219" w:lineRule="exact"/>
        <w:rPr>
          <w:sz w:val="20"/>
          <w:szCs w:val="20"/>
          <w:color w:val="auto"/>
        </w:rPr>
      </w:pPr>
    </w:p>
    <w:p>
      <w:pPr>
        <w:jc w:val="both"/>
        <w:spacing w:after="0" w:line="262" w:lineRule="auto"/>
        <w:rPr>
          <w:sz w:val="20"/>
          <w:szCs w:val="20"/>
          <w:color w:val="auto"/>
        </w:rPr>
      </w:pPr>
      <w:r>
        <w:rPr>
          <w:rFonts w:ascii="Arial" w:cs="Arial" w:eastAsia="Arial" w:hAnsi="Arial"/>
          <w:sz w:val="18"/>
          <w:szCs w:val="18"/>
          <w:b w:val="1"/>
          <w:bCs w:val="1"/>
          <w:color w:val="auto"/>
        </w:rPr>
        <w:t>Guarantees within certain of our products that protect policyholders may decrease our earnings or increase the volatility of our results of operations or financial position under U.S. generally accepted accounting principles ("U.S. GAAP") if our hedging or risk management strategies prove ineffective or insufficient.</w:t>
      </w:r>
    </w:p>
    <w:p>
      <w:pPr>
        <w:spacing w:after="0" w:line="192" w:lineRule="exact"/>
        <w:rPr>
          <w:sz w:val="20"/>
          <w:szCs w:val="20"/>
          <w:color w:val="auto"/>
        </w:rPr>
      </w:pPr>
    </w:p>
    <w:p>
      <w:pPr>
        <w:jc w:val="both"/>
        <w:ind w:firstLine="368"/>
        <w:spacing w:after="0" w:line="306" w:lineRule="auto"/>
        <w:rPr>
          <w:sz w:val="20"/>
          <w:szCs w:val="20"/>
          <w:color w:val="auto"/>
        </w:rPr>
      </w:pPr>
      <w:r>
        <w:rPr>
          <w:rFonts w:ascii="Arial" w:cs="Arial" w:eastAsia="Arial" w:hAnsi="Arial"/>
          <w:sz w:val="16"/>
          <w:szCs w:val="16"/>
          <w:color w:val="auto"/>
        </w:rPr>
        <w:t>Certain of our variable annuity products include guaranteed minimum death benefits and/or guaranteed minimum withdrawal benefits. Periods of significant and sustained downturns in equity markets, increased equity volatility or reduced interest rates could result in an increase in the valuation of the future policy benefit or policyholder account balance liabilities associated with such products, resulting in a reduction to net income. We use derivative instruments to</w:t>
      </w:r>
    </w:p>
    <w:p>
      <w:pPr>
        <w:sectPr>
          <w:pgSz w:w="11900" w:h="16838" w:orient="portrait"/>
          <w:cols w:equalWidth="0" w:num="1">
            <w:col w:w="11420"/>
          </w:cols>
          <w:pgMar w:left="240" w:top="131" w:right="239" w:bottom="1440" w:gutter="0" w:footer="0" w:header="0"/>
        </w:sectPr>
      </w:pP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26" w:name="page27"/>
    <w:bookmarkEnd w:id="2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mitigate changes in the liability exposure related to interest rate, equity market and volatility movements, and the volatility of net income associated with these liabilities. While we believe that these and other actions have mitigated the overall economic risks related to these benefits, we remain liable for the guaranteed benefits in the event that derivative counterparties are unable or unwilling to pay. The liability exposure and volatility of net income may also be influenced by changes in market credit spreads reflecting our own creditworthiness, for which we do not attempt to hedge. In addition, we are subject to the risk that hedging and other management procedures prove ineffective or that unanticipated policyholder behavior or mortality, combined with adverse market events, produces economic losses beyond the scope of the risk management techniques employed. These, individually or collectively, may have a material adverse effect on net income, financial condition or liquidity. We are also subject to the risk that the cost of hedging these guaranteed minimum benefits increases as implied volatilities increase and/or interest rates decrease, resulting in a reduction to net income.</w:t>
      </w:r>
    </w:p>
    <w:p>
      <w:pPr>
        <w:spacing w:after="0" w:line="166" w:lineRule="exact"/>
        <w:rPr>
          <w:sz w:val="20"/>
          <w:szCs w:val="20"/>
          <w:color w:val="auto"/>
        </w:rPr>
      </w:pPr>
    </w:p>
    <w:p>
      <w:pPr>
        <w:jc w:val="both"/>
        <w:ind w:right="20"/>
        <w:spacing w:after="0" w:line="275" w:lineRule="auto"/>
        <w:rPr>
          <w:sz w:val="20"/>
          <w:szCs w:val="20"/>
          <w:color w:val="auto"/>
        </w:rPr>
      </w:pPr>
      <w:r>
        <w:rPr>
          <w:rFonts w:ascii="Arial" w:cs="Arial" w:eastAsia="Arial" w:hAnsi="Arial"/>
          <w:sz w:val="18"/>
          <w:szCs w:val="18"/>
          <w:b w:val="1"/>
          <w:bCs w:val="1"/>
          <w:color w:val="auto"/>
        </w:rPr>
        <w:t>If we are unable to attract and retain qualified employees and sales representatives and develop new distribution sources, our results of operations, financial condition and sales of our products may be adversely impacted.</w:t>
      </w:r>
    </w:p>
    <w:p>
      <w:pPr>
        <w:spacing w:after="0" w:line="180" w:lineRule="exact"/>
        <w:rPr>
          <w:sz w:val="20"/>
          <w:szCs w:val="20"/>
          <w:color w:val="auto"/>
        </w:rPr>
      </w:pPr>
    </w:p>
    <w:p>
      <w:pPr>
        <w:jc w:val="both"/>
        <w:ind w:firstLine="412"/>
        <w:spacing w:after="0" w:line="259" w:lineRule="auto"/>
        <w:rPr>
          <w:sz w:val="20"/>
          <w:szCs w:val="20"/>
          <w:color w:val="auto"/>
        </w:rPr>
      </w:pPr>
      <w:r>
        <w:rPr>
          <w:rFonts w:ascii="Arial" w:cs="Arial" w:eastAsia="Arial" w:hAnsi="Arial"/>
          <w:sz w:val="18"/>
          <w:szCs w:val="18"/>
          <w:color w:val="auto"/>
        </w:rPr>
        <w:t>Our continued success is largely dependent on our ability to attract and retain qualified employees. We face intense competition in attracting and retaining key employees, including investment, marketing, finance, legal, compliance and other professionals. If we are unable to attract and retain qualified employees, our results of operations and financial condition may be adversely impacted.</w:t>
      </w:r>
    </w:p>
    <w:p>
      <w:pPr>
        <w:spacing w:after="0" w:line="194" w:lineRule="exact"/>
        <w:rPr>
          <w:sz w:val="20"/>
          <w:szCs w:val="20"/>
          <w:color w:val="auto"/>
        </w:rPr>
      </w:pPr>
    </w:p>
    <w:p>
      <w:pPr>
        <w:jc w:val="both"/>
        <w:ind w:firstLine="483"/>
        <w:spacing w:after="0" w:line="254" w:lineRule="auto"/>
        <w:rPr>
          <w:sz w:val="20"/>
          <w:szCs w:val="20"/>
          <w:color w:val="auto"/>
        </w:rPr>
      </w:pPr>
      <w:r>
        <w:rPr>
          <w:rFonts w:ascii="Arial" w:cs="Arial" w:eastAsia="Arial" w:hAnsi="Arial"/>
          <w:sz w:val="18"/>
          <w:szCs w:val="18"/>
          <w:color w:val="auto"/>
        </w:rPr>
        <w:t>We distribute our asset accumulation, asset management and life and specialty benefit insurance products and services through a variety of distribution channels, including our own internal sales representatives, independent brokers, banks, broker-dealers and other third-party marketing organizations. We must attract and retain sales representatives to sell our products. Strong competition exists among financial services companies for efficient sales representatives. We compete with other financial services companies for sales representatives primarily on the basis of our financial position, support services and compensation and product features. If we are unable to attract and retain sufficient sales representatives to sell our products, our ability to compete and revenues from new sales would suffer.</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international businesses face political, legal, operational and other risks that could reduce our profitability in those businesses.</w:t>
      </w:r>
    </w:p>
    <w:p>
      <w:pPr>
        <w:spacing w:after="0" w:line="231" w:lineRule="exact"/>
        <w:rPr>
          <w:sz w:val="20"/>
          <w:szCs w:val="20"/>
          <w:color w:val="auto"/>
        </w:rPr>
      </w:pPr>
    </w:p>
    <w:p>
      <w:pPr>
        <w:jc w:val="both"/>
        <w:ind w:firstLine="580"/>
        <w:spacing w:after="0" w:line="253" w:lineRule="auto"/>
        <w:rPr>
          <w:sz w:val="20"/>
          <w:szCs w:val="20"/>
          <w:color w:val="auto"/>
        </w:rPr>
      </w:pPr>
      <w:r>
        <w:rPr>
          <w:rFonts w:ascii="Arial" w:cs="Arial" w:eastAsia="Arial" w:hAnsi="Arial"/>
          <w:sz w:val="18"/>
          <w:szCs w:val="18"/>
          <w:color w:val="auto"/>
        </w:rPr>
        <w:t>Our international businesses face political, legal, operational and other risks that we do not face in our operations in the U.S. We face the risk of discriminatory regulation, nationalization or expropriation of assets, price controls and exchange controls or other restrictions that prevent us from transferring funds from these operations out of the countries in which they operate or converting local currencies we hold into U.S. dollars or other currencies. Some of our international businesses are, and are likely to continue to be, in emerging or potentially volatile markets. In addition, we rely on local staff, including local sales forces, in these countries where there is a risk that we may encounter labor problems with local staff, especially in countries where workers' associations and trade unions are strong. Some of our international businesses are joint ventures in which we hold a minority interest. In these joint ventures, we lack complete management and operational control over the operations, which may limit our ability to take action to protect or increase the value of our investment in the joint venture.</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may face losses if our actual experience differs significantly from our pricing and reserving assumptions.</w:t>
      </w:r>
    </w:p>
    <w:p>
      <w:pPr>
        <w:spacing w:after="0" w:line="231" w:lineRule="exact"/>
        <w:rPr>
          <w:sz w:val="20"/>
          <w:szCs w:val="20"/>
          <w:color w:val="auto"/>
        </w:rPr>
      </w:pPr>
    </w:p>
    <w:p>
      <w:pPr>
        <w:jc w:val="both"/>
        <w:ind w:firstLine="499"/>
        <w:spacing w:after="0" w:line="289" w:lineRule="auto"/>
        <w:rPr>
          <w:sz w:val="20"/>
          <w:szCs w:val="20"/>
          <w:color w:val="auto"/>
        </w:rPr>
      </w:pPr>
      <w:r>
        <w:rPr>
          <w:rFonts w:ascii="Arial" w:cs="Arial" w:eastAsia="Arial" w:hAnsi="Arial"/>
          <w:sz w:val="16"/>
          <w:szCs w:val="16"/>
          <w:color w:val="auto"/>
        </w:rPr>
        <w:t>Our profitability depends significantly upon the extent to which our actual experience is consistent with the assumptions used in setting prices for our products and establishing liabilities for future insurance and annuity policy benefits and claims. The premiums that we charge and the liabilities that we hold for future policy benefits are based on assumptions reflecting a number of factors, including the amount of premiums that we will receive in the future, rate of return on assets we purchase with premiums received, expected claims, mortality, morbidity, expenses and persistency, which is the measurement of the percentage of insurance policies remaining in force from year to year. However, due to the nature of the underlying risks and the high degree of uncertainty associated with the determination of the liabilities for unpaid policy benefits and claims, we cannot determine precisely the amounts we will ultimately pay to settle these liabilities. As a result, we may experience volatility in the level of our profitability and our reserves from period-to-period. To the extent that actual experience is less favorable than our underlying assumptions, we could be required to increase our liabilities, which may harm our financial strength and reduce our profitability.</w:t>
      </w:r>
    </w:p>
    <w:p>
      <w:pPr>
        <w:spacing w:after="0" w:line="172" w:lineRule="exact"/>
        <w:rPr>
          <w:sz w:val="20"/>
          <w:szCs w:val="20"/>
          <w:color w:val="auto"/>
        </w:rPr>
      </w:pPr>
    </w:p>
    <w:p>
      <w:pPr>
        <w:jc w:val="both"/>
        <w:ind w:firstLine="402"/>
        <w:spacing w:after="0" w:line="306" w:lineRule="auto"/>
        <w:rPr>
          <w:sz w:val="20"/>
          <w:szCs w:val="20"/>
          <w:color w:val="auto"/>
        </w:rPr>
      </w:pPr>
      <w:r>
        <w:rPr>
          <w:rFonts w:ascii="Arial" w:cs="Arial" w:eastAsia="Arial" w:hAnsi="Arial"/>
          <w:sz w:val="16"/>
          <w:szCs w:val="16"/>
          <w:color w:val="auto"/>
        </w:rPr>
        <w:t>For example, if mortality rates are higher than our pricing assumptions, we will be required to make greater claims payments on our life insurance policies than we had projected. However, this risk may be partially offset by our payout annuity business, where an increase in mortality rates will result in a decrease in benefit payments, and our use of third party reinsurance. Our results of operations may also be adversely impacted by an increase in morbidity rates.</w:t>
      </w:r>
    </w:p>
    <w:p>
      <w:pPr>
        <w:spacing w:after="0" w:line="161" w:lineRule="exact"/>
        <w:rPr>
          <w:sz w:val="20"/>
          <w:szCs w:val="20"/>
          <w:color w:val="auto"/>
        </w:rPr>
      </w:pPr>
    </w:p>
    <w:p>
      <w:pPr>
        <w:jc w:val="both"/>
        <w:ind w:firstLine="463"/>
        <w:spacing w:after="0" w:line="259" w:lineRule="auto"/>
        <w:rPr>
          <w:sz w:val="20"/>
          <w:szCs w:val="20"/>
          <w:color w:val="auto"/>
        </w:rPr>
      </w:pPr>
      <w:r>
        <w:rPr>
          <w:rFonts w:ascii="Arial" w:cs="Arial" w:eastAsia="Arial" w:hAnsi="Arial"/>
          <w:sz w:val="18"/>
          <w:szCs w:val="18"/>
          <w:color w:val="auto"/>
        </w:rPr>
        <w:t>Our results of operations may also be adversely impacted if our actual investment earnings differ from our pricing and reserve assumptions. Changes in economic conditions may lead to changes in market interest rates or changes in our investment strategies, either of which could cause our actual investment earnings to differ from our pricing and reserve assumptions.</w:t>
      </w:r>
    </w:p>
    <w:p>
      <w:pPr>
        <w:spacing w:after="0" w:line="194" w:lineRule="exact"/>
        <w:rPr>
          <w:sz w:val="20"/>
          <w:szCs w:val="20"/>
          <w:color w:val="auto"/>
        </w:rPr>
      </w:pPr>
    </w:p>
    <w:p>
      <w:pPr>
        <w:jc w:val="both"/>
        <w:ind w:firstLine="623"/>
        <w:spacing w:after="0" w:line="268" w:lineRule="auto"/>
        <w:rPr>
          <w:sz w:val="20"/>
          <w:szCs w:val="20"/>
          <w:color w:val="auto"/>
        </w:rPr>
      </w:pPr>
      <w:r>
        <w:rPr>
          <w:rFonts w:ascii="Arial" w:cs="Arial" w:eastAsia="Arial" w:hAnsi="Arial"/>
          <w:sz w:val="18"/>
          <w:szCs w:val="18"/>
          <w:color w:val="auto"/>
        </w:rPr>
        <w:t>For additional information on our insurance reserves, see Item 7. "Management's Discussion and Analysis of Financial Condition and Results of Operations — Critical Accounting Policies and Estimates — Insurance Reserves."</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jc w:val="both"/>
        <w:spacing w:after="0" w:line="275" w:lineRule="auto"/>
        <w:rPr>
          <w:sz w:val="20"/>
          <w:szCs w:val="20"/>
          <w:color w:val="auto"/>
        </w:rPr>
      </w:pPr>
      <w:r>
        <w:rPr>
          <w:rFonts w:ascii="Arial" w:cs="Arial" w:eastAsia="Arial" w:hAnsi="Arial"/>
          <w:sz w:val="18"/>
          <w:szCs w:val="18"/>
          <w:b w:val="1"/>
          <w:bCs w:val="1"/>
          <w:color w:val="auto"/>
        </w:rPr>
        <w:t>Our ability to pay stockholder dividends and meet our obligations may be constrained by the limitations on dividends Iowa insurance laws impose on Principal Life.</w:t>
      </w:r>
    </w:p>
    <w:p>
      <w:pPr>
        <w:spacing w:after="0" w:line="180" w:lineRule="exact"/>
        <w:rPr>
          <w:sz w:val="20"/>
          <w:szCs w:val="20"/>
          <w:color w:val="auto"/>
        </w:rPr>
      </w:pPr>
    </w:p>
    <w:p>
      <w:pPr>
        <w:jc w:val="both"/>
        <w:ind w:firstLine="395"/>
        <w:spacing w:after="0" w:line="254" w:lineRule="auto"/>
        <w:rPr>
          <w:sz w:val="20"/>
          <w:szCs w:val="20"/>
          <w:color w:val="auto"/>
        </w:rPr>
      </w:pPr>
      <w:r>
        <w:rPr>
          <w:rFonts w:ascii="Arial" w:cs="Arial" w:eastAsia="Arial" w:hAnsi="Arial"/>
          <w:sz w:val="18"/>
          <w:szCs w:val="18"/>
          <w:color w:val="auto"/>
        </w:rPr>
        <w:t>We are an insurance holding company whose assets include all of the outstanding shares of the common stock of Principal Life and other subsidiaries. Our ability to pay dividends to our stockholders and meet our obligations, including paying operating expenses and any debt service, depends upon the receipt of dividends from Principal Life. Iowa insurance laws impose limitations on the ability of Principal Life to pay dividends to us. Any inability of Principal Life to pay dividends to us in the future may cause us to be unable to pay dividends to our stockholders and meet our other obligations. See Item 7. "Management's Discussion and Analysis of Financial Condition and Results of Operations — Liquidity and Capital Resources" for a discussion of regulatory restrictions on Principal Life's ability to pay us dividends.</w:t>
      </w:r>
    </w:p>
    <w:p>
      <w:pPr>
        <w:spacing w:after="0" w:line="192" w:lineRule="exact"/>
        <w:rPr>
          <w:sz w:val="20"/>
          <w:szCs w:val="20"/>
          <w:color w:val="auto"/>
        </w:rPr>
      </w:pPr>
    </w:p>
    <w:p>
      <w:pPr>
        <w:jc w:val="both"/>
        <w:spacing w:after="0" w:line="339" w:lineRule="auto"/>
        <w:rPr>
          <w:sz w:val="20"/>
          <w:szCs w:val="20"/>
          <w:color w:val="auto"/>
        </w:rPr>
      </w:pPr>
      <w:r>
        <w:rPr>
          <w:rFonts w:ascii="Arial" w:cs="Arial" w:eastAsia="Arial" w:hAnsi="Arial"/>
          <w:sz w:val="16"/>
          <w:szCs w:val="16"/>
          <w:b w:val="1"/>
          <w:bCs w:val="1"/>
          <w:color w:val="auto"/>
        </w:rPr>
        <w:t>The pattern of amortizing our DAC and other actuarial balances on our universal life-type insurance contracts, participating life insurance policies and certain investment contracts may change, impacting both the level of the DAC and other actuarial balances and the timing of our net income.</w:t>
      </w:r>
    </w:p>
    <w:p>
      <w:pPr>
        <w:spacing w:after="0" w:line="134" w:lineRule="exact"/>
        <w:rPr>
          <w:sz w:val="20"/>
          <w:szCs w:val="20"/>
          <w:color w:val="auto"/>
        </w:rPr>
      </w:pPr>
    </w:p>
    <w:p>
      <w:pPr>
        <w:jc w:val="both"/>
        <w:ind w:firstLine="406"/>
        <w:spacing w:after="0" w:line="318" w:lineRule="auto"/>
        <w:rPr>
          <w:sz w:val="20"/>
          <w:szCs w:val="20"/>
          <w:color w:val="auto"/>
        </w:rPr>
      </w:pPr>
      <w:r>
        <w:rPr>
          <w:rFonts w:ascii="Arial" w:cs="Arial" w:eastAsia="Arial" w:hAnsi="Arial"/>
          <w:sz w:val="15"/>
          <w:szCs w:val="15"/>
          <w:color w:val="auto"/>
        </w:rPr>
        <w:t>Amortization of the DAC asset and other actuarial balances depends on the actual and expected profits generated by the lines of business that incurred the expenses. Expected profits are dependent on assumptions regarding a number of factors including investment returns, benefit payments, expenses, mortality and policy lapse. Due to the uncertainty associated with establishing these assumptions, we cannot, with precision, determine the exact pattern of profit emergence. As a result, amortization of these balances will vary from period-to-period. To the extent that actual experience emerges less favorably than expected, or our expectation for future profits decreases, the DAC asset and other actuarial balances may be adjusted, reducing our profitability in the current period.</w:t>
      </w:r>
    </w:p>
    <w:p>
      <w:pPr>
        <w:spacing w:after="0" w:line="154" w:lineRule="exact"/>
        <w:rPr>
          <w:sz w:val="20"/>
          <w:szCs w:val="20"/>
          <w:color w:val="auto"/>
        </w:rPr>
      </w:pPr>
    </w:p>
    <w:p>
      <w:pPr>
        <w:jc w:val="both"/>
        <w:ind w:right="20" w:firstLine="455"/>
        <w:spacing w:after="0" w:line="268" w:lineRule="auto"/>
        <w:rPr>
          <w:sz w:val="20"/>
          <w:szCs w:val="20"/>
          <w:color w:val="auto"/>
        </w:rPr>
      </w:pPr>
      <w:r>
        <w:rPr>
          <w:rFonts w:ascii="Arial" w:cs="Arial" w:eastAsia="Arial" w:hAnsi="Arial"/>
          <w:sz w:val="18"/>
          <w:szCs w:val="18"/>
          <w:color w:val="auto"/>
        </w:rPr>
        <w:t>For additional information, see Item 7. "Management's Discussion and Analysis of Financial Condition and Results of Operation — Critical Accounting Policies and Estimates — Deferred Acquisition Costs and Other Actuarial Balances."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may need to fund deficiencies in our Closed Block assets.</w:t>
      </w:r>
    </w:p>
    <w:p>
      <w:pPr>
        <w:spacing w:after="0" w:line="231" w:lineRule="exact"/>
        <w:rPr>
          <w:sz w:val="20"/>
          <w:szCs w:val="20"/>
          <w:color w:val="auto"/>
        </w:rPr>
      </w:pPr>
    </w:p>
    <w:p>
      <w:pPr>
        <w:jc w:val="both"/>
        <w:ind w:firstLine="452"/>
        <w:spacing w:after="0" w:line="291" w:lineRule="auto"/>
        <w:rPr>
          <w:sz w:val="20"/>
          <w:szCs w:val="20"/>
          <w:color w:val="auto"/>
        </w:rPr>
      </w:pPr>
      <w:r>
        <w:rPr>
          <w:rFonts w:ascii="Arial" w:cs="Arial" w:eastAsia="Arial" w:hAnsi="Arial"/>
          <w:sz w:val="16"/>
          <w:szCs w:val="16"/>
          <w:color w:val="auto"/>
        </w:rPr>
        <w:t>In connection with its conversion in 1998 into a stock life insurance company, Principal Life established an accounting mechanism, known as a "Closed Block" for the benefit of participating ordinary life insurance policies that had a dividend scale in force on July 1, 1998. Dividend scales are the actuarial formulas used by life insurance companies to determine amounts payable as dividends on participating policies based on experience factors relating to, among other things, investment results, mortality, lapse rates, expenses, premium taxes and policy loan interest and utilization rates. The Closed Block was designed to provide reasonable assurance to policyholders included in the Closed Block that, after the conversion, assets would be available to maintain the aggregate dividend scales in effect for 1997 if the experience underlying such scales were to continue.</w:t>
      </w:r>
    </w:p>
    <w:p>
      <w:pPr>
        <w:spacing w:after="0" w:line="174" w:lineRule="exact"/>
        <w:rPr>
          <w:sz w:val="20"/>
          <w:szCs w:val="20"/>
          <w:color w:val="auto"/>
        </w:rPr>
      </w:pPr>
    </w:p>
    <w:p>
      <w:pPr>
        <w:jc w:val="both"/>
        <w:ind w:firstLine="367"/>
        <w:spacing w:after="0" w:line="291" w:lineRule="auto"/>
        <w:rPr>
          <w:sz w:val="20"/>
          <w:szCs w:val="20"/>
          <w:color w:val="auto"/>
        </w:rPr>
      </w:pPr>
      <w:r>
        <w:rPr>
          <w:rFonts w:ascii="Arial" w:cs="Arial" w:eastAsia="Arial" w:hAnsi="Arial"/>
          <w:sz w:val="16"/>
          <w:szCs w:val="16"/>
          <w:color w:val="auto"/>
        </w:rPr>
        <w:t>We allocated assets to the Closed Block as of July 1, 1998, in an amount such that we expected their cash flows, together with anticipated revenues from the policies in the Closed Block, to be sufficient to support the Closed Block business, including payment of claims, certain direct expenses, charges and taxes and to provide for the continuation of aggregate dividend scales in accordance with the 1997 policy dividend scales if the experience underlying such scales continued, and to allow for appropriate adjustments in such scales if the experience changed. We bear the costs of administrative expenses associated with Closed Block policies and, accordingly, these costs were not funded as part of the assets allocated to the Closed Block. Any increase in such costs in the future will be borne by us. As of December 31, 2013, Closed Block assets and liabilities were $ 4,279.1 million and $ 4,951.5 million, respectively.</w:t>
      </w:r>
    </w:p>
    <w:p>
      <w:pPr>
        <w:spacing w:after="0" w:line="174" w:lineRule="exact"/>
        <w:rPr>
          <w:sz w:val="20"/>
          <w:szCs w:val="20"/>
          <w:color w:val="auto"/>
        </w:rPr>
      </w:pPr>
    </w:p>
    <w:p>
      <w:pPr>
        <w:jc w:val="both"/>
        <w:ind w:firstLine="392"/>
        <w:spacing w:after="0" w:line="256" w:lineRule="auto"/>
        <w:rPr>
          <w:sz w:val="20"/>
          <w:szCs w:val="20"/>
          <w:color w:val="auto"/>
        </w:rPr>
      </w:pPr>
      <w:r>
        <w:rPr>
          <w:rFonts w:ascii="Arial" w:cs="Arial" w:eastAsia="Arial" w:hAnsi="Arial"/>
          <w:sz w:val="18"/>
          <w:szCs w:val="18"/>
          <w:color w:val="auto"/>
        </w:rPr>
        <w:t>We will continue to pay guaranteed benefits under the policies included in the Closed Block, in accordance with their terms. The Closed Block assets, cash flows generated by the Closed Block assets and anticipated revenues from policies included in the Closed Block may not be sufficient to provide for the benefits guaranteed under these policies. If they are not sufficient, we must fund the shortfall. Even if they are sufficient, we may choose for business reasons to support dividend payments on policies in the Closed Block with our general account funds.</w:t>
      </w:r>
    </w:p>
    <w:p>
      <w:pPr>
        <w:spacing w:after="0" w:line="197" w:lineRule="exact"/>
        <w:rPr>
          <w:sz w:val="20"/>
          <w:szCs w:val="20"/>
          <w:color w:val="auto"/>
        </w:rPr>
      </w:pPr>
    </w:p>
    <w:p>
      <w:pPr>
        <w:jc w:val="both"/>
        <w:ind w:firstLine="399"/>
        <w:spacing w:after="0" w:line="298" w:lineRule="auto"/>
        <w:rPr>
          <w:sz w:val="20"/>
          <w:szCs w:val="20"/>
          <w:color w:val="auto"/>
        </w:rPr>
      </w:pPr>
      <w:r>
        <w:rPr>
          <w:rFonts w:ascii="Arial" w:cs="Arial" w:eastAsia="Arial" w:hAnsi="Arial"/>
          <w:sz w:val="16"/>
          <w:szCs w:val="16"/>
          <w:color w:val="auto"/>
        </w:rPr>
        <w:t>The Closed Block assets, cash flows generated by the Closed Block assets and anticipated revenues from policies in the Closed Block will benefit only the holders of those policies. In addition, to the extent that these amounts are greater than the amounts estimated at the time we funded the Closed Block, dividends payable in respect of the policies included in the Closed Block may be greater than they would have been in the absence of a Closed Block. Any excess net income will be available for distribution over time to Closed Block policyholders but will not be available to our stockholders.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 pandemic, terrorist attack, military action or other catastrophic event could adversely affect our net income.</w:t>
      </w:r>
    </w:p>
    <w:p>
      <w:pPr>
        <w:spacing w:after="0" w:line="231" w:lineRule="exact"/>
        <w:rPr>
          <w:sz w:val="20"/>
          <w:szCs w:val="20"/>
          <w:color w:val="auto"/>
        </w:rPr>
      </w:pPr>
    </w:p>
    <w:p>
      <w:pPr>
        <w:jc w:val="both"/>
        <w:ind w:firstLine="396"/>
        <w:spacing w:after="0" w:line="291" w:lineRule="auto"/>
        <w:rPr>
          <w:sz w:val="20"/>
          <w:szCs w:val="20"/>
          <w:color w:val="auto"/>
        </w:rPr>
      </w:pPr>
      <w:r>
        <w:rPr>
          <w:rFonts w:ascii="Arial" w:cs="Arial" w:eastAsia="Arial" w:hAnsi="Arial"/>
          <w:sz w:val="16"/>
          <w:szCs w:val="16"/>
          <w:color w:val="auto"/>
        </w:rPr>
        <w:t>Our mortality and morbidity experience could be adversely impacted by a catastrophic event. In addition, a severe catastrophic event may cause significant volatility in global financial markets, disruptions to commerce and reduced economic activity. The resulting macroeconomic conditions could adversely affect our cash flows, as well as the value and liquidity of our invested assets. We may also experience operational disruptions if our employees are unable or unwilling to come to work due to a pandemic or other catastrophe. We have developed extensive contingency plans to minimize the risk of operational disruptions. In addition, our use of reinsurance reduces our exposure to adverse mortality experience. Despite these measures, we may still be exposed to losses in the event of a pandemic, terrorist attack, military action or other catastrophe.</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8" w:name="page29"/>
    <w:bookmarkEnd w:id="2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Our reinsurers could default on their obligations or increase their rates, which could adversely impact our net income and financial condition.</w:t>
      </w:r>
    </w:p>
    <w:p>
      <w:pPr>
        <w:spacing w:after="0" w:line="254" w:lineRule="exact"/>
        <w:rPr>
          <w:sz w:val="20"/>
          <w:szCs w:val="20"/>
          <w:color w:val="auto"/>
        </w:rPr>
      </w:pPr>
    </w:p>
    <w:p>
      <w:pPr>
        <w:jc w:val="both"/>
        <w:ind w:firstLine="383"/>
        <w:spacing w:after="0" w:line="298" w:lineRule="auto"/>
        <w:rPr>
          <w:sz w:val="20"/>
          <w:szCs w:val="20"/>
          <w:color w:val="auto"/>
        </w:rPr>
      </w:pPr>
      <w:r>
        <w:rPr>
          <w:rFonts w:ascii="Arial" w:cs="Arial" w:eastAsia="Arial" w:hAnsi="Arial"/>
          <w:sz w:val="16"/>
          <w:szCs w:val="16"/>
          <w:color w:val="auto"/>
        </w:rPr>
        <w:t>We cede life, disability and health insurance to other insurance companies through reinsurance. See Item 8. "Financial Statements and Supplementary Data, Notes to Consolidated Financial Statements, Note 1, Nature of Operations and Significant Accounting Policies." However, we remain liable to the policyholder, even if the reinsurer defaults on its obligations with respect to the ceded business. In addition, a reinsurer's insolvency may cause us to lose our reserve credits on the ceded business, in which case we would be required to establish additional reserves.</w:t>
      </w:r>
    </w:p>
    <w:p>
      <w:pPr>
        <w:spacing w:after="0" w:line="167" w:lineRule="exact"/>
        <w:rPr>
          <w:sz w:val="20"/>
          <w:szCs w:val="20"/>
          <w:color w:val="auto"/>
        </w:rPr>
      </w:pPr>
    </w:p>
    <w:p>
      <w:pPr>
        <w:jc w:val="both"/>
        <w:ind w:firstLine="373"/>
        <w:spacing w:after="0" w:line="323" w:lineRule="auto"/>
        <w:rPr>
          <w:sz w:val="20"/>
          <w:szCs w:val="20"/>
          <w:color w:val="auto"/>
        </w:rPr>
      </w:pPr>
      <w:r>
        <w:rPr>
          <w:rFonts w:ascii="Arial" w:cs="Arial" w:eastAsia="Arial" w:hAnsi="Arial"/>
          <w:sz w:val="15"/>
          <w:szCs w:val="15"/>
          <w:color w:val="auto"/>
        </w:rPr>
        <w:t>The premium rates that we charge are based, in part, on the assumption that reinsurance will be available at a certain cost. Most of our reinsurance contracts contain provisions which limit the reinsurer's ability to increase rates on in-force business; however, some do not. If a reinsurer raises the rates that it charges on a block of in-force business, our profitability may be negatively impacted if we are not able to pass the increased costs on to the customer. If reinsurers raise the rates that they charge on new business, we may be forced to raise the premiums that we charge, which could have a negative impact on our competitive position.</w:t>
      </w:r>
    </w:p>
    <w:p>
      <w:pPr>
        <w:spacing w:after="0" w:line="152" w:lineRule="exact"/>
        <w:rPr>
          <w:sz w:val="20"/>
          <w:szCs w:val="20"/>
          <w:color w:val="auto"/>
        </w:rPr>
      </w:pPr>
    </w:p>
    <w:p>
      <w:pPr>
        <w:jc w:val="both"/>
        <w:ind w:firstLine="453"/>
        <w:spacing w:after="0" w:line="268" w:lineRule="auto"/>
        <w:rPr>
          <w:sz w:val="20"/>
          <w:szCs w:val="20"/>
          <w:color w:val="auto"/>
        </w:rPr>
      </w:pPr>
      <w:r>
        <w:rPr>
          <w:rFonts w:ascii="Arial" w:cs="Arial" w:eastAsia="Arial" w:hAnsi="Arial"/>
          <w:sz w:val="18"/>
          <w:szCs w:val="18"/>
          <w:color w:val="auto"/>
        </w:rPr>
        <w:t>To mitigate the risks associated with the use of reinsurance, we carefully select our reinsurers, and we monitor their ratings and financial condition on a regular basis. We also spread our business among several reinsurers, in order to diversify our risk exposure.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face risks arising from acquisitions of businesses.</w:t>
      </w:r>
    </w:p>
    <w:p>
      <w:pPr>
        <w:spacing w:after="0" w:line="231" w:lineRule="exact"/>
        <w:rPr>
          <w:sz w:val="20"/>
          <w:szCs w:val="20"/>
          <w:color w:val="auto"/>
        </w:rPr>
      </w:pPr>
    </w:p>
    <w:p>
      <w:pPr>
        <w:jc w:val="both"/>
        <w:ind w:firstLine="393"/>
        <w:spacing w:after="0" w:line="294" w:lineRule="auto"/>
        <w:rPr>
          <w:sz w:val="20"/>
          <w:szCs w:val="20"/>
          <w:color w:val="auto"/>
        </w:rPr>
      </w:pPr>
      <w:r>
        <w:rPr>
          <w:rFonts w:ascii="Arial" w:cs="Arial" w:eastAsia="Arial" w:hAnsi="Arial"/>
          <w:sz w:val="16"/>
          <w:szCs w:val="16"/>
          <w:color w:val="auto"/>
        </w:rPr>
        <w:t>We have engaged in acquisitions of businesses in the past, and expect to continue to do so in the future. We face a number of risks arising from acquisition transactions, including difficulties in integrating the acquired business into our operations, difficulties in assimilating and retaining employees and intermediaries, difficulties in retaining the existing customers of the acquired entity, unforeseen liabilities that arise in connection with the acquired business and unfavorable market conditions that could negatively impact our growth expectations for the acquired business. These risks may prevent us from realizing the expected benefits from acquisitions and could result in the impairment of goodwill and/or intangible assets recognized at the time of acquisition.</w:t>
      </w:r>
    </w:p>
    <w:p>
      <w:pPr>
        <w:spacing w:after="0" w:line="170" w:lineRule="exact"/>
        <w:rPr>
          <w:sz w:val="20"/>
          <w:szCs w:val="20"/>
          <w:color w:val="auto"/>
        </w:rPr>
      </w:pPr>
    </w:p>
    <w:p>
      <w:pPr>
        <w:jc w:val="both"/>
        <w:ind w:right="20" w:firstLine="475"/>
        <w:spacing w:after="0" w:line="268" w:lineRule="auto"/>
        <w:rPr>
          <w:sz w:val="20"/>
          <w:szCs w:val="20"/>
          <w:color w:val="auto"/>
        </w:rPr>
      </w:pPr>
      <w:r>
        <w:rPr>
          <w:rFonts w:ascii="Arial" w:cs="Arial" w:eastAsia="Arial" w:hAnsi="Arial"/>
          <w:sz w:val="18"/>
          <w:szCs w:val="18"/>
          <w:color w:val="auto"/>
        </w:rPr>
        <w:t>For additional information on our goodwill and other intangible assets, see Item 7. "Management's Discussion and Analysis of Financial Condition and Results of Operations — Critical Accounting Policies and Estimates — Goodwill and Other Intangible Assets."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laws or regulations may reduce our profitability.</w:t>
      </w:r>
    </w:p>
    <w:p>
      <w:pPr>
        <w:spacing w:after="0" w:line="231"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Changes in regulations may reduce our profitability.</w:t>
      </w:r>
    </w:p>
    <w:p>
      <w:pPr>
        <w:spacing w:after="0" w:line="225" w:lineRule="exact"/>
        <w:rPr>
          <w:sz w:val="20"/>
          <w:szCs w:val="20"/>
          <w:color w:val="auto"/>
        </w:rPr>
      </w:pPr>
    </w:p>
    <w:p>
      <w:pPr>
        <w:jc w:val="both"/>
        <w:ind w:firstLine="508"/>
        <w:spacing w:after="0" w:line="256" w:lineRule="auto"/>
        <w:rPr>
          <w:sz w:val="20"/>
          <w:szCs w:val="20"/>
          <w:color w:val="auto"/>
        </w:rPr>
      </w:pPr>
      <w:r>
        <w:rPr>
          <w:rFonts w:ascii="Arial" w:cs="Arial" w:eastAsia="Arial" w:hAnsi="Arial"/>
          <w:sz w:val="18"/>
          <w:szCs w:val="18"/>
          <w:color w:val="auto"/>
        </w:rPr>
        <w:t>Our insurance business is subject to comprehensive state regulation and supervision throughout the U.S. and in the international markets in which we operate. We are also impacted by federal legislation and administrative policies in areas such as employee benefit plan regulation, financial services regulations and federal taxation. The primary purpose of state regulation of the insurance business is to protect policyholders, not stockholders. The laws of the various states establish insurance departments with broad powers to regulate such matters as:</w:t>
      </w:r>
    </w:p>
    <w:p>
      <w:pPr>
        <w:spacing w:after="0" w:line="211" w:lineRule="exact"/>
        <w:rPr>
          <w:sz w:val="20"/>
          <w:szCs w:val="20"/>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licensing companies to transact business,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licensing agents,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admitting statutory assets,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mandating a number of insurance benefits,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regulating premium rates,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approving policy forms,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regulating unfair trade and claims practices,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establishing statutory reserve requirements and solvency standards,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regulating insurer use of affiliated reinsurance companies,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fixing maximum interest rates on life insurance policy loans and minimum rates for accumulation of surrender values,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restricting various transactions between affiliates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regulating the types, amounts and valuation of investments.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State insurance regulators, federal regulators and the NAIC continually reexamine existing laws and regulations, and may impose changes in the future.</w:t>
      </w:r>
    </w:p>
    <w:p>
      <w:pPr>
        <w:spacing w:after="0" w:line="248" w:lineRule="exact"/>
        <w:rPr>
          <w:sz w:val="20"/>
          <w:szCs w:val="20"/>
          <w:color w:val="auto"/>
        </w:rPr>
      </w:pPr>
    </w:p>
    <w:p>
      <w:pPr>
        <w:jc w:val="both"/>
        <w:ind w:firstLine="477"/>
        <w:spacing w:after="0" w:line="259" w:lineRule="auto"/>
        <w:rPr>
          <w:sz w:val="20"/>
          <w:szCs w:val="20"/>
          <w:color w:val="auto"/>
        </w:rPr>
      </w:pPr>
      <w:r>
        <w:rPr>
          <w:rFonts w:ascii="Arial" w:cs="Arial" w:eastAsia="Arial" w:hAnsi="Arial"/>
          <w:sz w:val="18"/>
          <w:szCs w:val="18"/>
          <w:color w:val="auto"/>
        </w:rPr>
        <w:t>State insurance guaranty associations have the right to assess insurance companies doing business in their state for funds to help pay the obligations of insolvent insurance companies to policyholders and claimants. Because the amount and timing of an assessment is beyond our control, the liabilities we have established for these potential assessments may</w:t>
      </w:r>
    </w:p>
    <w:p>
      <w:pPr>
        <w:sectPr>
          <w:pgSz w:w="11900" w:h="16838" w:orient="portrait"/>
          <w:cols w:equalWidth="0" w:num="1">
            <w:col w:w="11420"/>
          </w:cols>
          <w:pgMar w:left="240" w:top="131" w:right="239" w:bottom="1440" w:gutter="0" w:footer="0" w:header="0"/>
        </w:sectPr>
      </w:pP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29" w:name="page30"/>
    <w:bookmarkEnd w:id="2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332" w:lineRule="auto"/>
        <w:rPr>
          <w:sz w:val="20"/>
          <w:szCs w:val="20"/>
          <w:color w:val="auto"/>
        </w:rPr>
      </w:pPr>
      <w:r>
        <w:rPr>
          <w:rFonts w:ascii="Arial" w:cs="Arial" w:eastAsia="Arial" w:hAnsi="Arial"/>
          <w:sz w:val="16"/>
          <w:szCs w:val="16"/>
          <w:color w:val="auto"/>
        </w:rPr>
        <w:t>not be adequate. In addition, regulators may change their interpretation or application of existing laws and regulations. Changes in laws or regulations or the interpretation thereof could significantly increase our compliance costs and adversely affect our profitability and financial strength.</w:t>
      </w:r>
    </w:p>
    <w:p>
      <w:pPr>
        <w:spacing w:after="0" w:line="139" w:lineRule="exact"/>
        <w:rPr>
          <w:sz w:val="20"/>
          <w:szCs w:val="20"/>
          <w:color w:val="auto"/>
        </w:rPr>
      </w:pPr>
    </w:p>
    <w:p>
      <w:pPr>
        <w:jc w:val="both"/>
        <w:ind w:firstLine="355"/>
        <w:spacing w:after="0" w:line="288" w:lineRule="auto"/>
        <w:rPr>
          <w:sz w:val="20"/>
          <w:szCs w:val="20"/>
          <w:color w:val="auto"/>
        </w:rPr>
      </w:pPr>
      <w:r>
        <w:rPr>
          <w:rFonts w:ascii="Arial" w:cs="Arial" w:eastAsia="Arial" w:hAnsi="Arial"/>
          <w:sz w:val="16"/>
          <w:szCs w:val="16"/>
          <w:color w:val="auto"/>
        </w:rPr>
        <w:t>Federal legislation and administrative policies in areas such as employee benefit plan regulation, financial services regulation and federal taxation can reduce our profitability. We provide products and services to certain employee benefit plans that are subject to ERISA or the Internal Revenue Code of 1986, as amended. The U.S. Congress has, from time to time, considered legislation relating to changes in ERISA to permit application of state law remedies, such as consequential and punitive damages, in lawsuits for wrongful denial of benefits, which, if adopted, could increase our liability for damages in future litigation. Additionally, in 2010, the Department of Labor issued a proposed regulation that would, if adopted, significantly broaden the circumstances under which a person or entity would be deemed a fiduciary by virtue of providing investment advice with respect to ERISA plans or IRAs. In September, 2011, the Department of Labor announced that it will re-propose these regulations; a new proposal is expected in 2014. New interpretations of existing laws and the passage of new legislation may harm our ability to sell new policies and increase our claims exposure on policies we issued previously. In addition, reductions in contribution levels to defined contribution plans may decrease our profitability.</w:t>
      </w:r>
    </w:p>
    <w:p>
      <w:pPr>
        <w:spacing w:after="0" w:line="174" w:lineRule="exact"/>
        <w:rPr>
          <w:sz w:val="20"/>
          <w:szCs w:val="20"/>
          <w:color w:val="auto"/>
        </w:rPr>
      </w:pPr>
    </w:p>
    <w:p>
      <w:pPr>
        <w:jc w:val="both"/>
        <w:ind w:firstLine="423"/>
        <w:spacing w:after="0" w:line="285" w:lineRule="auto"/>
        <w:rPr>
          <w:sz w:val="20"/>
          <w:szCs w:val="20"/>
          <w:color w:val="auto"/>
        </w:rPr>
      </w:pPr>
      <w:r>
        <w:rPr>
          <w:rFonts w:ascii="Arial" w:cs="Arial" w:eastAsia="Arial" w:hAnsi="Arial"/>
          <w:sz w:val="16"/>
          <w:szCs w:val="16"/>
          <w:color w:val="auto"/>
        </w:rPr>
        <w:t>We have implemented reinsurance transactions utilizing affiliated reinsurers to mitigate the capital impact of Regulation XXX and AG38 on our term and universal life insurance business. We currently use, and currently expect to be able to continue using, affiliated reinsurance companies in various structures. However, the NAIC has established a subgroup to study the use of captives and special purpose vehicles to transfer insurance risk in relation to existing state laws and regulations, which issued a Captives and Special Purpose Vehicles White Paper, which was recently adopted by the NAIC Financial Condition ("E") Committee and Executive Committee/Plenary. The Financial Condition Committee also adopted an "interim solution for captives" in the form of a new charge for the Financial Analysis Working Group ("FAWG"), which will review captive transactions submitted by the states in a peer review and comment process, while the remaining recommendations in the White Paper are divided among the NAIC Reinsurance ("E") Task Force and the Principles Based Reserving Implementation ("EX") Task Force. Also, the Federal Advisory Committee on Insurance ("FACI") took up the issue of captives at a recent meeting, and a task force was created. Any regulatory action that materially adversely affects our use or materially increases our cost of using affiliated reinsurers, either retroactively or prospectively, could have a material adverse impact on our financial condition or results of operations. If we were required to discontinue our use of captives for intercompany reinsurance transactions on a retroactive basis, adverse impacts could include diminished capital position and a higher cost of capital. Additionally, finding alternative means to support policy liabilities efficiently is an unknown factor that would be dependent, in part, on future market conditions and our ability to obtain required regulatory approvals. On a prospective basis, discontinuation of the use of captives could impact the types, amounts and pricing of products offered by our insurance subsidiaries. For additional information regarding our use of affiliated reinsurance transactions, see Item 8, "Financial Statements and Supplementary Data, Notes to Consolidated Financial Statements, Note 16, Statutory Insurance Financial Information.</w:t>
      </w:r>
    </w:p>
    <w:p>
      <w:pPr>
        <w:spacing w:after="0" w:line="180" w:lineRule="exact"/>
        <w:rPr>
          <w:sz w:val="20"/>
          <w:szCs w:val="20"/>
          <w:color w:val="auto"/>
        </w:rPr>
      </w:pPr>
    </w:p>
    <w:p>
      <w:pPr>
        <w:jc w:val="both"/>
        <w:ind w:firstLine="363"/>
        <w:spacing w:after="0" w:line="259" w:lineRule="auto"/>
        <w:rPr>
          <w:sz w:val="20"/>
          <w:szCs w:val="20"/>
          <w:color w:val="auto"/>
        </w:rPr>
      </w:pPr>
      <w:r>
        <w:rPr>
          <w:rFonts w:ascii="Arial" w:cs="Arial" w:eastAsia="Arial" w:hAnsi="Arial"/>
          <w:sz w:val="18"/>
          <w:szCs w:val="18"/>
          <w:color w:val="auto"/>
        </w:rPr>
        <w:t>Our international businesses are also subject to comprehensive regulation and supervision from central and/or local governmental authorities in each country in which we operate. New interpretations of existing laws and regulations or the adoption of new laws and regulations may harm our international businesses and reduce our profitability in those businesses.</w:t>
      </w:r>
    </w:p>
    <w:p>
      <w:pPr>
        <w:spacing w:after="0" w:line="194" w:lineRule="exact"/>
        <w:rPr>
          <w:sz w:val="20"/>
          <w:szCs w:val="20"/>
          <w:color w:val="auto"/>
        </w:rPr>
      </w:pPr>
    </w:p>
    <w:p>
      <w:pPr>
        <w:jc w:val="both"/>
        <w:ind w:firstLine="439"/>
        <w:spacing w:after="0" w:line="291" w:lineRule="auto"/>
        <w:rPr>
          <w:sz w:val="20"/>
          <w:szCs w:val="20"/>
          <w:color w:val="auto"/>
        </w:rPr>
      </w:pPr>
      <w:r>
        <w:rPr>
          <w:rFonts w:ascii="Arial" w:cs="Arial" w:eastAsia="Arial" w:hAnsi="Arial"/>
          <w:sz w:val="16"/>
          <w:szCs w:val="16"/>
          <w:color w:val="auto"/>
        </w:rPr>
        <w:t>In addition, the International Association of Insurance Supervisors (the "IAIS") has proposed a common framework for the supervision of Internationally Active Insurance Groups ("IAIGs"), which is scheduled to be effective in 2019. Under the proposed framework, insurance groups designated as IAIGs may be required by their regulators to comply with new global capital requirements, which may exceed the sum of local capital requirements. In addition, the IAIS is developing a model framework for the supervision of IAIGs that contemplates "group wide supervision" across national boundaries, which requires each IAIG to conduct its own risk and solvency assessment to monitor and manage its overall solvency. It is possible that we may be designated as an IAIG, in which case we may be subject to supervision and capital requirements beyond those applicable to any competitors who are not classified as an IAIG.</w:t>
      </w:r>
    </w:p>
    <w:p>
      <w:pPr>
        <w:spacing w:after="0" w:line="174"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Changes in tax laws could increase our tax costs and reduce sales of our insurance, annuity and investment products.</w:t>
      </w:r>
    </w:p>
    <w:p>
      <w:pPr>
        <w:spacing w:after="0" w:line="225" w:lineRule="exact"/>
        <w:rPr>
          <w:sz w:val="20"/>
          <w:szCs w:val="20"/>
          <w:color w:val="auto"/>
        </w:rPr>
      </w:pPr>
    </w:p>
    <w:p>
      <w:pPr>
        <w:jc w:val="both"/>
        <w:ind w:firstLine="502"/>
        <w:spacing w:after="0" w:line="291" w:lineRule="auto"/>
        <w:rPr>
          <w:sz w:val="20"/>
          <w:szCs w:val="20"/>
          <w:color w:val="auto"/>
        </w:rPr>
      </w:pPr>
      <w:r>
        <w:rPr>
          <w:rFonts w:ascii="Arial" w:cs="Arial" w:eastAsia="Arial" w:hAnsi="Arial"/>
          <w:sz w:val="16"/>
          <w:szCs w:val="16"/>
          <w:color w:val="auto"/>
        </w:rPr>
        <w:t>Current federal income tax laws generally permit the tax-deferred accumulation of earnings on the premiums paid by the holders of annuities and life insurance products. Taxes, if any, are payable on income attributable to a distribution under the contract for the year in which the distribution is made. The U.S. Congress has, from time to time, considered legislation that would reduce or eliminate the benefit of such deferral of taxation on the accretion of value within life insurance and nonqualified annuity contracts. Enactment of this legislation, including a simplified "flat tax" income structure with an exemption from taxation for investment income, could result in fewer sales of our insurance, annuity and investment products. In addition, changes in the federal estate tax laws could negatively affect the demand for the types of life insurance used in estate planning.</w:t>
      </w:r>
    </w:p>
    <w:p>
      <w:pPr>
        <w:spacing w:after="0" w:line="174" w:lineRule="exact"/>
        <w:rPr>
          <w:sz w:val="20"/>
          <w:szCs w:val="20"/>
          <w:color w:val="auto"/>
        </w:rPr>
      </w:pPr>
    </w:p>
    <w:p>
      <w:pPr>
        <w:jc w:val="both"/>
        <w:ind w:firstLine="455"/>
        <w:spacing w:after="0" w:line="335" w:lineRule="auto"/>
        <w:rPr>
          <w:sz w:val="20"/>
          <w:szCs w:val="20"/>
          <w:color w:val="auto"/>
        </w:rPr>
      </w:pPr>
      <w:r>
        <w:rPr>
          <w:rFonts w:ascii="Arial" w:cs="Arial" w:eastAsia="Arial" w:hAnsi="Arial"/>
          <w:sz w:val="15"/>
          <w:szCs w:val="15"/>
          <w:color w:val="auto"/>
        </w:rPr>
        <w:t>In addition, we benefit from certain tax items, including but not limited to, tax-exempt bond interest, dividends-received deductions, tax credits (such as foreign tax credits) and insurance reserve deductions. From time to time, the U.S. Congress, as well as foreign, state and local governments, considers legislation that could reduce or eliminate the benefits associated with these tax items. If such legislation is adopted, our profitability could be negatively impacted. We</w:t>
      </w:r>
    </w:p>
    <w:p>
      <w:pPr>
        <w:spacing w:after="0" w:line="1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0" w:name="page31"/>
    <w:bookmarkEnd w:id="3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268" w:lineRule="auto"/>
        <w:rPr>
          <w:sz w:val="20"/>
          <w:szCs w:val="20"/>
          <w:color w:val="auto"/>
        </w:rPr>
      </w:pPr>
      <w:r>
        <w:rPr>
          <w:rFonts w:ascii="Arial" w:cs="Arial" w:eastAsia="Arial" w:hAnsi="Arial"/>
          <w:sz w:val="18"/>
          <w:szCs w:val="18"/>
          <w:color w:val="auto"/>
        </w:rPr>
        <w:t>continue to evaluate the impact that potential tax reform, which lacks sufficient detail and is relatively uncertain, may have on our future results of operations and financial condition.</w:t>
      </w:r>
    </w:p>
    <w:p>
      <w:pPr>
        <w:spacing w:after="0" w:line="186"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Changes in federal, state and foreign securities laws may reduce our profitability.</w:t>
      </w:r>
    </w:p>
    <w:p>
      <w:pPr>
        <w:spacing w:after="0" w:line="225" w:lineRule="exact"/>
        <w:rPr>
          <w:sz w:val="20"/>
          <w:szCs w:val="20"/>
          <w:color w:val="auto"/>
        </w:rPr>
      </w:pPr>
    </w:p>
    <w:p>
      <w:pPr>
        <w:jc w:val="both"/>
        <w:ind w:firstLine="411"/>
        <w:spacing w:after="0" w:line="255" w:lineRule="auto"/>
        <w:rPr>
          <w:sz w:val="20"/>
          <w:szCs w:val="20"/>
          <w:color w:val="auto"/>
        </w:rPr>
      </w:pPr>
      <w:r>
        <w:rPr>
          <w:rFonts w:ascii="Arial" w:cs="Arial" w:eastAsia="Arial" w:hAnsi="Arial"/>
          <w:sz w:val="18"/>
          <w:szCs w:val="18"/>
          <w:color w:val="auto"/>
        </w:rPr>
        <w:t>Our asset management and accumulation and life insurance businesses are subject to various levels of regulation under federal, state and foreign securities laws. These laws and regulations are primarily intended to protect investors in the securities markets or investment advisory or brokerage clients and generally grant supervisory agencies broad administrative powers, including the power to limit or restrict the conduct of business for failure to comply with such laws and regulations. Changes to these laws or regulations — or the interpretation thereof — that restrict the conduct of our business could significantly increase our compliance costs and reduce our profitability.</w:t>
      </w:r>
    </w:p>
    <w:p>
      <w:pPr>
        <w:spacing w:after="0" w:line="197" w:lineRule="exact"/>
        <w:rPr>
          <w:sz w:val="20"/>
          <w:szCs w:val="20"/>
          <w:color w:val="auto"/>
        </w:rPr>
      </w:pPr>
    </w:p>
    <w:p>
      <w:pPr>
        <w:ind w:left="540"/>
        <w:spacing w:after="0" w:line="268" w:lineRule="auto"/>
        <w:rPr>
          <w:sz w:val="20"/>
          <w:szCs w:val="20"/>
          <w:color w:val="auto"/>
        </w:rPr>
      </w:pPr>
      <w:r>
        <w:rPr>
          <w:rFonts w:ascii="Arial" w:cs="Arial" w:eastAsia="Arial" w:hAnsi="Arial"/>
          <w:sz w:val="18"/>
          <w:szCs w:val="18"/>
          <w:b w:val="1"/>
          <w:bCs w:val="1"/>
          <w:i w:val="1"/>
          <w:iCs w:val="1"/>
          <w:color w:val="auto"/>
        </w:rPr>
        <w:t>Financial services regulatory reform may reduce our profitability, impact how we do business or limit our ability to engage in certain capital expenditures.</w:t>
      </w:r>
    </w:p>
    <w:p>
      <w:pPr>
        <w:spacing w:after="0" w:line="186" w:lineRule="exact"/>
        <w:rPr>
          <w:sz w:val="20"/>
          <w:szCs w:val="20"/>
          <w:color w:val="auto"/>
        </w:rPr>
      </w:pPr>
    </w:p>
    <w:p>
      <w:pPr>
        <w:jc w:val="both"/>
        <w:ind w:firstLine="502"/>
        <w:spacing w:after="0" w:line="255" w:lineRule="auto"/>
        <w:rPr>
          <w:sz w:val="20"/>
          <w:szCs w:val="20"/>
          <w:color w:val="auto"/>
        </w:rPr>
      </w:pPr>
      <w:r>
        <w:rPr>
          <w:rFonts w:ascii="Arial" w:cs="Arial" w:eastAsia="Arial" w:hAnsi="Arial"/>
          <w:sz w:val="18"/>
          <w:szCs w:val="18"/>
          <w:color w:val="auto"/>
        </w:rPr>
        <w:t>On July 21, 2010, the Dodd-Frank Act became law. The Dodd-Frank Act makes extensive changes to the laws regulating financial services firms and requires various federal agencies to adopt a broad range of new implementation rules and regulations, including regulations surrounding the use of derivatives. The federal agencies were given significant discretion in drafting the implementation rules and regulations, and consequently, some of the impacts of the Dodd-Frank Act are not fully known yet. It is possible that aspects of the law may increase hedging costs for the company and possibly cause fundamental shifts to the way risks are hedged.</w:t>
      </w:r>
    </w:p>
    <w:p>
      <w:pPr>
        <w:spacing w:after="0" w:line="191" w:lineRule="exact"/>
        <w:rPr>
          <w:sz w:val="20"/>
          <w:szCs w:val="20"/>
          <w:color w:val="auto"/>
        </w:rPr>
      </w:pPr>
    </w:p>
    <w:p>
      <w:pPr>
        <w:jc w:val="both"/>
        <w:spacing w:after="0" w:line="275" w:lineRule="auto"/>
        <w:rPr>
          <w:sz w:val="20"/>
          <w:szCs w:val="20"/>
          <w:color w:val="auto"/>
        </w:rPr>
      </w:pPr>
      <w:r>
        <w:rPr>
          <w:rFonts w:ascii="Arial" w:cs="Arial" w:eastAsia="Arial" w:hAnsi="Arial"/>
          <w:sz w:val="18"/>
          <w:szCs w:val="18"/>
          <w:b w:val="1"/>
          <w:bCs w:val="1"/>
          <w:color w:val="auto"/>
        </w:rPr>
        <w:t>We may be unable to mitigate the impact of Regulation XXX and Actuarial Guideline 38, potentially resulting in a negative impact to our capital position and/or a reduction in sales of term and universal life insurance products.</w:t>
      </w:r>
    </w:p>
    <w:p>
      <w:pPr>
        <w:spacing w:after="0" w:line="180" w:lineRule="exact"/>
        <w:rPr>
          <w:sz w:val="20"/>
          <w:szCs w:val="20"/>
          <w:color w:val="auto"/>
        </w:rPr>
      </w:pPr>
    </w:p>
    <w:p>
      <w:pPr>
        <w:jc w:val="both"/>
        <w:ind w:right="20" w:firstLine="577"/>
        <w:spacing w:after="0" w:line="259" w:lineRule="auto"/>
        <w:rPr>
          <w:sz w:val="20"/>
          <w:szCs w:val="20"/>
          <w:color w:val="auto"/>
        </w:rPr>
      </w:pPr>
      <w:r>
        <w:rPr>
          <w:rFonts w:ascii="Arial" w:cs="Arial" w:eastAsia="Arial" w:hAnsi="Arial"/>
          <w:sz w:val="18"/>
          <w:szCs w:val="18"/>
          <w:color w:val="auto"/>
        </w:rPr>
        <w:t>The NAIC Model Regulation entitled "Valuation of Life Insurance Policies," commonly known as "Regulation XXX", establishes statutory reserve requirements for term life insurance policies and universal life insurance policies with secondary guarantees. Actuarial Guideline 38 ("AG38") clarifies the application of Regulation XXX with respect to certain universal life insurance products with secondary guarantees.</w:t>
      </w:r>
    </w:p>
    <w:p>
      <w:pPr>
        <w:spacing w:after="0" w:line="194" w:lineRule="exact"/>
        <w:rPr>
          <w:sz w:val="20"/>
          <w:szCs w:val="20"/>
          <w:color w:val="auto"/>
        </w:rPr>
      </w:pPr>
    </w:p>
    <w:p>
      <w:pPr>
        <w:jc w:val="both"/>
        <w:ind w:firstLine="513"/>
        <w:spacing w:after="0" w:line="268" w:lineRule="auto"/>
        <w:rPr>
          <w:sz w:val="20"/>
          <w:szCs w:val="20"/>
          <w:color w:val="auto"/>
        </w:rPr>
      </w:pPr>
      <w:r>
        <w:rPr>
          <w:rFonts w:ascii="Arial" w:cs="Arial" w:eastAsia="Arial" w:hAnsi="Arial"/>
          <w:sz w:val="18"/>
          <w:szCs w:val="18"/>
          <w:color w:val="auto"/>
        </w:rPr>
        <w:t>The NAIC amended AG38 in 2012 in an effort to create more clarity around reserving practices for certain policies that are accounted for under this guideline. The effects of the changes to AG38 are two-fold:</w:t>
      </w:r>
    </w:p>
    <w:p>
      <w:pPr>
        <w:spacing w:after="0" w:line="199" w:lineRule="exact"/>
        <w:rPr>
          <w:sz w:val="20"/>
          <w:szCs w:val="20"/>
          <w:color w:val="auto"/>
        </w:rPr>
      </w:pPr>
    </w:p>
    <w:p>
      <w:pPr>
        <w:ind w:left="1080" w:hanging="532"/>
        <w:spacing w:after="0" w:line="268" w:lineRule="auto"/>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Reserves for certain inforce policies are subject to additional statutory reserve minimums effective for the December 31, 2012, reporting period and</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6"/>
          <w:szCs w:val="16"/>
          <w:color w:val="auto"/>
        </w:rPr>
      </w:pPr>
      <w:r>
        <w:rPr>
          <w:rFonts w:ascii="Arial" w:cs="Arial" w:eastAsia="Arial" w:hAnsi="Arial"/>
          <w:sz w:val="16"/>
          <w:szCs w:val="16"/>
          <w:color w:val="auto"/>
        </w:rPr>
        <w:t>Reserves for products designed in a specific manner and sold after January 1, 2013 are subject to a higher statutory reserve basis.</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accounting standards may reduce the transparency of our reported profitability and financial condition.</w:t>
      </w:r>
    </w:p>
    <w:p>
      <w:pPr>
        <w:spacing w:after="0" w:line="231" w:lineRule="exact"/>
        <w:rPr>
          <w:sz w:val="20"/>
          <w:szCs w:val="20"/>
          <w:color w:val="auto"/>
        </w:rPr>
      </w:pPr>
    </w:p>
    <w:p>
      <w:pPr>
        <w:jc w:val="both"/>
        <w:ind w:firstLine="623"/>
        <w:spacing w:after="0" w:line="290" w:lineRule="auto"/>
        <w:rPr>
          <w:sz w:val="20"/>
          <w:szCs w:val="20"/>
          <w:color w:val="auto"/>
        </w:rPr>
      </w:pPr>
      <w:r>
        <w:rPr>
          <w:rFonts w:ascii="Arial" w:cs="Arial" w:eastAsia="Arial" w:hAnsi="Arial"/>
          <w:sz w:val="16"/>
          <w:szCs w:val="16"/>
          <w:color w:val="auto"/>
        </w:rPr>
        <w:t>Accounting standards are subject to change and can reduce the transparency of our reported profitability. See Item 8, "Financial Statements and Supplementary Data, Notes to Consolidated Financial Statements, Note 1, Nature of Operations and Significant Accounting Policies". The Financial Accounting Standards Board is currently working on several joint projects in conjunction with the International Accounting Standards Board. These projects could result in significant changes to U.S. GAAP, including the accounting standards for insurance contracts. There is still significant uncertainty surrounding the effective dates and transition methods for the proposed changes. If adopted, the proposed changes in accounting standards could reduce the transparency of our financial results and therefore may make it more difficult for investors and regulators to accurately assess our financial condition and profitability. In addition, the required adoption of new accounting standards may result in significant incremental costs associated with initial implementation and on-going compliance.</w:t>
      </w:r>
    </w:p>
    <w:p>
      <w:pPr>
        <w:spacing w:after="0" w:line="166"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A computer system failure or security breach could disrupt our business, damage our reputation and adversely impact our profitability.</w:t>
      </w:r>
    </w:p>
    <w:p>
      <w:pPr>
        <w:spacing w:after="0" w:line="254" w:lineRule="exact"/>
        <w:rPr>
          <w:sz w:val="20"/>
          <w:szCs w:val="20"/>
          <w:color w:val="auto"/>
        </w:rPr>
      </w:pPr>
    </w:p>
    <w:p>
      <w:pPr>
        <w:jc w:val="both"/>
        <w:ind w:firstLine="527"/>
        <w:spacing w:after="0" w:line="255" w:lineRule="auto"/>
        <w:rPr>
          <w:sz w:val="20"/>
          <w:szCs w:val="20"/>
          <w:color w:val="auto"/>
        </w:rPr>
      </w:pPr>
      <w:r>
        <w:rPr>
          <w:rFonts w:ascii="Arial" w:cs="Arial" w:eastAsia="Arial" w:hAnsi="Arial"/>
          <w:sz w:val="18"/>
          <w:szCs w:val="18"/>
          <w:color w:val="auto"/>
        </w:rPr>
        <w:t>We rely on computer systems to conduct business, including customer service, marketing and sales activities, customer relationship management and producing financial statements. While we have policies, procedures, automation and backup plans designed to prevent or limit the effect of failure, our computer systems may be vulnerable to disruptions or breaches as the result of natural disasters, man-made disasters, criminal activity, pandemics, or other events beyond our control. The failure of our computer systems for any reason could disrupt our operations, result in the loss of customer business and adversely impact our profitability.</w:t>
      </w:r>
    </w:p>
    <w:p>
      <w:pPr>
        <w:spacing w:after="0" w:line="197" w:lineRule="exact"/>
        <w:rPr>
          <w:sz w:val="20"/>
          <w:szCs w:val="20"/>
          <w:color w:val="auto"/>
        </w:rPr>
      </w:pPr>
    </w:p>
    <w:p>
      <w:pPr>
        <w:jc w:val="both"/>
        <w:ind w:firstLine="390"/>
        <w:spacing w:after="0" w:line="259" w:lineRule="auto"/>
        <w:rPr>
          <w:sz w:val="20"/>
          <w:szCs w:val="20"/>
          <w:color w:val="auto"/>
        </w:rPr>
      </w:pPr>
      <w:r>
        <w:rPr>
          <w:rFonts w:ascii="Arial" w:cs="Arial" w:eastAsia="Arial" w:hAnsi="Arial"/>
          <w:sz w:val="18"/>
          <w:szCs w:val="18"/>
          <w:color w:val="auto"/>
        </w:rPr>
        <w:t>We retain confidential information on our computer systems, including customer information and proprietary business information. Any compromise of the security of our computer systems that results in the disclosure of personally identifiable customer information could damage our reputation, expose us to litigation, increase regulatory scrutiny and require us to incur significant technical, legal and other expenses.</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jc w:val="both"/>
        <w:spacing w:after="0" w:line="275" w:lineRule="auto"/>
        <w:rPr>
          <w:sz w:val="20"/>
          <w:szCs w:val="20"/>
          <w:color w:val="auto"/>
        </w:rPr>
      </w:pPr>
      <w:r>
        <w:rPr>
          <w:rFonts w:ascii="Arial" w:cs="Arial" w:eastAsia="Arial" w:hAnsi="Arial"/>
          <w:sz w:val="18"/>
          <w:szCs w:val="18"/>
          <w:b w:val="1"/>
          <w:bCs w:val="1"/>
          <w:color w:val="auto"/>
        </w:rPr>
        <w:t>Loss of key vendor relationships or failure of a vendor to protect information of our customers or employees could adversely affect our business or result in losses.</w:t>
      </w:r>
    </w:p>
    <w:p>
      <w:pPr>
        <w:spacing w:after="0" w:line="180" w:lineRule="exact"/>
        <w:rPr>
          <w:sz w:val="20"/>
          <w:szCs w:val="20"/>
          <w:color w:val="auto"/>
        </w:rPr>
      </w:pPr>
    </w:p>
    <w:p>
      <w:pPr>
        <w:jc w:val="both"/>
        <w:ind w:firstLine="358"/>
        <w:spacing w:after="0" w:line="256" w:lineRule="auto"/>
        <w:rPr>
          <w:sz w:val="20"/>
          <w:szCs w:val="20"/>
          <w:color w:val="auto"/>
        </w:rPr>
      </w:pPr>
      <w:r>
        <w:rPr>
          <w:rFonts w:ascii="Arial" w:cs="Arial" w:eastAsia="Arial" w:hAnsi="Arial"/>
          <w:sz w:val="18"/>
          <w:szCs w:val="18"/>
          <w:color w:val="auto"/>
        </w:rPr>
        <w:t>We rely on services and products provided by many vendors in the United States and abroad. These include, for example, vendors of computer hardware and software and vendors of services. In the event that one or more of our vendors suffers a bankruptcy or otherwise becomes unable to continue to provide products or services, or fails to protect personal information of our customers or employees, we may suffer operational impairments, reputational damage and financial losses.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litigation and regulatory investigations may affect our financial strength or reduce our profitability.</w:t>
      </w:r>
    </w:p>
    <w:p>
      <w:pPr>
        <w:spacing w:after="0" w:line="231" w:lineRule="exact"/>
        <w:rPr>
          <w:sz w:val="20"/>
          <w:szCs w:val="20"/>
          <w:color w:val="auto"/>
        </w:rPr>
      </w:pPr>
    </w:p>
    <w:p>
      <w:pPr>
        <w:jc w:val="both"/>
        <w:ind w:firstLine="427"/>
        <w:spacing w:after="0" w:line="259" w:lineRule="auto"/>
        <w:rPr>
          <w:sz w:val="20"/>
          <w:szCs w:val="20"/>
          <w:color w:val="auto"/>
        </w:rPr>
      </w:pPr>
      <w:r>
        <w:rPr>
          <w:rFonts w:ascii="Arial" w:cs="Arial" w:eastAsia="Arial" w:hAnsi="Arial"/>
          <w:sz w:val="18"/>
          <w:szCs w:val="18"/>
          <w:color w:val="auto"/>
        </w:rPr>
        <w:t>We are regularly involved in litigation, both as a defendant and as a plaintiff, but primarily as a defendant. Litigation naming us as a defendant ordinarily arises out of our business operations as a provider of asset management and accumulation products and services; life and disability insurance; and our investment activities.</w:t>
      </w:r>
    </w:p>
    <w:p>
      <w:pPr>
        <w:spacing w:after="0" w:line="194" w:lineRule="exact"/>
        <w:rPr>
          <w:sz w:val="20"/>
          <w:szCs w:val="20"/>
          <w:color w:val="auto"/>
        </w:rPr>
      </w:pPr>
    </w:p>
    <w:p>
      <w:pPr>
        <w:jc w:val="both"/>
        <w:ind w:firstLine="452"/>
        <w:spacing w:after="0" w:line="294" w:lineRule="auto"/>
        <w:rPr>
          <w:sz w:val="20"/>
          <w:szCs w:val="20"/>
          <w:color w:val="auto"/>
        </w:rPr>
      </w:pPr>
      <w:r>
        <w:rPr>
          <w:rFonts w:ascii="Arial" w:cs="Arial" w:eastAsia="Arial" w:hAnsi="Arial"/>
          <w:sz w:val="16"/>
          <w:szCs w:val="16"/>
          <w:color w:val="auto"/>
        </w:rPr>
        <w:t>We are, from time to time, also involved in various governmental, regulatory and administrative proceedings and inquiries. We have received regulatory inquiries from certain state insurance regulators and other officials relating to compliance with unclaimed property laws and the use of data available on the U.S. Social Security Administration's Death Master File (or a similar database) to identify instances where benefits under life insurance policies, annuities and retained asset accounts are payable. It is possible that other jurisdictions may pursue similar inquiries and that such inquiries may result in payments to beneficiaries, escheatment of funds deemed abandoned under state laws and changes to procedures for the identification and escheatment of abandoned property.</w:t>
      </w:r>
    </w:p>
    <w:p>
      <w:pPr>
        <w:spacing w:after="0" w:line="170" w:lineRule="exact"/>
        <w:rPr>
          <w:sz w:val="20"/>
          <w:szCs w:val="20"/>
          <w:color w:val="auto"/>
        </w:rPr>
      </w:pPr>
    </w:p>
    <w:p>
      <w:pPr>
        <w:jc w:val="both"/>
        <w:ind w:right="20" w:firstLine="409"/>
        <w:spacing w:after="0" w:line="256" w:lineRule="auto"/>
        <w:rPr>
          <w:sz w:val="20"/>
          <w:szCs w:val="20"/>
          <w:color w:val="auto"/>
        </w:rPr>
      </w:pPr>
      <w:r>
        <w:rPr>
          <w:rFonts w:ascii="Arial" w:cs="Arial" w:eastAsia="Arial" w:hAnsi="Arial"/>
          <w:sz w:val="18"/>
          <w:szCs w:val="18"/>
          <w:color w:val="auto"/>
        </w:rPr>
        <w:t>These factors may affect our financial strength or reduce our profitability. For further discussion on litigation and regulatory investigation risk, see Item 3. "Legal Proceedings," Item 8. "Financial Statements and Supplementary Data, Notes to Consolidated Financial Statements, Note 13, Contingencies, Guarantees and Indemnifications" under the caption, "Litigation and Regulatory Contingencies" and Item 8. "Financial Statements and Supplementary Data, Notes to Consolidated Financial Statements, Note 11, Income Taxes."</w:t>
      </w:r>
    </w:p>
    <w:p>
      <w:pPr>
        <w:spacing w:after="0" w:line="191" w:lineRule="exact"/>
        <w:rPr>
          <w:sz w:val="20"/>
          <w:szCs w:val="20"/>
          <w:color w:val="auto"/>
        </w:rPr>
      </w:pPr>
    </w:p>
    <w:p>
      <w:pPr>
        <w:jc w:val="both"/>
        <w:spacing w:after="0" w:line="275" w:lineRule="auto"/>
        <w:rPr>
          <w:sz w:val="20"/>
          <w:szCs w:val="20"/>
          <w:color w:val="auto"/>
        </w:rPr>
      </w:pPr>
      <w:r>
        <w:rPr>
          <w:rFonts w:ascii="Arial" w:cs="Arial" w:eastAsia="Arial" w:hAnsi="Arial"/>
          <w:sz w:val="18"/>
          <w:szCs w:val="18"/>
          <w:b w:val="1"/>
          <w:bCs w:val="1"/>
          <w:color w:val="auto"/>
        </w:rPr>
        <w:t>From time to time we may become subject to tax audits, tax litigation or similar proceedings, and as a result we may owe additional taxes, interest and penalties in amounts that may be material.</w:t>
      </w:r>
    </w:p>
    <w:p>
      <w:pPr>
        <w:spacing w:after="0" w:line="180" w:lineRule="exact"/>
        <w:rPr>
          <w:sz w:val="20"/>
          <w:szCs w:val="20"/>
          <w:color w:val="auto"/>
        </w:rPr>
      </w:pPr>
    </w:p>
    <w:p>
      <w:pPr>
        <w:jc w:val="both"/>
        <w:ind w:firstLine="397"/>
        <w:spacing w:after="0" w:line="255" w:lineRule="auto"/>
        <w:rPr>
          <w:sz w:val="20"/>
          <w:szCs w:val="20"/>
          <w:color w:val="auto"/>
        </w:rPr>
      </w:pPr>
      <w:r>
        <w:rPr>
          <w:rFonts w:ascii="Arial" w:cs="Arial" w:eastAsia="Arial" w:hAnsi="Arial"/>
          <w:sz w:val="18"/>
          <w:szCs w:val="18"/>
          <w:color w:val="auto"/>
        </w:rPr>
        <w:t>We are subject to income taxes in the United States as well as many other jurisdictions. In determining our provisions for income taxes and our accounting for tax-related matters in general, we are required to exercise judgment. We regularly make estimates where the ultimate tax determination is uncertain. The final determination of any tax audit, appeal of the decision of a taxing authority, tax litigation or similar proceedings may be materially different from that reflected in our historical financial statements. The assessment of additional taxes, interest and penalties could be materially adverse to our current and future results of operations and financial condition.</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Fluctuations in foreign currency exchange rates could adversely impact our profitability and financial condition.</w:t>
      </w:r>
    </w:p>
    <w:p>
      <w:pPr>
        <w:spacing w:after="0" w:line="231" w:lineRule="exact"/>
        <w:rPr>
          <w:sz w:val="20"/>
          <w:szCs w:val="20"/>
          <w:color w:val="auto"/>
        </w:rPr>
      </w:pPr>
    </w:p>
    <w:p>
      <w:pPr>
        <w:jc w:val="both"/>
        <w:ind w:firstLine="630"/>
        <w:spacing w:after="0" w:line="294" w:lineRule="auto"/>
        <w:rPr>
          <w:sz w:val="20"/>
          <w:szCs w:val="20"/>
          <w:color w:val="auto"/>
        </w:rPr>
      </w:pPr>
      <w:r>
        <w:rPr>
          <w:rFonts w:ascii="Arial" w:cs="Arial" w:eastAsia="Arial" w:hAnsi="Arial"/>
          <w:sz w:val="16"/>
          <w:szCs w:val="16"/>
          <w:color w:val="auto"/>
        </w:rPr>
        <w:t>Principal International writes policies denominated in various local currencies and generally invests the associated assets in local currencies. For diversification purposes, assets backing the products may be partially invested in non-local currencies, and the associated foreign currency exchange risk is hedged or managed to specific risk tolerances. Although our investment and hedging strategies limit the effect of currency exchange rate fluctuation on local operating results, fluctuations in such rates affect the translation of these results into our consolidated financial statements. For further discussion on foreign currency exchange risk, see Item 7A. "Quantitative and Qualitative Disclosures About Market Risk — Foreign Currency Risk."</w:t>
      </w:r>
    </w:p>
    <w:p>
      <w:pPr>
        <w:spacing w:after="0" w:line="164" w:lineRule="exact"/>
        <w:rPr>
          <w:sz w:val="20"/>
          <w:szCs w:val="20"/>
          <w:color w:val="auto"/>
        </w:rPr>
      </w:pPr>
    </w:p>
    <w:p>
      <w:pPr>
        <w:jc w:val="both"/>
        <w:spacing w:after="0" w:line="275" w:lineRule="auto"/>
        <w:rPr>
          <w:sz w:val="20"/>
          <w:szCs w:val="20"/>
          <w:color w:val="auto"/>
        </w:rPr>
      </w:pPr>
      <w:r>
        <w:rPr>
          <w:rFonts w:ascii="Arial" w:cs="Arial" w:eastAsia="Arial" w:hAnsi="Arial"/>
          <w:sz w:val="18"/>
          <w:szCs w:val="18"/>
          <w:b w:val="1"/>
          <w:bCs w:val="1"/>
          <w:color w:val="auto"/>
        </w:rPr>
        <w:t>Applicable laws and our certificate of incorporation and by-laws may discourage takeovers and business combinations that some stockholders might consider in their best interests.</w:t>
      </w:r>
    </w:p>
    <w:p>
      <w:pPr>
        <w:spacing w:after="0" w:line="180" w:lineRule="exact"/>
        <w:rPr>
          <w:sz w:val="20"/>
          <w:szCs w:val="20"/>
          <w:color w:val="auto"/>
        </w:rPr>
      </w:pPr>
    </w:p>
    <w:p>
      <w:pPr>
        <w:jc w:val="both"/>
        <w:ind w:firstLine="456"/>
        <w:spacing w:after="0" w:line="298" w:lineRule="auto"/>
        <w:rPr>
          <w:sz w:val="20"/>
          <w:szCs w:val="20"/>
          <w:color w:val="auto"/>
        </w:rPr>
      </w:pPr>
      <w:r>
        <w:rPr>
          <w:rFonts w:ascii="Arial" w:cs="Arial" w:eastAsia="Arial" w:hAnsi="Arial"/>
          <w:sz w:val="16"/>
          <w:szCs w:val="16"/>
          <w:color w:val="auto"/>
        </w:rPr>
        <w:t>State laws and our certificate of incorporation and by-laws may delay, defer, prevent, or render more difficult a takeover attempt that some stockholders might consider in their best interests. For instance, they may prevent our stockholders from receiving the benefit from any premium to the market price of our common stock offered by a bidder in a takeover context. Even in the absence of a takeover attempt, the existence of these provisions may adversely affect the prevailing market price of our common stock if they are viewed as discouraging takeover attempts in the future.</w:t>
      </w:r>
    </w:p>
    <w:p>
      <w:pPr>
        <w:spacing w:after="0" w:line="167" w:lineRule="exact"/>
        <w:rPr>
          <w:sz w:val="20"/>
          <w:szCs w:val="20"/>
          <w:color w:val="auto"/>
        </w:rPr>
      </w:pPr>
    </w:p>
    <w:p>
      <w:pPr>
        <w:jc w:val="both"/>
        <w:ind w:firstLine="538"/>
        <w:spacing w:after="0" w:line="259" w:lineRule="auto"/>
        <w:rPr>
          <w:sz w:val="20"/>
          <w:szCs w:val="20"/>
          <w:color w:val="auto"/>
        </w:rPr>
      </w:pPr>
      <w:r>
        <w:rPr>
          <w:rFonts w:ascii="Arial" w:cs="Arial" w:eastAsia="Arial" w:hAnsi="Arial"/>
          <w:sz w:val="18"/>
          <w:szCs w:val="18"/>
          <w:color w:val="auto"/>
        </w:rPr>
        <w:t>State laws and our certificate of incorporation and by-laws may also make it difficult for stockholders to replace or remove our management. These provisions may facilitate management entrenchment, which may delay, defer or prevent a change in our control, which may not be in the best interests of our stockholders.</w:t>
      </w:r>
    </w:p>
    <w:p>
      <w:pPr>
        <w:spacing w:after="0" w:line="194" w:lineRule="exact"/>
        <w:rPr>
          <w:sz w:val="20"/>
          <w:szCs w:val="20"/>
          <w:color w:val="auto"/>
        </w:rPr>
      </w:pPr>
    </w:p>
    <w:p>
      <w:pPr>
        <w:jc w:val="both"/>
        <w:ind w:firstLine="442"/>
        <w:spacing w:after="0" w:line="332" w:lineRule="auto"/>
        <w:rPr>
          <w:sz w:val="20"/>
          <w:szCs w:val="20"/>
          <w:color w:val="auto"/>
        </w:rPr>
      </w:pPr>
      <w:r>
        <w:rPr>
          <w:rFonts w:ascii="Arial" w:cs="Arial" w:eastAsia="Arial" w:hAnsi="Arial"/>
          <w:sz w:val="16"/>
          <w:szCs w:val="16"/>
          <w:color w:val="auto"/>
        </w:rPr>
        <w:t>The following provisions, included in our certificate of incorporation and by-laws, may also have anti-takeover effects and may delay, defer or prevent a takeover attempt that some stockholders might consider in their best interests. In particular, our certificate of incorporation and by-laws:</w:t>
      </w:r>
    </w:p>
    <w:p>
      <w:pPr>
        <w:spacing w:after="0" w:line="153" w:lineRule="exact"/>
        <w:rPr>
          <w:sz w:val="20"/>
          <w:szCs w:val="20"/>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permit our Board of Directors to issue one or more series of preferred stock;</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divide our Board of Directors into three classes;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limit the ability of stockholders to remove directors;</w:t>
      </w:r>
    </w:p>
    <w:p>
      <w:pPr>
        <w:sectPr>
          <w:pgSz w:w="11900" w:h="16838" w:orient="portrait"/>
          <w:cols w:equalWidth="0" w:num="1">
            <w:col w:w="11420"/>
          </w:cols>
          <w:pgMar w:left="240" w:top="131" w:right="239" w:bottom="1440" w:gutter="0" w:footer="0" w:header="0"/>
        </w:sect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32" w:name="page33"/>
    <w:bookmarkEnd w:id="3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prohibit stockholders from filling vacancies on our Board of Directors;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prohibit stockholders from calling special meetings of stockholders;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6"/>
          <w:szCs w:val="16"/>
          <w:color w:val="auto"/>
        </w:rPr>
      </w:pPr>
      <w:r>
        <w:rPr>
          <w:rFonts w:ascii="Arial" w:cs="Arial" w:eastAsia="Arial" w:hAnsi="Arial"/>
          <w:sz w:val="16"/>
          <w:szCs w:val="16"/>
          <w:color w:val="auto"/>
        </w:rPr>
        <w:t>impose advance notice requirements for stockholder proposals and nominations of directors to be considered at stockholder meetings and</w:t>
      </w:r>
    </w:p>
    <w:p>
      <w:pPr>
        <w:spacing w:after="0" w:line="261" w:lineRule="exact"/>
        <w:rPr>
          <w:rFonts w:ascii="Arial" w:cs="Arial" w:eastAsia="Arial" w:hAnsi="Arial"/>
          <w:sz w:val="16"/>
          <w:szCs w:val="16"/>
          <w:color w:val="auto"/>
        </w:rPr>
      </w:pPr>
    </w:p>
    <w:p>
      <w:pPr>
        <w:ind w:left="1080" w:hanging="532"/>
        <w:spacing w:after="0" w:line="268" w:lineRule="auto"/>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require the approval of at least 75% of the voting power of our outstanding common stock for the amendment of our by-laws and provisions of our certificate of incorporation governing:</w:t>
      </w:r>
    </w:p>
    <w:p>
      <w:pPr>
        <w:spacing w:after="0" w:line="200" w:lineRule="exact"/>
        <w:rPr>
          <w:rFonts w:ascii="Arial" w:cs="Arial" w:eastAsia="Arial" w:hAnsi="Arial"/>
          <w:sz w:val="18"/>
          <w:szCs w:val="18"/>
          <w:color w:val="auto"/>
        </w:rPr>
      </w:pPr>
    </w:p>
    <w:p>
      <w:pPr>
        <w:spacing w:after="0" w:line="229" w:lineRule="exact"/>
        <w:rPr>
          <w:rFonts w:ascii="Arial" w:cs="Arial" w:eastAsia="Arial" w:hAnsi="Arial"/>
          <w:sz w:val="18"/>
          <w:szCs w:val="18"/>
          <w:color w:val="auto"/>
        </w:rPr>
      </w:pPr>
    </w:p>
    <w:p>
      <w:pPr>
        <w:ind w:left="1620" w:hanging="532"/>
        <w:spacing w:after="0"/>
        <w:tabs>
          <w:tab w:leader="none" w:pos="1620" w:val="left"/>
        </w:tabs>
        <w:numPr>
          <w:ilvl w:val="1"/>
          <w:numId w:val="14"/>
        </w:numPr>
        <w:rPr>
          <w:rFonts w:ascii="Arial" w:cs="Arial" w:eastAsia="Arial" w:hAnsi="Arial"/>
          <w:sz w:val="18"/>
          <w:szCs w:val="18"/>
          <w:color w:val="auto"/>
        </w:rPr>
      </w:pPr>
      <w:r>
        <w:rPr>
          <w:rFonts w:ascii="Arial" w:cs="Arial" w:eastAsia="Arial" w:hAnsi="Arial"/>
          <w:sz w:val="18"/>
          <w:szCs w:val="18"/>
          <w:color w:val="auto"/>
        </w:rPr>
        <w:t>the classified board,</w:t>
      </w:r>
    </w:p>
    <w:p>
      <w:pPr>
        <w:spacing w:after="0" w:line="238" w:lineRule="exact"/>
        <w:rPr>
          <w:rFonts w:ascii="Arial" w:cs="Arial" w:eastAsia="Arial" w:hAnsi="Arial"/>
          <w:sz w:val="18"/>
          <w:szCs w:val="18"/>
          <w:color w:val="auto"/>
        </w:rPr>
      </w:pPr>
    </w:p>
    <w:p>
      <w:pPr>
        <w:ind w:left="1620" w:hanging="532"/>
        <w:spacing w:after="0"/>
        <w:tabs>
          <w:tab w:leader="none" w:pos="1620" w:val="left"/>
        </w:tabs>
        <w:numPr>
          <w:ilvl w:val="1"/>
          <w:numId w:val="14"/>
        </w:numPr>
        <w:rPr>
          <w:rFonts w:ascii="Arial" w:cs="Arial" w:eastAsia="Arial" w:hAnsi="Arial"/>
          <w:sz w:val="16"/>
          <w:szCs w:val="16"/>
          <w:color w:val="auto"/>
        </w:rPr>
      </w:pPr>
      <w:r>
        <w:rPr>
          <w:rFonts w:ascii="Arial" w:cs="Arial" w:eastAsia="Arial" w:hAnsi="Arial"/>
          <w:sz w:val="16"/>
          <w:szCs w:val="16"/>
          <w:color w:val="auto"/>
        </w:rPr>
        <w:t>the director's discretion in determining what he or she reasonably believes to be in the best interests of Principal Financial Group, Inc.,</w:t>
      </w:r>
    </w:p>
    <w:p>
      <w:pPr>
        <w:spacing w:after="0" w:line="261" w:lineRule="exact"/>
        <w:rPr>
          <w:rFonts w:ascii="Arial" w:cs="Arial" w:eastAsia="Arial" w:hAnsi="Arial"/>
          <w:sz w:val="16"/>
          <w:szCs w:val="16"/>
          <w:color w:val="auto"/>
        </w:rPr>
      </w:pPr>
    </w:p>
    <w:p>
      <w:pPr>
        <w:ind w:left="1620" w:hanging="532"/>
        <w:spacing w:after="0"/>
        <w:tabs>
          <w:tab w:leader="none" w:pos="1620" w:val="left"/>
        </w:tabs>
        <w:numPr>
          <w:ilvl w:val="1"/>
          <w:numId w:val="14"/>
        </w:numPr>
        <w:rPr>
          <w:rFonts w:ascii="Arial" w:cs="Arial" w:eastAsia="Arial" w:hAnsi="Arial"/>
          <w:sz w:val="18"/>
          <w:szCs w:val="18"/>
          <w:color w:val="auto"/>
        </w:rPr>
      </w:pPr>
      <w:r>
        <w:rPr>
          <w:rFonts w:ascii="Arial" w:cs="Arial" w:eastAsia="Arial" w:hAnsi="Arial"/>
          <w:sz w:val="18"/>
          <w:szCs w:val="18"/>
          <w:color w:val="auto"/>
        </w:rPr>
        <w:t>the liability of directors,</w:t>
      </w:r>
    </w:p>
    <w:p>
      <w:pPr>
        <w:spacing w:after="0" w:line="252" w:lineRule="exact"/>
        <w:rPr>
          <w:rFonts w:ascii="Arial" w:cs="Arial" w:eastAsia="Arial" w:hAnsi="Arial"/>
          <w:sz w:val="18"/>
          <w:szCs w:val="18"/>
          <w:color w:val="auto"/>
        </w:rPr>
      </w:pPr>
    </w:p>
    <w:p>
      <w:pPr>
        <w:ind w:left="1620" w:hanging="532"/>
        <w:spacing w:after="0"/>
        <w:tabs>
          <w:tab w:leader="none" w:pos="1620" w:val="left"/>
        </w:tabs>
        <w:numPr>
          <w:ilvl w:val="1"/>
          <w:numId w:val="14"/>
        </w:numPr>
        <w:rPr>
          <w:rFonts w:ascii="Arial" w:cs="Arial" w:eastAsia="Arial" w:hAnsi="Arial"/>
          <w:sz w:val="18"/>
          <w:szCs w:val="18"/>
          <w:color w:val="auto"/>
        </w:rPr>
      </w:pPr>
      <w:r>
        <w:rPr>
          <w:rFonts w:ascii="Arial" w:cs="Arial" w:eastAsia="Arial" w:hAnsi="Arial"/>
          <w:sz w:val="18"/>
          <w:szCs w:val="18"/>
          <w:color w:val="auto"/>
        </w:rPr>
        <w:t>the removal of directors by shareholders,</w:t>
      </w:r>
    </w:p>
    <w:p>
      <w:pPr>
        <w:spacing w:after="0" w:line="238" w:lineRule="exact"/>
        <w:rPr>
          <w:rFonts w:ascii="Arial" w:cs="Arial" w:eastAsia="Arial" w:hAnsi="Arial"/>
          <w:sz w:val="18"/>
          <w:szCs w:val="18"/>
          <w:color w:val="auto"/>
        </w:rPr>
      </w:pPr>
    </w:p>
    <w:p>
      <w:pPr>
        <w:ind w:left="1620" w:hanging="532"/>
        <w:spacing w:after="0"/>
        <w:tabs>
          <w:tab w:leader="none" w:pos="1620" w:val="left"/>
        </w:tabs>
        <w:numPr>
          <w:ilvl w:val="1"/>
          <w:numId w:val="14"/>
        </w:numPr>
        <w:rPr>
          <w:rFonts w:ascii="Arial" w:cs="Arial" w:eastAsia="Arial" w:hAnsi="Arial"/>
          <w:sz w:val="18"/>
          <w:szCs w:val="18"/>
          <w:color w:val="auto"/>
        </w:rPr>
      </w:pPr>
      <w:r>
        <w:rPr>
          <w:rFonts w:ascii="Arial" w:cs="Arial" w:eastAsia="Arial" w:hAnsi="Arial"/>
          <w:sz w:val="18"/>
          <w:szCs w:val="18"/>
          <w:color w:val="auto"/>
        </w:rPr>
        <w:t>the prohibition on stockholder actions by written consent and</w:t>
      </w:r>
    </w:p>
    <w:p>
      <w:pPr>
        <w:spacing w:after="0" w:line="238" w:lineRule="exact"/>
        <w:rPr>
          <w:rFonts w:ascii="Arial" w:cs="Arial" w:eastAsia="Arial" w:hAnsi="Arial"/>
          <w:sz w:val="18"/>
          <w:szCs w:val="18"/>
          <w:color w:val="auto"/>
        </w:rPr>
      </w:pPr>
    </w:p>
    <w:p>
      <w:pPr>
        <w:ind w:left="1620" w:hanging="532"/>
        <w:spacing w:after="0"/>
        <w:tabs>
          <w:tab w:leader="none" w:pos="1620" w:val="left"/>
        </w:tabs>
        <w:numPr>
          <w:ilvl w:val="1"/>
          <w:numId w:val="14"/>
        </w:numPr>
        <w:rPr>
          <w:rFonts w:ascii="Arial" w:cs="Arial" w:eastAsia="Arial" w:hAnsi="Arial"/>
          <w:sz w:val="18"/>
          <w:szCs w:val="18"/>
          <w:color w:val="auto"/>
        </w:rPr>
      </w:pPr>
      <w:r>
        <w:rPr>
          <w:rFonts w:ascii="Arial" w:cs="Arial" w:eastAsia="Arial" w:hAnsi="Arial"/>
          <w:sz w:val="18"/>
          <w:szCs w:val="18"/>
          <w:color w:val="auto"/>
        </w:rPr>
        <w:t>the supermajority voting requirements.</w:t>
      </w:r>
    </w:p>
    <w:p>
      <w:pPr>
        <w:spacing w:after="0" w:line="225" w:lineRule="exact"/>
        <w:rPr>
          <w:sz w:val="20"/>
          <w:szCs w:val="20"/>
          <w:color w:val="auto"/>
        </w:rPr>
      </w:pPr>
    </w:p>
    <w:p>
      <w:pPr>
        <w:jc w:val="both"/>
        <w:ind w:firstLine="394"/>
        <w:spacing w:after="0" w:line="332" w:lineRule="auto"/>
        <w:rPr>
          <w:sz w:val="20"/>
          <w:szCs w:val="20"/>
          <w:color w:val="auto"/>
        </w:rPr>
      </w:pPr>
      <w:r>
        <w:rPr>
          <w:rFonts w:ascii="Arial" w:cs="Arial" w:eastAsia="Arial" w:hAnsi="Arial"/>
          <w:sz w:val="16"/>
          <w:szCs w:val="16"/>
          <w:color w:val="auto"/>
        </w:rPr>
        <w:t>In addition, Section 203 of the General Corporation Law of the State of Delaware may limit the ability of an "interested stockholder" to engage in business combinations with us. An interested stockholder is defined to include persons owning 15% or more of our outstanding voting stock.</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financial results may be adversely impacted by global climate changes.</w:t>
      </w:r>
    </w:p>
    <w:p>
      <w:pPr>
        <w:spacing w:after="0" w:line="231" w:lineRule="exact"/>
        <w:rPr>
          <w:sz w:val="20"/>
          <w:szCs w:val="20"/>
          <w:color w:val="auto"/>
        </w:rPr>
      </w:pPr>
    </w:p>
    <w:p>
      <w:pPr>
        <w:jc w:val="both"/>
        <w:ind w:firstLine="378"/>
        <w:spacing w:after="0" w:line="298" w:lineRule="auto"/>
        <w:rPr>
          <w:sz w:val="20"/>
          <w:szCs w:val="20"/>
          <w:color w:val="auto"/>
        </w:rPr>
      </w:pPr>
      <w:r>
        <w:rPr>
          <w:rFonts w:ascii="Arial" w:cs="Arial" w:eastAsia="Arial" w:hAnsi="Arial"/>
          <w:sz w:val="16"/>
          <w:szCs w:val="16"/>
          <w:color w:val="auto"/>
        </w:rPr>
        <w:t>Atmospheric concentrations of carbon dioxide and other greenhouse gases have increased dramatically since the industrial revolution, resulting in a gradual increase in global average temperatures and an increase in the frequency and severity of natural disasters. These trends are expected to continue in the future and have the potential to impact nearly all sectors of the economy to varying degrees. Our initial research indicates that climate change does not pose an imminent or significant threat to our operations or business, but we will continue to monitor new developments in the future.</w:t>
      </w:r>
    </w:p>
    <w:p>
      <w:pPr>
        <w:spacing w:after="0" w:line="16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Potential impacts may include the following:</w:t>
      </w:r>
    </w:p>
    <w:p>
      <w:pPr>
        <w:spacing w:after="0" w:line="252" w:lineRule="exact"/>
        <w:rPr>
          <w:sz w:val="20"/>
          <w:szCs w:val="20"/>
          <w:color w:val="auto"/>
        </w:rPr>
      </w:pPr>
    </w:p>
    <w:p>
      <w:pPr>
        <w:jc w:val="both"/>
        <w:ind w:left="1080" w:hanging="532"/>
        <w:spacing w:after="0" w:line="256" w:lineRule="auto"/>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Changes in temperatures and air quality may adversely impact our mortality and morbidity rates. For example, increases in the level of pollution and airborne allergens may cause an increase in upper respiratory and cardiovascular diseases, leading to increased claims in our insurance businesses. However, the risk of increased mortality on our life insurance business may be partly offset by our payout annuity business, where an increase in mortality results in a decrease in benefit payments.</w:t>
      </w:r>
    </w:p>
    <w:p>
      <w:pPr>
        <w:spacing w:after="0" w:line="210" w:lineRule="exact"/>
        <w:rPr>
          <w:rFonts w:ascii="Arial" w:cs="Arial" w:eastAsia="Arial" w:hAnsi="Arial"/>
          <w:sz w:val="18"/>
          <w:szCs w:val="18"/>
          <w:color w:val="auto"/>
        </w:rPr>
      </w:pPr>
    </w:p>
    <w:p>
      <w:pPr>
        <w:jc w:val="both"/>
        <w:ind w:left="1080" w:hanging="532"/>
        <w:spacing w:after="0" w:line="291" w:lineRule="auto"/>
        <w:tabs>
          <w:tab w:leader="none" w:pos="1080" w:val="left"/>
        </w:tabs>
        <w:numPr>
          <w:ilvl w:val="0"/>
          <w:numId w:val="15"/>
        </w:numPr>
        <w:rPr>
          <w:rFonts w:ascii="Arial" w:cs="Arial" w:eastAsia="Arial" w:hAnsi="Arial"/>
          <w:sz w:val="16"/>
          <w:szCs w:val="16"/>
          <w:color w:val="auto"/>
        </w:rPr>
      </w:pPr>
      <w:r>
        <w:rPr>
          <w:rFonts w:ascii="Arial" w:cs="Arial" w:eastAsia="Arial" w:hAnsi="Arial"/>
          <w:sz w:val="16"/>
          <w:szCs w:val="16"/>
          <w:color w:val="auto"/>
        </w:rPr>
        <w:t>Climate change may impact asset prices, as well as general economic conditions. For example, rising sea levels may lead to decreases in real estate values in coastal areas. Additionally, government policies to slow climate change (e.g., setting limits on carbon emissions) may have an adverse impact on sectors such as utilities, transportation and manufacturing. Changes in asset prices may impact the value of our fixed income, real estate and commercial mortgage investments. We manage our investment risks by maintaining a well-diversified portfolio, both geographically and by sector. We also monitor our investments on an ongoing basis, allowing us to adjust our exposure to sectors and/or geographical areas that face severe risks due to climate change.</w:t>
      </w:r>
    </w:p>
    <w:p>
      <w:pPr>
        <w:spacing w:after="0" w:line="187" w:lineRule="exact"/>
        <w:rPr>
          <w:rFonts w:ascii="Arial" w:cs="Arial" w:eastAsia="Arial" w:hAnsi="Arial"/>
          <w:sz w:val="16"/>
          <w:szCs w:val="16"/>
          <w:color w:val="auto"/>
        </w:rPr>
      </w:pPr>
    </w:p>
    <w:p>
      <w:pPr>
        <w:ind w:left="1080" w:hanging="532"/>
        <w:spacing w:after="0" w:line="332" w:lineRule="auto"/>
        <w:tabs>
          <w:tab w:leader="none" w:pos="1080" w:val="left"/>
        </w:tabs>
        <w:numPr>
          <w:ilvl w:val="0"/>
          <w:numId w:val="15"/>
        </w:numPr>
        <w:rPr>
          <w:rFonts w:ascii="Arial" w:cs="Arial" w:eastAsia="Arial" w:hAnsi="Arial"/>
          <w:sz w:val="16"/>
          <w:szCs w:val="16"/>
          <w:color w:val="auto"/>
        </w:rPr>
      </w:pPr>
      <w:r>
        <w:rPr>
          <w:rFonts w:ascii="Arial" w:cs="Arial" w:eastAsia="Arial" w:hAnsi="Arial"/>
          <w:sz w:val="16"/>
          <w:szCs w:val="16"/>
          <w:color w:val="auto"/>
        </w:rPr>
        <w:t>A natural disaster that affects one of our office locations could disrupt our operations and pose a threat to the safety of our employees. However, we have extensive Business Continuity and Disaster Recovery planning programs in place to help mitigate this risk.</w:t>
      </w:r>
    </w:p>
    <w:p>
      <w:pPr>
        <w:spacing w:after="0" w:line="133"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Item 1B.</w:t>
      </w:r>
      <w:r>
        <w:rPr>
          <w:sz w:val="20"/>
          <w:szCs w:val="20"/>
          <w:color w:val="auto"/>
        </w:rPr>
        <w:tab/>
      </w:r>
      <w:r>
        <w:rPr>
          <w:rFonts w:ascii="Arial" w:cs="Arial" w:eastAsia="Arial" w:hAnsi="Arial"/>
          <w:sz w:val="15"/>
          <w:szCs w:val="15"/>
          <w:b w:val="1"/>
          <w:bCs w:val="1"/>
          <w:color w:val="auto"/>
        </w:rPr>
        <w:t>Unresolved Staff Comments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None.</w:t>
      </w:r>
    </w:p>
    <w:p>
      <w:pPr>
        <w:spacing w:after="0" w:line="21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color w:val="auto"/>
        </w:rPr>
        <w:t>Properties</w:t>
      </w:r>
    </w:p>
    <w:p>
      <w:pPr>
        <w:spacing w:after="0" w:line="231" w:lineRule="exact"/>
        <w:rPr>
          <w:sz w:val="20"/>
          <w:szCs w:val="20"/>
          <w:color w:val="auto"/>
        </w:rPr>
      </w:pPr>
    </w:p>
    <w:p>
      <w:pPr>
        <w:jc w:val="both"/>
        <w:ind w:firstLine="360"/>
        <w:spacing w:after="0" w:line="254" w:lineRule="auto"/>
        <w:rPr>
          <w:sz w:val="20"/>
          <w:szCs w:val="20"/>
          <w:color w:val="auto"/>
        </w:rPr>
      </w:pPr>
      <w:r>
        <w:rPr>
          <w:rFonts w:ascii="Arial" w:cs="Arial" w:eastAsia="Arial" w:hAnsi="Arial"/>
          <w:sz w:val="18"/>
          <w:szCs w:val="18"/>
          <w:color w:val="auto"/>
        </w:rPr>
        <w:t>As of December 31, 2013, we own 33 properties in our home office complex in Des Moines, Iowa, and in various other locations. Of these 33 properties, 18 are office buildings, 1 is a warehouse facility, 11 are parking lots and ramps, 1 is a park/green space, 1 is a childcare center and 1 is a power generation plant. Of the office and warehouse space, we occupy approximately 92% of the 2.7 million square feet of space in these buildings. The balance of the space in these buildings is rented to commercial tenants or is occupied by the property management company servicing these properties. We lease office space for various offices located throughout the U.S. and internationally. We believe that our owned and leased properties are suitable and adequate for our current business operations.</w:t>
      </w:r>
    </w:p>
    <w:p>
      <w:pPr>
        <w:spacing w:after="0" w:line="192"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5"/>
          <w:szCs w:val="15"/>
          <w:b w:val="1"/>
          <w:bCs w:val="1"/>
          <w:color w:val="auto"/>
        </w:rPr>
        <w:t>Legal Proceedings</w:t>
      </w:r>
    </w:p>
    <w:p>
      <w:pPr>
        <w:spacing w:after="0" w:line="231" w:lineRule="exact"/>
        <w:rPr>
          <w:sz w:val="20"/>
          <w:szCs w:val="20"/>
          <w:color w:val="auto"/>
        </w:rPr>
      </w:pPr>
    </w:p>
    <w:p>
      <w:pPr>
        <w:jc w:val="both"/>
        <w:ind w:firstLine="411"/>
        <w:spacing w:after="0" w:line="268" w:lineRule="auto"/>
        <w:rPr>
          <w:sz w:val="20"/>
          <w:szCs w:val="20"/>
          <w:color w:val="auto"/>
        </w:rPr>
      </w:pPr>
      <w:r>
        <w:rPr>
          <w:rFonts w:ascii="Arial" w:cs="Arial" w:eastAsia="Arial" w:hAnsi="Arial"/>
          <w:sz w:val="18"/>
          <w:szCs w:val="18"/>
          <w:color w:val="auto"/>
        </w:rPr>
        <w:t>Disclosure concerning material legal proceedings can be found in Item 8. "Financial Statements and Supplementary Data, Notes to Consolidated Financial Statements, Note 13, Contingencies, Guarantees and Indemnifications" under the</w:t>
      </w:r>
    </w:p>
    <w:p>
      <w:pPr>
        <w:sectPr>
          <w:pgSz w:w="11900" w:h="16838" w:orient="portrait"/>
          <w:cols w:equalWidth="0" w:num="1">
            <w:col w:w="11420"/>
          </w:cols>
          <w:pgMar w:left="240" w:top="131" w:right="239" w:bottom="819" w:gutter="0" w:footer="0" w:header="0"/>
        </w:sectPr>
      </w:pP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819" w:gutter="0" w:footer="0" w:header="0"/>
          <w:type w:val="continuous"/>
        </w:sectPr>
      </w:pPr>
    </w:p>
    <w:bookmarkStart w:id="33" w:name="page34"/>
    <w:bookmarkEnd w:id="3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268" w:lineRule="auto"/>
        <w:rPr>
          <w:sz w:val="20"/>
          <w:szCs w:val="20"/>
          <w:color w:val="auto"/>
        </w:rPr>
      </w:pPr>
      <w:r>
        <w:rPr>
          <w:rFonts w:ascii="Arial" w:cs="Arial" w:eastAsia="Arial" w:hAnsi="Arial"/>
          <w:sz w:val="18"/>
          <w:szCs w:val="18"/>
          <w:color w:val="auto"/>
        </w:rPr>
        <w:t>caption, "Litigation and Regulatory Contingencies" and Item 8. "Financial Statements and Supplementary Data, Notes to Consolidated Financial Statements, Note 11, Income Taxes" under the caption, "Other Tax Information," which are incorporated here by this reference.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Officers of the Registrant</w:t>
      </w:r>
    </w:p>
    <w:p>
      <w:pPr>
        <w:spacing w:after="0" w:line="231" w:lineRule="exact"/>
        <w:rPr>
          <w:sz w:val="20"/>
          <w:szCs w:val="20"/>
          <w:color w:val="auto"/>
        </w:rPr>
      </w:pPr>
    </w:p>
    <w:p>
      <w:pPr>
        <w:jc w:val="both"/>
        <w:ind w:firstLine="522"/>
        <w:spacing w:after="0" w:line="268" w:lineRule="auto"/>
        <w:rPr>
          <w:sz w:val="20"/>
          <w:szCs w:val="20"/>
          <w:color w:val="auto"/>
        </w:rPr>
      </w:pPr>
      <w:r>
        <w:rPr>
          <w:rFonts w:ascii="Arial" w:cs="Arial" w:eastAsia="Arial" w:hAnsi="Arial"/>
          <w:sz w:val="18"/>
          <w:szCs w:val="18"/>
          <w:color w:val="auto"/>
        </w:rPr>
        <w:t>The following information is furnished with respect to our executive officers, each of whom is elected by and serves at the pleasure of the Board of Directors.</w:t>
      </w:r>
    </w:p>
    <w:p>
      <w:pPr>
        <w:spacing w:after="0" w:line="186" w:lineRule="exact"/>
        <w:rPr>
          <w:sz w:val="20"/>
          <w:szCs w:val="20"/>
          <w:color w:val="auto"/>
        </w:rPr>
      </w:pPr>
    </w:p>
    <w:p>
      <w:pPr>
        <w:jc w:val="both"/>
        <w:ind w:firstLine="365"/>
        <w:spacing w:after="0" w:line="294" w:lineRule="auto"/>
        <w:rPr>
          <w:sz w:val="20"/>
          <w:szCs w:val="20"/>
          <w:color w:val="auto"/>
        </w:rPr>
      </w:pPr>
      <w:r>
        <w:rPr>
          <w:rFonts w:ascii="Arial" w:cs="Arial" w:eastAsia="Arial" w:hAnsi="Arial"/>
          <w:sz w:val="16"/>
          <w:szCs w:val="16"/>
          <w:b w:val="1"/>
          <w:bCs w:val="1"/>
          <w:i w:val="1"/>
          <w:iCs w:val="1"/>
          <w:color w:val="auto"/>
        </w:rPr>
        <w:t xml:space="preserve">Timothy M. Dunbar, 56, </w:t>
      </w:r>
      <w:r>
        <w:rPr>
          <w:rFonts w:ascii="Arial" w:cs="Arial" w:eastAsia="Arial" w:hAnsi="Arial"/>
          <w:sz w:val="16"/>
          <w:szCs w:val="16"/>
          <w:color w:val="auto"/>
        </w:rPr>
        <w:t>has been Executive Vice President and Chief Investment Officer of the Company and Principal Life since January 1, 2014. Prior to</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that date, he served as Senior Vice President of the Company and Principal Life since 2011, and Chief Investment Officer of the Company and Principal Life since January 2013. Prior to that date, Mr. Dunbar was in charge of Strategy and Finance for the Company and Principal Life in 2011 and 2012, overseeing the business management and strategic direction of the capital markets, corporate strategy and corporate treasury areas. He retains his responsibility for capital markets. Mr. Dunbar previously served as the executive director and head of equities for Principal Global Investors from 2004 until 2011.</w:t>
      </w:r>
    </w:p>
    <w:p>
      <w:pPr>
        <w:spacing w:after="0" w:line="164" w:lineRule="exact"/>
        <w:rPr>
          <w:sz w:val="20"/>
          <w:szCs w:val="20"/>
          <w:color w:val="auto"/>
        </w:rPr>
      </w:pPr>
    </w:p>
    <w:p>
      <w:pPr>
        <w:jc w:val="both"/>
        <w:ind w:firstLine="392"/>
        <w:spacing w:after="0" w:line="262" w:lineRule="auto"/>
        <w:rPr>
          <w:sz w:val="20"/>
          <w:szCs w:val="20"/>
          <w:color w:val="auto"/>
        </w:rPr>
      </w:pPr>
      <w:r>
        <w:rPr>
          <w:rFonts w:ascii="Arial" w:cs="Arial" w:eastAsia="Arial" w:hAnsi="Arial"/>
          <w:sz w:val="18"/>
          <w:szCs w:val="18"/>
          <w:b w:val="1"/>
          <w:bCs w:val="1"/>
          <w:i w:val="1"/>
          <w:iCs w:val="1"/>
          <w:color w:val="auto"/>
        </w:rPr>
        <w:t>Gregory B. Elming, 53</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has been Senior Vice President and Chief Risk Officer of the Company and Principal Life since March 2011. Prior to that time, 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was Senior Vice President and Controller of the Company and Principal Life since 2007 and Vice President and Controller of the Company and Principal Life since 2002.</w:t>
      </w:r>
    </w:p>
    <w:p>
      <w:pPr>
        <w:spacing w:after="0" w:line="192" w:lineRule="exact"/>
        <w:rPr>
          <w:sz w:val="20"/>
          <w:szCs w:val="20"/>
          <w:color w:val="auto"/>
        </w:rPr>
      </w:pPr>
    </w:p>
    <w:p>
      <w:pPr>
        <w:jc w:val="both"/>
        <w:ind w:firstLine="446"/>
        <w:spacing w:after="0" w:line="259" w:lineRule="auto"/>
        <w:rPr>
          <w:sz w:val="20"/>
          <w:szCs w:val="20"/>
          <w:color w:val="auto"/>
        </w:rPr>
      </w:pPr>
      <w:r>
        <w:rPr>
          <w:rFonts w:ascii="Arial" w:cs="Arial" w:eastAsia="Arial" w:hAnsi="Arial"/>
          <w:sz w:val="18"/>
          <w:szCs w:val="18"/>
          <w:b w:val="1"/>
          <w:bCs w:val="1"/>
          <w:i w:val="1"/>
          <w:iCs w:val="1"/>
          <w:color w:val="auto"/>
        </w:rPr>
        <w:t xml:space="preserve">Ralph C. Eucher, 61, </w:t>
      </w:r>
      <w:r>
        <w:rPr>
          <w:rFonts w:ascii="Arial" w:cs="Arial" w:eastAsia="Arial" w:hAnsi="Arial"/>
          <w:sz w:val="18"/>
          <w:szCs w:val="18"/>
          <w:color w:val="auto"/>
        </w:rPr>
        <w:t>has been Executive Vice President of the Company and Principal Life since March 2013, responsible for global human resources,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corporate real estate and aviation operations. Prior to that time, he was Senior Vice President of the Company and Principal Life since 2002, overseeing human resources and corporate real estate since 2008.</w:t>
      </w:r>
    </w:p>
    <w:p>
      <w:pPr>
        <w:spacing w:after="0" w:line="194" w:lineRule="exact"/>
        <w:rPr>
          <w:sz w:val="20"/>
          <w:szCs w:val="20"/>
          <w:color w:val="auto"/>
        </w:rPr>
      </w:pPr>
    </w:p>
    <w:p>
      <w:pPr>
        <w:jc w:val="both"/>
        <w:ind w:firstLine="446"/>
        <w:spacing w:after="0" w:line="256" w:lineRule="auto"/>
        <w:rPr>
          <w:sz w:val="20"/>
          <w:szCs w:val="20"/>
          <w:color w:val="auto"/>
        </w:rPr>
      </w:pPr>
      <w:r>
        <w:rPr>
          <w:rFonts w:ascii="Arial" w:cs="Arial" w:eastAsia="Arial" w:hAnsi="Arial"/>
          <w:sz w:val="18"/>
          <w:szCs w:val="18"/>
          <w:b w:val="1"/>
          <w:bCs w:val="1"/>
          <w:i w:val="1"/>
          <w:iCs w:val="1"/>
          <w:color w:val="auto"/>
        </w:rPr>
        <w:t>Daniel J. Houston, 52</w:t>
      </w:r>
      <w:r>
        <w:rPr>
          <w:rFonts w:ascii="Arial" w:cs="Arial" w:eastAsia="Arial" w:hAnsi="Arial"/>
          <w:sz w:val="18"/>
          <w:szCs w:val="18"/>
          <w:color w:val="auto"/>
        </w:rPr>
        <w:t>, who heads the Retirement and Investor Services and U.S. Insurance Solutions segments of our operations, was named President,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Retirement, Insurance and Financial Services of the Company and Principal Life on January 1, 2010. He was President, Retirement and Investor Services of the Company and Principal Life from February 2008 until January 2010, and was Executive Vice President, Retirement and Investor Services of the Company and Principal Life from June 2006 to February 2008.</w:t>
      </w:r>
    </w:p>
    <w:p>
      <w:pPr>
        <w:spacing w:after="0" w:line="197" w:lineRule="exact"/>
        <w:rPr>
          <w:sz w:val="20"/>
          <w:szCs w:val="20"/>
          <w:color w:val="auto"/>
        </w:rPr>
      </w:pPr>
    </w:p>
    <w:p>
      <w:pPr>
        <w:jc w:val="both"/>
        <w:ind w:firstLine="419"/>
        <w:spacing w:after="0" w:line="259" w:lineRule="auto"/>
        <w:rPr>
          <w:sz w:val="20"/>
          <w:szCs w:val="20"/>
          <w:color w:val="auto"/>
        </w:rPr>
      </w:pPr>
      <w:r>
        <w:rPr>
          <w:rFonts w:ascii="Arial" w:cs="Arial" w:eastAsia="Arial" w:hAnsi="Arial"/>
          <w:sz w:val="18"/>
          <w:szCs w:val="18"/>
          <w:b w:val="1"/>
          <w:bCs w:val="1"/>
          <w:i w:val="1"/>
          <w:iCs w:val="1"/>
          <w:color w:val="auto"/>
        </w:rPr>
        <w:t xml:space="preserve">Terrance J. Lillis, 61, </w:t>
      </w:r>
      <w:r>
        <w:rPr>
          <w:rFonts w:ascii="Arial" w:cs="Arial" w:eastAsia="Arial" w:hAnsi="Arial"/>
          <w:sz w:val="18"/>
          <w:szCs w:val="18"/>
          <w:color w:val="auto"/>
        </w:rPr>
        <w:t>has been Senior Vice President and Chief Financial Officer of the Company and Principal Life since August 2008 and Senior Vice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President of the Company and Principal Life since May 2008. Prior to that time, he was Chief Financial Officer — Retirement and Investor Services division of Principal Life since December 2001.</w:t>
      </w:r>
    </w:p>
    <w:p>
      <w:pPr>
        <w:spacing w:after="0" w:line="194" w:lineRule="exact"/>
        <w:rPr>
          <w:sz w:val="20"/>
          <w:szCs w:val="20"/>
          <w:color w:val="auto"/>
        </w:rPr>
      </w:pPr>
    </w:p>
    <w:p>
      <w:pPr>
        <w:jc w:val="both"/>
        <w:ind w:firstLine="513"/>
        <w:spacing w:after="0" w:line="256" w:lineRule="auto"/>
        <w:rPr>
          <w:sz w:val="20"/>
          <w:szCs w:val="20"/>
          <w:color w:val="auto"/>
        </w:rPr>
      </w:pPr>
      <w:r>
        <w:rPr>
          <w:rFonts w:ascii="Arial" w:cs="Arial" w:eastAsia="Arial" w:hAnsi="Arial"/>
          <w:sz w:val="18"/>
          <w:szCs w:val="18"/>
          <w:b w:val="1"/>
          <w:bCs w:val="1"/>
          <w:i w:val="1"/>
          <w:iCs w:val="1"/>
          <w:color w:val="auto"/>
        </w:rPr>
        <w:t xml:space="preserve">James P. McCaughan, 60, </w:t>
      </w:r>
      <w:r>
        <w:rPr>
          <w:rFonts w:ascii="Arial" w:cs="Arial" w:eastAsia="Arial" w:hAnsi="Arial"/>
          <w:sz w:val="18"/>
          <w:szCs w:val="18"/>
          <w:color w:val="auto"/>
        </w:rPr>
        <w:t>who heads the Principal Global Investors segment of our operations, has been President, Principal Global Investors of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Company and Principal Life since December 2003. Prior to that time, he served as Executive Vice President and global head of asset management for the Company and Principal Life since April 2002. From 2000 to 2002, he was Chief Executive Officer of the Americas division of Credit Suisse Asset Management in New York, New York.</w:t>
      </w:r>
    </w:p>
    <w:p>
      <w:pPr>
        <w:spacing w:after="0" w:line="197" w:lineRule="exact"/>
        <w:rPr>
          <w:sz w:val="20"/>
          <w:szCs w:val="20"/>
          <w:color w:val="auto"/>
        </w:rPr>
      </w:pPr>
    </w:p>
    <w:p>
      <w:pPr>
        <w:jc w:val="both"/>
        <w:ind w:right="20" w:firstLine="365"/>
        <w:spacing w:after="0" w:line="332" w:lineRule="auto"/>
        <w:rPr>
          <w:sz w:val="20"/>
          <w:szCs w:val="20"/>
          <w:color w:val="auto"/>
        </w:rPr>
      </w:pPr>
      <w:r>
        <w:rPr>
          <w:rFonts w:ascii="Arial" w:cs="Arial" w:eastAsia="Arial" w:hAnsi="Arial"/>
          <w:sz w:val="16"/>
          <w:szCs w:val="16"/>
          <w:b w:val="1"/>
          <w:bCs w:val="1"/>
          <w:i w:val="1"/>
          <w:iCs w:val="1"/>
          <w:color w:val="auto"/>
        </w:rPr>
        <w:t xml:space="preserve">Mary A. O'Keefe, 57, </w:t>
      </w:r>
      <w:r>
        <w:rPr>
          <w:rFonts w:ascii="Arial" w:cs="Arial" w:eastAsia="Arial" w:hAnsi="Arial"/>
          <w:sz w:val="16"/>
          <w:szCs w:val="16"/>
          <w:color w:val="auto"/>
        </w:rPr>
        <w:t>who heads Corporate Relations, has been Senior Vice President and Chief Marketing Officer of the Company and Principal Life since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February 2005, Senior Vice President of the Company since April 2001, and Senior Vice President of Principal Life since January 1998.</w:t>
      </w:r>
    </w:p>
    <w:p>
      <w:pPr>
        <w:spacing w:after="0" w:line="139" w:lineRule="exact"/>
        <w:rPr>
          <w:sz w:val="20"/>
          <w:szCs w:val="20"/>
          <w:color w:val="auto"/>
        </w:rPr>
      </w:pPr>
    </w:p>
    <w:p>
      <w:pPr>
        <w:jc w:val="both"/>
        <w:ind w:firstLine="351"/>
        <w:spacing w:after="0" w:line="268" w:lineRule="auto"/>
        <w:rPr>
          <w:sz w:val="20"/>
          <w:szCs w:val="20"/>
          <w:color w:val="auto"/>
        </w:rPr>
      </w:pPr>
      <w:r>
        <w:rPr>
          <w:rFonts w:ascii="Arial" w:cs="Arial" w:eastAsia="Arial" w:hAnsi="Arial"/>
          <w:sz w:val="18"/>
          <w:szCs w:val="18"/>
          <w:b w:val="1"/>
          <w:bCs w:val="1"/>
          <w:i w:val="1"/>
          <w:iCs w:val="1"/>
          <w:color w:val="auto"/>
        </w:rPr>
        <w:t xml:space="preserve">Gary P. Scholten, 56, </w:t>
      </w:r>
      <w:r>
        <w:rPr>
          <w:rFonts w:ascii="Arial" w:cs="Arial" w:eastAsia="Arial" w:hAnsi="Arial"/>
          <w:sz w:val="18"/>
          <w:szCs w:val="18"/>
          <w:color w:val="auto"/>
        </w:rPr>
        <w:t>has been Senior Vice President and Chief Information Officer of the Company and Principal Life since November 2002. From 1998 to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2002, he was Vice President of retail information services of Principal Life.</w:t>
      </w:r>
    </w:p>
    <w:p>
      <w:pPr>
        <w:spacing w:after="0" w:line="186" w:lineRule="exact"/>
        <w:rPr>
          <w:sz w:val="20"/>
          <w:szCs w:val="20"/>
          <w:color w:val="auto"/>
        </w:rPr>
      </w:pPr>
    </w:p>
    <w:p>
      <w:pPr>
        <w:jc w:val="both"/>
        <w:ind w:firstLine="486"/>
        <w:spacing w:after="0" w:line="259" w:lineRule="auto"/>
        <w:rPr>
          <w:sz w:val="20"/>
          <w:szCs w:val="20"/>
          <w:color w:val="auto"/>
        </w:rPr>
      </w:pPr>
      <w:r>
        <w:rPr>
          <w:rFonts w:ascii="Arial" w:cs="Arial" w:eastAsia="Arial" w:hAnsi="Arial"/>
          <w:sz w:val="18"/>
          <w:szCs w:val="18"/>
          <w:b w:val="1"/>
          <w:bCs w:val="1"/>
          <w:i w:val="1"/>
          <w:iCs w:val="1"/>
          <w:color w:val="auto"/>
        </w:rPr>
        <w:t>Karen E. Shaff</w:t>
      </w:r>
      <w:r>
        <w:rPr>
          <w:rFonts w:ascii="Arial" w:cs="Arial" w:eastAsia="Arial" w:hAnsi="Arial"/>
          <w:sz w:val="18"/>
          <w:szCs w:val="18"/>
          <w:color w:val="auto"/>
        </w:rPr>
        <w:t>,</w:t>
      </w:r>
      <w:r>
        <w:rPr>
          <w:rFonts w:ascii="Arial" w:cs="Arial" w:eastAsia="Arial" w:hAnsi="Arial"/>
          <w:sz w:val="18"/>
          <w:szCs w:val="18"/>
          <w:b w:val="1"/>
          <w:bCs w:val="1"/>
          <w:i w:val="1"/>
          <w:iCs w:val="1"/>
          <w:color w:val="auto"/>
        </w:rPr>
        <w:t xml:space="preserve"> 59, </w:t>
      </w:r>
      <w:r>
        <w:rPr>
          <w:rFonts w:ascii="Arial" w:cs="Arial" w:eastAsia="Arial" w:hAnsi="Arial"/>
          <w:sz w:val="18"/>
          <w:szCs w:val="18"/>
          <w:color w:val="auto"/>
        </w:rPr>
        <w:t>has been Executive Vice President and General Counsel of the Company and Principal Life since February 2004 and, in addition,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Secretary of the Company and Principal Life since January 2014. Prior thereto, she was Senior Vice President and General Counsel of the Company since April 2001, and Senior Vice President and General Counsel of Principal Life since January 2000.</w:t>
      </w:r>
    </w:p>
    <w:p>
      <w:pPr>
        <w:spacing w:after="0" w:line="194" w:lineRule="exact"/>
        <w:rPr>
          <w:sz w:val="20"/>
          <w:szCs w:val="20"/>
          <w:color w:val="auto"/>
        </w:rPr>
      </w:pPr>
    </w:p>
    <w:p>
      <w:pPr>
        <w:jc w:val="both"/>
        <w:ind w:firstLine="594"/>
        <w:spacing w:after="0" w:line="306" w:lineRule="auto"/>
        <w:rPr>
          <w:sz w:val="20"/>
          <w:szCs w:val="20"/>
          <w:color w:val="auto"/>
        </w:rPr>
      </w:pPr>
      <w:r>
        <w:rPr>
          <w:rFonts w:ascii="Arial" w:cs="Arial" w:eastAsia="Arial" w:hAnsi="Arial"/>
          <w:sz w:val="16"/>
          <w:szCs w:val="16"/>
          <w:b w:val="1"/>
          <w:bCs w:val="1"/>
          <w:i w:val="1"/>
          <w:iCs w:val="1"/>
          <w:color w:val="auto"/>
        </w:rPr>
        <w:t xml:space="preserve">Luis Valdes, 56, </w:t>
      </w:r>
      <w:r>
        <w:rPr>
          <w:rFonts w:ascii="Arial" w:cs="Arial" w:eastAsia="Arial" w:hAnsi="Arial"/>
          <w:sz w:val="16"/>
          <w:szCs w:val="16"/>
          <w:color w:val="auto"/>
        </w:rPr>
        <w:t>who has been the head of the Principal International segment of our operations since March 2012, has been President, Principal</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International of the Company and Principal Life since March 2011. Prior to his current position, he has been Senior Vice President and President — PFG Latin America of the Company and Principal Life since March 2010, and was Vice President — Principal International of Principal Life from 2000 until March 2010.</w:t>
      </w:r>
    </w:p>
    <w:p>
      <w:pPr>
        <w:spacing w:after="0" w:line="161" w:lineRule="exact"/>
        <w:rPr>
          <w:sz w:val="20"/>
          <w:szCs w:val="20"/>
          <w:color w:val="auto"/>
        </w:rPr>
      </w:pPr>
    </w:p>
    <w:p>
      <w:pPr>
        <w:jc w:val="both"/>
        <w:ind w:firstLine="378"/>
        <w:spacing w:after="0" w:line="255" w:lineRule="auto"/>
        <w:rPr>
          <w:sz w:val="20"/>
          <w:szCs w:val="20"/>
          <w:color w:val="auto"/>
        </w:rPr>
      </w:pPr>
      <w:r>
        <w:rPr>
          <w:rFonts w:ascii="Arial" w:cs="Arial" w:eastAsia="Arial" w:hAnsi="Arial"/>
          <w:sz w:val="18"/>
          <w:szCs w:val="18"/>
          <w:b w:val="1"/>
          <w:bCs w:val="1"/>
          <w:i w:val="1"/>
          <w:iCs w:val="1"/>
          <w:color w:val="auto"/>
        </w:rPr>
        <w:t xml:space="preserve">Larry D. Zimpleman, 62, </w:t>
      </w:r>
      <w:r>
        <w:rPr>
          <w:rFonts w:ascii="Arial" w:cs="Arial" w:eastAsia="Arial" w:hAnsi="Arial"/>
          <w:sz w:val="18"/>
          <w:szCs w:val="18"/>
          <w:color w:val="auto"/>
        </w:rPr>
        <w:t>has been a Director of the Company and Principal Life since 2006. He has been Chairman, President and Chief Executive Officer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of the Company and Principal Life since May 2009 and was President and Chief Executive Officer of the Company and Principal Life from May 2008 to May 2009. Prior thereto, he was President and Chief Operating Officer of the Company and Principal Life from 2006 to May 2008. He was President, Retirement and Investor Services of the Company and Principal Life from December 2003 through May 2006. Mr. Zimpleman served as chairman of the board and a director of the Principal Funds from December 2001 to December 2008.</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4" w:name="page35"/>
    <w:bookmarkEnd w:id="3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5"/>
          <w:szCs w:val="15"/>
          <w:b w:val="1"/>
          <w:bCs w:val="1"/>
          <w:color w:val="auto"/>
        </w:rPr>
        <w:t>Market for Registrant's Common Equity, Related Stockholder Matters and Issuer Purchases of Equity Securities</w:t>
      </w:r>
    </w:p>
    <w:p>
      <w:pPr>
        <w:spacing w:after="0" w:line="231" w:lineRule="exact"/>
        <w:rPr>
          <w:sz w:val="20"/>
          <w:szCs w:val="20"/>
          <w:color w:val="auto"/>
        </w:rPr>
      </w:pPr>
    </w:p>
    <w:p>
      <w:pPr>
        <w:jc w:val="both"/>
        <w:ind w:firstLine="397"/>
        <w:spacing w:after="0" w:line="332" w:lineRule="auto"/>
        <w:rPr>
          <w:sz w:val="20"/>
          <w:szCs w:val="20"/>
          <w:color w:val="auto"/>
        </w:rPr>
      </w:pPr>
      <w:r>
        <w:rPr>
          <w:rFonts w:ascii="Arial" w:cs="Arial" w:eastAsia="Arial" w:hAnsi="Arial"/>
          <w:sz w:val="16"/>
          <w:szCs w:val="16"/>
          <w:color w:val="auto"/>
        </w:rPr>
        <w:t>Our common stock began trading on the New York Stock Exchange ("NYSE") under the symbol "PFG" on October 23, 2001. Prior to such date, there was no established public trading market for our common stock. On February 5, 2014, there were 366,404 stockholders of record of our common stock.</w:t>
      </w:r>
    </w:p>
    <w:p>
      <w:pPr>
        <w:spacing w:after="0" w:line="139" w:lineRule="exact"/>
        <w:rPr>
          <w:sz w:val="20"/>
          <w:szCs w:val="20"/>
          <w:color w:val="auto"/>
        </w:rPr>
      </w:pPr>
    </w:p>
    <w:p>
      <w:pPr>
        <w:jc w:val="both"/>
        <w:ind w:firstLine="453"/>
        <w:spacing w:after="0" w:line="268" w:lineRule="auto"/>
        <w:rPr>
          <w:sz w:val="20"/>
          <w:szCs w:val="20"/>
          <w:color w:val="auto"/>
        </w:rPr>
      </w:pPr>
      <w:r>
        <w:rPr>
          <w:rFonts w:ascii="Arial" w:cs="Arial" w:eastAsia="Arial" w:hAnsi="Arial"/>
          <w:sz w:val="18"/>
          <w:szCs w:val="18"/>
          <w:color w:val="auto"/>
        </w:rPr>
        <w:t>The following table presents the high and low prices for our common stock on the NYSE for the periods indicated and the dividends declared per share during such periods.</w:t>
      </w:r>
    </w:p>
    <w:p>
      <w:pPr>
        <w:spacing w:after="0" w:line="18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29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jc w:val="right"/>
              <w:ind w:right="72"/>
              <w:spacing w:after="0"/>
              <w:rPr>
                <w:sz w:val="20"/>
                <w:szCs w:val="20"/>
                <w:color w:val="auto"/>
              </w:rPr>
            </w:pPr>
            <w:r>
              <w:rPr>
                <w:rFonts w:ascii="Arial" w:cs="Arial" w:eastAsia="Arial" w:hAnsi="Arial"/>
                <w:sz w:val="14"/>
                <w:szCs w:val="14"/>
                <w:b w:val="1"/>
                <w:bCs w:val="1"/>
                <w:color w:val="auto"/>
                <w:w w:val="89"/>
              </w:rPr>
              <w:t>High</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jc w:val="right"/>
              <w:ind w:right="72"/>
              <w:spacing w:after="0"/>
              <w:rPr>
                <w:sz w:val="20"/>
                <w:szCs w:val="20"/>
                <w:color w:val="auto"/>
              </w:rPr>
            </w:pPr>
            <w:r>
              <w:rPr>
                <w:rFonts w:ascii="Arial" w:cs="Arial" w:eastAsia="Arial" w:hAnsi="Arial"/>
                <w:sz w:val="14"/>
                <w:szCs w:val="14"/>
                <w:b w:val="1"/>
                <w:bCs w:val="1"/>
                <w:color w:val="auto"/>
                <w:w w:val="85"/>
              </w:rPr>
              <w:t>Low</w:t>
            </w:r>
          </w:p>
        </w:tc>
        <w:tc>
          <w:tcPr>
            <w:tcW w:w="160" w:type="dxa"/>
            <w:vAlign w:val="bottom"/>
          </w:tcPr>
          <w:p>
            <w:pPr>
              <w:spacing w:after="0"/>
              <w:rPr>
                <w:sz w:val="14"/>
                <w:szCs w:val="14"/>
                <w:color w:val="auto"/>
              </w:rPr>
            </w:pPr>
          </w:p>
        </w:tc>
        <w:tc>
          <w:tcPr>
            <w:tcW w:w="880" w:type="dxa"/>
            <w:vAlign w:val="bottom"/>
            <w:gridSpan w:val="3"/>
          </w:tcPr>
          <w:p>
            <w:pPr>
              <w:ind w:left="80"/>
              <w:spacing w:after="0"/>
              <w:rPr>
                <w:sz w:val="20"/>
                <w:szCs w:val="20"/>
                <w:color w:val="auto"/>
              </w:rPr>
            </w:pPr>
            <w:r>
              <w:rPr>
                <w:rFonts w:ascii="Arial" w:cs="Arial" w:eastAsia="Arial" w:hAnsi="Arial"/>
                <w:sz w:val="14"/>
                <w:szCs w:val="14"/>
                <w:b w:val="1"/>
                <w:bCs w:val="1"/>
                <w:color w:val="auto"/>
              </w:rPr>
              <w:t>Dividends</w:t>
            </w:r>
          </w:p>
        </w:tc>
      </w:tr>
      <w:tr>
        <w:trPr>
          <w:trHeight w:val="142"/>
        </w:trPr>
        <w:tc>
          <w:tcPr>
            <w:tcW w:w="20" w:type="dxa"/>
            <w:vAlign w:val="bottom"/>
          </w:tcPr>
          <w:p>
            <w:pPr>
              <w:spacing w:after="0"/>
              <w:rPr>
                <w:sz w:val="12"/>
                <w:szCs w:val="12"/>
                <w:color w:val="auto"/>
              </w:rPr>
            </w:pPr>
          </w:p>
        </w:tc>
        <w:tc>
          <w:tcPr>
            <w:tcW w:w="3920" w:type="dxa"/>
            <w:vAlign w:val="bottom"/>
            <w:shd w:val="clear" w:color="auto" w:fill="CCEEFF"/>
          </w:tcPr>
          <w:p>
            <w:pPr>
              <w:jc w:val="right"/>
              <w:ind w:right="3592"/>
              <w:spacing w:after="0" w:line="142" w:lineRule="exact"/>
              <w:rPr>
                <w:sz w:val="20"/>
                <w:szCs w:val="20"/>
                <w:color w:val="auto"/>
              </w:rPr>
            </w:pPr>
            <w:r>
              <w:rPr>
                <w:rFonts w:ascii="Arial" w:cs="Arial" w:eastAsia="Arial" w:hAnsi="Arial"/>
                <w:sz w:val="14"/>
                <w:szCs w:val="14"/>
                <w:b w:val="1"/>
                <w:bCs w:val="1"/>
                <w:color w:val="auto"/>
                <w:w w:val="76"/>
              </w:rPr>
              <w:t>2013</w:t>
            </w:r>
          </w:p>
        </w:tc>
        <w:tc>
          <w:tcPr>
            <w:tcW w:w="298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440" w:type="dxa"/>
            <w:vAlign w:val="bottom"/>
            <w:tcBorders>
              <w:top w:val="single" w:sz="8" w:color="auto"/>
            </w:tcBorders>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400" w:type="dxa"/>
            <w:vAlign w:val="bottom"/>
            <w:tcBorders>
              <w:top w:val="single" w:sz="8" w:color="auto"/>
            </w:tcBorders>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80" w:type="dxa"/>
            <w:vAlign w:val="bottom"/>
            <w:tcBorders>
              <w:top w:val="single" w:sz="8" w:color="auto"/>
            </w:tcBorders>
            <w:shd w:val="clear" w:color="auto" w:fill="CCEEFF"/>
          </w:tcPr>
          <w:p>
            <w:pPr>
              <w:spacing w:after="0"/>
              <w:rPr>
                <w:sz w:val="12"/>
                <w:szCs w:val="12"/>
                <w:color w:val="auto"/>
              </w:rPr>
            </w:pPr>
          </w:p>
        </w:tc>
        <w:tc>
          <w:tcPr>
            <w:tcW w:w="440" w:type="dxa"/>
            <w:vAlign w:val="bottom"/>
            <w:tcBorders>
              <w:top w:val="single" w:sz="8" w:color="auto"/>
            </w:tcBorders>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920" w:type="dxa"/>
            <w:vAlign w:val="bottom"/>
          </w:tcPr>
          <w:p>
            <w:pPr>
              <w:ind w:left="140"/>
              <w:spacing w:after="0" w:line="149" w:lineRule="exact"/>
              <w:rPr>
                <w:sz w:val="20"/>
                <w:szCs w:val="20"/>
                <w:color w:val="auto"/>
              </w:rPr>
            </w:pPr>
            <w:r>
              <w:rPr>
                <w:rFonts w:ascii="Arial" w:cs="Arial" w:eastAsia="Arial" w:hAnsi="Arial"/>
                <w:sz w:val="14"/>
                <w:szCs w:val="14"/>
                <w:color w:val="auto"/>
              </w:rPr>
              <w:t>First quarter</w:t>
            </w:r>
          </w:p>
        </w:tc>
        <w:tc>
          <w:tcPr>
            <w:tcW w:w="306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4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34.58</w:t>
            </w:r>
          </w:p>
        </w:tc>
        <w:tc>
          <w:tcPr>
            <w:tcW w:w="260" w:type="dxa"/>
            <w:vAlign w:val="bottom"/>
            <w:gridSpan w:val="2"/>
          </w:tcPr>
          <w:p>
            <w:pPr>
              <w:jc w:val="right"/>
              <w:ind w:right="40"/>
              <w:spacing w:after="0" w:line="149" w:lineRule="exact"/>
              <w:rPr>
                <w:sz w:val="20"/>
                <w:szCs w:val="20"/>
                <w:color w:val="auto"/>
              </w:rPr>
            </w:pPr>
            <w:r>
              <w:rPr>
                <w:rFonts w:ascii="Arial" w:cs="Arial" w:eastAsia="Arial" w:hAnsi="Arial"/>
                <w:sz w:val="14"/>
                <w:szCs w:val="14"/>
                <w:b w:val="1"/>
                <w:bCs w:val="1"/>
                <w:color w:val="auto"/>
              </w:rPr>
              <w:t>$</w:t>
            </w:r>
          </w:p>
        </w:tc>
        <w:tc>
          <w:tcPr>
            <w:tcW w:w="4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28.75</w:t>
            </w:r>
          </w:p>
        </w:tc>
        <w:tc>
          <w:tcPr>
            <w:tcW w:w="440" w:type="dxa"/>
            <w:vAlign w:val="bottom"/>
            <w:gridSpan w:val="2"/>
          </w:tcPr>
          <w:p>
            <w:pPr>
              <w:jc w:val="right"/>
              <w:ind w:right="132"/>
              <w:spacing w:after="0" w:line="149" w:lineRule="exact"/>
              <w:rPr>
                <w:sz w:val="20"/>
                <w:szCs w:val="20"/>
                <w:color w:val="auto"/>
              </w:rPr>
            </w:pPr>
            <w:r>
              <w:rPr>
                <w:rFonts w:ascii="Arial" w:cs="Arial" w:eastAsia="Arial" w:hAnsi="Arial"/>
                <w:sz w:val="14"/>
                <w:szCs w:val="14"/>
                <w:b w:val="1"/>
                <w:bCs w:val="1"/>
                <w:color w:val="auto"/>
              </w:rPr>
              <w:t>$</w:t>
            </w:r>
          </w:p>
        </w:tc>
        <w:tc>
          <w:tcPr>
            <w:tcW w:w="4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0.23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9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Second quarter</w:t>
            </w:r>
          </w:p>
        </w:tc>
        <w:tc>
          <w:tcPr>
            <w:tcW w:w="306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39.05</w:t>
            </w:r>
          </w:p>
        </w:tc>
        <w:tc>
          <w:tcPr>
            <w:tcW w:w="2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b w:val="1"/>
                <w:bCs w:val="1"/>
                <w:color w:val="auto"/>
              </w:rPr>
              <w:t>$</w:t>
            </w: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32.59</w:t>
            </w:r>
          </w:p>
        </w:tc>
        <w:tc>
          <w:tcPr>
            <w:tcW w:w="440" w:type="dxa"/>
            <w:vAlign w:val="bottom"/>
            <w:gridSpan w:val="2"/>
            <w:shd w:val="clear" w:color="auto" w:fill="CCEEFF"/>
          </w:tcPr>
          <w:p>
            <w:pPr>
              <w:jc w:val="right"/>
              <w:ind w:right="132"/>
              <w:spacing w:after="0" w:line="149" w:lineRule="exact"/>
              <w:rPr>
                <w:sz w:val="20"/>
                <w:szCs w:val="20"/>
                <w:color w:val="auto"/>
              </w:rPr>
            </w:pPr>
            <w:r>
              <w:rPr>
                <w:rFonts w:ascii="Arial" w:cs="Arial" w:eastAsia="Arial" w:hAnsi="Arial"/>
                <w:sz w:val="14"/>
                <w:szCs w:val="14"/>
                <w:b w:val="1"/>
                <w:bCs w:val="1"/>
                <w:color w:val="auto"/>
              </w:rPr>
              <w:t>$</w:t>
            </w: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0.23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920" w:type="dxa"/>
            <w:vAlign w:val="bottom"/>
          </w:tcPr>
          <w:p>
            <w:pPr>
              <w:ind w:left="140"/>
              <w:spacing w:after="0" w:line="149" w:lineRule="exact"/>
              <w:rPr>
                <w:sz w:val="20"/>
                <w:szCs w:val="20"/>
                <w:color w:val="auto"/>
              </w:rPr>
            </w:pPr>
            <w:r>
              <w:rPr>
                <w:rFonts w:ascii="Arial" w:cs="Arial" w:eastAsia="Arial" w:hAnsi="Arial"/>
                <w:sz w:val="14"/>
                <w:szCs w:val="14"/>
                <w:color w:val="auto"/>
              </w:rPr>
              <w:t>Third quarter</w:t>
            </w:r>
          </w:p>
        </w:tc>
        <w:tc>
          <w:tcPr>
            <w:tcW w:w="306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4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44.94</w:t>
            </w:r>
          </w:p>
        </w:tc>
        <w:tc>
          <w:tcPr>
            <w:tcW w:w="260" w:type="dxa"/>
            <w:vAlign w:val="bottom"/>
            <w:gridSpan w:val="2"/>
          </w:tcPr>
          <w:p>
            <w:pPr>
              <w:jc w:val="right"/>
              <w:ind w:right="40"/>
              <w:spacing w:after="0" w:line="149" w:lineRule="exact"/>
              <w:rPr>
                <w:sz w:val="20"/>
                <w:szCs w:val="20"/>
                <w:color w:val="auto"/>
              </w:rPr>
            </w:pPr>
            <w:r>
              <w:rPr>
                <w:rFonts w:ascii="Arial" w:cs="Arial" w:eastAsia="Arial" w:hAnsi="Arial"/>
                <w:sz w:val="14"/>
                <w:szCs w:val="14"/>
                <w:b w:val="1"/>
                <w:bCs w:val="1"/>
                <w:color w:val="auto"/>
              </w:rPr>
              <w:t>$</w:t>
            </w:r>
          </w:p>
        </w:tc>
        <w:tc>
          <w:tcPr>
            <w:tcW w:w="4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36.75</w:t>
            </w:r>
          </w:p>
        </w:tc>
        <w:tc>
          <w:tcPr>
            <w:tcW w:w="440" w:type="dxa"/>
            <w:vAlign w:val="bottom"/>
            <w:gridSpan w:val="2"/>
          </w:tcPr>
          <w:p>
            <w:pPr>
              <w:jc w:val="right"/>
              <w:ind w:right="132"/>
              <w:spacing w:after="0" w:line="149" w:lineRule="exact"/>
              <w:rPr>
                <w:sz w:val="20"/>
                <w:szCs w:val="20"/>
                <w:color w:val="auto"/>
              </w:rPr>
            </w:pPr>
            <w:r>
              <w:rPr>
                <w:rFonts w:ascii="Arial" w:cs="Arial" w:eastAsia="Arial" w:hAnsi="Arial"/>
                <w:sz w:val="14"/>
                <w:szCs w:val="14"/>
                <w:b w:val="1"/>
                <w:bCs w:val="1"/>
                <w:color w:val="auto"/>
              </w:rPr>
              <w:t>$</w:t>
            </w:r>
          </w:p>
        </w:tc>
        <w:tc>
          <w:tcPr>
            <w:tcW w:w="4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0.26</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9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Fourth quarter</w:t>
            </w:r>
          </w:p>
        </w:tc>
        <w:tc>
          <w:tcPr>
            <w:tcW w:w="306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50.97</w:t>
            </w:r>
          </w:p>
        </w:tc>
        <w:tc>
          <w:tcPr>
            <w:tcW w:w="2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b w:val="1"/>
                <w:bCs w:val="1"/>
                <w:color w:val="auto"/>
              </w:rPr>
              <w:t>$</w:t>
            </w: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41.45</w:t>
            </w:r>
          </w:p>
        </w:tc>
        <w:tc>
          <w:tcPr>
            <w:tcW w:w="440" w:type="dxa"/>
            <w:vAlign w:val="bottom"/>
            <w:gridSpan w:val="2"/>
            <w:shd w:val="clear" w:color="auto" w:fill="CCEEFF"/>
          </w:tcPr>
          <w:p>
            <w:pPr>
              <w:jc w:val="right"/>
              <w:ind w:right="132"/>
              <w:spacing w:after="0" w:line="149" w:lineRule="exact"/>
              <w:rPr>
                <w:sz w:val="20"/>
                <w:szCs w:val="20"/>
                <w:color w:val="auto"/>
              </w:rPr>
            </w:pPr>
            <w:r>
              <w:rPr>
                <w:rFonts w:ascii="Arial" w:cs="Arial" w:eastAsia="Arial" w:hAnsi="Arial"/>
                <w:sz w:val="14"/>
                <w:szCs w:val="14"/>
                <w:b w:val="1"/>
                <w:bCs w:val="1"/>
                <w:color w:val="auto"/>
              </w:rPr>
              <w:t>$</w:t>
            </w: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0.26</w:t>
            </w:r>
          </w:p>
        </w:tc>
        <w:tc>
          <w:tcPr>
            <w:tcW w:w="160" w:type="dxa"/>
            <w:vAlign w:val="bottom"/>
            <w:shd w:val="clear" w:color="auto" w:fill="CCEEFF"/>
          </w:tcPr>
          <w:p>
            <w:pPr>
              <w:spacing w:after="0"/>
              <w:rPr>
                <w:sz w:val="12"/>
                <w:szCs w:val="12"/>
                <w:color w:val="auto"/>
              </w:rPr>
            </w:pPr>
          </w:p>
        </w:tc>
      </w:tr>
      <w:tr>
        <w:trPr>
          <w:trHeight w:val="311"/>
        </w:trPr>
        <w:tc>
          <w:tcPr>
            <w:tcW w:w="3940" w:type="dxa"/>
            <w:vAlign w:val="bottom"/>
            <w:gridSpan w:val="2"/>
          </w:tcPr>
          <w:p>
            <w:pPr>
              <w:jc w:val="right"/>
              <w:ind w:right="3592"/>
              <w:spacing w:after="0"/>
              <w:rPr>
                <w:sz w:val="20"/>
                <w:szCs w:val="20"/>
                <w:color w:val="auto"/>
              </w:rPr>
            </w:pPr>
            <w:r>
              <w:rPr>
                <w:rFonts w:ascii="Arial" w:cs="Arial" w:eastAsia="Arial" w:hAnsi="Arial"/>
                <w:sz w:val="14"/>
                <w:szCs w:val="14"/>
                <w:b w:val="1"/>
                <w:bCs w:val="1"/>
                <w:color w:val="auto"/>
                <w:w w:val="83"/>
              </w:rPr>
              <w:t>2012</w:t>
            </w:r>
          </w:p>
        </w:tc>
        <w:tc>
          <w:tcPr>
            <w:tcW w:w="29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149"/>
        </w:trPr>
        <w:tc>
          <w:tcPr>
            <w:tcW w:w="20" w:type="dxa"/>
            <w:vAlign w:val="bottom"/>
          </w:tcPr>
          <w:p>
            <w:pPr>
              <w:spacing w:after="0"/>
              <w:rPr>
                <w:sz w:val="12"/>
                <w:szCs w:val="12"/>
                <w:color w:val="auto"/>
              </w:rPr>
            </w:pPr>
          </w:p>
        </w:tc>
        <w:tc>
          <w:tcPr>
            <w:tcW w:w="39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First quarter</w:t>
            </w:r>
          </w:p>
        </w:tc>
        <w:tc>
          <w:tcPr>
            <w:tcW w:w="30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29.84</w:t>
            </w:r>
          </w:p>
        </w:tc>
        <w:tc>
          <w:tcPr>
            <w:tcW w:w="2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24.21</w:t>
            </w:r>
          </w:p>
        </w:tc>
        <w:tc>
          <w:tcPr>
            <w:tcW w:w="440" w:type="dxa"/>
            <w:vAlign w:val="bottom"/>
            <w:gridSpan w:val="2"/>
            <w:shd w:val="clear" w:color="auto" w:fill="CCEEFF"/>
          </w:tcPr>
          <w:p>
            <w:pPr>
              <w:jc w:val="right"/>
              <w:ind w:right="132"/>
              <w:spacing w:after="0" w:line="149" w:lineRule="exact"/>
              <w:rPr>
                <w:sz w:val="20"/>
                <w:szCs w:val="20"/>
                <w:color w:val="auto"/>
              </w:rPr>
            </w:pPr>
            <w:r>
              <w:rPr>
                <w:rFonts w:ascii="Arial" w:cs="Arial" w:eastAsia="Arial" w:hAnsi="Arial"/>
                <w:sz w:val="14"/>
                <w:szCs w:val="14"/>
                <w:color w:val="auto"/>
              </w:rPr>
              <w:t>$</w:t>
            </w: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0.18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920" w:type="dxa"/>
            <w:vAlign w:val="bottom"/>
          </w:tcPr>
          <w:p>
            <w:pPr>
              <w:ind w:left="140"/>
              <w:spacing w:after="0" w:line="149" w:lineRule="exact"/>
              <w:rPr>
                <w:sz w:val="20"/>
                <w:szCs w:val="20"/>
                <w:color w:val="auto"/>
              </w:rPr>
            </w:pPr>
            <w:r>
              <w:rPr>
                <w:rFonts w:ascii="Arial" w:cs="Arial" w:eastAsia="Arial" w:hAnsi="Arial"/>
                <w:sz w:val="14"/>
                <w:szCs w:val="14"/>
                <w:color w:val="auto"/>
              </w:rPr>
              <w:t>Second quarter</w:t>
            </w:r>
          </w:p>
        </w:tc>
        <w:tc>
          <w:tcPr>
            <w:tcW w:w="30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440" w:type="dxa"/>
            <w:vAlign w:val="bottom"/>
          </w:tcPr>
          <w:p>
            <w:pPr>
              <w:jc w:val="right"/>
              <w:spacing w:after="0" w:line="149" w:lineRule="exact"/>
              <w:rPr>
                <w:sz w:val="20"/>
                <w:szCs w:val="20"/>
                <w:color w:val="auto"/>
              </w:rPr>
            </w:pPr>
            <w:r>
              <w:rPr>
                <w:rFonts w:ascii="Arial" w:cs="Arial" w:eastAsia="Arial" w:hAnsi="Arial"/>
                <w:sz w:val="14"/>
                <w:szCs w:val="14"/>
                <w:color w:val="auto"/>
              </w:rPr>
              <w:t>29.96</w:t>
            </w:r>
          </w:p>
        </w:tc>
        <w:tc>
          <w:tcPr>
            <w:tcW w:w="26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400" w:type="dxa"/>
            <w:vAlign w:val="bottom"/>
          </w:tcPr>
          <w:p>
            <w:pPr>
              <w:jc w:val="right"/>
              <w:spacing w:after="0" w:line="149" w:lineRule="exact"/>
              <w:rPr>
                <w:sz w:val="20"/>
                <w:szCs w:val="20"/>
                <w:color w:val="auto"/>
              </w:rPr>
            </w:pPr>
            <w:r>
              <w:rPr>
                <w:rFonts w:ascii="Arial" w:cs="Arial" w:eastAsia="Arial" w:hAnsi="Arial"/>
                <w:sz w:val="14"/>
                <w:szCs w:val="14"/>
                <w:color w:val="auto"/>
              </w:rPr>
              <w:t>23.09</w:t>
            </w:r>
          </w:p>
        </w:tc>
        <w:tc>
          <w:tcPr>
            <w:tcW w:w="440" w:type="dxa"/>
            <w:vAlign w:val="bottom"/>
            <w:gridSpan w:val="2"/>
          </w:tcPr>
          <w:p>
            <w:pPr>
              <w:jc w:val="right"/>
              <w:ind w:right="132"/>
              <w:spacing w:after="0" w:line="149" w:lineRule="exact"/>
              <w:rPr>
                <w:sz w:val="20"/>
                <w:szCs w:val="20"/>
                <w:color w:val="auto"/>
              </w:rPr>
            </w:pPr>
            <w:r>
              <w:rPr>
                <w:rFonts w:ascii="Arial" w:cs="Arial" w:eastAsia="Arial" w:hAnsi="Arial"/>
                <w:sz w:val="14"/>
                <w:szCs w:val="14"/>
                <w:color w:val="auto"/>
              </w:rPr>
              <w:t>$</w:t>
            </w:r>
          </w:p>
        </w:tc>
        <w:tc>
          <w:tcPr>
            <w:tcW w:w="440" w:type="dxa"/>
            <w:vAlign w:val="bottom"/>
          </w:tcPr>
          <w:p>
            <w:pPr>
              <w:jc w:val="right"/>
              <w:spacing w:after="0" w:line="149" w:lineRule="exact"/>
              <w:rPr>
                <w:sz w:val="20"/>
                <w:szCs w:val="20"/>
                <w:color w:val="auto"/>
              </w:rPr>
            </w:pPr>
            <w:r>
              <w:rPr>
                <w:rFonts w:ascii="Arial" w:cs="Arial" w:eastAsia="Arial" w:hAnsi="Arial"/>
                <w:sz w:val="14"/>
                <w:szCs w:val="14"/>
                <w:color w:val="auto"/>
              </w:rPr>
              <w:t>0.18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9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Third quarter</w:t>
            </w:r>
          </w:p>
        </w:tc>
        <w:tc>
          <w:tcPr>
            <w:tcW w:w="30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29.20</w:t>
            </w:r>
          </w:p>
        </w:tc>
        <w:tc>
          <w:tcPr>
            <w:tcW w:w="2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24.26</w:t>
            </w:r>
          </w:p>
        </w:tc>
        <w:tc>
          <w:tcPr>
            <w:tcW w:w="440" w:type="dxa"/>
            <w:vAlign w:val="bottom"/>
            <w:gridSpan w:val="2"/>
            <w:shd w:val="clear" w:color="auto" w:fill="CCEEFF"/>
          </w:tcPr>
          <w:p>
            <w:pPr>
              <w:jc w:val="right"/>
              <w:ind w:right="132"/>
              <w:spacing w:after="0" w:line="149" w:lineRule="exact"/>
              <w:rPr>
                <w:sz w:val="20"/>
                <w:szCs w:val="20"/>
                <w:color w:val="auto"/>
              </w:rPr>
            </w:pPr>
            <w:r>
              <w:rPr>
                <w:rFonts w:ascii="Arial" w:cs="Arial" w:eastAsia="Arial" w:hAnsi="Arial"/>
                <w:sz w:val="14"/>
                <w:szCs w:val="14"/>
                <w:color w:val="auto"/>
              </w:rPr>
              <w:t>$</w:t>
            </w: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0.21</w:t>
            </w:r>
          </w:p>
        </w:tc>
        <w:tc>
          <w:tcPr>
            <w:tcW w:w="160" w:type="dxa"/>
            <w:vAlign w:val="bottom"/>
            <w:shd w:val="clear" w:color="auto" w:fill="CCEEFF"/>
          </w:tcPr>
          <w:p>
            <w:pPr>
              <w:spacing w:after="0"/>
              <w:rPr>
                <w:sz w:val="12"/>
                <w:szCs w:val="12"/>
                <w:color w:val="auto"/>
              </w:rPr>
            </w:pPr>
          </w:p>
        </w:tc>
      </w:tr>
      <w:tr>
        <w:trPr>
          <w:trHeight w:val="172"/>
        </w:trPr>
        <w:tc>
          <w:tcPr>
            <w:tcW w:w="20" w:type="dxa"/>
            <w:vAlign w:val="bottom"/>
          </w:tcPr>
          <w:p>
            <w:pPr>
              <w:spacing w:after="0"/>
              <w:rPr>
                <w:sz w:val="14"/>
                <w:szCs w:val="14"/>
                <w:color w:val="auto"/>
              </w:rPr>
            </w:pPr>
          </w:p>
        </w:tc>
        <w:tc>
          <w:tcPr>
            <w:tcW w:w="3920" w:type="dxa"/>
            <w:vAlign w:val="bottom"/>
          </w:tcPr>
          <w:p>
            <w:pPr>
              <w:ind w:left="140"/>
              <w:spacing w:after="0"/>
              <w:rPr>
                <w:sz w:val="20"/>
                <w:szCs w:val="20"/>
                <w:color w:val="auto"/>
              </w:rPr>
            </w:pPr>
            <w:r>
              <w:rPr>
                <w:rFonts w:ascii="Arial" w:cs="Arial" w:eastAsia="Arial" w:hAnsi="Arial"/>
                <w:sz w:val="14"/>
                <w:szCs w:val="14"/>
                <w:color w:val="auto"/>
              </w:rPr>
              <w:t>Fourth quarter</w:t>
            </w:r>
          </w:p>
        </w:tc>
        <w:tc>
          <w:tcPr>
            <w:tcW w:w="30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40" w:type="dxa"/>
            <w:vAlign w:val="bottom"/>
          </w:tcPr>
          <w:p>
            <w:pPr>
              <w:jc w:val="right"/>
              <w:spacing w:after="0"/>
              <w:rPr>
                <w:sz w:val="20"/>
                <w:szCs w:val="20"/>
                <w:color w:val="auto"/>
              </w:rPr>
            </w:pPr>
            <w:r>
              <w:rPr>
                <w:rFonts w:ascii="Arial" w:cs="Arial" w:eastAsia="Arial" w:hAnsi="Arial"/>
                <w:sz w:val="14"/>
                <w:szCs w:val="14"/>
                <w:color w:val="auto"/>
              </w:rPr>
              <w:t>28.71</w:t>
            </w:r>
          </w:p>
        </w:tc>
        <w:tc>
          <w:tcPr>
            <w:tcW w:w="26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400" w:type="dxa"/>
            <w:vAlign w:val="bottom"/>
          </w:tcPr>
          <w:p>
            <w:pPr>
              <w:jc w:val="right"/>
              <w:spacing w:after="0"/>
              <w:rPr>
                <w:sz w:val="20"/>
                <w:szCs w:val="20"/>
                <w:color w:val="auto"/>
              </w:rPr>
            </w:pPr>
            <w:r>
              <w:rPr>
                <w:rFonts w:ascii="Arial" w:cs="Arial" w:eastAsia="Arial" w:hAnsi="Arial"/>
                <w:sz w:val="14"/>
                <w:szCs w:val="14"/>
                <w:color w:val="auto"/>
              </w:rPr>
              <w:t>25.83</w:t>
            </w:r>
          </w:p>
        </w:tc>
        <w:tc>
          <w:tcPr>
            <w:tcW w:w="440" w:type="dxa"/>
            <w:vAlign w:val="bottom"/>
            <w:gridSpan w:val="2"/>
          </w:tcPr>
          <w:p>
            <w:pPr>
              <w:jc w:val="right"/>
              <w:ind w:right="132"/>
              <w:spacing w:after="0"/>
              <w:rPr>
                <w:sz w:val="20"/>
                <w:szCs w:val="20"/>
                <w:color w:val="auto"/>
              </w:rPr>
            </w:pPr>
            <w:r>
              <w:rPr>
                <w:rFonts w:ascii="Arial" w:cs="Arial" w:eastAsia="Arial" w:hAnsi="Arial"/>
                <w:sz w:val="14"/>
                <w:szCs w:val="14"/>
                <w:color w:val="auto"/>
              </w:rPr>
              <w:t>$</w:t>
            </w:r>
          </w:p>
        </w:tc>
        <w:tc>
          <w:tcPr>
            <w:tcW w:w="440" w:type="dxa"/>
            <w:vAlign w:val="bottom"/>
          </w:tcPr>
          <w:p>
            <w:pPr>
              <w:jc w:val="right"/>
              <w:spacing w:after="0"/>
              <w:rPr>
                <w:sz w:val="20"/>
                <w:szCs w:val="20"/>
                <w:color w:val="auto"/>
              </w:rPr>
            </w:pPr>
            <w:r>
              <w:rPr>
                <w:rFonts w:ascii="Arial" w:cs="Arial" w:eastAsia="Arial" w:hAnsi="Arial"/>
                <w:sz w:val="14"/>
                <w:szCs w:val="14"/>
                <w:color w:val="auto"/>
              </w:rPr>
              <w:t>0.21</w:t>
            </w:r>
          </w:p>
        </w:tc>
        <w:tc>
          <w:tcPr>
            <w:tcW w:w="160" w:type="dxa"/>
            <w:vAlign w:val="bottom"/>
          </w:tcPr>
          <w:p>
            <w:pPr>
              <w:spacing w:after="0"/>
              <w:rPr>
                <w:sz w:val="14"/>
                <w:szCs w:val="14"/>
                <w:color w:val="auto"/>
              </w:rPr>
            </w:pPr>
          </w:p>
        </w:tc>
      </w:tr>
    </w:tbl>
    <w:p>
      <w:pPr>
        <w:spacing w:after="0" w:line="184" w:lineRule="exact"/>
        <w:rPr>
          <w:sz w:val="20"/>
          <w:szCs w:val="20"/>
          <w:color w:val="auto"/>
        </w:rPr>
      </w:pPr>
    </w:p>
    <w:p>
      <w:pPr>
        <w:jc w:val="both"/>
        <w:ind w:firstLine="361"/>
        <w:spacing w:after="0" w:line="259" w:lineRule="auto"/>
        <w:rPr>
          <w:sz w:val="20"/>
          <w:szCs w:val="20"/>
          <w:color w:val="auto"/>
        </w:rPr>
      </w:pPr>
      <w:r>
        <w:rPr>
          <w:rFonts w:ascii="Arial" w:cs="Arial" w:eastAsia="Arial" w:hAnsi="Arial"/>
          <w:sz w:val="18"/>
          <w:szCs w:val="18"/>
          <w:color w:val="auto"/>
        </w:rPr>
        <w:t>Future dividend decisions will be based on and affected by a number of factors, including our results and financial requirements and the impact of regulatory restrictions. See Item 7. "Management's Discussion and Analysis of Financial Condition and Results of Operations — Liquidity and Capital Resources" for a discussion of regulatory restrictions on Principal Life's ability to pay dividends.</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presents the amount of our share purchase activity for the periods indicated:</w:t>
      </w:r>
    </w:p>
    <w:p>
      <w:pPr>
        <w:spacing w:after="0" w:line="20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3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tcPr>
          <w:p>
            <w:pPr>
              <w:jc w:val="center"/>
              <w:spacing w:after="0"/>
              <w:rPr>
                <w:sz w:val="20"/>
                <w:szCs w:val="20"/>
                <w:color w:val="auto"/>
              </w:rPr>
            </w:pPr>
            <w:r>
              <w:rPr>
                <w:rFonts w:ascii="Arial" w:cs="Arial" w:eastAsia="Arial" w:hAnsi="Arial"/>
                <w:sz w:val="14"/>
                <w:szCs w:val="14"/>
                <w:b w:val="1"/>
                <w:bCs w:val="1"/>
                <w:color w:val="auto"/>
                <w:w w:val="90"/>
              </w:rPr>
              <w:t>Total number</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3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of shares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5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Maximum dollar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3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purchased as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5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value of shares that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3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Total number</w:t>
            </w:r>
          </w:p>
        </w:tc>
        <w:tc>
          <w:tcPr>
            <w:tcW w:w="240" w:type="dxa"/>
            <w:vAlign w:val="bottom"/>
          </w:tcPr>
          <w:p>
            <w:pPr>
              <w:spacing w:after="0"/>
              <w:rPr>
                <w:sz w:val="12"/>
                <w:szCs w:val="12"/>
                <w:color w:val="auto"/>
              </w:rPr>
            </w:pPr>
          </w:p>
        </w:tc>
        <w:tc>
          <w:tcPr>
            <w:tcW w:w="68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6"/>
              </w:rPr>
              <w:t>Average</w:t>
            </w:r>
          </w:p>
        </w:tc>
        <w:tc>
          <w:tcPr>
            <w:tcW w:w="160" w:type="dxa"/>
            <w:vAlign w:val="bottom"/>
          </w:tcPr>
          <w:p>
            <w:pPr>
              <w:spacing w:after="0"/>
              <w:rPr>
                <w:sz w:val="12"/>
                <w:szCs w:val="12"/>
                <w:color w:val="auto"/>
              </w:rPr>
            </w:pPr>
          </w:p>
        </w:tc>
        <w:tc>
          <w:tcPr>
            <w:tcW w:w="10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part of publicly</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5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4"/>
              </w:rPr>
              <w:t>may yet be purchased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3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of shares</w:t>
            </w:r>
          </w:p>
        </w:tc>
        <w:tc>
          <w:tcPr>
            <w:tcW w:w="240" w:type="dxa"/>
            <w:vAlign w:val="bottom"/>
          </w:tcPr>
          <w:p>
            <w:pPr>
              <w:spacing w:after="0"/>
              <w:rPr>
                <w:sz w:val="12"/>
                <w:szCs w:val="12"/>
                <w:color w:val="auto"/>
              </w:rPr>
            </w:pPr>
          </w:p>
        </w:tc>
        <w:tc>
          <w:tcPr>
            <w:tcW w:w="68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7"/>
              </w:rPr>
              <w:t>price paid</w:t>
            </w:r>
          </w:p>
        </w:tc>
        <w:tc>
          <w:tcPr>
            <w:tcW w:w="160" w:type="dxa"/>
            <w:vAlign w:val="bottom"/>
          </w:tcPr>
          <w:p>
            <w:pPr>
              <w:spacing w:after="0"/>
              <w:rPr>
                <w:sz w:val="12"/>
                <w:szCs w:val="12"/>
                <w:color w:val="auto"/>
              </w:rPr>
            </w:pPr>
          </w:p>
        </w:tc>
        <w:tc>
          <w:tcPr>
            <w:tcW w:w="10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announced</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5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under the programs</w:t>
            </w:r>
          </w:p>
        </w:tc>
        <w:tc>
          <w:tcPr>
            <w:tcW w:w="0" w:type="dxa"/>
            <w:vAlign w:val="bottom"/>
          </w:tcPr>
          <w:p>
            <w:pPr>
              <w:spacing w:after="0"/>
              <w:rPr>
                <w:sz w:val="1"/>
                <w:szCs w:val="1"/>
                <w:color w:val="auto"/>
              </w:rPr>
            </w:pPr>
          </w:p>
        </w:tc>
      </w:tr>
      <w:tr>
        <w:trPr>
          <w:trHeight w:val="161"/>
        </w:trPr>
        <w:tc>
          <w:tcPr>
            <w:tcW w:w="4140" w:type="dxa"/>
            <w:vAlign w:val="bottom"/>
            <w:gridSpan w:val="3"/>
          </w:tcPr>
          <w:p>
            <w:pPr>
              <w:spacing w:after="0"/>
              <w:rPr>
                <w:sz w:val="20"/>
                <w:szCs w:val="20"/>
                <w:color w:val="auto"/>
              </w:rPr>
            </w:pPr>
            <w:r>
              <w:rPr>
                <w:rFonts w:ascii="Arial" w:cs="Arial" w:eastAsia="Arial" w:hAnsi="Arial"/>
                <w:sz w:val="14"/>
                <w:szCs w:val="14"/>
                <w:b w:val="1"/>
                <w:bCs w:val="1"/>
                <w:color w:val="auto"/>
              </w:rPr>
              <w:t>Period</w:t>
            </w:r>
          </w:p>
        </w:tc>
        <w:tc>
          <w:tcPr>
            <w:tcW w:w="180" w:type="dxa"/>
            <w:vAlign w:val="bottom"/>
          </w:tcPr>
          <w:p>
            <w:pPr>
              <w:spacing w:after="0"/>
              <w:rPr>
                <w:sz w:val="14"/>
                <w:szCs w:val="14"/>
                <w:color w:val="auto"/>
              </w:rPr>
            </w:pPr>
          </w:p>
        </w:tc>
        <w:tc>
          <w:tcPr>
            <w:tcW w:w="940" w:type="dxa"/>
            <w:vAlign w:val="bottom"/>
          </w:tcPr>
          <w:p>
            <w:pPr>
              <w:jc w:val="center"/>
              <w:spacing w:after="0"/>
              <w:rPr>
                <w:sz w:val="20"/>
                <w:szCs w:val="20"/>
                <w:color w:val="auto"/>
              </w:rPr>
            </w:pPr>
            <w:r>
              <w:rPr>
                <w:rFonts w:ascii="Arial" w:cs="Arial" w:eastAsia="Arial" w:hAnsi="Arial"/>
                <w:sz w:val="14"/>
                <w:szCs w:val="14"/>
                <w:b w:val="1"/>
                <w:bCs w:val="1"/>
                <w:color w:val="auto"/>
                <w:w w:val="87"/>
              </w:rPr>
              <w:t>purchased (1)</w:t>
            </w:r>
          </w:p>
        </w:tc>
        <w:tc>
          <w:tcPr>
            <w:tcW w:w="240" w:type="dxa"/>
            <w:vAlign w:val="bottom"/>
          </w:tcPr>
          <w:p>
            <w:pPr>
              <w:spacing w:after="0"/>
              <w:rPr>
                <w:sz w:val="14"/>
                <w:szCs w:val="14"/>
                <w:color w:val="auto"/>
              </w:rPr>
            </w:pPr>
          </w:p>
        </w:tc>
        <w:tc>
          <w:tcPr>
            <w:tcW w:w="680" w:type="dxa"/>
            <w:vAlign w:val="bottom"/>
          </w:tcPr>
          <w:p>
            <w:pPr>
              <w:jc w:val="center"/>
              <w:ind w:right="32"/>
              <w:spacing w:after="0"/>
              <w:rPr>
                <w:sz w:val="20"/>
                <w:szCs w:val="20"/>
                <w:color w:val="auto"/>
              </w:rPr>
            </w:pPr>
            <w:r>
              <w:rPr>
                <w:rFonts w:ascii="Arial" w:cs="Arial" w:eastAsia="Arial" w:hAnsi="Arial"/>
                <w:sz w:val="14"/>
                <w:szCs w:val="14"/>
                <w:b w:val="1"/>
                <w:bCs w:val="1"/>
                <w:color w:val="auto"/>
                <w:w w:val="85"/>
              </w:rPr>
              <w:t>per share</w:t>
            </w:r>
          </w:p>
        </w:tc>
        <w:tc>
          <w:tcPr>
            <w:tcW w:w="160" w:type="dxa"/>
            <w:vAlign w:val="bottom"/>
          </w:tcPr>
          <w:p>
            <w:pPr>
              <w:spacing w:after="0"/>
              <w:rPr>
                <w:sz w:val="14"/>
                <w:szCs w:val="14"/>
                <w:color w:val="auto"/>
              </w:rPr>
            </w:pPr>
          </w:p>
        </w:tc>
        <w:tc>
          <w:tcPr>
            <w:tcW w:w="1060" w:type="dxa"/>
            <w:vAlign w:val="bottom"/>
          </w:tcPr>
          <w:p>
            <w:pPr>
              <w:jc w:val="center"/>
              <w:spacing w:after="0"/>
              <w:rPr>
                <w:sz w:val="20"/>
                <w:szCs w:val="20"/>
                <w:color w:val="auto"/>
              </w:rPr>
            </w:pPr>
            <w:r>
              <w:rPr>
                <w:rFonts w:ascii="Arial" w:cs="Arial" w:eastAsia="Arial" w:hAnsi="Arial"/>
                <w:sz w:val="14"/>
                <w:szCs w:val="14"/>
                <w:b w:val="1"/>
                <w:bCs w:val="1"/>
                <w:color w:val="auto"/>
                <w:w w:val="86"/>
              </w:rPr>
              <w:t>programs</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5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8"/>
              </w:rPr>
              <w:t>(in millions) (2)</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31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412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January 1, 2013 - January 31, 2013</w:t>
            </w:r>
          </w:p>
        </w:tc>
        <w:tc>
          <w:tcPr>
            <w:tcW w:w="18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800,177</w:t>
            </w:r>
          </w:p>
        </w:tc>
        <w:tc>
          <w:tcPr>
            <w:tcW w:w="240" w:type="dxa"/>
            <w:vAlign w:val="bottom"/>
            <w:tcBorders>
              <w:right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6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29.55</w:t>
            </w:r>
          </w:p>
        </w:tc>
        <w:tc>
          <w:tcPr>
            <w:tcW w:w="12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796,502</w:t>
            </w:r>
          </w:p>
        </w:tc>
        <w:tc>
          <w:tcPr>
            <w:tcW w:w="24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13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18.6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20" w:type="dxa"/>
            <w:vAlign w:val="bottom"/>
            <w:gridSpan w:val="2"/>
          </w:tcPr>
          <w:p>
            <w:pPr>
              <w:spacing w:after="0" w:line="149" w:lineRule="exact"/>
              <w:rPr>
                <w:sz w:val="20"/>
                <w:szCs w:val="20"/>
                <w:color w:val="auto"/>
              </w:rPr>
            </w:pPr>
            <w:r>
              <w:rPr>
                <w:rFonts w:ascii="Arial" w:cs="Arial" w:eastAsia="Arial" w:hAnsi="Arial"/>
                <w:sz w:val="14"/>
                <w:szCs w:val="14"/>
                <w:color w:val="auto"/>
              </w:rPr>
              <w:t>February 1, 2013 - February 28, 2013</w:t>
            </w:r>
          </w:p>
        </w:tc>
        <w:tc>
          <w:tcPr>
            <w:tcW w:w="11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623,549</w:t>
            </w:r>
          </w:p>
        </w:tc>
        <w:tc>
          <w:tcPr>
            <w:tcW w:w="2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30.94</w:t>
            </w:r>
          </w:p>
        </w:tc>
        <w:tc>
          <w:tcPr>
            <w:tcW w:w="12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600,853</w:t>
            </w:r>
          </w:p>
        </w:tc>
        <w:tc>
          <w:tcPr>
            <w:tcW w:w="24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3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150.0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March 1, 2013 - March 31, 2013</w:t>
            </w:r>
          </w:p>
        </w:tc>
        <w:tc>
          <w:tcPr>
            <w:tcW w:w="11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1,472,980</w:t>
            </w:r>
          </w:p>
        </w:tc>
        <w:tc>
          <w:tcPr>
            <w:tcW w:w="2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32.53</w:t>
            </w:r>
          </w:p>
        </w:tc>
        <w:tc>
          <w:tcPr>
            <w:tcW w:w="12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996,654</w:t>
            </w:r>
          </w:p>
        </w:tc>
        <w:tc>
          <w:tcPr>
            <w:tcW w:w="24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117.0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20" w:type="dxa"/>
            <w:vAlign w:val="bottom"/>
            <w:gridSpan w:val="2"/>
          </w:tcPr>
          <w:p>
            <w:pPr>
              <w:spacing w:after="0" w:line="149" w:lineRule="exact"/>
              <w:rPr>
                <w:sz w:val="20"/>
                <w:szCs w:val="20"/>
                <w:color w:val="auto"/>
              </w:rPr>
            </w:pPr>
            <w:r>
              <w:rPr>
                <w:rFonts w:ascii="Arial" w:cs="Arial" w:eastAsia="Arial" w:hAnsi="Arial"/>
                <w:sz w:val="14"/>
                <w:szCs w:val="14"/>
                <w:color w:val="auto"/>
              </w:rPr>
              <w:t>April 1, 2013 - April 30, 2013</w:t>
            </w:r>
          </w:p>
        </w:tc>
        <w:tc>
          <w:tcPr>
            <w:tcW w:w="11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2,964</w:t>
            </w:r>
          </w:p>
        </w:tc>
        <w:tc>
          <w:tcPr>
            <w:tcW w:w="2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33.87</w:t>
            </w:r>
          </w:p>
        </w:tc>
        <w:tc>
          <w:tcPr>
            <w:tcW w:w="160" w:type="dxa"/>
            <w:vAlign w:val="bottom"/>
          </w:tcPr>
          <w:p>
            <w:pPr>
              <w:spacing w:after="0"/>
              <w:rPr>
                <w:sz w:val="12"/>
                <w:szCs w:val="12"/>
                <w:color w:val="auto"/>
              </w:rPr>
            </w:pPr>
          </w:p>
        </w:tc>
        <w:tc>
          <w:tcPr>
            <w:tcW w:w="10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24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3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117.0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May 1, 2013 - May 31, 2013</w:t>
            </w:r>
          </w:p>
        </w:tc>
        <w:tc>
          <w:tcPr>
            <w:tcW w:w="11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9,806</w:t>
            </w:r>
          </w:p>
        </w:tc>
        <w:tc>
          <w:tcPr>
            <w:tcW w:w="2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36.66</w:t>
            </w:r>
          </w:p>
        </w:tc>
        <w:tc>
          <w:tcPr>
            <w:tcW w:w="160" w:type="dxa"/>
            <w:vAlign w:val="bottom"/>
            <w:shd w:val="clear" w:color="auto" w:fill="CCEEFF"/>
          </w:tcPr>
          <w:p>
            <w:pPr>
              <w:spacing w:after="0"/>
              <w:rPr>
                <w:sz w:val="12"/>
                <w:szCs w:val="12"/>
                <w:color w:val="auto"/>
              </w:rPr>
            </w:pPr>
          </w:p>
        </w:tc>
        <w:tc>
          <w:tcPr>
            <w:tcW w:w="10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24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117.0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20" w:type="dxa"/>
            <w:vAlign w:val="bottom"/>
            <w:gridSpan w:val="2"/>
          </w:tcPr>
          <w:p>
            <w:pPr>
              <w:spacing w:after="0" w:line="149" w:lineRule="exact"/>
              <w:rPr>
                <w:sz w:val="20"/>
                <w:szCs w:val="20"/>
                <w:color w:val="auto"/>
              </w:rPr>
            </w:pPr>
            <w:r>
              <w:rPr>
                <w:rFonts w:ascii="Arial" w:cs="Arial" w:eastAsia="Arial" w:hAnsi="Arial"/>
                <w:sz w:val="14"/>
                <w:szCs w:val="14"/>
                <w:color w:val="auto"/>
              </w:rPr>
              <w:t>June 1, 2013 - June 30, 2013</w:t>
            </w:r>
          </w:p>
        </w:tc>
        <w:tc>
          <w:tcPr>
            <w:tcW w:w="11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203</w:t>
            </w:r>
          </w:p>
        </w:tc>
        <w:tc>
          <w:tcPr>
            <w:tcW w:w="2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37.85</w:t>
            </w:r>
          </w:p>
        </w:tc>
        <w:tc>
          <w:tcPr>
            <w:tcW w:w="160" w:type="dxa"/>
            <w:vAlign w:val="bottom"/>
          </w:tcPr>
          <w:p>
            <w:pPr>
              <w:spacing w:after="0"/>
              <w:rPr>
                <w:sz w:val="12"/>
                <w:szCs w:val="12"/>
                <w:color w:val="auto"/>
              </w:rPr>
            </w:pPr>
          </w:p>
        </w:tc>
        <w:tc>
          <w:tcPr>
            <w:tcW w:w="10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24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3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117.0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July 1, 2013 - July 31, 2013</w:t>
            </w:r>
          </w:p>
        </w:tc>
        <w:tc>
          <w:tcPr>
            <w:tcW w:w="11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306,000</w:t>
            </w:r>
          </w:p>
        </w:tc>
        <w:tc>
          <w:tcPr>
            <w:tcW w:w="2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38.64</w:t>
            </w:r>
          </w:p>
        </w:tc>
        <w:tc>
          <w:tcPr>
            <w:tcW w:w="12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306,000</w:t>
            </w:r>
          </w:p>
        </w:tc>
        <w:tc>
          <w:tcPr>
            <w:tcW w:w="24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105.2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20" w:type="dxa"/>
            <w:vAlign w:val="bottom"/>
            <w:gridSpan w:val="2"/>
          </w:tcPr>
          <w:p>
            <w:pPr>
              <w:spacing w:after="0" w:line="149" w:lineRule="exact"/>
              <w:rPr>
                <w:sz w:val="20"/>
                <w:szCs w:val="20"/>
                <w:color w:val="auto"/>
              </w:rPr>
            </w:pPr>
            <w:r>
              <w:rPr>
                <w:rFonts w:ascii="Arial" w:cs="Arial" w:eastAsia="Arial" w:hAnsi="Arial"/>
                <w:sz w:val="14"/>
                <w:szCs w:val="14"/>
                <w:color w:val="auto"/>
              </w:rPr>
              <w:t>August 1, 2013 - August 31, 2013</w:t>
            </w:r>
          </w:p>
        </w:tc>
        <w:tc>
          <w:tcPr>
            <w:tcW w:w="11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348,477</w:t>
            </w:r>
          </w:p>
        </w:tc>
        <w:tc>
          <w:tcPr>
            <w:tcW w:w="2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41.90</w:t>
            </w:r>
          </w:p>
        </w:tc>
        <w:tc>
          <w:tcPr>
            <w:tcW w:w="12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347,166</w:t>
            </w:r>
          </w:p>
        </w:tc>
        <w:tc>
          <w:tcPr>
            <w:tcW w:w="24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3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90.6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September 1, 2013 - September 30, 2013</w:t>
            </w:r>
          </w:p>
        </w:tc>
        <w:tc>
          <w:tcPr>
            <w:tcW w:w="11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839,014</w:t>
            </w:r>
          </w:p>
        </w:tc>
        <w:tc>
          <w:tcPr>
            <w:tcW w:w="2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42.45</w:t>
            </w:r>
          </w:p>
        </w:tc>
        <w:tc>
          <w:tcPr>
            <w:tcW w:w="12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838,946</w:t>
            </w:r>
          </w:p>
        </w:tc>
        <w:tc>
          <w:tcPr>
            <w:tcW w:w="24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55.0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20" w:type="dxa"/>
            <w:vAlign w:val="bottom"/>
            <w:gridSpan w:val="2"/>
          </w:tcPr>
          <w:p>
            <w:pPr>
              <w:spacing w:after="0" w:line="149" w:lineRule="exact"/>
              <w:rPr>
                <w:sz w:val="20"/>
                <w:szCs w:val="20"/>
                <w:color w:val="auto"/>
              </w:rPr>
            </w:pPr>
            <w:r>
              <w:rPr>
                <w:rFonts w:ascii="Arial" w:cs="Arial" w:eastAsia="Arial" w:hAnsi="Arial"/>
                <w:sz w:val="14"/>
                <w:szCs w:val="14"/>
                <w:color w:val="auto"/>
              </w:rPr>
              <w:t>October 1, 2013 - October 31, 2013</w:t>
            </w:r>
          </w:p>
        </w:tc>
        <w:tc>
          <w:tcPr>
            <w:tcW w:w="11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414</w:t>
            </w:r>
          </w:p>
        </w:tc>
        <w:tc>
          <w:tcPr>
            <w:tcW w:w="2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44.12</w:t>
            </w:r>
          </w:p>
        </w:tc>
        <w:tc>
          <w:tcPr>
            <w:tcW w:w="160" w:type="dxa"/>
            <w:vAlign w:val="bottom"/>
          </w:tcPr>
          <w:p>
            <w:pPr>
              <w:spacing w:after="0"/>
              <w:rPr>
                <w:sz w:val="12"/>
                <w:szCs w:val="12"/>
                <w:color w:val="auto"/>
              </w:rPr>
            </w:pPr>
          </w:p>
        </w:tc>
        <w:tc>
          <w:tcPr>
            <w:tcW w:w="10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24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3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55.0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November 1, 2013 - November 30, 2013</w:t>
            </w:r>
          </w:p>
        </w:tc>
        <w:tc>
          <w:tcPr>
            <w:tcW w:w="11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828</w:t>
            </w:r>
          </w:p>
        </w:tc>
        <w:tc>
          <w:tcPr>
            <w:tcW w:w="2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48.41</w:t>
            </w:r>
          </w:p>
        </w:tc>
        <w:tc>
          <w:tcPr>
            <w:tcW w:w="160" w:type="dxa"/>
            <w:vAlign w:val="bottom"/>
            <w:shd w:val="clear" w:color="auto" w:fill="CCEEFF"/>
          </w:tcPr>
          <w:p>
            <w:pPr>
              <w:spacing w:after="0"/>
              <w:rPr>
                <w:sz w:val="12"/>
                <w:szCs w:val="12"/>
                <w:color w:val="auto"/>
              </w:rPr>
            </w:pPr>
          </w:p>
        </w:tc>
        <w:tc>
          <w:tcPr>
            <w:tcW w:w="10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24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55.0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20" w:type="dxa"/>
            <w:vAlign w:val="bottom"/>
            <w:gridSpan w:val="2"/>
          </w:tcPr>
          <w:p>
            <w:pPr>
              <w:spacing w:after="0" w:line="149" w:lineRule="exact"/>
              <w:rPr>
                <w:sz w:val="20"/>
                <w:szCs w:val="20"/>
                <w:color w:val="auto"/>
              </w:rPr>
            </w:pPr>
            <w:r>
              <w:rPr>
                <w:rFonts w:ascii="Arial" w:cs="Arial" w:eastAsia="Arial" w:hAnsi="Arial"/>
                <w:sz w:val="14"/>
                <w:szCs w:val="14"/>
                <w:color w:val="auto"/>
              </w:rPr>
              <w:t>December 1, 2013 - December 31, 2013</w:t>
            </w:r>
          </w:p>
        </w:tc>
        <w:tc>
          <w:tcPr>
            <w:tcW w:w="180" w:type="dxa"/>
            <w:vAlign w:val="bottom"/>
          </w:tcPr>
          <w:p>
            <w:pPr>
              <w:spacing w:after="0"/>
              <w:rPr>
                <w:sz w:val="12"/>
                <w:szCs w:val="12"/>
                <w:color w:val="auto"/>
              </w:rPr>
            </w:pPr>
          </w:p>
        </w:tc>
        <w:tc>
          <w:tcPr>
            <w:tcW w:w="9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3,616</w:t>
            </w:r>
          </w:p>
        </w:tc>
        <w:tc>
          <w:tcPr>
            <w:tcW w:w="2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48.99</w:t>
            </w:r>
          </w:p>
        </w:tc>
        <w:tc>
          <w:tcPr>
            <w:tcW w:w="160" w:type="dxa"/>
            <w:vAlign w:val="bottom"/>
          </w:tcPr>
          <w:p>
            <w:pPr>
              <w:spacing w:after="0"/>
              <w:rPr>
                <w:sz w:val="12"/>
                <w:szCs w:val="12"/>
                <w:color w:val="auto"/>
              </w:rPr>
            </w:pPr>
          </w:p>
        </w:tc>
        <w:tc>
          <w:tcPr>
            <w:tcW w:w="10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24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3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55.0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12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Total</w:t>
            </w:r>
          </w:p>
        </w:tc>
        <w:tc>
          <w:tcPr>
            <w:tcW w:w="11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4,408,028</w:t>
            </w:r>
          </w:p>
        </w:tc>
        <w:tc>
          <w:tcPr>
            <w:tcW w:w="240" w:type="dxa"/>
            <w:vAlign w:val="bottom"/>
            <w:tcBorders>
              <w:right w:val="single" w:sz="8" w:color="CCEEFF"/>
            </w:tcBorders>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2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3,886,121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3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3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20" w:type="dxa"/>
            <w:vAlign w:val="bottom"/>
            <w:tcBorders>
              <w:bottom w:val="single" w:sz="8" w:color="auto"/>
            </w:tcBorders>
          </w:tcPr>
          <w:p>
            <w:pPr>
              <w:spacing w:after="0"/>
              <w:rPr>
                <w:sz w:val="7"/>
                <w:szCs w:val="7"/>
                <w:color w:val="auto"/>
              </w:rPr>
            </w:pPr>
          </w:p>
        </w:tc>
        <w:tc>
          <w:tcPr>
            <w:tcW w:w="3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940" w:type="dxa"/>
            <w:vAlign w:val="bottom"/>
          </w:tcPr>
          <w:p>
            <w:pPr>
              <w:spacing w:after="0"/>
              <w:rPr>
                <w:sz w:val="7"/>
                <w:szCs w:val="7"/>
                <w:color w:val="auto"/>
              </w:rPr>
            </w:pPr>
          </w:p>
        </w:tc>
        <w:tc>
          <w:tcPr>
            <w:tcW w:w="240" w:type="dxa"/>
            <w:vAlign w:val="bottom"/>
          </w:tcPr>
          <w:p>
            <w:pPr>
              <w:spacing w:after="0"/>
              <w:rPr>
                <w:sz w:val="7"/>
                <w:szCs w:val="7"/>
                <w:color w:val="auto"/>
              </w:rPr>
            </w:pPr>
          </w:p>
        </w:tc>
        <w:tc>
          <w:tcPr>
            <w:tcW w:w="6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138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ind w:left="1680" w:hanging="531"/>
        <w:spacing w:after="0"/>
        <w:tabs>
          <w:tab w:leader="none" w:pos="1680" w:val="left"/>
        </w:tabs>
        <w:numPr>
          <w:ilvl w:val="0"/>
          <w:numId w:val="16"/>
        </w:numPr>
        <w:rPr>
          <w:rFonts w:ascii="Arial" w:cs="Arial" w:eastAsia="Arial" w:hAnsi="Arial"/>
          <w:sz w:val="12"/>
          <w:szCs w:val="12"/>
          <w:color w:val="auto"/>
        </w:rPr>
      </w:pPr>
      <w:r>
        <w:rPr>
          <w:rFonts w:ascii="Arial" w:cs="Arial" w:eastAsia="Arial" w:hAnsi="Arial"/>
          <w:sz w:val="12"/>
          <w:szCs w:val="12"/>
          <w:color w:val="auto"/>
        </w:rPr>
        <w:t>Includes the number of shares of common stock utilized to execute certain stock incentive awards and shares purchased as part of a publicly announced program.</w:t>
      </w:r>
    </w:p>
    <w:p>
      <w:pPr>
        <w:spacing w:after="0" w:line="145" w:lineRule="exact"/>
        <w:rPr>
          <w:rFonts w:ascii="Arial" w:cs="Arial" w:eastAsia="Arial" w:hAnsi="Arial"/>
          <w:sz w:val="12"/>
          <w:szCs w:val="12"/>
          <w:color w:val="auto"/>
        </w:rPr>
      </w:pPr>
    </w:p>
    <w:p>
      <w:pPr>
        <w:ind w:left="1680" w:right="20" w:hanging="531"/>
        <w:spacing w:after="0" w:line="239" w:lineRule="auto"/>
        <w:tabs>
          <w:tab w:leader="none" w:pos="1680" w:val="left"/>
        </w:tabs>
        <w:numPr>
          <w:ilvl w:val="0"/>
          <w:numId w:val="16"/>
        </w:numPr>
        <w:rPr>
          <w:rFonts w:ascii="Arial" w:cs="Arial" w:eastAsia="Arial" w:hAnsi="Arial"/>
          <w:sz w:val="14"/>
          <w:szCs w:val="14"/>
          <w:color w:val="auto"/>
        </w:rPr>
      </w:pPr>
      <w:r>
        <w:rPr>
          <w:rFonts w:ascii="Arial" w:cs="Arial" w:eastAsia="Arial" w:hAnsi="Arial"/>
          <w:sz w:val="14"/>
          <w:szCs w:val="14"/>
          <w:color w:val="auto"/>
        </w:rPr>
        <w:t>Our Board of Directors authorized a repurchase program in May 2012 of up to $200.0 million of outstanding common stock. This program was completed in February 2013. In February 2013, our Board of Directors authorized a share repurchase program of up to $150.0 million of outstanding common stock.</w:t>
      </w:r>
    </w:p>
    <w:p>
      <w:pPr>
        <w:spacing w:after="0" w:line="1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5" w:name="page36"/>
    <w:bookmarkEnd w:id="3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5"/>
          <w:szCs w:val="15"/>
          <w:b w:val="1"/>
          <w:bCs w:val="1"/>
          <w:color w:val="auto"/>
        </w:rPr>
        <w:t>Selected Financial Data</w:t>
      </w:r>
    </w:p>
    <w:p>
      <w:pPr>
        <w:spacing w:after="0" w:line="231" w:lineRule="exact"/>
        <w:rPr>
          <w:sz w:val="20"/>
          <w:szCs w:val="20"/>
          <w:color w:val="auto"/>
        </w:rPr>
      </w:pPr>
    </w:p>
    <w:p>
      <w:pPr>
        <w:jc w:val="both"/>
        <w:ind w:firstLine="431"/>
        <w:spacing w:after="0" w:line="291" w:lineRule="auto"/>
        <w:rPr>
          <w:sz w:val="20"/>
          <w:szCs w:val="20"/>
          <w:color w:val="auto"/>
        </w:rPr>
      </w:pPr>
      <w:r>
        <w:rPr>
          <w:rFonts w:ascii="Arial" w:cs="Arial" w:eastAsia="Arial" w:hAnsi="Arial"/>
          <w:sz w:val="16"/>
          <w:szCs w:val="16"/>
          <w:color w:val="auto"/>
        </w:rPr>
        <w:t>The following table sets forth certain selected historical consolidated financial information. We derived the consolidated financial information (except for amounts referred to as "Other Supplemental Data") for each of the years ended December 31, 2013, 2012 and 2011 and as of December 31, 2013 and 2012 from our audited consolidated financial statements and notes to the financial statements included in this Form 10-K. We derived the consolidated financial information (except for amounts referred to as "Other Supplemental Data") for the years ended December 31, 2010 and 2009 and as of December 31, 2011, 2010 and 2009 from our audited consolidated financial statements not included in this Form 10-K. The following summary of consolidated financial information (except for amounts referred to as "Other Supplemental Data") has been prepared in accordance with U.S. GAAP.</w:t>
      </w:r>
    </w:p>
    <w:p>
      <w:pPr>
        <w:spacing w:after="0" w:line="174" w:lineRule="exact"/>
        <w:rPr>
          <w:sz w:val="20"/>
          <w:szCs w:val="20"/>
          <w:color w:val="auto"/>
        </w:rPr>
      </w:pPr>
    </w:p>
    <w:p>
      <w:pPr>
        <w:jc w:val="both"/>
        <w:ind w:firstLine="405"/>
        <w:spacing w:after="0" w:line="306" w:lineRule="auto"/>
        <w:rPr>
          <w:sz w:val="20"/>
          <w:szCs w:val="20"/>
          <w:color w:val="auto"/>
        </w:rPr>
      </w:pPr>
      <w:r>
        <w:rPr>
          <w:rFonts w:ascii="Arial" w:cs="Arial" w:eastAsia="Arial" w:hAnsi="Arial"/>
          <w:sz w:val="16"/>
          <w:szCs w:val="16"/>
          <w:color w:val="auto"/>
        </w:rPr>
        <w:t>In order to fully understand our consolidated financial information, please also see Item 7. "Management's Discussion and Analysis of Financial Condition and Results of Operations" and our audited consolidated financial statements and the notes to the financial statements included in this Form 10-K. The results for past accounting periods are not necessarily indicative of the results to be expected for any future accounting period.</w:t>
      </w:r>
    </w:p>
    <w:p>
      <w:pPr>
        <w:spacing w:after="0" w:line="156"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20" w:type="dxa"/>
            <w:vAlign w:val="bottom"/>
            <w:tcBorders>
              <w:bottom w:val="single" w:sz="8" w:color="auto"/>
            </w:tcBorders>
            <w:gridSpan w:val="9"/>
          </w:tcPr>
          <w:p>
            <w:pPr>
              <w:jc w:val="right"/>
              <w:ind w:right="240"/>
              <w:spacing w:after="0"/>
              <w:rPr>
                <w:sz w:val="20"/>
                <w:szCs w:val="20"/>
                <w:color w:val="auto"/>
              </w:rPr>
            </w:pPr>
            <w:r>
              <w:rPr>
                <w:rFonts w:ascii="Arial" w:cs="Arial" w:eastAsia="Arial" w:hAnsi="Arial"/>
                <w:sz w:val="14"/>
                <w:szCs w:val="14"/>
                <w:b w:val="1"/>
                <w:bCs w:val="1"/>
                <w:color w:val="auto"/>
                <w:w w:val="86"/>
              </w:rPr>
              <w:t>As of or for the year ended December 31,</w:t>
            </w:r>
          </w:p>
        </w:tc>
        <w:tc>
          <w:tcPr>
            <w:tcW w:w="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91"/>
              </w:rPr>
              <w:t>2013 (1)</w:t>
            </w:r>
          </w:p>
        </w:tc>
        <w:tc>
          <w:tcPr>
            <w:tcW w:w="40" w:type="dxa"/>
            <w:vAlign w:val="bottom"/>
          </w:tcPr>
          <w:p>
            <w:pPr>
              <w:spacing w:after="0"/>
              <w:rPr>
                <w:sz w:val="12"/>
                <w:szCs w:val="12"/>
                <w:color w:val="auto"/>
              </w:rPr>
            </w:pPr>
          </w:p>
        </w:tc>
        <w:tc>
          <w:tcPr>
            <w:tcW w:w="120" w:type="dxa"/>
            <w:vAlign w:val="bottom"/>
            <w:vMerge w:val="restart"/>
          </w:tcPr>
          <w:p>
            <w:pPr>
              <w:jc w:val="right"/>
              <w:spacing w:after="0"/>
              <w:rPr>
                <w:sz w:val="20"/>
                <w:szCs w:val="20"/>
                <w:color w:val="auto"/>
              </w:rPr>
            </w:pPr>
            <w:r>
              <w:rPr>
                <w:rFonts w:ascii="Arial" w:cs="Arial" w:eastAsia="Arial" w:hAnsi="Arial"/>
                <w:sz w:val="14"/>
                <w:szCs w:val="14"/>
                <w:b w:val="1"/>
                <w:bCs w:val="1"/>
                <w:i w:val="1"/>
                <w:iCs w:val="1"/>
                <w:color w:val="auto"/>
                <w:w w:val="79"/>
              </w:rPr>
              <w:t>($</w:t>
            </w:r>
          </w:p>
        </w:tc>
        <w:tc>
          <w:tcPr>
            <w:tcW w:w="8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72"/>
              <w:spacing w:after="0" w:line="142" w:lineRule="exact"/>
              <w:rPr>
                <w:sz w:val="20"/>
                <w:szCs w:val="20"/>
                <w:color w:val="auto"/>
              </w:rPr>
            </w:pPr>
            <w:r>
              <w:rPr>
                <w:rFonts w:ascii="Arial" w:cs="Arial" w:eastAsia="Arial" w:hAnsi="Arial"/>
                <w:sz w:val="14"/>
                <w:szCs w:val="14"/>
                <w:b w:val="1"/>
                <w:bCs w:val="1"/>
                <w:color w:val="auto"/>
                <w:w w:val="95"/>
              </w:rPr>
              <w:t>2012 (1)</w:t>
            </w:r>
          </w:p>
        </w:tc>
        <w:tc>
          <w:tcPr>
            <w:tcW w:w="18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88"/>
              </w:rPr>
              <w:t>2011 (1)</w:t>
            </w:r>
          </w:p>
        </w:tc>
        <w:tc>
          <w:tcPr>
            <w:tcW w:w="160" w:type="dxa"/>
            <w:vAlign w:val="bottom"/>
            <w:gridSpan w:val="2"/>
            <w:vMerge w:val="restart"/>
          </w:tcPr>
          <w:p>
            <w:pPr>
              <w:spacing w:after="0"/>
              <w:rPr>
                <w:sz w:val="20"/>
                <w:szCs w:val="20"/>
                <w:color w:val="auto"/>
              </w:rPr>
            </w:pPr>
            <w:r>
              <w:rPr>
                <w:rFonts w:ascii="Arial" w:cs="Arial" w:eastAsia="Arial" w:hAnsi="Arial"/>
                <w:sz w:val="9"/>
                <w:szCs w:val="9"/>
                <w:b w:val="1"/>
                <w:bCs w:val="1"/>
                <w:i w:val="1"/>
                <w:iCs w:val="1"/>
                <w:color w:val="auto"/>
                <w:w w:val="75"/>
              </w:rPr>
              <w:t>data</w:t>
            </w:r>
          </w:p>
        </w:tc>
        <w:tc>
          <w:tcPr>
            <w:tcW w:w="12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72"/>
              <w:spacing w:after="0" w:line="142" w:lineRule="exact"/>
              <w:rPr>
                <w:sz w:val="20"/>
                <w:szCs w:val="20"/>
                <w:color w:val="auto"/>
              </w:rPr>
            </w:pPr>
            <w:r>
              <w:rPr>
                <w:rFonts w:ascii="Arial" w:cs="Arial" w:eastAsia="Arial" w:hAnsi="Arial"/>
                <w:sz w:val="14"/>
                <w:szCs w:val="14"/>
                <w:b w:val="1"/>
                <w:bCs w:val="1"/>
                <w:color w:val="auto"/>
                <w:w w:val="91"/>
              </w:rPr>
              <w:t>2010 (1)</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88"/>
              </w:rPr>
              <w:t>2009 (1)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vMerge w:val="continue"/>
          </w:tcPr>
          <w:p>
            <w:pPr>
              <w:spacing w:after="0"/>
              <w:rPr>
                <w:sz w:val="12"/>
                <w:szCs w:val="12"/>
                <w:color w:val="auto"/>
              </w:rPr>
            </w:pPr>
          </w:p>
        </w:tc>
        <w:tc>
          <w:tcPr>
            <w:tcW w:w="740" w:type="dxa"/>
            <w:vAlign w:val="bottom"/>
            <w:gridSpan w:val="2"/>
          </w:tcPr>
          <w:p>
            <w:pPr>
              <w:jc w:val="right"/>
              <w:spacing w:after="0" w:line="142" w:lineRule="exact"/>
              <w:rPr>
                <w:sz w:val="20"/>
                <w:szCs w:val="20"/>
                <w:color w:val="auto"/>
              </w:rPr>
            </w:pPr>
            <w:r>
              <w:rPr>
                <w:rFonts w:ascii="Arial" w:cs="Arial" w:eastAsia="Arial" w:hAnsi="Arial"/>
                <w:sz w:val="14"/>
                <w:szCs w:val="14"/>
                <w:b w:val="1"/>
                <w:bCs w:val="1"/>
                <w:i w:val="1"/>
                <w:iCs w:val="1"/>
                <w:color w:val="auto"/>
                <w:w w:val="90"/>
              </w:rPr>
              <w:t>in millions,</w:t>
            </w:r>
          </w:p>
        </w:tc>
        <w:tc>
          <w:tcPr>
            <w:tcW w:w="920" w:type="dxa"/>
            <w:vAlign w:val="bottom"/>
            <w:gridSpan w:val="3"/>
          </w:tcPr>
          <w:p>
            <w:pPr>
              <w:jc w:val="right"/>
              <w:spacing w:after="0" w:line="142" w:lineRule="exact"/>
              <w:rPr>
                <w:sz w:val="20"/>
                <w:szCs w:val="20"/>
                <w:color w:val="auto"/>
              </w:rPr>
            </w:pPr>
            <w:r>
              <w:rPr>
                <w:rFonts w:ascii="Arial" w:cs="Arial" w:eastAsia="Arial" w:hAnsi="Arial"/>
                <w:sz w:val="14"/>
                <w:szCs w:val="14"/>
                <w:b w:val="1"/>
                <w:bCs w:val="1"/>
                <w:i w:val="1"/>
                <w:iCs w:val="1"/>
                <w:color w:val="auto"/>
                <w:w w:val="77"/>
              </w:rPr>
              <w:t>except per share</w:t>
            </w:r>
          </w:p>
        </w:tc>
        <w:tc>
          <w:tcPr>
            <w:tcW w:w="160" w:type="dxa"/>
            <w:vAlign w:val="bottom"/>
            <w:gridSpan w:val="2"/>
            <w:vMerge w:val="continue"/>
          </w:tcPr>
          <w:p>
            <w:pPr>
              <w:spacing w:after="0"/>
              <w:rPr>
                <w:sz w:val="12"/>
                <w:szCs w:val="12"/>
                <w:color w:val="auto"/>
              </w:rPr>
            </w:pPr>
          </w:p>
        </w:tc>
        <w:tc>
          <w:tcPr>
            <w:tcW w:w="760" w:type="dxa"/>
            <w:vAlign w:val="bottom"/>
            <w:gridSpan w:val="2"/>
          </w:tcPr>
          <w:p>
            <w:pPr>
              <w:jc w:val="right"/>
              <w:spacing w:after="0" w:line="142" w:lineRule="exact"/>
              <w:rPr>
                <w:sz w:val="20"/>
                <w:szCs w:val="20"/>
                <w:color w:val="auto"/>
              </w:rPr>
            </w:pPr>
            <w:r>
              <w:rPr>
                <w:rFonts w:ascii="Arial" w:cs="Arial" w:eastAsia="Arial" w:hAnsi="Arial"/>
                <w:sz w:val="14"/>
                <w:szCs w:val="14"/>
                <w:b w:val="1"/>
                <w:bCs w:val="1"/>
                <w:i w:val="1"/>
                <w:iCs w:val="1"/>
                <w:color w:val="auto"/>
                <w:w w:val="81"/>
              </w:rPr>
              <w:t>and as noted)</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Income Statement Data:</w:t>
            </w:r>
          </w:p>
        </w:tc>
        <w:tc>
          <w:tcPr>
            <w:tcW w:w="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80" w:type="dxa"/>
            <w:vAlign w:val="bottom"/>
            <w:gridSpan w:val="2"/>
          </w:tcPr>
          <w:p>
            <w:pPr>
              <w:spacing w:after="0" w:line="149" w:lineRule="exact"/>
              <w:rPr>
                <w:sz w:val="20"/>
                <w:szCs w:val="20"/>
                <w:color w:val="auto"/>
              </w:rPr>
            </w:pPr>
            <w:r>
              <w:rPr>
                <w:rFonts w:ascii="Arial" w:cs="Arial" w:eastAsia="Arial" w:hAnsi="Arial"/>
                <w:sz w:val="14"/>
                <w:szCs w:val="14"/>
                <w:color w:val="auto"/>
              </w:rPr>
              <w:t>Revenue:</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8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Premiums and other considerations</w:t>
            </w:r>
          </w:p>
        </w:tc>
        <w:tc>
          <w:tcPr>
            <w:tcW w:w="3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3,154.1</w:t>
            </w:r>
          </w:p>
        </w:tc>
        <w:tc>
          <w:tcPr>
            <w:tcW w:w="40" w:type="dxa"/>
            <w:vAlign w:val="bottom"/>
            <w:shd w:val="clear" w:color="auto" w:fill="CCEEFF"/>
          </w:tcPr>
          <w:p>
            <w:pPr>
              <w:spacing w:after="0"/>
              <w:rPr>
                <w:sz w:val="12"/>
                <w:szCs w:val="12"/>
                <w:color w:val="auto"/>
              </w:rPr>
            </w:pPr>
          </w:p>
        </w:tc>
        <w:tc>
          <w:tcPr>
            <w:tcW w:w="2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3,219.4</w:t>
            </w:r>
          </w:p>
        </w:tc>
        <w:tc>
          <w:tcPr>
            <w:tcW w:w="2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2,891.0</w:t>
            </w:r>
          </w:p>
        </w:tc>
        <w:tc>
          <w:tcPr>
            <w:tcW w:w="10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ind w:right="1"/>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3,555.5</w:t>
            </w:r>
          </w:p>
        </w:tc>
        <w:tc>
          <w:tcPr>
            <w:tcW w:w="12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3,750.6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8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Fees and other revenues</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3,222.2</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2,626.7</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2,526.7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2,337.1</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2,103.7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8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Net investment income</w:t>
            </w:r>
          </w:p>
        </w:tc>
        <w:tc>
          <w:tcPr>
            <w:tcW w:w="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3,138.4</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3,254.9</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3,375.3</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3,495.8</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3,400.1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8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Net realized capital gains (losses)</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(225.2)</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114.1</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right"/>
              <w:ind w:right="15"/>
              <w:spacing w:after="0" w:line="149" w:lineRule="exact"/>
              <w:rPr>
                <w:sz w:val="20"/>
                <w:szCs w:val="20"/>
                <w:color w:val="auto"/>
              </w:rPr>
            </w:pPr>
            <w:r>
              <w:rPr>
                <w:rFonts w:ascii="Arial" w:cs="Arial" w:eastAsia="Arial" w:hAnsi="Arial"/>
                <w:sz w:val="14"/>
                <w:szCs w:val="14"/>
                <w:color w:val="auto"/>
              </w:rPr>
              <w:t>(122.3)</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(190.2)</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(398.3)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3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4280" w:type="dxa"/>
            <w:vAlign w:val="bottom"/>
            <w:gridSpan w:val="2"/>
            <w:shd w:val="clear" w:color="auto" w:fill="CCEEFF"/>
          </w:tcPr>
          <w:p>
            <w:pPr>
              <w:ind w:left="280"/>
              <w:spacing w:after="0" w:line="142" w:lineRule="exact"/>
              <w:rPr>
                <w:sz w:val="20"/>
                <w:szCs w:val="20"/>
                <w:color w:val="auto"/>
              </w:rPr>
            </w:pPr>
            <w:r>
              <w:rPr>
                <w:rFonts w:ascii="Arial" w:cs="Arial" w:eastAsia="Arial" w:hAnsi="Arial"/>
                <w:sz w:val="14"/>
                <w:szCs w:val="14"/>
                <w:color w:val="auto"/>
              </w:rPr>
              <w:t>Total revenues</w:t>
            </w:r>
          </w:p>
        </w:tc>
        <w:tc>
          <w:tcPr>
            <w:tcW w:w="3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6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9,289.5</w:t>
            </w:r>
          </w:p>
        </w:tc>
        <w:tc>
          <w:tcPr>
            <w:tcW w:w="40" w:type="dxa"/>
            <w:vAlign w:val="bottom"/>
            <w:shd w:val="clear" w:color="auto" w:fill="CCEEFF"/>
          </w:tcPr>
          <w:p>
            <w:pPr>
              <w:spacing w:after="0"/>
              <w:rPr>
                <w:sz w:val="12"/>
                <w:szCs w:val="12"/>
                <w:color w:val="auto"/>
              </w:rPr>
            </w:pPr>
          </w:p>
        </w:tc>
        <w:tc>
          <w:tcPr>
            <w:tcW w:w="20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9,215.1</w:t>
            </w:r>
          </w:p>
        </w:tc>
        <w:tc>
          <w:tcPr>
            <w:tcW w:w="28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8,670.7</w:t>
            </w:r>
          </w:p>
        </w:tc>
        <w:tc>
          <w:tcPr>
            <w:tcW w:w="10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ind w:right="1"/>
              <w:spacing w:after="0" w:line="142"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9,198.2</w:t>
            </w:r>
          </w:p>
        </w:tc>
        <w:tc>
          <w:tcPr>
            <w:tcW w:w="12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ind w:right="9"/>
              <w:spacing w:after="0" w:line="142"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8,856.1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300" w:type="dxa"/>
            <w:vAlign w:val="bottom"/>
            <w:gridSpan w:val="3"/>
            <w:vMerge w:val="restart"/>
          </w:tcPr>
          <w:p>
            <w:pPr>
              <w:spacing w:after="0"/>
              <w:rPr>
                <w:sz w:val="20"/>
                <w:szCs w:val="20"/>
                <w:color w:val="auto"/>
              </w:rPr>
            </w:pPr>
            <w:r>
              <w:rPr>
                <w:rFonts w:ascii="Arial" w:cs="Arial" w:eastAsia="Arial" w:hAnsi="Arial"/>
                <w:sz w:val="14"/>
                <w:szCs w:val="14"/>
                <w:color w:val="auto"/>
              </w:rPr>
              <w:t>Income from continuing operations, net of related income taxes</w:t>
            </w: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4300" w:type="dxa"/>
            <w:vAlign w:val="bottom"/>
            <w:gridSpan w:val="3"/>
            <w:vMerge w:val="continue"/>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jc w:val="right"/>
              <w:spacing w:after="0"/>
              <w:rPr>
                <w:sz w:val="20"/>
                <w:szCs w:val="20"/>
                <w:color w:val="auto"/>
              </w:rPr>
            </w:pPr>
            <w:r>
              <w:rPr>
                <w:rFonts w:ascii="Arial" w:cs="Arial" w:eastAsia="Arial" w:hAnsi="Arial"/>
                <w:sz w:val="10"/>
                <w:szCs w:val="10"/>
                <w:b w:val="1"/>
                <w:bCs w:val="1"/>
                <w:color w:val="auto"/>
                <w:w w:val="71"/>
              </w:rPr>
              <w:t>$</w:t>
            </w:r>
          </w:p>
        </w:tc>
        <w:tc>
          <w:tcPr>
            <w:tcW w:w="660" w:type="dxa"/>
            <w:vAlign w:val="bottom"/>
          </w:tcPr>
          <w:p>
            <w:pPr>
              <w:jc w:val="right"/>
              <w:spacing w:after="0" w:line="129" w:lineRule="exact"/>
              <w:rPr>
                <w:sz w:val="20"/>
                <w:szCs w:val="20"/>
                <w:color w:val="auto"/>
              </w:rPr>
            </w:pPr>
            <w:r>
              <w:rPr>
                <w:rFonts w:ascii="Arial" w:cs="Arial" w:eastAsia="Arial" w:hAnsi="Arial"/>
                <w:sz w:val="14"/>
                <w:szCs w:val="14"/>
                <w:b w:val="1"/>
                <w:bCs w:val="1"/>
                <w:color w:val="auto"/>
              </w:rPr>
              <w:t>936.1</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60" w:type="dxa"/>
            <w:vAlign w:val="bottom"/>
          </w:tcPr>
          <w:p>
            <w:pPr>
              <w:jc w:val="right"/>
              <w:spacing w:after="0" w:line="129" w:lineRule="exact"/>
              <w:rPr>
                <w:sz w:val="20"/>
                <w:szCs w:val="20"/>
                <w:color w:val="auto"/>
              </w:rPr>
            </w:pPr>
            <w:r>
              <w:rPr>
                <w:rFonts w:ascii="Arial" w:cs="Arial" w:eastAsia="Arial" w:hAnsi="Arial"/>
                <w:sz w:val="14"/>
                <w:szCs w:val="14"/>
                <w:color w:val="auto"/>
              </w:rPr>
              <w:t>825.4</w:t>
            </w:r>
          </w:p>
        </w:tc>
        <w:tc>
          <w:tcPr>
            <w:tcW w:w="180" w:type="dxa"/>
            <w:vAlign w:val="bottom"/>
          </w:tcPr>
          <w:p>
            <w:pPr>
              <w:spacing w:after="0"/>
              <w:rPr>
                <w:sz w:val="11"/>
                <w:szCs w:val="11"/>
                <w:color w:val="auto"/>
              </w:rPr>
            </w:pP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40" w:type="dxa"/>
            <w:vAlign w:val="bottom"/>
          </w:tcPr>
          <w:p>
            <w:pPr>
              <w:jc w:val="right"/>
              <w:spacing w:after="0" w:line="129" w:lineRule="exact"/>
              <w:rPr>
                <w:sz w:val="20"/>
                <w:szCs w:val="20"/>
                <w:color w:val="auto"/>
              </w:rPr>
            </w:pPr>
            <w:r>
              <w:rPr>
                <w:rFonts w:ascii="Arial" w:cs="Arial" w:eastAsia="Arial" w:hAnsi="Arial"/>
                <w:sz w:val="14"/>
                <w:szCs w:val="14"/>
                <w:color w:val="auto"/>
              </w:rPr>
              <w:t>674.5</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jc w:val="right"/>
              <w:ind w:right="1"/>
              <w:spacing w:after="0"/>
              <w:rPr>
                <w:sz w:val="20"/>
                <w:szCs w:val="20"/>
                <w:color w:val="auto"/>
              </w:rPr>
            </w:pPr>
            <w:r>
              <w:rPr>
                <w:rFonts w:ascii="Arial" w:cs="Arial" w:eastAsia="Arial" w:hAnsi="Arial"/>
                <w:sz w:val="10"/>
                <w:szCs w:val="10"/>
                <w:color w:val="auto"/>
                <w:w w:val="71"/>
              </w:rPr>
              <w:t>$</w:t>
            </w:r>
          </w:p>
        </w:tc>
        <w:tc>
          <w:tcPr>
            <w:tcW w:w="640" w:type="dxa"/>
            <w:vAlign w:val="bottom"/>
          </w:tcPr>
          <w:p>
            <w:pPr>
              <w:jc w:val="right"/>
              <w:spacing w:after="0" w:line="129" w:lineRule="exact"/>
              <w:rPr>
                <w:sz w:val="20"/>
                <w:szCs w:val="20"/>
                <w:color w:val="auto"/>
              </w:rPr>
            </w:pPr>
            <w:r>
              <w:rPr>
                <w:rFonts w:ascii="Arial" w:cs="Arial" w:eastAsia="Arial" w:hAnsi="Arial"/>
                <w:sz w:val="14"/>
                <w:szCs w:val="14"/>
                <w:color w:val="auto"/>
              </w:rPr>
              <w:t>670.5</w:t>
            </w: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640" w:type="dxa"/>
            <w:vAlign w:val="bottom"/>
          </w:tcPr>
          <w:p>
            <w:pPr>
              <w:jc w:val="right"/>
              <w:spacing w:after="0" w:line="129" w:lineRule="exact"/>
              <w:rPr>
                <w:sz w:val="20"/>
                <w:szCs w:val="20"/>
                <w:color w:val="auto"/>
              </w:rPr>
            </w:pPr>
            <w:r>
              <w:rPr>
                <w:rFonts w:ascii="Arial" w:cs="Arial" w:eastAsia="Arial" w:hAnsi="Arial"/>
                <w:sz w:val="14"/>
                <w:szCs w:val="14"/>
                <w:color w:val="auto"/>
              </w:rPr>
              <w:t>564.8</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Net income</w:t>
            </w:r>
          </w:p>
        </w:tc>
        <w:tc>
          <w:tcPr>
            <w:tcW w:w="3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936.1</w:t>
            </w:r>
          </w:p>
        </w:tc>
        <w:tc>
          <w:tcPr>
            <w:tcW w:w="40" w:type="dxa"/>
            <w:vAlign w:val="bottom"/>
            <w:shd w:val="clear" w:color="auto" w:fill="CCEEFF"/>
          </w:tcPr>
          <w:p>
            <w:pPr>
              <w:spacing w:after="0"/>
              <w:rPr>
                <w:sz w:val="12"/>
                <w:szCs w:val="12"/>
                <w:color w:val="auto"/>
              </w:rPr>
            </w:pPr>
          </w:p>
        </w:tc>
        <w:tc>
          <w:tcPr>
            <w:tcW w:w="2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825.4</w:t>
            </w:r>
          </w:p>
        </w:tc>
        <w:tc>
          <w:tcPr>
            <w:tcW w:w="2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674.5</w:t>
            </w:r>
          </w:p>
        </w:tc>
        <w:tc>
          <w:tcPr>
            <w:tcW w:w="10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ind w:right="1"/>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670.5</w:t>
            </w:r>
          </w:p>
        </w:tc>
        <w:tc>
          <w:tcPr>
            <w:tcW w:w="12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564.8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311"/>
        </w:trPr>
        <w:tc>
          <w:tcPr>
            <w:tcW w:w="4300" w:type="dxa"/>
            <w:vAlign w:val="bottom"/>
            <w:gridSpan w:val="3"/>
          </w:tcPr>
          <w:p>
            <w:pPr>
              <w:spacing w:after="0"/>
              <w:rPr>
                <w:sz w:val="20"/>
                <w:szCs w:val="20"/>
                <w:color w:val="auto"/>
              </w:rPr>
            </w:pPr>
            <w:r>
              <w:rPr>
                <w:rFonts w:ascii="Arial" w:cs="Arial" w:eastAsia="Arial" w:hAnsi="Arial"/>
                <w:sz w:val="14"/>
                <w:szCs w:val="14"/>
                <w:b w:val="1"/>
                <w:bCs w:val="1"/>
                <w:color w:val="auto"/>
              </w:rPr>
              <w:t>Earnings per Share Data:</w:t>
            </w: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w w:val="92"/>
              </w:rPr>
              <w:t>Income from continuing operations, net of related income taxes, per share:</w:t>
            </w:r>
          </w:p>
        </w:tc>
        <w:tc>
          <w:tcPr>
            <w:tcW w:w="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8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Basic</w:t>
            </w:r>
          </w:p>
        </w:tc>
        <w:tc>
          <w:tcPr>
            <w:tcW w:w="3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2.99</w:t>
            </w:r>
          </w:p>
        </w:tc>
        <w:tc>
          <w:tcPr>
            <w:tcW w:w="40" w:type="dxa"/>
            <w:vAlign w:val="bottom"/>
          </w:tcPr>
          <w:p>
            <w:pPr>
              <w:spacing w:after="0"/>
              <w:rPr>
                <w:sz w:val="12"/>
                <w:szCs w:val="12"/>
                <w:color w:val="auto"/>
              </w:rPr>
            </w:pPr>
          </w:p>
        </w:tc>
        <w:tc>
          <w:tcPr>
            <w:tcW w:w="20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2.60</w:t>
            </w:r>
          </w:p>
        </w:tc>
        <w:tc>
          <w:tcPr>
            <w:tcW w:w="2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1.92</w:t>
            </w:r>
          </w:p>
        </w:tc>
        <w:tc>
          <w:tcPr>
            <w:tcW w:w="100" w:type="dxa"/>
            <w:vAlign w:val="bottom"/>
          </w:tcPr>
          <w:p>
            <w:pPr>
              <w:spacing w:after="0"/>
              <w:rPr>
                <w:sz w:val="12"/>
                <w:szCs w:val="12"/>
                <w:color w:val="auto"/>
              </w:rPr>
            </w:pPr>
          </w:p>
        </w:tc>
        <w:tc>
          <w:tcPr>
            <w:tcW w:w="180" w:type="dxa"/>
            <w:vAlign w:val="bottom"/>
            <w:gridSpan w:val="2"/>
          </w:tcPr>
          <w:p>
            <w:pPr>
              <w:jc w:val="right"/>
              <w:ind w:right="1"/>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1.93</w:t>
            </w:r>
          </w:p>
        </w:tc>
        <w:tc>
          <w:tcPr>
            <w:tcW w:w="120" w:type="dxa"/>
            <w:vAlign w:val="bottom"/>
          </w:tcPr>
          <w:p>
            <w:pPr>
              <w:spacing w:after="0"/>
              <w:rPr>
                <w:sz w:val="12"/>
                <w:szCs w:val="12"/>
                <w:color w:val="auto"/>
              </w:rPr>
            </w:pPr>
          </w:p>
        </w:tc>
        <w:tc>
          <w:tcPr>
            <w:tcW w:w="16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1.71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8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Diluted</w:t>
            </w:r>
          </w:p>
        </w:tc>
        <w:tc>
          <w:tcPr>
            <w:tcW w:w="3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2.95</w:t>
            </w:r>
          </w:p>
        </w:tc>
        <w:tc>
          <w:tcPr>
            <w:tcW w:w="40" w:type="dxa"/>
            <w:vAlign w:val="bottom"/>
            <w:shd w:val="clear" w:color="auto" w:fill="CCEEFF"/>
          </w:tcPr>
          <w:p>
            <w:pPr>
              <w:spacing w:after="0"/>
              <w:rPr>
                <w:sz w:val="12"/>
                <w:szCs w:val="12"/>
                <w:color w:val="auto"/>
              </w:rPr>
            </w:pPr>
          </w:p>
        </w:tc>
        <w:tc>
          <w:tcPr>
            <w:tcW w:w="2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2.58</w:t>
            </w:r>
          </w:p>
        </w:tc>
        <w:tc>
          <w:tcPr>
            <w:tcW w:w="2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1.91</w:t>
            </w:r>
          </w:p>
        </w:tc>
        <w:tc>
          <w:tcPr>
            <w:tcW w:w="10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ind w:right="1"/>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1.92</w:t>
            </w:r>
          </w:p>
        </w:tc>
        <w:tc>
          <w:tcPr>
            <w:tcW w:w="12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80" w:type="dxa"/>
            <w:vAlign w:val="bottom"/>
            <w:gridSpan w:val="2"/>
          </w:tcPr>
          <w:p>
            <w:pPr>
              <w:spacing w:after="0" w:line="149" w:lineRule="exact"/>
              <w:rPr>
                <w:sz w:val="20"/>
                <w:szCs w:val="20"/>
                <w:color w:val="auto"/>
              </w:rPr>
            </w:pPr>
            <w:r>
              <w:rPr>
                <w:rFonts w:ascii="Arial" w:cs="Arial" w:eastAsia="Arial" w:hAnsi="Arial"/>
                <w:sz w:val="14"/>
                <w:szCs w:val="14"/>
                <w:color w:val="auto"/>
              </w:rPr>
              <w:t>Net income per share:</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8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Basic</w:t>
            </w:r>
          </w:p>
        </w:tc>
        <w:tc>
          <w:tcPr>
            <w:tcW w:w="3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2.99</w:t>
            </w:r>
          </w:p>
        </w:tc>
        <w:tc>
          <w:tcPr>
            <w:tcW w:w="40" w:type="dxa"/>
            <w:vAlign w:val="bottom"/>
            <w:shd w:val="clear" w:color="auto" w:fill="CCEEFF"/>
          </w:tcPr>
          <w:p>
            <w:pPr>
              <w:spacing w:after="0"/>
              <w:rPr>
                <w:sz w:val="12"/>
                <w:szCs w:val="12"/>
                <w:color w:val="auto"/>
              </w:rPr>
            </w:pPr>
          </w:p>
        </w:tc>
        <w:tc>
          <w:tcPr>
            <w:tcW w:w="2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2.60</w:t>
            </w:r>
          </w:p>
        </w:tc>
        <w:tc>
          <w:tcPr>
            <w:tcW w:w="2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1.92</w:t>
            </w:r>
          </w:p>
        </w:tc>
        <w:tc>
          <w:tcPr>
            <w:tcW w:w="10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ind w:right="1"/>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1.93</w:t>
            </w:r>
          </w:p>
        </w:tc>
        <w:tc>
          <w:tcPr>
            <w:tcW w:w="12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8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Diluted</w:t>
            </w:r>
          </w:p>
        </w:tc>
        <w:tc>
          <w:tcPr>
            <w:tcW w:w="3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2.95</w:t>
            </w:r>
          </w:p>
        </w:tc>
        <w:tc>
          <w:tcPr>
            <w:tcW w:w="40" w:type="dxa"/>
            <w:vAlign w:val="bottom"/>
          </w:tcPr>
          <w:p>
            <w:pPr>
              <w:spacing w:after="0"/>
              <w:rPr>
                <w:sz w:val="12"/>
                <w:szCs w:val="12"/>
                <w:color w:val="auto"/>
              </w:rPr>
            </w:pPr>
          </w:p>
        </w:tc>
        <w:tc>
          <w:tcPr>
            <w:tcW w:w="20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2.58</w:t>
            </w:r>
          </w:p>
        </w:tc>
        <w:tc>
          <w:tcPr>
            <w:tcW w:w="2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1.91</w:t>
            </w:r>
          </w:p>
        </w:tc>
        <w:tc>
          <w:tcPr>
            <w:tcW w:w="100" w:type="dxa"/>
            <w:vAlign w:val="bottom"/>
          </w:tcPr>
          <w:p>
            <w:pPr>
              <w:spacing w:after="0"/>
              <w:rPr>
                <w:sz w:val="12"/>
                <w:szCs w:val="12"/>
                <w:color w:val="auto"/>
              </w:rPr>
            </w:pPr>
          </w:p>
        </w:tc>
        <w:tc>
          <w:tcPr>
            <w:tcW w:w="180" w:type="dxa"/>
            <w:vAlign w:val="bottom"/>
            <w:gridSpan w:val="2"/>
          </w:tcPr>
          <w:p>
            <w:pPr>
              <w:jc w:val="right"/>
              <w:ind w:right="1"/>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1.92</w:t>
            </w:r>
          </w:p>
        </w:tc>
        <w:tc>
          <w:tcPr>
            <w:tcW w:w="120" w:type="dxa"/>
            <w:vAlign w:val="bottom"/>
          </w:tcPr>
          <w:p>
            <w:pPr>
              <w:spacing w:after="0"/>
              <w:rPr>
                <w:sz w:val="12"/>
                <w:szCs w:val="12"/>
                <w:color w:val="auto"/>
              </w:rPr>
            </w:pPr>
          </w:p>
        </w:tc>
        <w:tc>
          <w:tcPr>
            <w:tcW w:w="16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1.70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Cash dividends per common share</w:t>
            </w:r>
          </w:p>
        </w:tc>
        <w:tc>
          <w:tcPr>
            <w:tcW w:w="3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0.98</w:t>
            </w:r>
          </w:p>
        </w:tc>
        <w:tc>
          <w:tcPr>
            <w:tcW w:w="40" w:type="dxa"/>
            <w:vAlign w:val="bottom"/>
            <w:shd w:val="clear" w:color="auto" w:fill="CCEEFF"/>
          </w:tcPr>
          <w:p>
            <w:pPr>
              <w:spacing w:after="0"/>
              <w:rPr>
                <w:sz w:val="12"/>
                <w:szCs w:val="12"/>
                <w:color w:val="auto"/>
              </w:rPr>
            </w:pPr>
          </w:p>
        </w:tc>
        <w:tc>
          <w:tcPr>
            <w:tcW w:w="2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0.78</w:t>
            </w:r>
          </w:p>
        </w:tc>
        <w:tc>
          <w:tcPr>
            <w:tcW w:w="2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0.70</w:t>
            </w:r>
          </w:p>
        </w:tc>
        <w:tc>
          <w:tcPr>
            <w:tcW w:w="10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ind w:right="1"/>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0.55</w:t>
            </w:r>
          </w:p>
        </w:tc>
        <w:tc>
          <w:tcPr>
            <w:tcW w:w="12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0.50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311"/>
        </w:trPr>
        <w:tc>
          <w:tcPr>
            <w:tcW w:w="4300" w:type="dxa"/>
            <w:vAlign w:val="bottom"/>
            <w:gridSpan w:val="3"/>
          </w:tcPr>
          <w:p>
            <w:pPr>
              <w:spacing w:after="0"/>
              <w:rPr>
                <w:sz w:val="20"/>
                <w:szCs w:val="20"/>
                <w:color w:val="auto"/>
              </w:rPr>
            </w:pPr>
            <w:r>
              <w:rPr>
                <w:rFonts w:ascii="Arial" w:cs="Arial" w:eastAsia="Arial" w:hAnsi="Arial"/>
                <w:sz w:val="14"/>
                <w:szCs w:val="14"/>
                <w:b w:val="1"/>
                <w:bCs w:val="1"/>
                <w:color w:val="auto"/>
              </w:rPr>
              <w:t>Balance Sheet Data:</w:t>
            </w: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Total assets</w:t>
            </w:r>
          </w:p>
        </w:tc>
        <w:tc>
          <w:tcPr>
            <w:tcW w:w="3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99"/>
              </w:rPr>
              <w:t>208,191.4</w:t>
            </w:r>
          </w:p>
        </w:tc>
        <w:tc>
          <w:tcPr>
            <w:tcW w:w="40" w:type="dxa"/>
            <w:vAlign w:val="bottom"/>
            <w:shd w:val="clear" w:color="auto" w:fill="CCEEFF"/>
          </w:tcPr>
          <w:p>
            <w:pPr>
              <w:spacing w:after="0"/>
              <w:rPr>
                <w:sz w:val="12"/>
                <w:szCs w:val="12"/>
                <w:color w:val="auto"/>
              </w:rPr>
            </w:pPr>
          </w:p>
        </w:tc>
        <w:tc>
          <w:tcPr>
            <w:tcW w:w="2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161,830.2</w:t>
            </w:r>
          </w:p>
        </w:tc>
        <w:tc>
          <w:tcPr>
            <w:tcW w:w="2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9"/>
              </w:rPr>
              <w:t>147,271.5</w:t>
            </w:r>
          </w:p>
        </w:tc>
        <w:tc>
          <w:tcPr>
            <w:tcW w:w="10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ind w:right="1"/>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9"/>
              </w:rPr>
              <w:t>144,591.3</w:t>
            </w:r>
          </w:p>
        </w:tc>
        <w:tc>
          <w:tcPr>
            <w:tcW w:w="12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9"/>
              </w:rPr>
              <w:t>137,066.4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311"/>
        </w:trPr>
        <w:tc>
          <w:tcPr>
            <w:tcW w:w="4300" w:type="dxa"/>
            <w:vAlign w:val="bottom"/>
            <w:gridSpan w:val="3"/>
          </w:tcPr>
          <w:p>
            <w:pPr>
              <w:spacing w:after="0"/>
              <w:rPr>
                <w:sz w:val="20"/>
                <w:szCs w:val="20"/>
                <w:color w:val="auto"/>
              </w:rPr>
            </w:pPr>
            <w:r>
              <w:rPr>
                <w:rFonts w:ascii="Arial" w:cs="Arial" w:eastAsia="Arial" w:hAnsi="Arial"/>
                <w:sz w:val="14"/>
                <w:szCs w:val="14"/>
                <w:color w:val="auto"/>
              </w:rPr>
              <w:t>Long-term debt</w:t>
            </w:r>
          </w:p>
        </w:tc>
        <w:tc>
          <w:tcPr>
            <w:tcW w:w="360" w:type="dxa"/>
            <w:vAlign w:val="bottom"/>
            <w:gridSpan w:val="2"/>
          </w:tcPr>
          <w:p>
            <w:pPr>
              <w:jc w:val="right"/>
              <w:spacing w:after="0"/>
              <w:rPr>
                <w:sz w:val="20"/>
                <w:szCs w:val="20"/>
                <w:color w:val="auto"/>
              </w:rPr>
            </w:pPr>
            <w:r>
              <w:rPr>
                <w:rFonts w:ascii="Arial" w:cs="Arial" w:eastAsia="Arial" w:hAnsi="Arial"/>
                <w:sz w:val="14"/>
                <w:szCs w:val="14"/>
                <w:b w:val="1"/>
                <w:bCs w:val="1"/>
                <w:color w:val="auto"/>
              </w:rPr>
              <w:t>$</w:t>
            </w:r>
          </w:p>
        </w:tc>
        <w:tc>
          <w:tcPr>
            <w:tcW w:w="660" w:type="dxa"/>
            <w:vAlign w:val="bottom"/>
          </w:tcPr>
          <w:p>
            <w:pPr>
              <w:jc w:val="right"/>
              <w:spacing w:after="0"/>
              <w:rPr>
                <w:sz w:val="20"/>
                <w:szCs w:val="20"/>
                <w:color w:val="auto"/>
              </w:rPr>
            </w:pPr>
            <w:r>
              <w:rPr>
                <w:rFonts w:ascii="Arial" w:cs="Arial" w:eastAsia="Arial" w:hAnsi="Arial"/>
                <w:sz w:val="14"/>
                <w:szCs w:val="14"/>
                <w:b w:val="1"/>
                <w:bCs w:val="1"/>
                <w:color w:val="auto"/>
              </w:rPr>
              <w:t>2,601.4</w:t>
            </w:r>
          </w:p>
        </w:tc>
        <w:tc>
          <w:tcPr>
            <w:tcW w:w="40" w:type="dxa"/>
            <w:vAlign w:val="bottom"/>
          </w:tcPr>
          <w:p>
            <w:pPr>
              <w:spacing w:after="0"/>
              <w:rPr>
                <w:sz w:val="24"/>
                <w:szCs w:val="24"/>
                <w:color w:val="auto"/>
              </w:rPr>
            </w:pPr>
          </w:p>
        </w:tc>
        <w:tc>
          <w:tcPr>
            <w:tcW w:w="20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2,671.3</w:t>
            </w:r>
          </w:p>
        </w:tc>
        <w:tc>
          <w:tcPr>
            <w:tcW w:w="2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1,564.8</w:t>
            </w:r>
          </w:p>
        </w:tc>
        <w:tc>
          <w:tcPr>
            <w:tcW w:w="100" w:type="dxa"/>
            <w:vAlign w:val="bottom"/>
          </w:tcPr>
          <w:p>
            <w:pPr>
              <w:spacing w:after="0"/>
              <w:rPr>
                <w:sz w:val="24"/>
                <w:szCs w:val="24"/>
                <w:color w:val="auto"/>
              </w:rPr>
            </w:pPr>
          </w:p>
        </w:tc>
        <w:tc>
          <w:tcPr>
            <w:tcW w:w="1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1,583.7</w:t>
            </w:r>
          </w:p>
        </w:tc>
        <w:tc>
          <w:tcPr>
            <w:tcW w:w="120" w:type="dxa"/>
            <w:vAlign w:val="bottom"/>
          </w:tcPr>
          <w:p>
            <w:pPr>
              <w:spacing w:after="0"/>
              <w:rPr>
                <w:sz w:val="24"/>
                <w:szCs w:val="24"/>
                <w:color w:val="auto"/>
              </w:rPr>
            </w:pPr>
          </w:p>
        </w:tc>
        <w:tc>
          <w:tcPr>
            <w:tcW w:w="1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1,584.6</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428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Series A preferred stock</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70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gridSpan w:val="2"/>
            <w:shd w:val="clear" w:color="auto" w:fill="CCEEFF"/>
          </w:tcPr>
          <w:p>
            <w:pPr>
              <w:jc w:val="right"/>
              <w:ind w:right="55"/>
              <w:spacing w:after="0"/>
              <w:rPr>
                <w:sz w:val="20"/>
                <w:szCs w:val="20"/>
                <w:color w:val="auto"/>
              </w:rPr>
            </w:pPr>
            <w:r>
              <w:rPr>
                <w:rFonts w:ascii="Arial" w:cs="Arial" w:eastAsia="Arial" w:hAnsi="Arial"/>
                <w:sz w:val="14"/>
                <w:szCs w:val="14"/>
                <w:color w:val="auto"/>
              </w:rPr>
              <w:t>—</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80" w:type="dxa"/>
            <w:vAlign w:val="bottom"/>
            <w:gridSpan w:val="2"/>
          </w:tcPr>
          <w:p>
            <w:pPr>
              <w:spacing w:after="0" w:line="149" w:lineRule="exact"/>
              <w:rPr>
                <w:sz w:val="20"/>
                <w:szCs w:val="20"/>
                <w:color w:val="auto"/>
              </w:rPr>
            </w:pPr>
            <w:r>
              <w:rPr>
                <w:rFonts w:ascii="Arial" w:cs="Arial" w:eastAsia="Arial" w:hAnsi="Arial"/>
                <w:sz w:val="14"/>
                <w:szCs w:val="14"/>
                <w:color w:val="auto"/>
              </w:rPr>
              <w:t>Series B preferred stock</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0.1</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0.1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0.1</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0.1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Total stockholders' equity</w:t>
            </w:r>
          </w:p>
        </w:tc>
        <w:tc>
          <w:tcPr>
            <w:tcW w:w="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9,777.0</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9,703.4</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9,306.2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9,246.8</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7,373.7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311"/>
        </w:trPr>
        <w:tc>
          <w:tcPr>
            <w:tcW w:w="4300" w:type="dxa"/>
            <w:vAlign w:val="bottom"/>
            <w:gridSpan w:val="3"/>
          </w:tcPr>
          <w:p>
            <w:pPr>
              <w:spacing w:after="0"/>
              <w:rPr>
                <w:sz w:val="20"/>
                <w:szCs w:val="20"/>
                <w:color w:val="auto"/>
              </w:rPr>
            </w:pPr>
            <w:r>
              <w:rPr>
                <w:rFonts w:ascii="Arial" w:cs="Arial" w:eastAsia="Arial" w:hAnsi="Arial"/>
                <w:sz w:val="14"/>
                <w:szCs w:val="14"/>
                <w:b w:val="1"/>
                <w:bCs w:val="1"/>
                <w:color w:val="auto"/>
              </w:rPr>
              <w:t>Other Supplemental Data:</w:t>
            </w: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AUM ($ in billions)</w:t>
            </w:r>
          </w:p>
        </w:tc>
        <w:tc>
          <w:tcPr>
            <w:tcW w:w="3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483.2</w:t>
            </w:r>
          </w:p>
        </w:tc>
        <w:tc>
          <w:tcPr>
            <w:tcW w:w="40" w:type="dxa"/>
            <w:vAlign w:val="bottom"/>
            <w:shd w:val="clear" w:color="auto" w:fill="CCEEFF"/>
          </w:tcPr>
          <w:p>
            <w:pPr>
              <w:spacing w:after="0"/>
              <w:rPr>
                <w:sz w:val="12"/>
                <w:szCs w:val="12"/>
                <w:color w:val="auto"/>
              </w:rPr>
            </w:pPr>
          </w:p>
        </w:tc>
        <w:tc>
          <w:tcPr>
            <w:tcW w:w="2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403.0</w:t>
            </w:r>
          </w:p>
        </w:tc>
        <w:tc>
          <w:tcPr>
            <w:tcW w:w="2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335.0</w:t>
            </w:r>
          </w:p>
        </w:tc>
        <w:tc>
          <w:tcPr>
            <w:tcW w:w="10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ind w:right="1"/>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318.8</w:t>
            </w:r>
          </w:p>
        </w:tc>
        <w:tc>
          <w:tcPr>
            <w:tcW w:w="12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284.7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120" w:type="dxa"/>
            <w:vAlign w:val="bottom"/>
            <w:tcBorders>
              <w:bottom w:val="single" w:sz="8" w:color="auto"/>
            </w:tcBorders>
          </w:tcPr>
          <w:p>
            <w:pPr>
              <w:spacing w:after="0"/>
              <w:rPr>
                <w:sz w:val="9"/>
                <w:szCs w:val="9"/>
                <w:color w:val="auto"/>
              </w:rPr>
            </w:pPr>
          </w:p>
        </w:tc>
        <w:tc>
          <w:tcPr>
            <w:tcW w:w="3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60" w:type="dxa"/>
            <w:vAlign w:val="bottom"/>
          </w:tcPr>
          <w:p>
            <w:pPr>
              <w:spacing w:after="0"/>
              <w:rPr>
                <w:sz w:val="9"/>
                <w:szCs w:val="9"/>
                <w:color w:val="auto"/>
              </w:rPr>
            </w:pPr>
          </w:p>
        </w:tc>
        <w:tc>
          <w:tcPr>
            <w:tcW w:w="4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66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20" w:type="dxa"/>
            <w:vAlign w:val="bottom"/>
          </w:tcPr>
          <w:p>
            <w:pPr>
              <w:spacing w:after="0"/>
              <w:rPr>
                <w:sz w:val="9"/>
                <w:szCs w:val="9"/>
                <w:color w:val="auto"/>
              </w:rPr>
            </w:pPr>
          </w:p>
        </w:tc>
        <w:tc>
          <w:tcPr>
            <w:tcW w:w="4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jc w:val="both"/>
        <w:ind w:left="1680" w:hanging="531"/>
        <w:spacing w:after="0" w:line="278" w:lineRule="auto"/>
        <w:tabs>
          <w:tab w:leader="none" w:pos="1680" w:val="left"/>
        </w:tabs>
        <w:numPr>
          <w:ilvl w:val="0"/>
          <w:numId w:val="17"/>
        </w:numPr>
        <w:rPr>
          <w:rFonts w:ascii="Arial" w:cs="Arial" w:eastAsia="Arial" w:hAnsi="Arial"/>
          <w:sz w:val="12"/>
          <w:szCs w:val="12"/>
          <w:color w:val="auto"/>
        </w:rPr>
      </w:pPr>
      <w:r>
        <w:rPr>
          <w:rFonts w:ascii="Arial" w:cs="Arial" w:eastAsia="Arial" w:hAnsi="Arial"/>
          <w:sz w:val="12"/>
          <w:szCs w:val="12"/>
          <w:color w:val="auto"/>
        </w:rPr>
        <w:t>For a discussion of items materially affecting the comparability of 2013, 2012 and 2011, please see Item 7. "Management's Discussion and Analysis of Financial Condition and Results of Operations — Transactions Affecting Comparability of Results of Operations." Prior periods reflect the retrospective application of accounting changes. See Item 8. "Financial Statements and Supplementary Data, Notes to Consolidated Financial Statements, Note 1, Nature of Operations and Significant Accounting Policies" under the caption, "Revisions of Previously Issued Financial Statements" for further information about the accounting changes.</w:t>
      </w:r>
    </w:p>
    <w:p>
      <w:pPr>
        <w:spacing w:after="0" w:line="167"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5"/>
          <w:szCs w:val="15"/>
          <w:b w:val="1"/>
          <w:bCs w:val="1"/>
          <w:color w:val="auto"/>
        </w:rPr>
        <w:t>Management's Discussion and Analysis of Financial Condition and Results of Operations</w:t>
      </w:r>
    </w:p>
    <w:p>
      <w:pPr>
        <w:spacing w:after="0" w:line="231" w:lineRule="exact"/>
        <w:rPr>
          <w:sz w:val="20"/>
          <w:szCs w:val="20"/>
          <w:color w:val="auto"/>
        </w:rPr>
      </w:pPr>
    </w:p>
    <w:p>
      <w:pPr>
        <w:jc w:val="both"/>
        <w:ind w:firstLine="486"/>
        <w:spacing w:after="0" w:line="256" w:lineRule="auto"/>
        <w:rPr>
          <w:sz w:val="20"/>
          <w:szCs w:val="20"/>
          <w:color w:val="auto"/>
        </w:rPr>
      </w:pPr>
      <w:r>
        <w:rPr>
          <w:rFonts w:ascii="Arial" w:cs="Arial" w:eastAsia="Arial" w:hAnsi="Arial"/>
          <w:sz w:val="18"/>
          <w:szCs w:val="18"/>
          <w:color w:val="auto"/>
        </w:rPr>
        <w:t>The following analysis discusses our financial condition as of December 31, 2013, compared with December 31, 2012, and our consolidated results of operations for the years ended December 31, 2013, 2012 and 2011, and, where appropriate, factors that may affect our future financial performance. The discussion should be read in conjunction with our audited consolidated financial statements and the related notes to the financial statements and the other financial information included elsewhere in this Form 10-K.</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Information</w:t>
      </w:r>
    </w:p>
    <w:p>
      <w:pPr>
        <w:spacing w:after="0" w:line="231" w:lineRule="exact"/>
        <w:rPr>
          <w:sz w:val="20"/>
          <w:szCs w:val="20"/>
          <w:color w:val="auto"/>
        </w:rPr>
      </w:pPr>
    </w:p>
    <w:p>
      <w:pPr>
        <w:jc w:val="both"/>
        <w:ind w:firstLine="538"/>
        <w:spacing w:after="0" w:line="306" w:lineRule="auto"/>
        <w:rPr>
          <w:sz w:val="20"/>
          <w:szCs w:val="20"/>
          <w:color w:val="auto"/>
        </w:rPr>
      </w:pPr>
      <w:r>
        <w:rPr>
          <w:rFonts w:ascii="Arial" w:cs="Arial" w:eastAsia="Arial" w:hAnsi="Arial"/>
          <w:sz w:val="16"/>
          <w:szCs w:val="16"/>
          <w:color w:val="auto"/>
        </w:rPr>
        <w:t>Our narrative analysis below contains forward-looking statements intended to enhance the reader's ability to assess our future financial performance. Forward-looking statements include, but are not limited to, statements that represent our beliefs concerning future operations, strategies, financial results or other developments, and contain words and phrases such as "anticipate," "believe," "plan," "estimate," "expect," "intend," and similar expressions. Forward-looking</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6" w:name="page37"/>
    <w:bookmarkEnd w:id="3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statements are made based upon management's current expectations and beliefs concerning future developments and their potential effects on us. Such forward-looking statements are not guarantees of future performance.</w:t>
      </w:r>
    </w:p>
    <w:p>
      <w:pPr>
        <w:spacing w:after="0" w:line="186" w:lineRule="exact"/>
        <w:rPr>
          <w:sz w:val="20"/>
          <w:szCs w:val="20"/>
          <w:color w:val="auto"/>
        </w:rPr>
      </w:pPr>
    </w:p>
    <w:p>
      <w:pPr>
        <w:ind w:firstLine="345"/>
        <w:spacing w:after="0" w:line="268" w:lineRule="auto"/>
        <w:rPr>
          <w:sz w:val="20"/>
          <w:szCs w:val="20"/>
          <w:color w:val="auto"/>
        </w:rPr>
      </w:pPr>
      <w:r>
        <w:rPr>
          <w:rFonts w:ascii="Arial" w:cs="Arial" w:eastAsia="Arial" w:hAnsi="Arial"/>
          <w:sz w:val="18"/>
          <w:szCs w:val="18"/>
          <w:color w:val="auto"/>
        </w:rPr>
        <w:t>Actual results may differ materially from those included in the forward-looking statements as a result of risks and uncertainties. Those risks and uncertainties include, but are not limited to the risk factors listed in Item 1A. "Risk Factors."</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provide financial products and services through the following reportable segments:</w:t>
      </w:r>
    </w:p>
    <w:p>
      <w:pPr>
        <w:spacing w:after="0" w:line="239" w:lineRule="exact"/>
        <w:rPr>
          <w:sz w:val="20"/>
          <w:szCs w:val="20"/>
          <w:color w:val="auto"/>
        </w:rPr>
      </w:pPr>
    </w:p>
    <w:p>
      <w:pPr>
        <w:jc w:val="both"/>
        <w:ind w:left="1080" w:hanging="532"/>
        <w:spacing w:after="0" w:line="306" w:lineRule="auto"/>
        <w:tabs>
          <w:tab w:leader="none" w:pos="1080" w:val="left"/>
        </w:tabs>
        <w:numPr>
          <w:ilvl w:val="0"/>
          <w:numId w:val="18"/>
        </w:numPr>
        <w:rPr>
          <w:rFonts w:ascii="Arial" w:cs="Arial" w:eastAsia="Arial" w:hAnsi="Arial"/>
          <w:sz w:val="16"/>
          <w:szCs w:val="16"/>
          <w:color w:val="auto"/>
        </w:rPr>
      </w:pPr>
      <w:r>
        <w:rPr>
          <w:rFonts w:ascii="Arial" w:cs="Arial" w:eastAsia="Arial" w:hAnsi="Arial"/>
          <w:sz w:val="16"/>
          <w:szCs w:val="16"/>
          <w:color w:val="auto"/>
        </w:rPr>
        <w:t>Retirement and Investor Services is organized into the Accumulation business, which includes full service accumulation, Principal Funds (our mutual fund business), individual annuities and bank and trust services; and the Guaranteed business, which includes investment only and full service payout. We offer a comprehensive portfolio of asset accumulation products and services for retirement savings and investment:</w:t>
      </w:r>
    </w:p>
    <w:p>
      <w:pPr>
        <w:spacing w:after="0" w:line="200" w:lineRule="exact"/>
        <w:rPr>
          <w:rFonts w:ascii="Arial" w:cs="Arial" w:eastAsia="Arial" w:hAnsi="Arial"/>
          <w:sz w:val="16"/>
          <w:szCs w:val="16"/>
          <w:color w:val="auto"/>
        </w:rPr>
      </w:pPr>
    </w:p>
    <w:p>
      <w:pPr>
        <w:spacing w:after="0" w:line="203" w:lineRule="exact"/>
        <w:rPr>
          <w:rFonts w:ascii="Arial" w:cs="Arial" w:eastAsia="Arial" w:hAnsi="Arial"/>
          <w:sz w:val="16"/>
          <w:szCs w:val="16"/>
          <w:color w:val="auto"/>
        </w:rPr>
      </w:pPr>
    </w:p>
    <w:p>
      <w:pPr>
        <w:jc w:val="both"/>
        <w:ind w:left="1620" w:hanging="532"/>
        <w:spacing w:after="0" w:line="306" w:lineRule="auto"/>
        <w:tabs>
          <w:tab w:leader="none" w:pos="1620" w:val="left"/>
        </w:tabs>
        <w:numPr>
          <w:ilvl w:val="1"/>
          <w:numId w:val="18"/>
        </w:numPr>
        <w:rPr>
          <w:rFonts w:ascii="Arial" w:cs="Arial" w:eastAsia="Arial" w:hAnsi="Arial"/>
          <w:sz w:val="16"/>
          <w:szCs w:val="16"/>
          <w:color w:val="auto"/>
        </w:rPr>
      </w:pPr>
      <w:r>
        <w:rPr>
          <w:rFonts w:ascii="Arial" w:cs="Arial" w:eastAsia="Arial" w:hAnsi="Arial"/>
          <w:sz w:val="16"/>
          <w:szCs w:val="16"/>
          <w:color w:val="auto"/>
        </w:rPr>
        <w:t>To businesses of all sizes with a concentration on small and medium-sized businesses, we offer products and services for defined contribution pension plans, including 401(k) and 403(b) plans, defined benefit pension plans, nonqualified executive benefit plans and ESOP consulting services. For more basic investment needs, we offer SIMPLE IRA and payroll deduction plans;</w:t>
      </w:r>
    </w:p>
    <w:p>
      <w:pPr>
        <w:spacing w:after="0" w:line="174" w:lineRule="exact"/>
        <w:rPr>
          <w:rFonts w:ascii="Arial" w:cs="Arial" w:eastAsia="Arial" w:hAnsi="Arial"/>
          <w:sz w:val="16"/>
          <w:szCs w:val="16"/>
          <w:color w:val="auto"/>
        </w:rPr>
      </w:pPr>
    </w:p>
    <w:p>
      <w:pPr>
        <w:ind w:left="1620" w:hanging="532"/>
        <w:spacing w:after="0"/>
        <w:tabs>
          <w:tab w:leader="none" w:pos="1620" w:val="left"/>
        </w:tabs>
        <w:numPr>
          <w:ilvl w:val="1"/>
          <w:numId w:val="18"/>
        </w:numPr>
        <w:rPr>
          <w:rFonts w:ascii="Arial" w:cs="Arial" w:eastAsia="Arial" w:hAnsi="Arial"/>
          <w:sz w:val="18"/>
          <w:szCs w:val="18"/>
          <w:color w:val="auto"/>
        </w:rPr>
      </w:pPr>
      <w:r>
        <w:rPr>
          <w:rFonts w:ascii="Arial" w:cs="Arial" w:eastAsia="Arial" w:hAnsi="Arial"/>
          <w:sz w:val="18"/>
          <w:szCs w:val="18"/>
          <w:color w:val="auto"/>
        </w:rPr>
        <w:t>To large institutional clients, we also offer investment-only products, including GICs and funding agreements and</w:t>
      </w:r>
    </w:p>
    <w:p>
      <w:pPr>
        <w:spacing w:after="0" w:line="238" w:lineRule="exact"/>
        <w:rPr>
          <w:rFonts w:ascii="Arial" w:cs="Arial" w:eastAsia="Arial" w:hAnsi="Arial"/>
          <w:sz w:val="18"/>
          <w:szCs w:val="18"/>
          <w:color w:val="auto"/>
        </w:rPr>
      </w:pPr>
    </w:p>
    <w:p>
      <w:pPr>
        <w:ind w:left="1620" w:hanging="532"/>
        <w:spacing w:after="0" w:line="268" w:lineRule="auto"/>
        <w:tabs>
          <w:tab w:leader="none" w:pos="1620" w:val="left"/>
        </w:tabs>
        <w:numPr>
          <w:ilvl w:val="1"/>
          <w:numId w:val="18"/>
        </w:numPr>
        <w:rPr>
          <w:rFonts w:ascii="Arial" w:cs="Arial" w:eastAsia="Arial" w:hAnsi="Arial"/>
          <w:sz w:val="18"/>
          <w:szCs w:val="18"/>
          <w:color w:val="auto"/>
        </w:rPr>
      </w:pPr>
      <w:r>
        <w:rPr>
          <w:rFonts w:ascii="Arial" w:cs="Arial" w:eastAsia="Arial" w:hAnsi="Arial"/>
          <w:sz w:val="18"/>
          <w:szCs w:val="18"/>
          <w:color w:val="auto"/>
        </w:rPr>
        <w:t>To employees of businesses and other individuals, we offer the ability to accumulate savings for retirement and other purposes through mutual funds, individual annuities and bank products.</w:t>
      </w:r>
    </w:p>
    <w:p>
      <w:pPr>
        <w:spacing w:after="0" w:line="200" w:lineRule="exact"/>
        <w:rPr>
          <w:rFonts w:ascii="Arial" w:cs="Arial" w:eastAsia="Arial" w:hAnsi="Arial"/>
          <w:sz w:val="18"/>
          <w:szCs w:val="18"/>
          <w:color w:val="auto"/>
        </w:rPr>
      </w:pPr>
    </w:p>
    <w:p>
      <w:pPr>
        <w:spacing w:after="0" w:line="229" w:lineRule="exact"/>
        <w:rPr>
          <w:rFonts w:ascii="Arial" w:cs="Arial" w:eastAsia="Arial" w:hAnsi="Arial"/>
          <w:sz w:val="18"/>
          <w:szCs w:val="18"/>
          <w:color w:val="auto"/>
        </w:rPr>
      </w:pPr>
    </w:p>
    <w:p>
      <w:pPr>
        <w:jc w:val="both"/>
        <w:ind w:left="1080" w:hanging="532"/>
        <w:spacing w:after="0" w:line="256" w:lineRule="auto"/>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Principal Global Investors, which consists of our asset management operations, manages assets for sophisticated investors around the world, using a multi-boutique strategy that enables the segment to provide an expanded range of diverse investment capabilities including equity, fixed income, real estate and other alternative investments. Principal Global Investors also has experience in currency management, asset allocation, stable value management and other structured investment strategies.</w:t>
      </w:r>
    </w:p>
    <w:p>
      <w:pPr>
        <w:spacing w:after="0" w:line="210" w:lineRule="exact"/>
        <w:rPr>
          <w:rFonts w:ascii="Arial" w:cs="Arial" w:eastAsia="Arial" w:hAnsi="Arial"/>
          <w:sz w:val="18"/>
          <w:szCs w:val="18"/>
          <w:color w:val="auto"/>
        </w:rPr>
      </w:pPr>
    </w:p>
    <w:p>
      <w:pPr>
        <w:ind w:left="1080" w:hanging="532"/>
        <w:spacing w:after="0" w:line="332" w:lineRule="auto"/>
        <w:tabs>
          <w:tab w:leader="none" w:pos="1080" w:val="left"/>
        </w:tabs>
        <w:numPr>
          <w:ilvl w:val="0"/>
          <w:numId w:val="18"/>
        </w:numPr>
        <w:rPr>
          <w:rFonts w:ascii="Arial" w:cs="Arial" w:eastAsia="Arial" w:hAnsi="Arial"/>
          <w:sz w:val="16"/>
          <w:szCs w:val="16"/>
          <w:color w:val="auto"/>
        </w:rPr>
      </w:pPr>
      <w:r>
        <w:rPr>
          <w:rFonts w:ascii="Arial" w:cs="Arial" w:eastAsia="Arial" w:hAnsi="Arial"/>
          <w:sz w:val="16"/>
          <w:szCs w:val="16"/>
          <w:color w:val="auto"/>
        </w:rPr>
        <w:t>Principal International, which offers retirement products and services, annuities, mutual funds, institutional asset management and life insurance accumulation products through operations in Brazil, Chile, China, Hong Kong SAR, India, Mexico and Southeast Asia.</w:t>
      </w:r>
    </w:p>
    <w:p>
      <w:pPr>
        <w:spacing w:after="0" w:line="152" w:lineRule="exact"/>
        <w:rPr>
          <w:rFonts w:ascii="Arial" w:cs="Arial" w:eastAsia="Arial" w:hAnsi="Arial"/>
          <w:sz w:val="16"/>
          <w:szCs w:val="16"/>
          <w:color w:val="auto"/>
        </w:rPr>
      </w:pPr>
    </w:p>
    <w:p>
      <w:pPr>
        <w:jc w:val="both"/>
        <w:ind w:left="1080" w:hanging="532"/>
        <w:spacing w:after="0" w:line="259" w:lineRule="auto"/>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U.S. Insurance Solutions, which provides individual life insurance as well as specialty benefits in the U.S. Our individual life insurance products include universal and variable universal life insurance and traditional life insurance. Our specialty benefit products include group dental and vision insurance, individual and group disability insurance and group life insurance.</w:t>
      </w:r>
    </w:p>
    <w:p>
      <w:pPr>
        <w:spacing w:after="0" w:line="221" w:lineRule="exact"/>
        <w:rPr>
          <w:rFonts w:ascii="Arial" w:cs="Arial" w:eastAsia="Arial" w:hAnsi="Arial"/>
          <w:sz w:val="18"/>
          <w:szCs w:val="18"/>
          <w:color w:val="auto"/>
        </w:rPr>
      </w:pPr>
    </w:p>
    <w:p>
      <w:pPr>
        <w:jc w:val="both"/>
        <w:ind w:left="1080" w:hanging="532"/>
        <w:spacing w:after="0" w:line="256" w:lineRule="auto"/>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Corporate, which manages the assets representing capital that has not been allocated to any other segment. Financial results of the Corporate segment primarily reflect our financing activities (including interest expense and preferred stock dividends), income on capital not allocated to other segments, inter-segment eliminations, income tax risks and certain income, expenses and other after-tax adjustments not allocated to the segments based on the nature of such items.</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Economic Factors and Trends</w:t>
      </w:r>
    </w:p>
    <w:p>
      <w:pPr>
        <w:spacing w:after="0" w:line="231" w:lineRule="exact"/>
        <w:rPr>
          <w:sz w:val="20"/>
          <w:szCs w:val="20"/>
          <w:color w:val="auto"/>
        </w:rPr>
      </w:pPr>
    </w:p>
    <w:p>
      <w:pPr>
        <w:jc w:val="both"/>
        <w:ind w:firstLine="358"/>
        <w:spacing w:after="0" w:line="259" w:lineRule="auto"/>
        <w:rPr>
          <w:sz w:val="20"/>
          <w:szCs w:val="20"/>
          <w:color w:val="auto"/>
        </w:rPr>
      </w:pPr>
      <w:r>
        <w:rPr>
          <w:rFonts w:ascii="Arial" w:cs="Arial" w:eastAsia="Arial" w:hAnsi="Arial"/>
          <w:sz w:val="18"/>
          <w:szCs w:val="18"/>
          <w:color w:val="auto"/>
        </w:rPr>
        <w:t>In 2013, positive market performance and net customer cash flows led to increases in our Retirement and Investor Services segment's account values and our Principal Global Investors segment's AUM. Since account values and AUM are the base by which these businesses generate revenues, the increase in account values and AUM has contributed to the overall improvement of our profits.</w:t>
      </w:r>
    </w:p>
    <w:p>
      <w:pPr>
        <w:spacing w:after="0" w:line="194" w:lineRule="exact"/>
        <w:rPr>
          <w:sz w:val="20"/>
          <w:szCs w:val="20"/>
          <w:color w:val="auto"/>
        </w:rPr>
      </w:pPr>
    </w:p>
    <w:p>
      <w:pPr>
        <w:jc w:val="both"/>
        <w:ind w:firstLine="490"/>
        <w:spacing w:after="0" w:line="256" w:lineRule="auto"/>
        <w:rPr>
          <w:sz w:val="20"/>
          <w:szCs w:val="20"/>
          <w:color w:val="auto"/>
        </w:rPr>
      </w:pPr>
      <w:r>
        <w:rPr>
          <w:rFonts w:ascii="Arial" w:cs="Arial" w:eastAsia="Arial" w:hAnsi="Arial"/>
          <w:sz w:val="18"/>
          <w:szCs w:val="18"/>
          <w:color w:val="auto"/>
        </w:rPr>
        <w:t>In our Principal International segment, we continued to grow our business organically through our existing subsidiaries and joint ventures and through strategic acquisitions. Local currency AUM, a key indicator of earnings growth for the segment, increased significantly as a result of the Cuprum acquisition, positive net customer cash flows and market performance. The financial results for the Principal International segment are also impacted by fluctuations of the foreign currency to U.S. dollar exchange rates for the countries in which we have business.</w:t>
      </w:r>
    </w:p>
    <w:p>
      <w:pPr>
        <w:spacing w:after="0" w:line="197" w:lineRule="exact"/>
        <w:rPr>
          <w:sz w:val="20"/>
          <w:szCs w:val="20"/>
          <w:color w:val="auto"/>
        </w:rPr>
      </w:pPr>
    </w:p>
    <w:p>
      <w:pPr>
        <w:jc w:val="both"/>
        <w:ind w:firstLine="437"/>
        <w:spacing w:after="0" w:line="254" w:lineRule="auto"/>
        <w:rPr>
          <w:sz w:val="20"/>
          <w:szCs w:val="20"/>
          <w:color w:val="auto"/>
        </w:rPr>
      </w:pPr>
      <w:r>
        <w:rPr>
          <w:rFonts w:ascii="Arial" w:cs="Arial" w:eastAsia="Arial" w:hAnsi="Arial"/>
          <w:sz w:val="18"/>
          <w:szCs w:val="18"/>
          <w:color w:val="auto"/>
        </w:rPr>
        <w:t>The U.S. Insurance Solutions segment has been impacted by lower interest rates for the past few years as well as decreases in our long term interest rate assumptions. The current low interest rate environment has caused spread compression, whereas the decrease in long term interest rate assumptions has led to higher reserves and lower profit margins in both divisions. In addition, we experienced a slowdown in the growth of group products between 2009 and 2010 relative to prior years due to a combination of lower sales, higher lapses, reduced growth in salaries and reductions in covered lives of our existing group customers as a result of economic pressure. Since 2011, we have seen signs of recovery through higher sales, slight inforce membership growth and improved retention.</w:t>
      </w:r>
    </w:p>
    <w:p>
      <w:pPr>
        <w:sectPr>
          <w:pgSz w:w="11900" w:h="16838" w:orient="portrait"/>
          <w:cols w:equalWidth="0" w:num="1">
            <w:col w:w="11420"/>
          </w:cols>
          <w:pgMar w:left="240" w:top="131" w:right="239" w:bottom="1440" w:gutter="0" w:footer="0" w:header="0"/>
        </w:sectPr>
      </w:pP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37" w:name="page38"/>
    <w:bookmarkEnd w:id="3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Profitability</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profitability depends in large part upon our:</w:t>
      </w:r>
    </w:p>
    <w:p>
      <w:pPr>
        <w:spacing w:after="0" w:line="239" w:lineRule="exact"/>
        <w:rPr>
          <w:sz w:val="20"/>
          <w:szCs w:val="20"/>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amount of AUM;</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spreads we earn that result from the difference between what we earn and what we credit to policyholders;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ability to generate fee revenues by providing administrative and investment management services;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6"/>
          <w:szCs w:val="16"/>
          <w:color w:val="auto"/>
        </w:rPr>
      </w:pPr>
      <w:r>
        <w:rPr>
          <w:rFonts w:ascii="Arial" w:cs="Arial" w:eastAsia="Arial" w:hAnsi="Arial"/>
          <w:sz w:val="16"/>
          <w:szCs w:val="16"/>
          <w:color w:val="auto"/>
        </w:rPr>
        <w:t>ability to price our insurance products at a level that enables us to earn a margin over the cost of providing benefits and the related expenses;</w:t>
      </w:r>
    </w:p>
    <w:p>
      <w:pPr>
        <w:spacing w:after="0" w:line="275" w:lineRule="exact"/>
        <w:rPr>
          <w:rFonts w:ascii="Arial" w:cs="Arial" w:eastAsia="Arial" w:hAnsi="Arial"/>
          <w:sz w:val="16"/>
          <w:szCs w:val="16"/>
          <w:color w:val="auto"/>
        </w:rPr>
      </w:pPr>
    </w:p>
    <w:p>
      <w:pPr>
        <w:ind w:left="1080" w:hanging="532"/>
        <w:spacing w:after="0" w:line="268" w:lineRule="auto"/>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ability to manage our investment portfolio to maximize investment returns and minimize risks such as interest rate changes or defaults or impairments of invested assets;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ability to effectively hedge fluctuations in foreign currency to U.S. dollar exchange rates on certain transactions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ability to manage our operating expenses.</w:t>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31" w:lineRule="exact"/>
        <w:rPr>
          <w:sz w:val="20"/>
          <w:szCs w:val="20"/>
          <w:color w:val="auto"/>
        </w:rPr>
      </w:pPr>
    </w:p>
    <w:p>
      <w:pPr>
        <w:jc w:val="both"/>
        <w:ind w:firstLine="489"/>
        <w:spacing w:after="0" w:line="291" w:lineRule="auto"/>
        <w:rPr>
          <w:sz w:val="20"/>
          <w:szCs w:val="20"/>
          <w:color w:val="auto"/>
        </w:rPr>
      </w:pPr>
      <w:r>
        <w:rPr>
          <w:rFonts w:ascii="Arial" w:cs="Arial" w:eastAsia="Arial" w:hAnsi="Arial"/>
          <w:sz w:val="16"/>
          <w:szCs w:val="16"/>
          <w:color w:val="auto"/>
        </w:rPr>
        <w:t>The increasing complexity of the business environment and applicable authoritative accounting guidance requires us to closely monitor our accounting policies. Our significant accounting policies are described in Item 8. "Financial Statements and Supplementary Data, Notes to Consolidated Financial Statements, Note 1, Nature of Operations and Significant Accounting Policies." We have identified critical accounting policies that are complex and require significant judgment and estimates about matters that are inherently uncertain. A summary of our critical accounting policies is intended to enhance the reader's ability to assess our financial condition and results of operations and the potential volatility due to changes in estimates and changes in guidance. The identification, selection and disclosure of critical accounting estimates and policies have been discussed with the Audit Committee of the Board of Directors.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Valuation and Impairment of Fixed Income Investments</w:t>
      </w:r>
    </w:p>
    <w:p>
      <w:pPr>
        <w:spacing w:after="0" w:line="225" w:lineRule="exact"/>
        <w:rPr>
          <w:sz w:val="20"/>
          <w:szCs w:val="20"/>
          <w:color w:val="auto"/>
        </w:rPr>
      </w:pPr>
    </w:p>
    <w:p>
      <w:pPr>
        <w:jc w:val="both"/>
        <w:ind w:firstLine="483"/>
        <w:spacing w:after="0" w:line="286" w:lineRule="auto"/>
        <w:rPr>
          <w:sz w:val="20"/>
          <w:szCs w:val="20"/>
          <w:color w:val="auto"/>
        </w:rPr>
      </w:pPr>
      <w:r>
        <w:rPr>
          <w:rFonts w:ascii="Arial" w:cs="Arial" w:eastAsia="Arial" w:hAnsi="Arial"/>
          <w:sz w:val="16"/>
          <w:szCs w:val="16"/>
          <w:b w:val="1"/>
          <w:bCs w:val="1"/>
          <w:i w:val="1"/>
          <w:iCs w:val="1"/>
          <w:color w:val="auto"/>
        </w:rPr>
        <w:t xml:space="preserve">Fixed Maturities. </w:t>
      </w:r>
      <w:r>
        <w:rPr>
          <w:rFonts w:ascii="Arial" w:cs="Arial" w:eastAsia="Arial" w:hAnsi="Arial"/>
          <w:sz w:val="16"/>
          <w:szCs w:val="16"/>
          <w:color w:val="auto"/>
        </w:rPr>
        <w:t>Fixed maturities include bonds, asset-backed securities ("ABS"), redeemable preferred stock and certain non-redeemable preferred</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securities. We classify our fixed maturities as either available-for-sale or trading and, accordingly, carry them at fair value in the consolidated statements of financial position. The fair values of our public fixed maturities are primarily based on market prices from independent pricing services. We have regular interactions with these vendors to ensure we understand their pricing methodologies and to confirm they are utilizing observable market information. In addition, 23% of our invested asset portfolio is invested in fixed maturities that are private placement assets, where there are no readily available market quotes to determine the fair market value. The majority of these assets are valued using a spread pricing matrix that utilizes observable market inputs. Securities are grouped into pricing categories that vary by asset class, sector, rating and average life. Each pricing category is assigned a risk spread based on studies of observable public market data or market clearing data from the investment professionals assigned to specific security classes. The expected cash flows of the security are then discounted back at the current Treasury curve plus the appropriate risk spread. Certain market events that could impact the valuation of securities include issuer credit ratings, business climate, management changes, litigation and government actions among others. See item 8. "Financial Statements and Supplementary Data, Notes to Consolidated Financial Statements, Note 15, Fair Value Measurements" for further discussion.</w:t>
      </w:r>
    </w:p>
    <w:p>
      <w:pPr>
        <w:spacing w:after="0" w:line="181" w:lineRule="exact"/>
        <w:rPr>
          <w:sz w:val="20"/>
          <w:szCs w:val="20"/>
          <w:color w:val="auto"/>
        </w:rPr>
      </w:pPr>
    </w:p>
    <w:p>
      <w:pPr>
        <w:jc w:val="both"/>
        <w:ind w:right="20" w:firstLine="364"/>
        <w:spacing w:after="0" w:line="332" w:lineRule="auto"/>
        <w:rPr>
          <w:sz w:val="20"/>
          <w:szCs w:val="20"/>
          <w:color w:val="auto"/>
        </w:rPr>
      </w:pPr>
      <w:r>
        <w:rPr>
          <w:rFonts w:ascii="Arial" w:cs="Arial" w:eastAsia="Arial" w:hAnsi="Arial"/>
          <w:sz w:val="16"/>
          <w:szCs w:val="16"/>
          <w:color w:val="auto"/>
        </w:rPr>
        <w:t>If we are unable to price a fixed maturity security from third party pricing vendors we may obtain a broker quote or utilize an internal pricing model specific to the asset utilizing relevant market information to the extent available. Less than 1% of our fixed maturities were valued using internal models.</w:t>
      </w:r>
    </w:p>
    <w:p>
      <w:pPr>
        <w:spacing w:after="0" w:line="139" w:lineRule="exact"/>
        <w:rPr>
          <w:sz w:val="20"/>
          <w:szCs w:val="20"/>
          <w:color w:val="auto"/>
        </w:rPr>
      </w:pPr>
    </w:p>
    <w:p>
      <w:pPr>
        <w:jc w:val="both"/>
        <w:ind w:firstLine="384"/>
        <w:spacing w:after="0" w:line="259" w:lineRule="auto"/>
        <w:rPr>
          <w:sz w:val="20"/>
          <w:szCs w:val="20"/>
          <w:color w:val="auto"/>
        </w:rPr>
      </w:pPr>
      <w:r>
        <w:rPr>
          <w:rFonts w:ascii="Arial" w:cs="Arial" w:eastAsia="Arial" w:hAnsi="Arial"/>
          <w:sz w:val="18"/>
          <w:szCs w:val="18"/>
          <w:color w:val="auto"/>
        </w:rPr>
        <w:t>A rate increase of 100 basis points would produce a total value of approximately $46.5 billion, as compared to the recorded amount of $48.8 billion related to our fixed maturity, available-for-sale financial assets with interest rate risk held by us as of December 31, 2013. For additional information see Item 7A. "Quantitative and Qualitative Disclosures About Market Risk — Interest Rate Risk".</w:t>
      </w:r>
    </w:p>
    <w:p>
      <w:pPr>
        <w:spacing w:after="0" w:line="194" w:lineRule="exact"/>
        <w:rPr>
          <w:sz w:val="20"/>
          <w:szCs w:val="20"/>
          <w:color w:val="auto"/>
        </w:rPr>
      </w:pPr>
    </w:p>
    <w:p>
      <w:pPr>
        <w:jc w:val="both"/>
        <w:ind w:firstLine="399"/>
        <w:spacing w:after="0" w:line="268" w:lineRule="auto"/>
        <w:rPr>
          <w:sz w:val="20"/>
          <w:szCs w:val="20"/>
          <w:color w:val="auto"/>
        </w:rPr>
      </w:pPr>
      <w:r>
        <w:rPr>
          <w:rFonts w:ascii="Arial" w:cs="Arial" w:eastAsia="Arial" w:hAnsi="Arial"/>
          <w:sz w:val="18"/>
          <w:szCs w:val="18"/>
          <w:color w:val="auto"/>
        </w:rPr>
        <w:t>The $1,382.9 million decrease in net unrealized gains for the year ended December 31, 2013, can primarily be attributed to an approximate 79 basis points increase in interest rates.</w:t>
      </w:r>
    </w:p>
    <w:p>
      <w:pPr>
        <w:spacing w:after="0" w:line="186" w:lineRule="exact"/>
        <w:rPr>
          <w:sz w:val="20"/>
          <w:szCs w:val="20"/>
          <w:color w:val="auto"/>
        </w:rPr>
      </w:pPr>
    </w:p>
    <w:p>
      <w:pPr>
        <w:jc w:val="both"/>
        <w:ind w:firstLine="426"/>
        <w:spacing w:after="0" w:line="289" w:lineRule="auto"/>
        <w:rPr>
          <w:sz w:val="20"/>
          <w:szCs w:val="20"/>
          <w:color w:val="auto"/>
        </w:rPr>
      </w:pPr>
      <w:r>
        <w:rPr>
          <w:rFonts w:ascii="Arial" w:cs="Arial" w:eastAsia="Arial" w:hAnsi="Arial"/>
          <w:sz w:val="16"/>
          <w:szCs w:val="16"/>
          <w:color w:val="auto"/>
        </w:rPr>
        <w:t>Fixed maturities classified as available-for-sale are subject to impairment reviews. When evaluating fixed maturities for impairment, we consider relevant facts and circumstances in evaluating whether a credit or interest-related impairment is other than temporary. Relevant facts and circumstances considered include: (1) the extent and length of time the fair value has been below cost; (2) the reasons for the decline in value; (3) the financial position and access to capital of the issuer, including the current and future impact of any specific events; (4) for structured securities, the adequacy of the expected cash flows and (5) our intent to sell a security or whether it is more likely than not we will be required to sell the security before recovery of its amortized cost which, in some cases, may extend to maturity. When it is determined that the decline in value is other than temporary the carrying value of the security is reduced to its fair value, and a corresponding impairment loss is reported primarily in net income, with noncredit impairment losses for certain fixed maturities we do not intend to sell reported in other comprehensive income.</w:t>
      </w:r>
    </w:p>
    <w:p>
      <w:pPr>
        <w:sectPr>
          <w:pgSz w:w="11900" w:h="16838" w:orient="portrait"/>
          <w:cols w:equalWidth="0" w:num="1">
            <w:col w:w="11420"/>
          </w:cols>
          <w:pgMar w:left="240" w:top="131" w:right="239" w:bottom="1440" w:gutter="0" w:footer="0" w:header="0"/>
        </w:sectPr>
      </w:pPr>
    </w:p>
    <w:p>
      <w:pPr>
        <w:spacing w:after="0" w:line="17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38" w:name="page39"/>
    <w:bookmarkEnd w:id="3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firstLine="404"/>
        <w:spacing w:after="0" w:line="288" w:lineRule="auto"/>
        <w:rPr>
          <w:sz w:val="20"/>
          <w:szCs w:val="20"/>
          <w:color w:val="auto"/>
        </w:rPr>
      </w:pPr>
      <w:r>
        <w:rPr>
          <w:rFonts w:ascii="Arial" w:cs="Arial" w:eastAsia="Arial" w:hAnsi="Arial"/>
          <w:sz w:val="16"/>
          <w:szCs w:val="16"/>
          <w:color w:val="auto"/>
        </w:rPr>
        <w:t>There are a number of significant risks and uncertainties inherent in the process of monitoring impairments and determining if an impairment is other than temporary. These risks and uncertainties include: (1) the risk that our assessment of an issuer's ability to meet all of its contractual obligations will change based on changes in the credit characteristics of that issuer; (2) the risk that the economic outlook will be worse than expected or have more of an impact on the issuer than anticipated; (3) the risk that our investment professionals are making decisions based on fraudulent or misstated information in the financial statements provided by issuers and (4) the risk that new information obtained by us or changes in other facts and circumstances lead us to change our intent to hold the security until it recovers in value. Any of these situations could result in a charge to net income in a future period. At December 31, 2013, we had $11,569.2 million in available-for-sale fixed maturities with gross unrealized losses totaling $806.6 million. Included in the gross unrealized losses are losses attributable to both movements in market interest rates as well as movement in credit spreads. Net income would be reduced by approximately $806.6 million, on a pre-tax basis, if all the securities in an unrealized loss position were deemed to be other than temporarily impaired and our intent was to sell all such securities.</w:t>
      </w:r>
    </w:p>
    <w:p>
      <w:pPr>
        <w:spacing w:after="0" w:line="174" w:lineRule="exact"/>
        <w:rPr>
          <w:sz w:val="20"/>
          <w:szCs w:val="20"/>
          <w:color w:val="auto"/>
        </w:rPr>
      </w:pPr>
    </w:p>
    <w:p>
      <w:pPr>
        <w:jc w:val="both"/>
        <w:ind w:firstLine="363"/>
        <w:spacing w:after="0" w:line="259" w:lineRule="auto"/>
        <w:rPr>
          <w:sz w:val="20"/>
          <w:szCs w:val="20"/>
          <w:color w:val="auto"/>
        </w:rPr>
      </w:pPr>
      <w:r>
        <w:rPr>
          <w:rFonts w:ascii="Arial" w:cs="Arial" w:eastAsia="Arial" w:hAnsi="Arial"/>
          <w:sz w:val="18"/>
          <w:szCs w:val="18"/>
          <w:b w:val="1"/>
          <w:bCs w:val="1"/>
          <w:i w:val="1"/>
          <w:iCs w:val="1"/>
          <w:color w:val="auto"/>
        </w:rPr>
        <w:t xml:space="preserve">Mortgage Loans. </w:t>
      </w:r>
      <w:r>
        <w:rPr>
          <w:rFonts w:ascii="Arial" w:cs="Arial" w:eastAsia="Arial" w:hAnsi="Arial"/>
          <w:sz w:val="18"/>
          <w:szCs w:val="18"/>
          <w:color w:val="auto"/>
        </w:rPr>
        <w:t>Mortgage loans consist primarily of commercial mortgage loans. At December 31, 2013, the carrying value of our commercial mortgage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loans was $10,299.0 million. Commercial mortgage loans are generally reported at cost adjusted for amortization of premiums and accrual of discounts, computed using the interest method and net of valuation allowances.</w:t>
      </w:r>
    </w:p>
    <w:p>
      <w:pPr>
        <w:spacing w:after="0" w:line="194" w:lineRule="exact"/>
        <w:rPr>
          <w:sz w:val="20"/>
          <w:szCs w:val="20"/>
          <w:color w:val="auto"/>
        </w:rPr>
      </w:pPr>
    </w:p>
    <w:p>
      <w:pPr>
        <w:jc w:val="both"/>
        <w:ind w:firstLine="477"/>
        <w:spacing w:after="0" w:line="298" w:lineRule="auto"/>
        <w:rPr>
          <w:sz w:val="20"/>
          <w:szCs w:val="20"/>
          <w:color w:val="auto"/>
        </w:rPr>
      </w:pPr>
      <w:r>
        <w:rPr>
          <w:rFonts w:ascii="Arial" w:cs="Arial" w:eastAsia="Arial" w:hAnsi="Arial"/>
          <w:sz w:val="16"/>
          <w:szCs w:val="16"/>
          <w:color w:val="auto"/>
        </w:rPr>
        <w:t>Commercial mortgage loans are considered impaired when, based on current information and events, it is probable that we will be unable to collect all amounts due according to contractual terms of the loan agreement. When we determine that a loan is impaired, a valuation allowance is created for the difference between the carrying amount of the mortgage loan and the estimated value less cost to sell. Estimated value is based on either the present value of the expected future cash flows discounted at the loan's effective interest rate, the loan's observable market price or the fair value of the collateral.</w:t>
      </w:r>
    </w:p>
    <w:p>
      <w:pPr>
        <w:spacing w:after="0" w:line="167" w:lineRule="exact"/>
        <w:rPr>
          <w:sz w:val="20"/>
          <w:szCs w:val="20"/>
          <w:color w:val="auto"/>
        </w:rPr>
      </w:pPr>
    </w:p>
    <w:p>
      <w:pPr>
        <w:jc w:val="both"/>
        <w:ind w:firstLine="452"/>
        <w:spacing w:after="0" w:line="288" w:lineRule="auto"/>
        <w:rPr>
          <w:sz w:val="20"/>
          <w:szCs w:val="20"/>
          <w:color w:val="auto"/>
        </w:rPr>
      </w:pPr>
      <w:r>
        <w:rPr>
          <w:rFonts w:ascii="Arial" w:cs="Arial" w:eastAsia="Arial" w:hAnsi="Arial"/>
          <w:sz w:val="16"/>
          <w:szCs w:val="16"/>
          <w:color w:val="auto"/>
        </w:rPr>
        <w:t>The determination of the calculation and the adequacy of the mortgage loan valuation allowance and mortgage impairments are subjective. Our periodic evaluation and assessment of the adequacy of the mortgage loan valuation allowance and the need for mortgage impairments is based on known and inherent risks in the portfolio, adverse situations that may affect the borrower's ability to repay, the estimated value of the underlying collateral, composition of the loan portfolio, current economic conditions, loss experience and other relevant factors. The calculation for determining mortgage impairment amounts requires estimating the amounts and timing of future cash flows expected to be received on specific loans, estimating the value of the collateral and gauging changes in the economic environment in general. The total valuation allowance can be expected to increase when economic conditions worsen and decrease when economic conditions improve. For more detailed information concerning mortgage loan valuation allowances and impairments, see "Investments — U.S. Investment Operations — Mortgage Loans," and Item 8. "Financial Statements and Supplementary Data, Notes to Consolidated Financial Statements, Note 5, Investments — Mortgage Loan Valuation Allowance."</w:t>
      </w:r>
    </w:p>
    <w:p>
      <w:pPr>
        <w:spacing w:after="0" w:line="174" w:lineRule="exact"/>
        <w:rPr>
          <w:sz w:val="20"/>
          <w:szCs w:val="20"/>
          <w:color w:val="auto"/>
        </w:rPr>
      </w:pPr>
    </w:p>
    <w:p>
      <w:pPr>
        <w:jc w:val="both"/>
        <w:ind w:firstLine="398"/>
        <w:spacing w:after="0" w:line="312" w:lineRule="auto"/>
        <w:rPr>
          <w:sz w:val="20"/>
          <w:szCs w:val="20"/>
          <w:color w:val="auto"/>
        </w:rPr>
      </w:pPr>
      <w:r>
        <w:rPr>
          <w:rFonts w:ascii="Arial" w:cs="Arial" w:eastAsia="Arial" w:hAnsi="Arial"/>
          <w:sz w:val="15"/>
          <w:szCs w:val="15"/>
          <w:color w:val="auto"/>
        </w:rPr>
        <w:t>We have a large experienced commercial real estate staff centrally located in Des Moines, which includes commercial mortgage underwriters, loan closers, loan servicers, engineers, appraisers, credit analysts, research staff, legal staff, information technology personnel and portfolio managers. Experienced commercial real estate senior management adheres to a disciplined process in reviewing all transactions for approval on a consistent basis. The typical commercial mortgage loan for us averages in the mid 49% percent loan-to-value range at origination with a net operating income coverage ratio of 2.8 times the annual debt service and is internally rated A+ on a bond equivalent basis. Based on the most recent analysis, our commercial mortgage loan portfolio, excluding mortgage loans held in our Principal Global Investors segment, has an overall loan-to-value ratio of 50% with a 2.5 times debt service coverage. The large equity cushion and strong debt service coverage in our commercial mortgage investments will help insulate us from stress during times of weak commercial real estate fundamentals.</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w:t>
      </w:r>
    </w:p>
    <w:p>
      <w:pPr>
        <w:spacing w:after="0" w:line="225" w:lineRule="exact"/>
        <w:rPr>
          <w:sz w:val="20"/>
          <w:szCs w:val="20"/>
          <w:color w:val="auto"/>
        </w:rPr>
      </w:pPr>
    </w:p>
    <w:p>
      <w:pPr>
        <w:jc w:val="both"/>
        <w:ind w:firstLine="452"/>
        <w:spacing w:after="0" w:line="312" w:lineRule="auto"/>
        <w:rPr>
          <w:sz w:val="20"/>
          <w:szCs w:val="20"/>
          <w:color w:val="auto"/>
        </w:rPr>
      </w:pPr>
      <w:r>
        <w:rPr>
          <w:rFonts w:ascii="Arial" w:cs="Arial" w:eastAsia="Arial" w:hAnsi="Arial"/>
          <w:sz w:val="15"/>
          <w:szCs w:val="15"/>
          <w:color w:val="auto"/>
        </w:rPr>
        <w:t>We primarily use derivatives to hedge or reduce exposure to market risks. The fair values of exchange-traded derivatives are determined through quoted market prices. The fair value of derivative instruments cleared through centralized clearinghouses are determined through market prices published by the clearinghouses. The fair values of non-cleared over-the-counter derivative instruments are determined using either pricing valuation models that utilize market observable inputs or broker quotes. On an absolute fair value basis, 91% of our over-the-counter derivative assets and liabilities are valued using pricing valuation models, 7% are valued using broker quotes, and the remaining 2% are valued using clearinghouse prices. See Item 8. "Financial Statements and Supplementary Data, Notes to Consolidated Financial Statements, Note 15, Fair Value Measurements" for further discussion. The fair values of our derivative instruments can be impacted by changes in interest rates, foreign exchange rates, credit spreads, equity indices, and volatility, as well as other contributing factors.</w:t>
      </w:r>
    </w:p>
    <w:p>
      <w:pPr>
        <w:spacing w:after="0" w:line="159" w:lineRule="exact"/>
        <w:rPr>
          <w:sz w:val="20"/>
          <w:szCs w:val="20"/>
          <w:color w:val="auto"/>
        </w:rPr>
      </w:pPr>
    </w:p>
    <w:p>
      <w:pPr>
        <w:jc w:val="both"/>
        <w:ind w:firstLine="445"/>
        <w:spacing w:after="0" w:line="298" w:lineRule="auto"/>
        <w:rPr>
          <w:sz w:val="20"/>
          <w:szCs w:val="20"/>
          <w:color w:val="auto"/>
        </w:rPr>
      </w:pPr>
      <w:r>
        <w:rPr>
          <w:rFonts w:ascii="Arial" w:cs="Arial" w:eastAsia="Arial" w:hAnsi="Arial"/>
          <w:sz w:val="16"/>
          <w:szCs w:val="16"/>
          <w:color w:val="auto"/>
        </w:rPr>
        <w:t>We also issue certain annuity contracts and other insurance contracts that include embedded derivatives that have been bifurcated from the host contract. They are valued using a combination of historical data and actuarial judgment. See Item 8. "Financial Statements and Supplementary Data, Notes to Consolidated Financial Statements, Note 15, Fair Value Measurements" for further discussion. We include our assumption for own non-performance risk in the valuation of these embedded derivatives. As our credit spreads widen or tighten, the fair value of the embedded derivative</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9" w:name="page40"/>
    <w:bookmarkEnd w:id="3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liabilities decrease or increase, leading to an increase or decrease in net income. If the current market credit spreads reflecting our own creditworthiness move to zero (tighten), the reduction to net income would be approximately $30.0 million, net of DAC and income taxes, based on December 31, 2013, reported amounts. In addition, the policyholder behavior assumptions used in the valuation of embedded derivatives include risk margins, which increase the fair value of the embedded derivative liabilities.</w:t>
      </w:r>
    </w:p>
    <w:p>
      <w:pPr>
        <w:spacing w:after="0" w:line="197" w:lineRule="exact"/>
        <w:rPr>
          <w:sz w:val="20"/>
          <w:szCs w:val="20"/>
          <w:color w:val="auto"/>
        </w:rPr>
      </w:pPr>
    </w:p>
    <w:p>
      <w:pPr>
        <w:jc w:val="both"/>
        <w:ind w:firstLine="379"/>
        <w:spacing w:after="0" w:line="256" w:lineRule="auto"/>
        <w:rPr>
          <w:sz w:val="20"/>
          <w:szCs w:val="20"/>
          <w:color w:val="auto"/>
        </w:rPr>
      </w:pPr>
      <w:r>
        <w:rPr>
          <w:rFonts w:ascii="Arial" w:cs="Arial" w:eastAsia="Arial" w:hAnsi="Arial"/>
          <w:sz w:val="18"/>
          <w:szCs w:val="18"/>
          <w:color w:val="auto"/>
        </w:rPr>
        <w:t>The accounting for derivatives is complex and interpretations of the applicable accounting standards continue to evolve. Judgment is applied in determining the availability and application of hedge accounting designations and the appropriate accounting treatment. Judgment and estimates are used to determine the fair value of some of our derivatives. Volatility in net income can result from changes in fair value of derivatives that do not qualify or are not designated for hedge accounting and changes in fair value of embedded derivatives.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Deferred Acquisition Costs and Other Actuarial Balances</w:t>
      </w:r>
    </w:p>
    <w:p>
      <w:pPr>
        <w:spacing w:after="0" w:line="225" w:lineRule="exact"/>
        <w:rPr>
          <w:sz w:val="20"/>
          <w:szCs w:val="20"/>
          <w:color w:val="auto"/>
        </w:rPr>
      </w:pPr>
    </w:p>
    <w:p>
      <w:pPr>
        <w:jc w:val="both"/>
        <w:ind w:firstLine="363"/>
        <w:spacing w:after="0" w:line="298" w:lineRule="auto"/>
        <w:rPr>
          <w:sz w:val="20"/>
          <w:szCs w:val="20"/>
          <w:color w:val="auto"/>
        </w:rPr>
      </w:pPr>
      <w:r>
        <w:rPr>
          <w:rFonts w:ascii="Arial" w:cs="Arial" w:eastAsia="Arial" w:hAnsi="Arial"/>
          <w:sz w:val="16"/>
          <w:szCs w:val="16"/>
          <w:color w:val="auto"/>
        </w:rPr>
        <w:t>Incremental direct costs of contract acquisition as well as certain costs directly related to acquisition activities (underwriting, policy issuance and processing, medical and inspection and sales force contract selling) for the successful acquisition of new and renewal insurance policies and investment contract business are capitalized to the extent recoverable. Commissions and other incremental direct costs of contract acquisition for the acquisition of long-term service contracts are also capitalized to the extent recoverable. Maintenance costs and acquisition costs that are not deferrable are charged to net income as incurred.</w:t>
      </w:r>
    </w:p>
    <w:p>
      <w:pPr>
        <w:spacing w:after="0" w:line="167" w:lineRule="exact"/>
        <w:rPr>
          <w:sz w:val="20"/>
          <w:szCs w:val="20"/>
          <w:color w:val="auto"/>
        </w:rPr>
      </w:pPr>
    </w:p>
    <w:p>
      <w:pPr>
        <w:jc w:val="both"/>
        <w:ind w:firstLine="544"/>
        <w:spacing w:after="0" w:line="306" w:lineRule="auto"/>
        <w:rPr>
          <w:sz w:val="20"/>
          <w:szCs w:val="20"/>
          <w:color w:val="auto"/>
        </w:rPr>
      </w:pPr>
      <w:r>
        <w:rPr>
          <w:rFonts w:ascii="Arial" w:cs="Arial" w:eastAsia="Arial" w:hAnsi="Arial"/>
          <w:sz w:val="16"/>
          <w:szCs w:val="16"/>
          <w:b w:val="1"/>
          <w:bCs w:val="1"/>
          <w:i w:val="1"/>
          <w:iCs w:val="1"/>
          <w:color w:val="auto"/>
        </w:rPr>
        <w:t xml:space="preserve">Amortization Based on Estimated Gross Profits. </w:t>
      </w:r>
      <w:r>
        <w:rPr>
          <w:rFonts w:ascii="Arial" w:cs="Arial" w:eastAsia="Arial" w:hAnsi="Arial"/>
          <w:sz w:val="16"/>
          <w:szCs w:val="16"/>
          <w:color w:val="auto"/>
        </w:rPr>
        <w:t>DAC for universal life-type insurance contracts, participating life insurance policies and certain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investment contracts are amortized over the expected lifetime of the policies in relation to estimated gross profits ("EGPs"). As of December 31, 2013, these policies accounted for 73% of our total DAC balance. In addition to DAC, the following actuarial balances are also amortized in relation to EGPs.</w:t>
      </w:r>
    </w:p>
    <w:p>
      <w:pPr>
        <w:spacing w:after="0" w:line="174" w:lineRule="exact"/>
        <w:rPr>
          <w:sz w:val="20"/>
          <w:szCs w:val="20"/>
          <w:color w:val="auto"/>
        </w:rPr>
      </w:pPr>
    </w:p>
    <w:p>
      <w:pPr>
        <w:jc w:val="both"/>
        <w:ind w:left="1080" w:hanging="532"/>
        <w:spacing w:after="0" w:line="370" w:lineRule="auto"/>
        <w:tabs>
          <w:tab w:leader="none" w:pos="1080" w:val="left"/>
        </w:tabs>
        <w:numPr>
          <w:ilvl w:val="0"/>
          <w:numId w:val="20"/>
        </w:numPr>
        <w:rPr>
          <w:rFonts w:ascii="Arial" w:cs="Arial" w:eastAsia="Arial" w:hAnsi="Arial"/>
          <w:sz w:val="15"/>
          <w:szCs w:val="15"/>
          <w:color w:val="auto"/>
        </w:rPr>
      </w:pPr>
      <w:r>
        <w:rPr>
          <w:rFonts w:ascii="Arial" w:cs="Arial" w:eastAsia="Arial" w:hAnsi="Arial"/>
          <w:sz w:val="15"/>
          <w:szCs w:val="15"/>
          <w:color w:val="auto"/>
        </w:rPr>
        <w:t>Sales inducement asset — Sales inducements are amounts that are credited to the contractholder's account balance as an inducement to purchase the contract. Like DAC, the cost of the sales inducement is capitalized and amortized over the expected life of the contract, in proportion to EGPs.</w:t>
      </w:r>
    </w:p>
    <w:p>
      <w:pPr>
        <w:spacing w:after="0" w:line="143" w:lineRule="exact"/>
        <w:rPr>
          <w:rFonts w:ascii="Arial" w:cs="Arial" w:eastAsia="Arial" w:hAnsi="Arial"/>
          <w:sz w:val="15"/>
          <w:szCs w:val="15"/>
          <w:color w:val="auto"/>
        </w:rPr>
      </w:pPr>
    </w:p>
    <w:p>
      <w:pPr>
        <w:jc w:val="both"/>
        <w:ind w:left="1080" w:hanging="532"/>
        <w:spacing w:after="0" w:line="259" w:lineRule="auto"/>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Unearned revenue liability — An unearned revenue liability is established when we collect fees or other policyholder assessments that represent compensation for services to be provided in future periods. These revenues are deferred and then amortized over the expected life of the contract, in proportion to EGPs.</w:t>
      </w:r>
    </w:p>
    <w:p>
      <w:pPr>
        <w:spacing w:after="0" w:line="207"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Reinsurance asset or liability — For universal-life type products that are reinsured, a reinsurance asset or liability is established to spread the expected net reinsurance costs or profits in proportion to the EGPs on the underlying business.</w:t>
      </w:r>
    </w:p>
    <w:p>
      <w:pPr>
        <w:spacing w:after="0" w:line="199" w:lineRule="exact"/>
        <w:rPr>
          <w:rFonts w:ascii="Arial" w:cs="Arial" w:eastAsia="Arial" w:hAnsi="Arial"/>
          <w:sz w:val="18"/>
          <w:szCs w:val="18"/>
          <w:color w:val="auto"/>
        </w:rPr>
      </w:pPr>
    </w:p>
    <w:p>
      <w:pPr>
        <w:jc w:val="both"/>
        <w:ind w:left="1080" w:hanging="532"/>
        <w:spacing w:after="0" w:line="259" w:lineRule="auto"/>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Present value of future profits ("PVFP") — This is an intangible asset that arises in connection with the acquisition of a life insurance company or a block of insurance business. PVFP for universal life-type insurance contracts, participating life insurance policies and certain investment contracts is amortized over the expected life of the contracts acquired, in proportion to EGPs.</w:t>
      </w:r>
    </w:p>
    <w:p>
      <w:pPr>
        <w:spacing w:after="0" w:line="194" w:lineRule="exact"/>
        <w:rPr>
          <w:sz w:val="20"/>
          <w:szCs w:val="20"/>
          <w:color w:val="auto"/>
        </w:rPr>
      </w:pPr>
    </w:p>
    <w:p>
      <w:pPr>
        <w:jc w:val="both"/>
        <w:ind w:firstLine="388"/>
        <w:spacing w:after="0" w:line="268" w:lineRule="auto"/>
        <w:rPr>
          <w:sz w:val="20"/>
          <w:szCs w:val="20"/>
          <w:color w:val="auto"/>
        </w:rPr>
      </w:pPr>
      <w:r>
        <w:rPr>
          <w:rFonts w:ascii="Arial" w:cs="Arial" w:eastAsia="Arial" w:hAnsi="Arial"/>
          <w:sz w:val="18"/>
          <w:szCs w:val="18"/>
          <w:color w:val="auto"/>
        </w:rPr>
        <w:t>We also have additional benefit reserves that are established for annuity or universal life-type contracts that provide benefit guarantees, or for contracts that are expected to produce profits followed by losses. The liabilities are accrued in relation to estimated contract assessments.</w:t>
      </w:r>
    </w:p>
    <w:p>
      <w:pPr>
        <w:spacing w:after="0" w:line="186" w:lineRule="exact"/>
        <w:rPr>
          <w:sz w:val="20"/>
          <w:szCs w:val="20"/>
          <w:color w:val="auto"/>
        </w:rPr>
      </w:pPr>
    </w:p>
    <w:p>
      <w:pPr>
        <w:jc w:val="both"/>
        <w:ind w:firstLine="470"/>
        <w:spacing w:after="0" w:line="314" w:lineRule="auto"/>
        <w:rPr>
          <w:sz w:val="20"/>
          <w:szCs w:val="20"/>
          <w:color w:val="auto"/>
        </w:rPr>
      </w:pPr>
      <w:r>
        <w:rPr>
          <w:rFonts w:ascii="Arial" w:cs="Arial" w:eastAsia="Arial" w:hAnsi="Arial"/>
          <w:sz w:val="15"/>
          <w:szCs w:val="15"/>
          <w:color w:val="auto"/>
        </w:rPr>
        <w:t>We define EGPs to include assumptions relating to mortality, morbidity, lapses, investment yield and expenses as well as the change in our liability for certain guarantees and the difference between actual and expected reinsurance premiums and recoveries, depending on the nature of the contract. We develop an estimate of EGPs at issue and each valuation date. As actual experience emerges, the gross profits may vary from those expected either in magnitude or timing, in which case a true-up to actual occurs as a charge or credit to current net income. In addition, we are required to revise our assumptions regarding future experience if actual experience or other evidence suggests that earlier estimates should be revised; we refer to this as unlocking. Both actions, reflecting actual experience and changing future estimates, can change both the current amount and the future amortization pattern of the DAC asset and related actuarial balances.</w:t>
      </w:r>
    </w:p>
    <w:p>
      <w:pPr>
        <w:spacing w:after="0" w:line="159" w:lineRule="exact"/>
        <w:rPr>
          <w:sz w:val="20"/>
          <w:szCs w:val="20"/>
          <w:color w:val="auto"/>
        </w:rPr>
      </w:pPr>
    </w:p>
    <w:p>
      <w:pPr>
        <w:jc w:val="both"/>
        <w:ind w:firstLine="367"/>
        <w:spacing w:after="0" w:line="294" w:lineRule="auto"/>
        <w:rPr>
          <w:sz w:val="20"/>
          <w:szCs w:val="20"/>
          <w:color w:val="auto"/>
        </w:rPr>
      </w:pPr>
      <w:r>
        <w:rPr>
          <w:rFonts w:ascii="Arial" w:cs="Arial" w:eastAsia="Arial" w:hAnsi="Arial"/>
          <w:sz w:val="16"/>
          <w:szCs w:val="16"/>
          <w:color w:val="auto"/>
        </w:rPr>
        <w:t>For individual variable life insurance, individual variable annuities and group annuities that have separate account U.S. equity investment options, we utilize a mean reversion methodology (reversion to the mean assumption), a common industry practice, to determine the future domestic equity market growth rate assumption used for the calculation of EGPs. If actual annualized U.S. equity market performance varies from our 8% long-term assumption, we assume different performance levels in the short-term such that the mean return is equal to the long-term assumption over the mean reversion period. However, our mean reversion process generally limits assumed returns to a range of 4 - 12% during the mean reversion period.</w:t>
      </w:r>
    </w:p>
    <w:p>
      <w:pPr>
        <w:spacing w:after="0" w:line="170" w:lineRule="exact"/>
        <w:rPr>
          <w:sz w:val="20"/>
          <w:szCs w:val="20"/>
          <w:color w:val="auto"/>
        </w:rPr>
      </w:pPr>
    </w:p>
    <w:p>
      <w:pPr>
        <w:jc w:val="both"/>
        <w:ind w:firstLine="370"/>
        <w:spacing w:after="0" w:line="256" w:lineRule="auto"/>
        <w:rPr>
          <w:sz w:val="20"/>
          <w:szCs w:val="20"/>
          <w:color w:val="auto"/>
        </w:rPr>
      </w:pPr>
      <w:r>
        <w:rPr>
          <w:rFonts w:ascii="Arial" w:cs="Arial" w:eastAsia="Arial" w:hAnsi="Arial"/>
          <w:sz w:val="18"/>
          <w:szCs w:val="18"/>
          <w:b w:val="1"/>
          <w:bCs w:val="1"/>
          <w:i w:val="1"/>
          <w:iCs w:val="1"/>
          <w:color w:val="auto"/>
        </w:rPr>
        <w:t xml:space="preserve">Amortization Based on Estimated Gross Revenues. </w:t>
      </w:r>
      <w:r>
        <w:rPr>
          <w:rFonts w:ascii="Arial" w:cs="Arial" w:eastAsia="Arial" w:hAnsi="Arial"/>
          <w:sz w:val="18"/>
          <w:szCs w:val="18"/>
          <w:color w:val="auto"/>
        </w:rPr>
        <w:t>DAC and certain of the actuarial balances on a portion of our universal life products are amortized in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proportion to estimated gross revenues rather than EGPs. Estimated gross revenues include similar assumptions as the revenue component of EGPs and the changes of future estimates and reflection of actual experience is done in the same manner as EGPs discussed above. As of December 31, 2013, these policies accounted for 6% of our total DAC balance.</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0" w:name="page41"/>
    <w:bookmarkEnd w:id="4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firstLine="408"/>
        <w:spacing w:after="0" w:line="256" w:lineRule="auto"/>
        <w:rPr>
          <w:sz w:val="20"/>
          <w:szCs w:val="20"/>
          <w:color w:val="auto"/>
        </w:rPr>
      </w:pPr>
      <w:r>
        <w:rPr>
          <w:rFonts w:ascii="Arial" w:cs="Arial" w:eastAsia="Arial" w:hAnsi="Arial"/>
          <w:sz w:val="18"/>
          <w:szCs w:val="18"/>
          <w:b w:val="1"/>
          <w:bCs w:val="1"/>
          <w:i w:val="1"/>
          <w:iCs w:val="1"/>
          <w:color w:val="auto"/>
        </w:rPr>
        <w:t xml:space="preserve">Amortization Based on Premium-Paying Period. </w:t>
      </w:r>
      <w:r>
        <w:rPr>
          <w:rFonts w:ascii="Arial" w:cs="Arial" w:eastAsia="Arial" w:hAnsi="Arial"/>
          <w:sz w:val="18"/>
          <w:szCs w:val="18"/>
          <w:color w:val="auto"/>
        </w:rPr>
        <w:t>DAC of non-participating term life insurance and individual disability policies are amortized over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premium-paying period of the related policies using assumptions consistent with those used in computing policyholder liabilities. Once these assumptions are made for a given policy or group of policies, they will not be changed over the life of the policy unless a loss recognition event occurs. As of December 31, 2013, these policies accounted for 15% of our total DAC balance.</w:t>
      </w:r>
    </w:p>
    <w:p>
      <w:pPr>
        <w:spacing w:after="0" w:line="197" w:lineRule="exact"/>
        <w:rPr>
          <w:sz w:val="20"/>
          <w:szCs w:val="20"/>
          <w:color w:val="auto"/>
        </w:rPr>
      </w:pPr>
    </w:p>
    <w:p>
      <w:pPr>
        <w:jc w:val="both"/>
        <w:ind w:firstLine="417"/>
        <w:spacing w:after="0" w:line="259" w:lineRule="auto"/>
        <w:rPr>
          <w:sz w:val="20"/>
          <w:szCs w:val="20"/>
          <w:color w:val="auto"/>
        </w:rPr>
      </w:pPr>
      <w:r>
        <w:rPr>
          <w:rFonts w:ascii="Arial" w:cs="Arial" w:eastAsia="Arial" w:hAnsi="Arial"/>
          <w:sz w:val="18"/>
          <w:szCs w:val="18"/>
          <w:b w:val="1"/>
          <w:bCs w:val="1"/>
          <w:i w:val="1"/>
          <w:iCs w:val="1"/>
          <w:color w:val="auto"/>
        </w:rPr>
        <w:t xml:space="preserve">Amortization Based on Service Period. </w:t>
      </w:r>
      <w:r>
        <w:rPr>
          <w:rFonts w:ascii="Arial" w:cs="Arial" w:eastAsia="Arial" w:hAnsi="Arial"/>
          <w:sz w:val="18"/>
          <w:szCs w:val="18"/>
          <w:color w:val="auto"/>
        </w:rPr>
        <w:t>DAC of long-term service contracts are amortized in proportion to the revenue recognized or straight-line if no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pattern of revenue recognition can be reasonably predicted. We amortize capitalized costs of long-term service contracts on a straight-line basis over the expected contract life. As of December 31, 2013, these contracts accounted for 6% of our total DAC balance.</w:t>
      </w:r>
    </w:p>
    <w:p>
      <w:pPr>
        <w:spacing w:after="0" w:line="194" w:lineRule="exact"/>
        <w:rPr>
          <w:sz w:val="20"/>
          <w:szCs w:val="20"/>
          <w:color w:val="auto"/>
        </w:rPr>
      </w:pPr>
    </w:p>
    <w:p>
      <w:pPr>
        <w:jc w:val="both"/>
        <w:ind w:firstLine="399"/>
        <w:spacing w:after="0" w:line="256" w:lineRule="auto"/>
        <w:rPr>
          <w:sz w:val="20"/>
          <w:szCs w:val="20"/>
          <w:color w:val="auto"/>
        </w:rPr>
      </w:pPr>
      <w:r>
        <w:rPr>
          <w:rFonts w:ascii="Arial" w:cs="Arial" w:eastAsia="Arial" w:hAnsi="Arial"/>
          <w:sz w:val="18"/>
          <w:szCs w:val="18"/>
          <w:b w:val="1"/>
          <w:bCs w:val="1"/>
          <w:i w:val="1"/>
          <w:iCs w:val="1"/>
          <w:color w:val="auto"/>
        </w:rPr>
        <w:t xml:space="preserve">Internal Replacements. </w:t>
      </w:r>
      <w:r>
        <w:rPr>
          <w:rFonts w:ascii="Arial" w:cs="Arial" w:eastAsia="Arial" w:hAnsi="Arial"/>
          <w:sz w:val="18"/>
          <w:szCs w:val="18"/>
          <w:color w:val="auto"/>
        </w:rPr>
        <w:t>We review policies for modifications that result in the exchange of an existing contract for a new contract. If the new contract is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determined to be an internal replacement that is substantially changed from the replaced contract, any unamortized DAC and related actuarial balances are written off and acquisition costs related to the new contract are capitalized as appropriate. If the new contract is substantially unchanged, we continue to amortize the existing DAC and related actuarial balances.</w:t>
      </w:r>
    </w:p>
    <w:p>
      <w:pPr>
        <w:spacing w:after="0" w:line="197" w:lineRule="exact"/>
        <w:rPr>
          <w:sz w:val="20"/>
          <w:szCs w:val="20"/>
          <w:color w:val="auto"/>
        </w:rPr>
      </w:pPr>
    </w:p>
    <w:p>
      <w:pPr>
        <w:jc w:val="both"/>
        <w:ind w:firstLine="378"/>
        <w:spacing w:after="0" w:line="298" w:lineRule="auto"/>
        <w:rPr>
          <w:sz w:val="20"/>
          <w:szCs w:val="20"/>
          <w:color w:val="auto"/>
        </w:rPr>
      </w:pPr>
      <w:r>
        <w:rPr>
          <w:rFonts w:ascii="Arial" w:cs="Arial" w:eastAsia="Arial" w:hAnsi="Arial"/>
          <w:sz w:val="16"/>
          <w:szCs w:val="16"/>
          <w:b w:val="1"/>
          <w:bCs w:val="1"/>
          <w:i w:val="1"/>
          <w:iCs w:val="1"/>
          <w:color w:val="auto"/>
        </w:rPr>
        <w:t xml:space="preserve">Recoverability. </w:t>
      </w:r>
      <w:r>
        <w:rPr>
          <w:rFonts w:ascii="Arial" w:cs="Arial" w:eastAsia="Arial" w:hAnsi="Arial"/>
          <w:sz w:val="16"/>
          <w:szCs w:val="16"/>
          <w:color w:val="auto"/>
        </w:rPr>
        <w:t>DAC and sales inducement assets are subject to recoverability testing at the time of policy issue and loss recognition testing on an annual</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basis, or when an event occurs that may warrant loss recognition. Likewise, PVFP is subject to impairment testing on an annual basis, or when an event occurs that may warrant impairment. If loss recognition or impairment is necessary, the asset balances are written off to the extent that it is determined that future policy premiums and investment income or gross profits are not adequate to cover related losses and expenses.</w:t>
      </w:r>
    </w:p>
    <w:p>
      <w:pPr>
        <w:spacing w:after="0" w:line="167" w:lineRule="exact"/>
        <w:rPr>
          <w:sz w:val="20"/>
          <w:szCs w:val="20"/>
          <w:color w:val="auto"/>
        </w:rPr>
      </w:pPr>
    </w:p>
    <w:p>
      <w:pPr>
        <w:jc w:val="both"/>
        <w:ind w:firstLine="567"/>
        <w:spacing w:after="0" w:line="306" w:lineRule="auto"/>
        <w:rPr>
          <w:sz w:val="20"/>
          <w:szCs w:val="20"/>
          <w:color w:val="auto"/>
        </w:rPr>
      </w:pPr>
      <w:r>
        <w:rPr>
          <w:rFonts w:ascii="Arial" w:cs="Arial" w:eastAsia="Arial" w:hAnsi="Arial"/>
          <w:sz w:val="16"/>
          <w:szCs w:val="16"/>
          <w:b w:val="1"/>
          <w:bCs w:val="1"/>
          <w:i w:val="1"/>
          <w:iCs w:val="1"/>
          <w:color w:val="auto"/>
        </w:rPr>
        <w:t xml:space="preserve">Sensitivities. </w:t>
      </w:r>
      <w:r>
        <w:rPr>
          <w:rFonts w:ascii="Arial" w:cs="Arial" w:eastAsia="Arial" w:hAnsi="Arial"/>
          <w:sz w:val="16"/>
          <w:szCs w:val="16"/>
          <w:color w:val="auto"/>
        </w:rPr>
        <w:t>As of December 31, 2013, the net balance of DAC and related actuarial balances, excluding balances affected by changes in other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comprehensive income, was a $2,149.3 million asset. We perform sensitivity analyses to assess the impact that certain assumptions have on our DAC and related actuarial balances. The following table shows the estimated immediate impact of various assumption changes on our DAC and related actuarial balances.</w:t>
      </w:r>
    </w:p>
    <w:p>
      <w:pPr>
        <w:spacing w:after="0" w:line="14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504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7"/>
              </w:rPr>
              <w:t>Estimated impact to</w:t>
            </w:r>
          </w:p>
        </w:tc>
      </w:t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504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6"/>
              </w:rPr>
              <w:t>net income (1)</w:t>
            </w: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504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280" w:type="dxa"/>
            <w:vAlign w:val="bottom"/>
            <w:tcBorders>
              <w:top w:val="single" w:sz="8" w:color="auto"/>
            </w:tcBorders>
          </w:tcPr>
          <w:p>
            <w:pPr>
              <w:jc w:val="center"/>
              <w:ind w:right="12"/>
              <w:spacing w:after="0" w:line="142" w:lineRule="exact"/>
              <w:rPr>
                <w:sz w:val="20"/>
                <w:szCs w:val="20"/>
                <w:color w:val="auto"/>
              </w:rPr>
            </w:pPr>
            <w:r>
              <w:rPr>
                <w:rFonts w:ascii="Arial" w:cs="Arial" w:eastAsia="Arial" w:hAnsi="Arial"/>
                <w:sz w:val="14"/>
                <w:szCs w:val="14"/>
                <w:b w:val="1"/>
                <w:bCs w:val="1"/>
                <w:i w:val="1"/>
                <w:iCs w:val="1"/>
                <w:color w:val="auto"/>
                <w:w w:val="86"/>
              </w:rPr>
              <w:t>(in millions)</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1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Reducing the future equity return assumption by 1%</w:t>
            </w:r>
          </w:p>
        </w:tc>
        <w:tc>
          <w:tcPr>
            <w:tcW w:w="15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4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(7)</w:t>
            </w:r>
          </w:p>
        </w:tc>
      </w:tr>
      <w:tr>
        <w:trPr>
          <w:trHeight w:val="149"/>
        </w:trPr>
        <w:tc>
          <w:tcPr>
            <w:tcW w:w="20" w:type="dxa"/>
            <w:vAlign w:val="bottom"/>
          </w:tcPr>
          <w:p>
            <w:pPr>
              <w:spacing w:after="0"/>
              <w:rPr>
                <w:sz w:val="12"/>
                <w:szCs w:val="12"/>
                <w:color w:val="auto"/>
              </w:rPr>
            </w:pPr>
          </w:p>
        </w:tc>
        <w:tc>
          <w:tcPr>
            <w:tcW w:w="6160" w:type="dxa"/>
            <w:vAlign w:val="bottom"/>
            <w:gridSpan w:val="2"/>
          </w:tcPr>
          <w:p>
            <w:pPr>
              <w:spacing w:after="0" w:line="149" w:lineRule="exact"/>
              <w:rPr>
                <w:sz w:val="20"/>
                <w:szCs w:val="20"/>
                <w:color w:val="auto"/>
              </w:rPr>
            </w:pPr>
            <w:r>
              <w:rPr>
                <w:rFonts w:ascii="Arial" w:cs="Arial" w:eastAsia="Arial" w:hAnsi="Arial"/>
                <w:sz w:val="14"/>
                <w:szCs w:val="14"/>
                <w:color w:val="auto"/>
              </w:rPr>
              <w:t>Reducing the long-term general account net investment returns assumption by 0.5% (2)</w:t>
            </w:r>
          </w:p>
        </w:tc>
        <w:tc>
          <w:tcPr>
            <w:tcW w:w="14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4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(68)</w:t>
            </w:r>
          </w:p>
        </w:tc>
      </w:tr>
      <w:tr>
        <w:trPr>
          <w:trHeight w:val="149"/>
        </w:trPr>
        <w:tc>
          <w:tcPr>
            <w:tcW w:w="20" w:type="dxa"/>
            <w:vAlign w:val="bottom"/>
          </w:tcPr>
          <w:p>
            <w:pPr>
              <w:spacing w:after="0"/>
              <w:rPr>
                <w:sz w:val="12"/>
                <w:szCs w:val="12"/>
                <w:color w:val="auto"/>
              </w:rPr>
            </w:pPr>
          </w:p>
        </w:tc>
        <w:tc>
          <w:tcPr>
            <w:tcW w:w="61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 one-time, 10% drop in equity market values</w:t>
            </w:r>
          </w:p>
        </w:tc>
        <w:tc>
          <w:tcPr>
            <w:tcW w:w="14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(11)</w:t>
            </w:r>
          </w:p>
        </w:tc>
      </w:tr>
      <w:tr>
        <w:trPr>
          <w:trHeight w:val="108"/>
        </w:trPr>
        <w:tc>
          <w:tcPr>
            <w:tcW w:w="20" w:type="dxa"/>
            <w:vAlign w:val="bottom"/>
          </w:tcPr>
          <w:p>
            <w:pPr>
              <w:spacing w:after="0"/>
              <w:rPr>
                <w:sz w:val="9"/>
                <w:szCs w:val="9"/>
                <w:color w:val="auto"/>
              </w:rPr>
            </w:pPr>
          </w:p>
        </w:tc>
        <w:tc>
          <w:tcPr>
            <w:tcW w:w="1120" w:type="dxa"/>
            <w:vAlign w:val="bottom"/>
            <w:tcBorders>
              <w:bottom w:val="single" w:sz="8" w:color="auto"/>
            </w:tcBorders>
          </w:tcPr>
          <w:p>
            <w:pPr>
              <w:spacing w:after="0"/>
              <w:rPr>
                <w:sz w:val="9"/>
                <w:szCs w:val="9"/>
                <w:color w:val="auto"/>
              </w:rPr>
            </w:pPr>
          </w:p>
        </w:tc>
        <w:tc>
          <w:tcPr>
            <w:tcW w:w="5040" w:type="dxa"/>
            <w:vAlign w:val="bottom"/>
          </w:tcPr>
          <w:p>
            <w:pPr>
              <w:spacing w:after="0"/>
              <w:rPr>
                <w:sz w:val="9"/>
                <w:szCs w:val="9"/>
                <w:color w:val="auto"/>
              </w:rPr>
            </w:pPr>
          </w:p>
        </w:tc>
        <w:tc>
          <w:tcPr>
            <w:tcW w:w="1460" w:type="dxa"/>
            <w:vAlign w:val="bottom"/>
          </w:tcPr>
          <w:p>
            <w:pPr>
              <w:spacing w:after="0"/>
              <w:rPr>
                <w:sz w:val="9"/>
                <w:szCs w:val="9"/>
                <w:color w:val="auto"/>
              </w:rPr>
            </w:pPr>
          </w:p>
        </w:tc>
        <w:tc>
          <w:tcPr>
            <w:tcW w:w="6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60" w:type="dxa"/>
            <w:vAlign w:val="bottom"/>
          </w:tcPr>
          <w:p>
            <w:pPr>
              <w:spacing w:after="0"/>
              <w:rPr>
                <w:sz w:val="9"/>
                <w:szCs w:val="9"/>
                <w:color w:val="auto"/>
              </w:rPr>
            </w:pPr>
          </w:p>
        </w:tc>
      </w:tr>
    </w:tbl>
    <w:p>
      <w:pPr>
        <w:spacing w:after="0" w:line="192" w:lineRule="exact"/>
        <w:rPr>
          <w:sz w:val="20"/>
          <w:szCs w:val="20"/>
          <w:color w:val="auto"/>
        </w:rPr>
      </w:pPr>
    </w:p>
    <w:p>
      <w:pPr>
        <w:jc w:val="both"/>
        <w:ind w:left="1680" w:hanging="531"/>
        <w:spacing w:after="0" w:line="233" w:lineRule="auto"/>
        <w:tabs>
          <w:tab w:leader="none" w:pos="1680" w:val="left"/>
        </w:tabs>
        <w:numPr>
          <w:ilvl w:val="0"/>
          <w:numId w:val="21"/>
        </w:numPr>
        <w:rPr>
          <w:rFonts w:ascii="Arial" w:cs="Arial" w:eastAsia="Arial" w:hAnsi="Arial"/>
          <w:sz w:val="14"/>
          <w:szCs w:val="14"/>
          <w:color w:val="auto"/>
        </w:rPr>
      </w:pPr>
      <w:r>
        <w:rPr>
          <w:rFonts w:ascii="Arial" w:cs="Arial" w:eastAsia="Arial" w:hAnsi="Arial"/>
          <w:sz w:val="14"/>
          <w:szCs w:val="14"/>
          <w:color w:val="auto"/>
        </w:rPr>
        <w:t>Reflects the net impact of changes to the DAC asset, sales inducement asset, unearned revenue liability, reinsurance asset or liability, PVFP, additional benefit reserves and related taxes. Includes the impact on net income of changes in DAC and related balances for our equity method subsidiaries. The DAC and related balances of the equity method subsidiaries are not included in the total DAC balance listed above as they are not fully consolidated.</w:t>
      </w:r>
    </w:p>
    <w:p>
      <w:pPr>
        <w:spacing w:after="0" w:line="111" w:lineRule="exact"/>
        <w:rPr>
          <w:rFonts w:ascii="Arial" w:cs="Arial" w:eastAsia="Arial" w:hAnsi="Arial"/>
          <w:sz w:val="14"/>
          <w:szCs w:val="14"/>
          <w:color w:val="auto"/>
        </w:rPr>
      </w:pPr>
    </w:p>
    <w:p>
      <w:pPr>
        <w:ind w:left="1680" w:hanging="531"/>
        <w:spacing w:after="0"/>
        <w:tabs>
          <w:tab w:leader="none" w:pos="1680" w:val="left"/>
        </w:tabs>
        <w:numPr>
          <w:ilvl w:val="0"/>
          <w:numId w:val="21"/>
        </w:numPr>
        <w:rPr>
          <w:rFonts w:ascii="Arial" w:cs="Arial" w:eastAsia="Arial" w:hAnsi="Arial"/>
          <w:sz w:val="14"/>
          <w:szCs w:val="14"/>
          <w:color w:val="auto"/>
        </w:rPr>
      </w:pPr>
      <w:r>
        <w:rPr>
          <w:rFonts w:ascii="Arial" w:cs="Arial" w:eastAsia="Arial" w:hAnsi="Arial"/>
          <w:sz w:val="14"/>
          <w:szCs w:val="14"/>
          <w:color w:val="auto"/>
        </w:rPr>
        <w:t>Net investment return represents net investment income plus net realized capital gains (losses).</w:t>
      </w:r>
    </w:p>
    <w:p>
      <w:pPr>
        <w:spacing w:after="0" w:line="20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Goodwill and Other Intangible Assets</w:t>
      </w:r>
    </w:p>
    <w:p>
      <w:pPr>
        <w:spacing w:after="0" w:line="225" w:lineRule="exact"/>
        <w:rPr>
          <w:sz w:val="20"/>
          <w:szCs w:val="20"/>
          <w:color w:val="auto"/>
        </w:rPr>
      </w:pPr>
    </w:p>
    <w:p>
      <w:pPr>
        <w:jc w:val="both"/>
        <w:ind w:firstLine="354"/>
        <w:spacing w:after="0" w:line="294" w:lineRule="auto"/>
        <w:rPr>
          <w:sz w:val="20"/>
          <w:szCs w:val="20"/>
          <w:color w:val="auto"/>
        </w:rPr>
      </w:pPr>
      <w:r>
        <w:rPr>
          <w:rFonts w:ascii="Arial" w:cs="Arial" w:eastAsia="Arial" w:hAnsi="Arial"/>
          <w:sz w:val="16"/>
          <w:szCs w:val="16"/>
          <w:color w:val="auto"/>
        </w:rPr>
        <w:t>Goodwill and other intangible assets include the cost of acquired subsidiaries in excess of the fair value of the net tangible assets recorded in connection with acquisitions. Goodwill and intangible assets with indefinite lives are not amortized; rather, we test the carrying value for impairment at least annually at the reporting unit level, which is a business one level below the operating segment. We formally conduct our annual goodwill and other intangible asset impairment testing during the third quarter. Under certain circumstances, interim impairment tests may be required if events occur or circumstances change that would more likely than not reduce the fair value of a reporting unit below its carrying value.</w:t>
      </w:r>
    </w:p>
    <w:p>
      <w:pPr>
        <w:spacing w:after="0" w:line="170" w:lineRule="exact"/>
        <w:rPr>
          <w:sz w:val="20"/>
          <w:szCs w:val="20"/>
          <w:color w:val="auto"/>
        </w:rPr>
      </w:pPr>
    </w:p>
    <w:p>
      <w:pPr>
        <w:jc w:val="both"/>
        <w:ind w:firstLine="360"/>
        <w:spacing w:after="0" w:line="291" w:lineRule="auto"/>
        <w:rPr>
          <w:sz w:val="20"/>
          <w:szCs w:val="20"/>
          <w:color w:val="auto"/>
        </w:rPr>
      </w:pPr>
      <w:r>
        <w:rPr>
          <w:rFonts w:ascii="Arial" w:cs="Arial" w:eastAsia="Arial" w:hAnsi="Arial"/>
          <w:sz w:val="16"/>
          <w:szCs w:val="16"/>
          <w:color w:val="auto"/>
        </w:rPr>
        <w:t>We perform a two-step test in our evaluation of the carrying value of goodwill. In Step 1 of the evaluation, the fair value of each reporting unit is determined and compared to the carrying value of the reporting unit. If the fair value is greater than the carrying value, then the carrying value of the reporting unit is deemed to be recoverable, and Step 2 is not required. If the fair value estimate is less than the carrying value, it is an indicator that impairment may exist, and Step 2 is required. In Step 2, the reporting unit's goodwill implied fair value is determined. The reporting unit's fair value as determined in Step 1 is assigned to all of its net assets (recognized and unrecognized) as if the reporting unit were acquired in a business combination as of the date of the impairment test. If the implied fair value of the reporting unit's goodwill is lower than its carrying amount, goodwill is impaired and written down to its implied fair value.</w:t>
      </w:r>
    </w:p>
    <w:p>
      <w:pPr>
        <w:spacing w:after="0" w:line="174" w:lineRule="exact"/>
        <w:rPr>
          <w:sz w:val="20"/>
          <w:szCs w:val="20"/>
          <w:color w:val="auto"/>
        </w:rPr>
      </w:pPr>
    </w:p>
    <w:p>
      <w:pPr>
        <w:jc w:val="both"/>
        <w:ind w:firstLine="402"/>
        <w:spacing w:after="0" w:line="306" w:lineRule="auto"/>
        <w:rPr>
          <w:sz w:val="20"/>
          <w:szCs w:val="20"/>
          <w:color w:val="auto"/>
        </w:rPr>
      </w:pPr>
      <w:r>
        <w:rPr>
          <w:rFonts w:ascii="Arial" w:cs="Arial" w:eastAsia="Arial" w:hAnsi="Arial"/>
          <w:sz w:val="16"/>
          <w:szCs w:val="16"/>
          <w:color w:val="auto"/>
        </w:rPr>
        <w:t>The determination of fair value for our reporting units is primarily based on an income approach whereby we use discounted cash flows for each reporting unit. When available, and as appropriate, we use market approaches or other valuation techniques to corroborate discounted cash flow results. The discounted cash flow model used for each reporting unit is based on either income or distributable cash flow, depending on the reporting unit being valued.</w:t>
      </w:r>
    </w:p>
    <w:p>
      <w:pPr>
        <w:spacing w:after="0" w:line="161" w:lineRule="exact"/>
        <w:rPr>
          <w:sz w:val="20"/>
          <w:szCs w:val="20"/>
          <w:color w:val="auto"/>
        </w:rPr>
      </w:pPr>
    </w:p>
    <w:p>
      <w:pPr>
        <w:jc w:val="both"/>
        <w:ind w:right="20" w:firstLine="462"/>
        <w:spacing w:after="0" w:line="259" w:lineRule="auto"/>
        <w:rPr>
          <w:sz w:val="20"/>
          <w:szCs w:val="20"/>
          <w:color w:val="auto"/>
        </w:rPr>
      </w:pPr>
      <w:r>
        <w:rPr>
          <w:rFonts w:ascii="Arial" w:cs="Arial" w:eastAsia="Arial" w:hAnsi="Arial"/>
          <w:sz w:val="18"/>
          <w:szCs w:val="18"/>
          <w:color w:val="auto"/>
        </w:rPr>
        <w:t>For the income model, we determine fair value based on the present value of the most recent income projections for each reporting unit and calculate a terminal value utilizing a terminal growth rate. The significant assumptions in the operating income model include: income projections, including the underlying assumptions; discount rate and terminal growth rate.</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1" w:name="page42"/>
    <w:bookmarkEnd w:id="4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firstLine="354"/>
        <w:spacing w:after="0" w:line="306" w:lineRule="auto"/>
        <w:rPr>
          <w:sz w:val="20"/>
          <w:szCs w:val="20"/>
          <w:color w:val="auto"/>
        </w:rPr>
      </w:pPr>
      <w:r>
        <w:rPr>
          <w:rFonts w:ascii="Arial" w:cs="Arial" w:eastAsia="Arial" w:hAnsi="Arial"/>
          <w:sz w:val="16"/>
          <w:szCs w:val="16"/>
          <w:color w:val="auto"/>
        </w:rPr>
        <w:t>For the distributable cash flow model, we determine fair value based on the present value of projected statutory net income and changes in required capital to determine distributable income for the respective reporting unit. The significant assumptions in the distributable cash flow model include: required capital levels; income projections, including the underlying assumptions; discount rate; new business projection period and new business production growth.</w:t>
      </w:r>
    </w:p>
    <w:p>
      <w:pPr>
        <w:spacing w:after="0" w:line="161" w:lineRule="exact"/>
        <w:rPr>
          <w:sz w:val="20"/>
          <w:szCs w:val="20"/>
          <w:color w:val="auto"/>
        </w:rPr>
      </w:pPr>
    </w:p>
    <w:p>
      <w:pPr>
        <w:jc w:val="both"/>
        <w:ind w:firstLine="396"/>
        <w:spacing w:after="0" w:line="294" w:lineRule="auto"/>
        <w:rPr>
          <w:sz w:val="20"/>
          <w:szCs w:val="20"/>
          <w:color w:val="auto"/>
        </w:rPr>
      </w:pPr>
      <w:r>
        <w:rPr>
          <w:rFonts w:ascii="Arial" w:cs="Arial" w:eastAsia="Arial" w:hAnsi="Arial"/>
          <w:sz w:val="16"/>
          <w:szCs w:val="16"/>
          <w:color w:val="auto"/>
        </w:rPr>
        <w:t>Intangible assets with useful lives are amortized as related benefits emerge and are reviewed periodically for indicators of impairment in value. If facts and circumstances suggest possible impairment, the sum of the estimated undiscounted future cash flows expected to result from the use of the asset is compared to the current carrying value of the asset. If the undiscounted future cash flows are less than the carrying value, an impairment loss is recognized for the excess of the carrying amount of assets over their fair value. For those assets amortized as related benefits emerge, the most significant assumptions involved in the estimation of future benefits include surrender/lapse rates, interest margins and mortality.</w:t>
      </w:r>
    </w:p>
    <w:p>
      <w:pPr>
        <w:spacing w:after="0" w:line="170" w:lineRule="exact"/>
        <w:rPr>
          <w:sz w:val="20"/>
          <w:szCs w:val="20"/>
          <w:color w:val="auto"/>
        </w:rPr>
      </w:pPr>
    </w:p>
    <w:p>
      <w:pPr>
        <w:jc w:val="both"/>
        <w:ind w:firstLine="460"/>
        <w:spacing w:after="0" w:line="288" w:lineRule="auto"/>
        <w:rPr>
          <w:sz w:val="20"/>
          <w:szCs w:val="20"/>
          <w:color w:val="auto"/>
        </w:rPr>
      </w:pPr>
      <w:r>
        <w:rPr>
          <w:rFonts w:ascii="Arial" w:cs="Arial" w:eastAsia="Arial" w:hAnsi="Arial"/>
          <w:sz w:val="16"/>
          <w:szCs w:val="16"/>
          <w:color w:val="auto"/>
        </w:rPr>
        <w:t>We did not recognize a material impairment in our 2013 consolidated statement of operations. The most significant goodwill and other intangible assets within our 2013 consolidated statement of financial position resulted from our 2013 acquisition of Cuprum, whereby we recorded $631.8 million of goodwill, and from our 2006 purchase of WM Advisors, Inc., whereby we acquired $608.0 million of investment management contracts which are considered an indefinite-lived intangible. We cannot predict certain future events that might adversely affect the reported value of goodwill and other intangible assets that totaled $1,100.3 million and $1,459.0 million, respectively, as of December 31, 2013. Such events include, but are not limited to, strategic decisions made in response to economic and competitive conditions, the impact of the economic environment on our customer base, interest rate movements, declines in the equity markets, the legal environment in which the businesses operate or a material negative change in our relationships with significant customers. For further information see Item 8. "Financial Statements and Supplementary Data, Notes to Consolidated Financial Statements, Note 1, Nature of Operations and Significant Accounting Policies," and "Note 3, Goodwill and Other Intangible Assets."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Insurance Reserves</w:t>
      </w:r>
    </w:p>
    <w:p>
      <w:pPr>
        <w:spacing w:after="0" w:line="225" w:lineRule="exact"/>
        <w:rPr>
          <w:sz w:val="20"/>
          <w:szCs w:val="20"/>
          <w:color w:val="auto"/>
        </w:rPr>
      </w:pPr>
    </w:p>
    <w:p>
      <w:pPr>
        <w:ind w:left="580"/>
        <w:spacing w:after="0"/>
        <w:rPr>
          <w:sz w:val="20"/>
          <w:szCs w:val="20"/>
          <w:color w:val="auto"/>
        </w:rPr>
      </w:pPr>
      <w:r>
        <w:rPr>
          <w:rFonts w:ascii="Arial" w:cs="Arial" w:eastAsia="Arial" w:hAnsi="Arial"/>
          <w:sz w:val="16"/>
          <w:szCs w:val="16"/>
          <w:color w:val="auto"/>
        </w:rPr>
        <w:t>Reserves are liabilities representing estimates of the amounts that will come due, at some point in the future, to or on behalf of our policyholders.</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U.S. GAAP, allowing for some degree of managerial judgment, prescribes the methods of establishing reserves.</w:t>
      </w:r>
    </w:p>
    <w:p>
      <w:pPr>
        <w:spacing w:after="0" w:line="219" w:lineRule="exact"/>
        <w:rPr>
          <w:sz w:val="20"/>
          <w:szCs w:val="20"/>
          <w:color w:val="auto"/>
        </w:rPr>
      </w:pPr>
    </w:p>
    <w:p>
      <w:pPr>
        <w:jc w:val="both"/>
        <w:ind w:firstLine="479"/>
        <w:spacing w:after="0" w:line="286" w:lineRule="auto"/>
        <w:rPr>
          <w:sz w:val="20"/>
          <w:szCs w:val="20"/>
          <w:color w:val="auto"/>
        </w:rPr>
      </w:pPr>
      <w:r>
        <w:rPr>
          <w:rFonts w:ascii="Arial" w:cs="Arial" w:eastAsia="Arial" w:hAnsi="Arial"/>
          <w:sz w:val="16"/>
          <w:szCs w:val="16"/>
          <w:color w:val="auto"/>
        </w:rPr>
        <w:t>Future policy benefits and claims include reserves for individual traditional and group life insurance, disability and health insurance and individual and group annuities that provide periodic income payments, which are computed using assumptions of mortality, morbidity, lapse, investment performance and expense. These assumptions are based on our experience and are periodically reviewed against industry standards to ensure actuarial credibility. For long duration insurance contracts, once these assumptions are made for a given policy or group of policies, they will not be changed over the life of the policy. However, significant changes in experience or assumptions may require us to provide for expected future losses on a product by establishing premium deficiency reserves. Premium deficiency reserves may also be established for short duration contracts to provide for expected future losses. Our reserve levels are reviewed throughout the year using internal analysis including, among other things, experience studies, claim development analysis and annual statutory asset adequacy analysis. To the extent experience indicates potential loss recognition, we recognize losses on certain lines of business. The ultimate accuracy of the assumptions on these long-tailed insurance products cannot be determined until the obligation of the entire block of business on which the assumptions were made is extinguished. Short-term variances of actual results from the assumptions used in the computation of the reserves are reflected in current period net income and can impact quarter-to-quarter net income.</w:t>
      </w:r>
    </w:p>
    <w:p>
      <w:pPr>
        <w:spacing w:after="0" w:line="181" w:lineRule="exact"/>
        <w:rPr>
          <w:sz w:val="20"/>
          <w:szCs w:val="20"/>
          <w:color w:val="auto"/>
        </w:rPr>
      </w:pPr>
    </w:p>
    <w:p>
      <w:pPr>
        <w:jc w:val="both"/>
        <w:ind w:firstLine="384"/>
        <w:spacing w:after="0" w:line="291" w:lineRule="auto"/>
        <w:rPr>
          <w:sz w:val="20"/>
          <w:szCs w:val="20"/>
          <w:color w:val="auto"/>
        </w:rPr>
      </w:pPr>
      <w:r>
        <w:rPr>
          <w:rFonts w:ascii="Arial" w:cs="Arial" w:eastAsia="Arial" w:hAnsi="Arial"/>
          <w:sz w:val="16"/>
          <w:szCs w:val="16"/>
          <w:color w:val="auto"/>
        </w:rPr>
        <w:t>Future policy benefits and claims also include reserves for incurred but unreported health, disability and life insurance claims. We recognize claims costs in the period the service was provided to our policyowners. However, claims costs incurred in a particular period are not known with certainty until after we receive, process and pay the claims. We determine the amount of this liability using actuarial methods based on historical claim payment patterns as well as emerging medical cost trends, where applicable, to determine our estimate of claim liabilities. We also look back to assess how our prior periods' estimates developed. To the extent appropriate, changes in such development are recorded as a change to current period claim expense. Historically, the amount of the claim reserve adjustment made in subsequent reporting periods for prior period estimates have been within a reasonable range given our normal claim fluctuations.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Benefit Plans</w:t>
      </w:r>
    </w:p>
    <w:p>
      <w:pPr>
        <w:spacing w:after="0" w:line="225" w:lineRule="exact"/>
        <w:rPr>
          <w:sz w:val="20"/>
          <w:szCs w:val="20"/>
          <w:color w:val="auto"/>
        </w:rPr>
      </w:pPr>
    </w:p>
    <w:p>
      <w:pPr>
        <w:jc w:val="both"/>
        <w:ind w:firstLine="348"/>
        <w:spacing w:after="0" w:line="335" w:lineRule="auto"/>
        <w:rPr>
          <w:sz w:val="20"/>
          <w:szCs w:val="20"/>
          <w:color w:val="auto"/>
        </w:rPr>
      </w:pPr>
      <w:r>
        <w:rPr>
          <w:rFonts w:ascii="Arial" w:cs="Arial" w:eastAsia="Arial" w:hAnsi="Arial"/>
          <w:sz w:val="15"/>
          <w:szCs w:val="15"/>
          <w:color w:val="auto"/>
        </w:rPr>
        <w:t>The reported expense and liability associated with pension and other postretirement benefit plans requires the use of assumptions. Numerous assumptions are made regarding the discount rate, expected long-term rate of return on plan assets, turnover, expected compensation increases, health care claim costs, health care cost trends, retirement rates and mortality. The discount rate and the expected return on plan assets have the most significant impact on the level of expense.</w:t>
      </w:r>
    </w:p>
    <w:p>
      <w:pPr>
        <w:spacing w:after="0" w:line="142" w:lineRule="exact"/>
        <w:rPr>
          <w:sz w:val="20"/>
          <w:szCs w:val="20"/>
          <w:color w:val="auto"/>
        </w:rPr>
      </w:pPr>
    </w:p>
    <w:p>
      <w:pPr>
        <w:jc w:val="both"/>
        <w:ind w:firstLine="355"/>
        <w:spacing w:after="0" w:line="306" w:lineRule="auto"/>
        <w:rPr>
          <w:sz w:val="20"/>
          <w:szCs w:val="20"/>
          <w:color w:val="auto"/>
        </w:rPr>
      </w:pPr>
      <w:r>
        <w:rPr>
          <w:rFonts w:ascii="Arial" w:cs="Arial" w:eastAsia="Arial" w:hAnsi="Arial"/>
          <w:sz w:val="16"/>
          <w:szCs w:val="16"/>
          <w:color w:val="auto"/>
        </w:rPr>
        <w:t>The assumed discount rate is determined by projecting future benefit payments inherent in the Projected Benefit Obligation and discounting those cash flows using a spot yield curve for high quality corporate bonds. Our assumed discount rate for the 2013 year-end was 4.90%. Typically a 0.25% decrease in the discount rate would increase the pension benefits Projected Benefit Obligation and the Net Periodic Pension Cost ("NPPC") by approximately</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2" w:name="page43"/>
    <w:bookmarkEnd w:id="4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306" w:lineRule="auto"/>
        <w:rPr>
          <w:sz w:val="20"/>
          <w:szCs w:val="20"/>
          <w:color w:val="auto"/>
        </w:rPr>
      </w:pPr>
      <w:r>
        <w:rPr>
          <w:rFonts w:ascii="Arial" w:cs="Arial" w:eastAsia="Arial" w:hAnsi="Arial"/>
          <w:sz w:val="16"/>
          <w:szCs w:val="16"/>
          <w:color w:val="auto"/>
        </w:rPr>
        <w:t>$88.8 million and $12.2 million, respectively. Typically a 0.25% decrease in the discount rate would increase the other postretirement benefits Accumulated Postretirement Benefit Obligation by approximately $3.0 million and would have a nominal impact on the Net Periodic Benefit Cost ("NPBC"). Typically a 0.25% increase in the discount rate would result in decreases in benefit obligations and expenses at a level generally commensurate with those noted above.</w:t>
      </w:r>
    </w:p>
    <w:p>
      <w:pPr>
        <w:spacing w:after="0" w:line="161" w:lineRule="exact"/>
        <w:rPr>
          <w:sz w:val="20"/>
          <w:szCs w:val="20"/>
          <w:color w:val="auto"/>
        </w:rPr>
      </w:pPr>
    </w:p>
    <w:p>
      <w:pPr>
        <w:jc w:val="both"/>
        <w:ind w:firstLine="385"/>
        <w:spacing w:after="0" w:line="288" w:lineRule="auto"/>
        <w:rPr>
          <w:sz w:val="20"/>
          <w:szCs w:val="20"/>
          <w:color w:val="auto"/>
        </w:rPr>
      </w:pPr>
      <w:r>
        <w:rPr>
          <w:rFonts w:ascii="Arial" w:cs="Arial" w:eastAsia="Arial" w:hAnsi="Arial"/>
          <w:sz w:val="16"/>
          <w:szCs w:val="16"/>
          <w:color w:val="auto"/>
        </w:rPr>
        <w:t>The assumed long-term rate of return on plan assets is set at the long-term rate expected to be earned based on the long-term investment policy of the plans and the various classes of the invested funds. Historical and future expected returns of multiple asset classes were analyzed to develop a risk-free real rate of return and risk premiums for each asset class. The overall long-term rate for each asset class was developed by combining a long-term inflation component, the real risk free rate of return and the associated risk premium. A weighted average rate was developed based on long-term returns for each asset class, the plan's target asset allocation policy and the tax structure of the trusts. For the 2013 NPPC and 2013 NPBC, a 7.50% and 5.62% weighted average long-term rate of return was used, respectively. For the 2014 NPPC and 2014 NPBC, a 6.75% and 5.36% weighted average long-term rate of return assumption, respectively, will be used. Typically a 0.25% decrease in the assumed long-term rate of return would increase the NPPC by approximately $4.9 million and the NPBC by approximately $1.5 million. Typically a 0.25% increase in this rate would result in a decrease to expense at the same levels. The assumed return on plan assets is based on the fair market value of plan assets as of December 31, 2013.</w:t>
      </w:r>
    </w:p>
    <w:p>
      <w:pPr>
        <w:spacing w:after="0" w:line="174" w:lineRule="exact"/>
        <w:rPr>
          <w:sz w:val="20"/>
          <w:szCs w:val="20"/>
          <w:color w:val="auto"/>
        </w:rPr>
      </w:pPr>
    </w:p>
    <w:p>
      <w:pPr>
        <w:jc w:val="both"/>
        <w:ind w:firstLine="421"/>
        <w:spacing w:after="0" w:line="294" w:lineRule="auto"/>
        <w:rPr>
          <w:sz w:val="20"/>
          <w:szCs w:val="20"/>
          <w:color w:val="auto"/>
        </w:rPr>
      </w:pPr>
      <w:r>
        <w:rPr>
          <w:rFonts w:ascii="Arial" w:cs="Arial" w:eastAsia="Arial" w:hAnsi="Arial"/>
          <w:sz w:val="16"/>
          <w:szCs w:val="16"/>
          <w:color w:val="auto"/>
        </w:rPr>
        <w:t>The compensation increase assumption is generally set at a rate consistent with current and expected long-term compensation and salary policy, including inflation. Actuarial gains and losses are amortized using a straight-line amortization method over the average remaining service period of employees, which is approximately 7 years for pension costs and approximately 11 years for other postretirement benefit costs. Prior service costs are amortized on a weighted average basis over approximately 2 years for pension and 3 years for other postretirement benefit costs. See Item 8. "Financial Statements and Supplementary Data, Notes to Consolidated Financial Statements, Note 12, Employee and Agent Benefits" for further discussion.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jc w:val="both"/>
        <w:ind w:firstLine="358"/>
        <w:spacing w:after="0" w:line="288" w:lineRule="auto"/>
        <w:rPr>
          <w:sz w:val="20"/>
          <w:szCs w:val="20"/>
          <w:color w:val="auto"/>
        </w:rPr>
      </w:pPr>
      <w:r>
        <w:rPr>
          <w:rFonts w:ascii="Arial" w:cs="Arial" w:eastAsia="Arial" w:hAnsi="Arial"/>
          <w:sz w:val="16"/>
          <w:szCs w:val="16"/>
          <w:color w:val="auto"/>
        </w:rPr>
        <w:t>We provide for income taxes based on our estimate of the liability for taxes due. Our tax accounting represents management's best estimate of various events and transactions, such as completion of tax audits or establishment of, or changes to, a valuation allowance associated with certain deferred tax assets, which could affect our estimates and effective income tax rate in a particular quarter or annual period. Deferred tax liabilities and assets are determined based on the difference between the financial statement and tax bases of assets and liabilities using enacted tax rates expected to be in effect during the years in which the basis differences reverse. We are required to evaluate the recoverability of our deferred tax assets each quarter and establish a valuation allowance, if necessary, to reduce our deferred tax assets to an amount that is more-likely-than-not to be realizable. In determining the need for a valuation allowance, we consider many factors, including future reversals of existing taxable temporary differences, future taxable income exclusive of reversing temporary differences and carryforwards, taxable income in prior carryback years and implementation of any feasible and prudent tax planning strategies management would employ to realize the tax benefit.</w:t>
      </w:r>
    </w:p>
    <w:p>
      <w:pPr>
        <w:spacing w:after="0" w:line="174" w:lineRule="exact"/>
        <w:rPr>
          <w:sz w:val="20"/>
          <w:szCs w:val="20"/>
          <w:color w:val="auto"/>
        </w:rPr>
      </w:pPr>
    </w:p>
    <w:p>
      <w:pPr>
        <w:jc w:val="both"/>
        <w:ind w:firstLine="417"/>
        <w:spacing w:after="0" w:line="291" w:lineRule="auto"/>
        <w:rPr>
          <w:sz w:val="20"/>
          <w:szCs w:val="20"/>
          <w:color w:val="auto"/>
        </w:rPr>
      </w:pPr>
      <w:r>
        <w:rPr>
          <w:rFonts w:ascii="Arial" w:cs="Arial" w:eastAsia="Arial" w:hAnsi="Arial"/>
          <w:sz w:val="16"/>
          <w:szCs w:val="16"/>
          <w:color w:val="auto"/>
        </w:rPr>
        <w:t>Inherent in the provision for income taxes are estimates regarding the deductibility of certain items, the timing of income and expense recognition and the current or future realization of operating losses, capital losses and certain tax credits. In the event these estimates differ from our prior estimates due to the receipt of new information, we may be required to significantly change the provision for income taxes recorded in the consolidated financial statements. Any such change could significantly affect the amounts reported in the consolidated financial statements in the year these estimates change. A further significant decline in value of assets incorporated into our tax planning strategies could lead to an increase of our valuation allowance on deferred tax assets having an adverse effect on current and future results. In management's judgment, total deferred income tax assets are more likely than not to be realized.</w:t>
      </w:r>
    </w:p>
    <w:p>
      <w:pPr>
        <w:spacing w:after="0" w:line="174" w:lineRule="exact"/>
        <w:rPr>
          <w:sz w:val="20"/>
          <w:szCs w:val="20"/>
          <w:color w:val="auto"/>
        </w:rPr>
      </w:pPr>
    </w:p>
    <w:p>
      <w:pPr>
        <w:jc w:val="both"/>
        <w:ind w:firstLine="373"/>
        <w:spacing w:after="0" w:line="298" w:lineRule="auto"/>
        <w:rPr>
          <w:sz w:val="20"/>
          <w:szCs w:val="20"/>
          <w:color w:val="auto"/>
        </w:rPr>
      </w:pPr>
      <w:r>
        <w:rPr>
          <w:rFonts w:ascii="Arial" w:cs="Arial" w:eastAsia="Arial" w:hAnsi="Arial"/>
          <w:sz w:val="16"/>
          <w:szCs w:val="16"/>
          <w:color w:val="auto"/>
        </w:rPr>
        <w:t>In addition, the amount of income taxes paid is subject to audits in the U.S. as well as various state and foreign jurisdictions. Tax benefits are recognized for book purposes when the more-likely-than-not threshold is met with regard to the validity of an uncertain tax position. Once this threshold is met, for each uncertain tax position we recognize in earnings the largest amount of benefit that is greater than 50% likely of being realized upon ultimate settlement with the Internal Revenue Service or other income taxing authorities for audits ongoing or not yet commenced.</w:t>
      </w:r>
    </w:p>
    <w:p>
      <w:pPr>
        <w:spacing w:after="0" w:line="167" w:lineRule="exact"/>
        <w:rPr>
          <w:sz w:val="20"/>
          <w:szCs w:val="20"/>
          <w:color w:val="auto"/>
        </w:rPr>
      </w:pPr>
    </w:p>
    <w:p>
      <w:pPr>
        <w:jc w:val="both"/>
        <w:ind w:firstLine="539"/>
        <w:spacing w:after="0" w:line="298" w:lineRule="auto"/>
        <w:rPr>
          <w:sz w:val="20"/>
          <w:szCs w:val="20"/>
          <w:color w:val="auto"/>
        </w:rPr>
      </w:pPr>
      <w:r>
        <w:rPr>
          <w:rFonts w:ascii="Arial" w:cs="Arial" w:eastAsia="Arial" w:hAnsi="Arial"/>
          <w:sz w:val="16"/>
          <w:szCs w:val="16"/>
          <w:color w:val="auto"/>
        </w:rPr>
        <w:t>We had $329.9 million and $334.6 million of current income tax receivables associated with outstanding audit issues reported as other assets in our consolidated statements of financial position as of December 31, 2013 and 2012, respectively. We believe that we have adequate defenses against, or sufficient provisions for, the contested issues, but final resolution of contested issues could take several years while legal remedies are pursued. Consequently, we do not anticipate the ultimate resolution of audits ongoing or not yet commenced to have a material impact on our net income.</w:t>
      </w:r>
    </w:p>
    <w:p>
      <w:pPr>
        <w:spacing w:after="0" w:line="3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Event</w:t>
      </w:r>
    </w:p>
    <w:p>
      <w:pPr>
        <w:spacing w:after="0" w:line="231" w:lineRule="exact"/>
        <w:rPr>
          <w:sz w:val="20"/>
          <w:szCs w:val="20"/>
          <w:color w:val="auto"/>
        </w:rPr>
      </w:pPr>
    </w:p>
    <w:p>
      <w:pPr>
        <w:jc w:val="both"/>
        <w:ind w:firstLine="369"/>
        <w:spacing w:after="0" w:line="259" w:lineRule="auto"/>
        <w:rPr>
          <w:sz w:val="20"/>
          <w:szCs w:val="20"/>
          <w:color w:val="auto"/>
        </w:rPr>
      </w:pPr>
      <w:r>
        <w:rPr>
          <w:rFonts w:ascii="Arial" w:cs="Arial" w:eastAsia="Arial" w:hAnsi="Arial"/>
          <w:sz w:val="18"/>
          <w:szCs w:val="18"/>
          <w:color w:val="auto"/>
        </w:rPr>
        <w:t>On January 21, 2014, the Commissioner approved Principal Life's election to redeem its surplus notes. On January 30, 2014, Principal Life provided surplus note holders with a notice of redemption and will redeem the $100.0 million surplus notes, due 2044, in whole on March 1, 2014, at a redemption price equal to 102.3% of par.</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3" w:name="page44"/>
    <w:bookmarkEnd w:id="4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Transactions Affecting Comparability of Results of Operations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Acquisitions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entered into acquisition agreements for the following businesses, among others, during the past three years.</w:t>
      </w:r>
    </w:p>
    <w:p>
      <w:pPr>
        <w:spacing w:after="0" w:line="225" w:lineRule="exact"/>
        <w:rPr>
          <w:sz w:val="20"/>
          <w:szCs w:val="20"/>
          <w:color w:val="auto"/>
        </w:rPr>
      </w:pPr>
    </w:p>
    <w:p>
      <w:pPr>
        <w:jc w:val="both"/>
        <w:ind w:firstLine="598"/>
        <w:spacing w:after="0" w:line="256" w:lineRule="auto"/>
        <w:rPr>
          <w:sz w:val="20"/>
          <w:szCs w:val="20"/>
          <w:color w:val="auto"/>
        </w:rPr>
      </w:pPr>
      <w:r>
        <w:rPr>
          <w:rFonts w:ascii="Arial" w:cs="Arial" w:eastAsia="Arial" w:hAnsi="Arial"/>
          <w:sz w:val="18"/>
          <w:szCs w:val="18"/>
          <w:b w:val="1"/>
          <w:bCs w:val="1"/>
          <w:i w:val="1"/>
          <w:iCs w:val="1"/>
          <w:color w:val="auto"/>
        </w:rPr>
        <w:t xml:space="preserve">Liongate Capital Management LLP and Liongate Limited. </w:t>
      </w:r>
      <w:r>
        <w:rPr>
          <w:rFonts w:ascii="Arial" w:cs="Arial" w:eastAsia="Arial" w:hAnsi="Arial"/>
          <w:sz w:val="18"/>
          <w:szCs w:val="18"/>
          <w:color w:val="auto"/>
        </w:rPr>
        <w:t>On May 1, 2013, we finalized the purchase of a 55% interest in Liongate Capital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Management LLP and Liongate Limited ("Liongate"), a global alternative investment boutique based in London and New York. Liongate is focused on managing portfolios of hedge funds. The purchase price was $44.0 million. Liongate had $1.4 billion in AUM at the time of acquisition and is accounted for on the equity method within the Principal Global Investors segment.</w:t>
      </w:r>
    </w:p>
    <w:p>
      <w:pPr>
        <w:spacing w:after="0" w:line="197" w:lineRule="exact"/>
        <w:rPr>
          <w:sz w:val="20"/>
          <w:szCs w:val="20"/>
          <w:color w:val="auto"/>
        </w:rPr>
      </w:pPr>
    </w:p>
    <w:p>
      <w:pPr>
        <w:jc w:val="both"/>
        <w:ind w:firstLine="366"/>
        <w:spacing w:after="0" w:line="256" w:lineRule="auto"/>
        <w:rPr>
          <w:sz w:val="20"/>
          <w:szCs w:val="20"/>
          <w:color w:val="auto"/>
        </w:rPr>
      </w:pPr>
      <w:r>
        <w:rPr>
          <w:rFonts w:ascii="Arial" w:cs="Arial" w:eastAsia="Arial" w:hAnsi="Arial"/>
          <w:sz w:val="18"/>
          <w:szCs w:val="18"/>
          <w:b w:val="1"/>
          <w:bCs w:val="1"/>
          <w:i w:val="1"/>
          <w:iCs w:val="1"/>
          <w:color w:val="auto"/>
        </w:rPr>
        <w:t xml:space="preserve">AFP Cuprum S.A. </w:t>
      </w:r>
      <w:r>
        <w:rPr>
          <w:rFonts w:ascii="Arial" w:cs="Arial" w:eastAsia="Arial" w:hAnsi="Arial"/>
          <w:sz w:val="18"/>
          <w:szCs w:val="18"/>
          <w:color w:val="auto"/>
        </w:rPr>
        <w:t>On February 4, 2013, we finalized the purchase of Cuprum, a premier pension manager in Chile. As a result of the public tender offer,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we initially acquired a 91.55% ownership stake in Cuprum for a purchase price of $1.3 billion. Cuprum had $34.3 billion in AUM at the time of acquisition and is consolidated within the Principal International segment. For additional information, see Item 8, "Financial Statements, Notes to Consolidated Financial Statements, Note 2, Acquisitions".</w:t>
      </w:r>
    </w:p>
    <w:p>
      <w:pPr>
        <w:spacing w:after="0" w:line="197" w:lineRule="exact"/>
        <w:rPr>
          <w:sz w:val="20"/>
          <w:szCs w:val="20"/>
          <w:color w:val="auto"/>
        </w:rPr>
      </w:pPr>
    </w:p>
    <w:p>
      <w:pPr>
        <w:jc w:val="both"/>
        <w:ind w:firstLine="384"/>
        <w:spacing w:after="0" w:line="268" w:lineRule="auto"/>
        <w:rPr>
          <w:sz w:val="20"/>
          <w:szCs w:val="20"/>
          <w:color w:val="auto"/>
        </w:rPr>
      </w:pPr>
      <w:r>
        <w:rPr>
          <w:rFonts w:ascii="Arial" w:cs="Arial" w:eastAsia="Arial" w:hAnsi="Arial"/>
          <w:sz w:val="18"/>
          <w:szCs w:val="18"/>
          <w:b w:val="1"/>
          <w:bCs w:val="1"/>
          <w:i w:val="1"/>
          <w:iCs w:val="1"/>
          <w:color w:val="auto"/>
        </w:rPr>
        <w:t xml:space="preserve">First Dental Health. </w:t>
      </w:r>
      <w:r>
        <w:rPr>
          <w:rFonts w:ascii="Arial" w:cs="Arial" w:eastAsia="Arial" w:hAnsi="Arial"/>
          <w:sz w:val="18"/>
          <w:szCs w:val="18"/>
          <w:color w:val="auto"/>
        </w:rPr>
        <w:t>On November 1, 2012, we finalized the purchase of our 100% interest in First Dental Health, a California based independent dental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preferred provider organization. First Dental Health is consolidated within the U.S. Insurance Solutions segment.</w:t>
      </w:r>
    </w:p>
    <w:p>
      <w:pPr>
        <w:spacing w:after="0" w:line="186" w:lineRule="exact"/>
        <w:rPr>
          <w:sz w:val="20"/>
          <w:szCs w:val="20"/>
          <w:color w:val="auto"/>
        </w:rPr>
      </w:pPr>
    </w:p>
    <w:p>
      <w:pPr>
        <w:jc w:val="both"/>
        <w:ind w:firstLine="351"/>
        <w:spacing w:after="0" w:line="256" w:lineRule="auto"/>
        <w:rPr>
          <w:sz w:val="20"/>
          <w:szCs w:val="20"/>
          <w:color w:val="auto"/>
        </w:rPr>
      </w:pPr>
      <w:r>
        <w:rPr>
          <w:rFonts w:ascii="Arial" w:cs="Arial" w:eastAsia="Arial" w:hAnsi="Arial"/>
          <w:sz w:val="18"/>
          <w:szCs w:val="18"/>
          <w:b w:val="1"/>
          <w:bCs w:val="1"/>
          <w:i w:val="1"/>
          <w:iCs w:val="1"/>
          <w:color w:val="auto"/>
        </w:rPr>
        <w:t xml:space="preserve">Claritas Administração de Recursos Ltda./Claritas Investments, Ltd. </w:t>
      </w:r>
      <w:r>
        <w:rPr>
          <w:rFonts w:ascii="Arial" w:cs="Arial" w:eastAsia="Arial" w:hAnsi="Arial"/>
          <w:sz w:val="18"/>
          <w:szCs w:val="18"/>
          <w:color w:val="auto"/>
        </w:rPr>
        <w:t>On April 2, 2012, we finalized the purchase of a 60% indirect ownership in Claritas,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 leading Brazilian mutual fund and asset management company. The Sao Paulo-based company manages equity funds, balanced funds, managed accounts and other strategies for affluent clients and institutions through its multi-channel distribution network. Claritas had $1.8 billion in AUM at the time of acquisition and is consolidated within the Principal International segment.</w:t>
      </w:r>
    </w:p>
    <w:p>
      <w:pPr>
        <w:spacing w:after="0" w:line="197" w:lineRule="exact"/>
        <w:rPr>
          <w:sz w:val="20"/>
          <w:szCs w:val="20"/>
          <w:color w:val="auto"/>
        </w:rPr>
      </w:pPr>
    </w:p>
    <w:p>
      <w:pPr>
        <w:jc w:val="both"/>
        <w:ind w:firstLine="400"/>
        <w:spacing w:after="0" w:line="259" w:lineRule="auto"/>
        <w:rPr>
          <w:sz w:val="20"/>
          <w:szCs w:val="20"/>
          <w:color w:val="auto"/>
        </w:rPr>
      </w:pPr>
      <w:r>
        <w:rPr>
          <w:rFonts w:ascii="Arial" w:cs="Arial" w:eastAsia="Arial" w:hAnsi="Arial"/>
          <w:sz w:val="18"/>
          <w:szCs w:val="18"/>
          <w:b w:val="1"/>
          <w:bCs w:val="1"/>
          <w:i w:val="1"/>
          <w:iCs w:val="1"/>
          <w:color w:val="auto"/>
        </w:rPr>
        <w:t xml:space="preserve">Origin Asset Management LLP. </w:t>
      </w:r>
      <w:r>
        <w:rPr>
          <w:rFonts w:ascii="Arial" w:cs="Arial" w:eastAsia="Arial" w:hAnsi="Arial"/>
          <w:sz w:val="18"/>
          <w:szCs w:val="18"/>
          <w:color w:val="auto"/>
        </w:rPr>
        <w:t>On October 3, 2011, we finalized the purchase of a 74% interest in Origin Asset Management LLP ("Origin"), a global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equity specialist based in London. The initial payment was $63.6 million. Origin had $2.6 billion in AUM in global and international equities at the time of the acquisition and is consolidated within the Principal Global Investors segment.</w:t>
      </w:r>
    </w:p>
    <w:p>
      <w:pPr>
        <w:spacing w:after="0" w:line="194" w:lineRule="exact"/>
        <w:rPr>
          <w:sz w:val="20"/>
          <w:szCs w:val="20"/>
          <w:color w:val="auto"/>
        </w:rPr>
      </w:pPr>
    </w:p>
    <w:p>
      <w:pPr>
        <w:jc w:val="both"/>
        <w:ind w:firstLine="423"/>
        <w:spacing w:after="0" w:line="256" w:lineRule="auto"/>
        <w:rPr>
          <w:sz w:val="20"/>
          <w:szCs w:val="20"/>
          <w:color w:val="auto"/>
        </w:rPr>
      </w:pPr>
      <w:r>
        <w:rPr>
          <w:rFonts w:ascii="Arial" w:cs="Arial" w:eastAsia="Arial" w:hAnsi="Arial"/>
          <w:sz w:val="18"/>
          <w:szCs w:val="18"/>
          <w:b w:val="1"/>
          <w:bCs w:val="1"/>
          <w:i w:val="1"/>
          <w:iCs w:val="1"/>
          <w:color w:val="auto"/>
        </w:rPr>
        <w:t xml:space="preserve">HSBC AFORE, S.A. de C.V. </w:t>
      </w:r>
      <w:r>
        <w:rPr>
          <w:rFonts w:ascii="Arial" w:cs="Arial" w:eastAsia="Arial" w:hAnsi="Arial"/>
          <w:sz w:val="18"/>
          <w:szCs w:val="18"/>
          <w:color w:val="auto"/>
        </w:rPr>
        <w:t>On August 8, 2011, we finalized the purchase of our 100% interest in HSBC AFORE, S.A. de C.V. ("HSBC AFORE"), a</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Mexican pension business, from HSBC Bank for $206.1 million. In addition, we have established a distribution arrangement with HSBC Bank for the distribution of Principal AFORE's products through HSBC Bank's extensive network in Mexico. HSBC AFORE was merged into our Principal AFORE pension company, which is consolidated within the Principal International segment.</w:t>
      </w:r>
    </w:p>
    <w:p>
      <w:pPr>
        <w:spacing w:after="0" w:line="197" w:lineRule="exact"/>
        <w:rPr>
          <w:sz w:val="20"/>
          <w:szCs w:val="20"/>
          <w:color w:val="auto"/>
        </w:rPr>
      </w:pPr>
    </w:p>
    <w:p>
      <w:pPr>
        <w:jc w:val="both"/>
        <w:ind w:firstLine="459"/>
        <w:spacing w:after="0" w:line="256" w:lineRule="auto"/>
        <w:rPr>
          <w:sz w:val="20"/>
          <w:szCs w:val="20"/>
          <w:color w:val="auto"/>
        </w:rPr>
      </w:pPr>
      <w:r>
        <w:rPr>
          <w:rFonts w:ascii="Arial" w:cs="Arial" w:eastAsia="Arial" w:hAnsi="Arial"/>
          <w:sz w:val="18"/>
          <w:szCs w:val="18"/>
          <w:b w:val="1"/>
          <w:bCs w:val="1"/>
          <w:i w:val="1"/>
          <w:iCs w:val="1"/>
          <w:color w:val="auto"/>
        </w:rPr>
        <w:t xml:space="preserve">Finisterre Capital LLP and Finisterre Holdings Limited. </w:t>
      </w:r>
      <w:r>
        <w:rPr>
          <w:rFonts w:ascii="Arial" w:cs="Arial" w:eastAsia="Arial" w:hAnsi="Arial"/>
          <w:sz w:val="18"/>
          <w:szCs w:val="18"/>
          <w:color w:val="auto"/>
        </w:rPr>
        <w:t>On July 1, 2011, we finalized the purchase of a 51% interest in Finisterre Capital LLP and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Finisterre Holdings Limited, (together "Finisterre Capital"), an emerging markets debt investor based in London. The total payment was $84.6 million. There are no additional contingent payment obligations. Finisterre Capital had $1.7 billion in AUM at the time of acquisition and is accounted for on the equity method within the Principal Global Investors segment.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w:t>
      </w:r>
    </w:p>
    <w:p>
      <w:pPr>
        <w:spacing w:after="0" w:line="225" w:lineRule="exact"/>
        <w:rPr>
          <w:sz w:val="20"/>
          <w:szCs w:val="20"/>
          <w:color w:val="auto"/>
        </w:rPr>
      </w:pPr>
    </w:p>
    <w:p>
      <w:pPr>
        <w:jc w:val="both"/>
        <w:ind w:firstLine="496"/>
        <w:spacing w:after="0" w:line="256" w:lineRule="auto"/>
        <w:rPr>
          <w:sz w:val="20"/>
          <w:szCs w:val="20"/>
          <w:color w:val="auto"/>
        </w:rPr>
      </w:pPr>
      <w:r>
        <w:rPr>
          <w:rFonts w:ascii="Arial" w:cs="Arial" w:eastAsia="Arial" w:hAnsi="Arial"/>
          <w:sz w:val="18"/>
          <w:szCs w:val="18"/>
          <w:b w:val="1"/>
          <w:bCs w:val="1"/>
          <w:i w:val="1"/>
          <w:iCs w:val="1"/>
          <w:color w:val="auto"/>
        </w:rPr>
        <w:t xml:space="preserve">Actuarial Assumption Updates. </w:t>
      </w:r>
      <w:r>
        <w:rPr>
          <w:rFonts w:ascii="Arial" w:cs="Arial" w:eastAsia="Arial" w:hAnsi="Arial"/>
          <w:sz w:val="18"/>
          <w:szCs w:val="18"/>
          <w:color w:val="auto"/>
        </w:rPr>
        <w:t>We periodically review and update actuarial assumptions that are inputs to the models for DAC and other actuarial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balances and make improvements as necessary. During third quarter 2013, our review and update did not result in a material impact to net income. During the third quarter 2012, improvements were made resulting in an unlocking of DAC and other actuarial balances that decreased total company net income by $85.2 million for the year ended December 31, 2012.</w:t>
      </w:r>
    </w:p>
    <w:p>
      <w:pPr>
        <w:spacing w:after="0" w:line="197" w:lineRule="exact"/>
        <w:rPr>
          <w:sz w:val="20"/>
          <w:szCs w:val="20"/>
          <w:color w:val="auto"/>
        </w:rPr>
      </w:pPr>
    </w:p>
    <w:p>
      <w:pPr>
        <w:jc w:val="both"/>
        <w:ind w:firstLine="449"/>
        <w:spacing w:after="0" w:line="294" w:lineRule="auto"/>
        <w:rPr>
          <w:sz w:val="20"/>
          <w:szCs w:val="20"/>
          <w:color w:val="auto"/>
        </w:rPr>
      </w:pPr>
      <w:r>
        <w:rPr>
          <w:rFonts w:ascii="Arial" w:cs="Arial" w:eastAsia="Arial" w:hAnsi="Arial"/>
          <w:sz w:val="16"/>
          <w:szCs w:val="16"/>
          <w:color w:val="auto"/>
        </w:rPr>
        <w:t>We updated our actuarial models to reflect the lower interest rate environment in our U.S. operations in 2012. The updates to our long-term interest rate assumptions and related refinements to the interest rate component of our actuarial models resulted in an unlocking that negatively impacted operating earnings. The negative unlocking from the lower interest rates was partially offset by the positive impact from the increased expected persistency in our individual annuities business. The net negative segment operating earnings impact was $66.3 million, which was comprised of $55.2 million for our U.S. Insurance Solutions segment and $11.1 million for our Retirement and Investor Services segment.</w:t>
      </w:r>
    </w:p>
    <w:p>
      <w:pPr>
        <w:spacing w:after="0" w:line="170" w:lineRule="exact"/>
        <w:rPr>
          <w:sz w:val="20"/>
          <w:szCs w:val="20"/>
          <w:color w:val="auto"/>
        </w:rPr>
      </w:pPr>
    </w:p>
    <w:p>
      <w:pPr>
        <w:jc w:val="both"/>
        <w:ind w:firstLine="368"/>
        <w:spacing w:after="0" w:line="259" w:lineRule="auto"/>
        <w:rPr>
          <w:sz w:val="20"/>
          <w:szCs w:val="20"/>
          <w:color w:val="auto"/>
        </w:rPr>
      </w:pPr>
      <w:r>
        <w:rPr>
          <w:rFonts w:ascii="Arial" w:cs="Arial" w:eastAsia="Arial" w:hAnsi="Arial"/>
          <w:sz w:val="18"/>
          <w:szCs w:val="18"/>
          <w:color w:val="auto"/>
        </w:rPr>
        <w:t>In addition to the interest rate assumption update, we updated other assumptions and made model refinements that resulted in a net negative unlocking and a $12.9 million decrease to operating earnings in total for the Retirement and Investor Services and U.S. Insurance Solutions segments for the year ended December 31, 2012.</w:t>
      </w:r>
    </w:p>
    <w:p>
      <w:pPr>
        <w:spacing w:after="0" w:line="194" w:lineRule="exact"/>
        <w:rPr>
          <w:sz w:val="20"/>
          <w:szCs w:val="20"/>
          <w:color w:val="auto"/>
        </w:rPr>
      </w:pPr>
    </w:p>
    <w:p>
      <w:pPr>
        <w:jc w:val="both"/>
        <w:ind w:firstLine="389"/>
        <w:spacing w:after="0" w:line="256" w:lineRule="auto"/>
        <w:rPr>
          <w:sz w:val="20"/>
          <w:szCs w:val="20"/>
          <w:color w:val="auto"/>
        </w:rPr>
      </w:pPr>
      <w:r>
        <w:rPr>
          <w:rFonts w:ascii="Arial" w:cs="Arial" w:eastAsia="Arial" w:hAnsi="Arial"/>
          <w:sz w:val="18"/>
          <w:szCs w:val="18"/>
          <w:color w:val="auto"/>
        </w:rPr>
        <w:t>Within our individual life insurance business, we have an integrated actuarial model that impacts several line items within our income statement. Operating earnings for the individual life insurance business was negatively impacted $62.9 million for the year ended December 31, 2012. The impact on the income statement line items was as follows — fee revenues increased $13.5 million; benefits, claims and settlement expenses increased $67.2 million; and operating expenses increased $43.0 million.</w:t>
      </w:r>
    </w:p>
    <w:p>
      <w:pPr>
        <w:sectPr>
          <w:pgSz w:w="11900" w:h="16838" w:orient="portrait"/>
          <w:cols w:equalWidth="0" w:num="1">
            <w:col w:w="11420"/>
          </w:cols>
          <w:pgMar w:left="240" w:top="131" w:right="239" w:bottom="1440" w:gutter="0" w:footer="0" w:header="0"/>
        </w:sectPr>
      </w:pP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44" w:name="page45"/>
    <w:bookmarkEnd w:id="4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firstLine="371"/>
        <w:spacing w:after="0" w:line="256" w:lineRule="auto"/>
        <w:rPr>
          <w:sz w:val="20"/>
          <w:szCs w:val="20"/>
          <w:color w:val="auto"/>
        </w:rPr>
      </w:pPr>
      <w:r>
        <w:rPr>
          <w:rFonts w:ascii="Arial" w:cs="Arial" w:eastAsia="Arial" w:hAnsi="Arial"/>
          <w:sz w:val="18"/>
          <w:szCs w:val="18"/>
          <w:b w:val="1"/>
          <w:bCs w:val="1"/>
          <w:i w:val="1"/>
          <w:iCs w:val="1"/>
          <w:color w:val="auto"/>
        </w:rPr>
        <w:t xml:space="preserve">Catalyst Health Solutions, Inc. </w:t>
      </w:r>
      <w:r>
        <w:rPr>
          <w:rFonts w:ascii="Arial" w:cs="Arial" w:eastAsia="Arial" w:hAnsi="Arial"/>
          <w:sz w:val="18"/>
          <w:szCs w:val="18"/>
          <w:color w:val="auto"/>
        </w:rPr>
        <w:t>In July 2012, Catalyst Health Solutions, Inc. merged with a wholly owned subsidiary of SXC Health Solutions Corp. As a</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result of the merger, we realized an after-tax gain. We subsequently contributed appreciated stock of the ultimate surviving corporation (now known as Catamaran Corp.) to The Principal Financial Group Foundation, Inc. and sold our remaining interest in Catamaran Corp., resulting in a total after-tax net realized capital gain of $141.2 million.</w:t>
      </w:r>
    </w:p>
    <w:p>
      <w:pPr>
        <w:spacing w:after="0" w:line="197" w:lineRule="exact"/>
        <w:rPr>
          <w:sz w:val="20"/>
          <w:szCs w:val="20"/>
          <w:color w:val="auto"/>
        </w:rPr>
      </w:pPr>
    </w:p>
    <w:p>
      <w:pPr>
        <w:jc w:val="both"/>
        <w:ind w:firstLine="361"/>
        <w:spacing w:after="0" w:line="291" w:lineRule="auto"/>
        <w:rPr>
          <w:sz w:val="20"/>
          <w:szCs w:val="20"/>
          <w:color w:val="auto"/>
        </w:rPr>
      </w:pPr>
      <w:r>
        <w:rPr>
          <w:rFonts w:ascii="Arial" w:cs="Arial" w:eastAsia="Arial" w:hAnsi="Arial"/>
          <w:sz w:val="16"/>
          <w:szCs w:val="16"/>
          <w:b w:val="1"/>
          <w:bCs w:val="1"/>
          <w:i w:val="1"/>
          <w:iCs w:val="1"/>
          <w:color w:val="auto"/>
        </w:rPr>
        <w:t xml:space="preserve">Individual Life Insurance Amortization. </w:t>
      </w:r>
      <w:r>
        <w:rPr>
          <w:rFonts w:ascii="Arial" w:cs="Arial" w:eastAsia="Arial" w:hAnsi="Arial"/>
          <w:sz w:val="16"/>
          <w:szCs w:val="16"/>
          <w:color w:val="auto"/>
        </w:rPr>
        <w:t>During the first quarter of 2012, our individual life insurance business changed its basis for amortizing DAC and</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other actuarial balances on a portion of our universal life insurance products. The actuarial balances for these products are now amortized based on estimated gross revenues instead of EGPs. In addition to impacting comparability of changes in actuarial balances between 2011 and 2012, this change required an unlocking of the actuarial balances to reflect the pattern of estimated gross revenues, which resulted in volatility within certain income statement line items in the first quarter of 2012. Specifically, fee revenues decreased $46.6 million; benefits, claims and settlement expenses increased $87.9 million; and operating expenses decreased $139.6 million. However, on a net basis the impact was a net gain of $3.3 million after-tax, which is not material.</w:t>
      </w:r>
    </w:p>
    <w:p>
      <w:pPr>
        <w:spacing w:after="0" w:line="174" w:lineRule="exact"/>
        <w:rPr>
          <w:sz w:val="20"/>
          <w:szCs w:val="20"/>
          <w:color w:val="auto"/>
        </w:rPr>
      </w:pPr>
    </w:p>
    <w:p>
      <w:pPr>
        <w:jc w:val="both"/>
        <w:ind w:firstLine="423"/>
        <w:spacing w:after="0" w:line="298" w:lineRule="auto"/>
        <w:rPr>
          <w:sz w:val="20"/>
          <w:szCs w:val="20"/>
          <w:color w:val="auto"/>
        </w:rPr>
      </w:pPr>
      <w:r>
        <w:rPr>
          <w:rFonts w:ascii="Arial" w:cs="Arial" w:eastAsia="Arial" w:hAnsi="Arial"/>
          <w:sz w:val="16"/>
          <w:szCs w:val="16"/>
          <w:b w:val="1"/>
          <w:bCs w:val="1"/>
          <w:i w:val="1"/>
          <w:iCs w:val="1"/>
          <w:color w:val="auto"/>
        </w:rPr>
        <w:t xml:space="preserve">Individual Life Insurance Assumption Changes. </w:t>
      </w:r>
      <w:r>
        <w:rPr>
          <w:rFonts w:ascii="Arial" w:cs="Arial" w:eastAsia="Arial" w:hAnsi="Arial"/>
          <w:sz w:val="16"/>
          <w:szCs w:val="16"/>
          <w:color w:val="auto"/>
        </w:rPr>
        <w:t>During the second quarter of 2011, we updated premium assumptions in our individual life insurance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business, which impacts comparability between reported time periods. Specifically, fee revenues increased $4.9 million; benefits, claims and settlement expenses increased $43.1 million; and operating expenses increased $14.9 million. Given the large magnitude of the assumption changes, we removed the after-tax impact of $(34.5) million from operating earnings and reported it as an other after-tax adjustment in order to aid in comparability at the segment level.</w:t>
      </w:r>
    </w:p>
    <w:p>
      <w:pPr>
        <w:spacing w:after="0" w:line="167" w:lineRule="exact"/>
        <w:rPr>
          <w:sz w:val="20"/>
          <w:szCs w:val="20"/>
          <w:color w:val="auto"/>
        </w:rPr>
      </w:pPr>
    </w:p>
    <w:p>
      <w:pPr>
        <w:jc w:val="both"/>
        <w:ind w:firstLine="400"/>
        <w:spacing w:after="0" w:line="259" w:lineRule="auto"/>
        <w:rPr>
          <w:sz w:val="20"/>
          <w:szCs w:val="20"/>
          <w:color w:val="auto"/>
        </w:rPr>
      </w:pPr>
      <w:r>
        <w:rPr>
          <w:rFonts w:ascii="Arial" w:cs="Arial" w:eastAsia="Arial" w:hAnsi="Arial"/>
          <w:sz w:val="18"/>
          <w:szCs w:val="18"/>
          <w:b w:val="1"/>
          <w:bCs w:val="1"/>
          <w:i w:val="1"/>
          <w:iCs w:val="1"/>
          <w:color w:val="auto"/>
        </w:rPr>
        <w:t xml:space="preserve">Catalyst Health Solutions, Inc. </w:t>
      </w:r>
      <w:r>
        <w:rPr>
          <w:rFonts w:ascii="Arial" w:cs="Arial" w:eastAsia="Arial" w:hAnsi="Arial"/>
          <w:sz w:val="18"/>
          <w:szCs w:val="18"/>
          <w:color w:val="auto"/>
        </w:rPr>
        <w:t>In early April 2011, we sold a portion of our interest in Catalyst Health Solutions, Inc., which was accounted for on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equity method. The $46.0 million after-tax gain was reported as a net realized capital gain in the second quarter of 2011. The remaining portion of the investment continued to be accounted for as an equity method investment.</w:t>
      </w:r>
    </w:p>
    <w:p>
      <w:pPr>
        <w:spacing w:after="0" w:line="194" w:lineRule="exact"/>
        <w:rPr>
          <w:sz w:val="20"/>
          <w:szCs w:val="20"/>
          <w:color w:val="auto"/>
        </w:rPr>
      </w:pPr>
    </w:p>
    <w:p>
      <w:pPr>
        <w:jc w:val="both"/>
        <w:ind w:firstLine="479"/>
        <w:spacing w:after="0" w:line="298" w:lineRule="auto"/>
        <w:rPr>
          <w:sz w:val="20"/>
          <w:szCs w:val="20"/>
          <w:color w:val="auto"/>
        </w:rPr>
      </w:pPr>
      <w:r>
        <w:rPr>
          <w:rFonts w:ascii="Arial" w:cs="Arial" w:eastAsia="Arial" w:hAnsi="Arial"/>
          <w:sz w:val="16"/>
          <w:szCs w:val="16"/>
          <w:b w:val="1"/>
          <w:bCs w:val="1"/>
          <w:i w:val="1"/>
          <w:iCs w:val="1"/>
          <w:color w:val="auto"/>
        </w:rPr>
        <w:t xml:space="preserve">Group Medical Insurance Business. </w:t>
      </w:r>
      <w:r>
        <w:rPr>
          <w:rFonts w:ascii="Arial" w:cs="Arial" w:eastAsia="Arial" w:hAnsi="Arial"/>
          <w:sz w:val="16"/>
          <w:szCs w:val="16"/>
          <w:color w:val="auto"/>
        </w:rPr>
        <w:t>On September 30, 2010, we announced our decision to exit the group medical insurance business (insured and</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administrative services only) and entered into an agreement with United Healthcare Services, Inc. to renew group medical insurance coverage for our customers as the business transitions. The exiting of the group medical insurance business does not qualify for discontinued operations treatment under U.S. GAAP. Therefore, the results of operations for the group medical insurance business are still included in our consolidated income from continuing operations.</w:t>
      </w:r>
    </w:p>
    <w:p>
      <w:pPr>
        <w:spacing w:after="0" w:line="167" w:lineRule="exact"/>
        <w:rPr>
          <w:sz w:val="20"/>
          <w:szCs w:val="20"/>
          <w:color w:val="auto"/>
        </w:rPr>
      </w:pPr>
    </w:p>
    <w:p>
      <w:pPr>
        <w:jc w:val="both"/>
        <w:ind w:firstLine="379"/>
        <w:spacing w:after="0" w:line="294" w:lineRule="auto"/>
        <w:rPr>
          <w:sz w:val="20"/>
          <w:szCs w:val="20"/>
          <w:color w:val="auto"/>
        </w:rPr>
      </w:pPr>
      <w:r>
        <w:rPr>
          <w:rFonts w:ascii="Arial" w:cs="Arial" w:eastAsia="Arial" w:hAnsi="Arial"/>
          <w:sz w:val="16"/>
          <w:szCs w:val="16"/>
          <w:color w:val="auto"/>
        </w:rPr>
        <w:t>With the exception of corporate overhead, amounts related to our group medical insurance business previously included in segment operating earnings have been removed from operating earnings for all periods presented and are reported as other after-tax adjustments. The operating revenues associated with our exited group medical insurance business were $2.1 million, $25.0 million and $ 606.3 million for the years ended December 31, 2013, 2012 and 2011, respectively. The other after-tax adjustments associated with the after-tax earnings (loss) of our exited group medical insurance business were $(1.1) million, $(9.6) and $50.9 million for the years ended December 31, 2013, 2012 and 2011, respectively.</w:t>
      </w:r>
    </w:p>
    <w:p>
      <w:pPr>
        <w:spacing w:after="0" w:line="3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Fluctuations in Foreign Currency to U.S. Dollar Exchange Rates</w:t>
      </w:r>
    </w:p>
    <w:p>
      <w:pPr>
        <w:spacing w:after="0" w:line="231" w:lineRule="exact"/>
        <w:rPr>
          <w:sz w:val="20"/>
          <w:szCs w:val="20"/>
          <w:color w:val="auto"/>
        </w:rPr>
      </w:pPr>
    </w:p>
    <w:p>
      <w:pPr>
        <w:jc w:val="both"/>
        <w:ind w:firstLine="390"/>
        <w:spacing w:after="0" w:line="306" w:lineRule="auto"/>
        <w:rPr>
          <w:sz w:val="20"/>
          <w:szCs w:val="20"/>
          <w:color w:val="auto"/>
        </w:rPr>
      </w:pPr>
      <w:r>
        <w:rPr>
          <w:rFonts w:ascii="Arial" w:cs="Arial" w:eastAsia="Arial" w:hAnsi="Arial"/>
          <w:sz w:val="16"/>
          <w:szCs w:val="16"/>
          <w:color w:val="auto"/>
        </w:rPr>
        <w:t>Fluctuations in foreign currency to U.S. dollar exchange rates for countries in which we have operations can affect reported financial results. In years when foreign currencies weaken against the U.S. dollar, translating foreign currencies into U.S. dollars results in fewer U.S. dollars to be reported. When foreign currencies strengthen, translating foreign currencies into U.S. dollars results in more U.S. dollars to be reported.</w:t>
      </w:r>
    </w:p>
    <w:p>
      <w:pPr>
        <w:spacing w:after="0" w:line="161" w:lineRule="exact"/>
        <w:rPr>
          <w:sz w:val="20"/>
          <w:szCs w:val="20"/>
          <w:color w:val="auto"/>
        </w:rPr>
      </w:pPr>
    </w:p>
    <w:p>
      <w:pPr>
        <w:jc w:val="both"/>
        <w:ind w:firstLine="438"/>
        <w:spacing w:after="0" w:line="298" w:lineRule="auto"/>
        <w:rPr>
          <w:sz w:val="20"/>
          <w:szCs w:val="20"/>
          <w:color w:val="auto"/>
        </w:rPr>
      </w:pPr>
      <w:r>
        <w:rPr>
          <w:rFonts w:ascii="Arial" w:cs="Arial" w:eastAsia="Arial" w:hAnsi="Arial"/>
          <w:sz w:val="16"/>
          <w:szCs w:val="16"/>
          <w:color w:val="auto"/>
        </w:rPr>
        <w:t>Foreign currency exchange rate fluctuations create variances in our financial statement line items but have not had a material impact on our consolidated financial results. Principal International segment operating earnings were negatively impacted by $8.4 million for the year ended December 31, 2013, respectively, as a result of fluctuations in foreign currency to U.S. dollar exchange rates. For a discussion of our approaches to managing foreign currency exchange rate risk, see Item 7A. "Quantitative and Qualitative Disclosures About Market Risk — Foreign Currency Risk."</w:t>
      </w:r>
    </w:p>
    <w:p>
      <w:pPr>
        <w:spacing w:after="0" w:line="3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Stock-Based Compensation Plans</w:t>
      </w:r>
    </w:p>
    <w:p>
      <w:pPr>
        <w:spacing w:after="0" w:line="231" w:lineRule="exact"/>
        <w:rPr>
          <w:sz w:val="20"/>
          <w:szCs w:val="20"/>
          <w:color w:val="auto"/>
        </w:rPr>
      </w:pPr>
    </w:p>
    <w:p>
      <w:pPr>
        <w:jc w:val="both"/>
        <w:ind w:right="20" w:firstLine="559"/>
        <w:spacing w:after="0" w:line="268" w:lineRule="auto"/>
        <w:rPr>
          <w:sz w:val="20"/>
          <w:szCs w:val="20"/>
          <w:color w:val="auto"/>
        </w:rPr>
      </w:pPr>
      <w:r>
        <w:rPr>
          <w:rFonts w:ascii="Arial" w:cs="Arial" w:eastAsia="Arial" w:hAnsi="Arial"/>
          <w:sz w:val="18"/>
          <w:szCs w:val="18"/>
          <w:color w:val="auto"/>
        </w:rPr>
        <w:t>For information related to our Stock-Based Compensation Plans, see Item 8. "Financial Statements and Supplementary Data, Notes to Consolidated Financial Statements, Note 18, Stock-Based Compensation Plans."</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Effects of Inflation</w:t>
      </w:r>
    </w:p>
    <w:p>
      <w:pPr>
        <w:spacing w:after="0" w:line="231" w:lineRule="exact"/>
        <w:rPr>
          <w:sz w:val="20"/>
          <w:szCs w:val="20"/>
          <w:color w:val="auto"/>
        </w:rPr>
      </w:pPr>
    </w:p>
    <w:p>
      <w:pPr>
        <w:jc w:val="both"/>
        <w:ind w:firstLine="512"/>
        <w:spacing w:after="0" w:line="259" w:lineRule="auto"/>
        <w:rPr>
          <w:sz w:val="20"/>
          <w:szCs w:val="20"/>
          <w:color w:val="auto"/>
        </w:rPr>
      </w:pPr>
      <w:r>
        <w:rPr>
          <w:rFonts w:ascii="Arial" w:cs="Arial" w:eastAsia="Arial" w:hAnsi="Arial"/>
          <w:sz w:val="18"/>
          <w:szCs w:val="18"/>
          <w:color w:val="auto"/>
        </w:rPr>
        <w:t>The impact of inflation has not had a material effect on our annual consolidated results of operations over the past three years. However, we may be materially affected by inflation in the future. For further discussion on inflation, see Item 1A. "Risk Factors — Continued difficult conditions in the global capital markets and the economy generally may materially and adversely affect our business and results of operations."</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5" w:name="page46"/>
    <w:bookmarkEnd w:id="4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 and Agent Benefits Expense</w:t>
      </w:r>
    </w:p>
    <w:p>
      <w:pPr>
        <w:spacing w:after="0" w:line="231" w:lineRule="exact"/>
        <w:rPr>
          <w:sz w:val="20"/>
          <w:szCs w:val="20"/>
          <w:color w:val="auto"/>
        </w:rPr>
      </w:pPr>
    </w:p>
    <w:p>
      <w:pPr>
        <w:jc w:val="both"/>
        <w:ind w:firstLine="539"/>
        <w:spacing w:after="0" w:line="306" w:lineRule="auto"/>
        <w:rPr>
          <w:sz w:val="20"/>
          <w:szCs w:val="20"/>
          <w:color w:val="auto"/>
        </w:rPr>
      </w:pPr>
      <w:r>
        <w:rPr>
          <w:rFonts w:ascii="Arial" w:cs="Arial" w:eastAsia="Arial" w:hAnsi="Arial"/>
          <w:sz w:val="16"/>
          <w:szCs w:val="16"/>
          <w:color w:val="auto"/>
        </w:rPr>
        <w:t>The 2013 annual defined benefit pension expense for substantially all of our employees and certain agents was $143.3 million pre-tax, which was a $21.0 million increase from the 2012 pre-tax pension expense of $122.3 million. This increase is due primarily to a decrease in the discount rate from 5.15% for 2012 to 4.00% for 2013. Also, the expected long-term return on plan assets used to develop the 2013 expense decreased to 7.50% from 8.00% used in 2012.</w:t>
      </w:r>
    </w:p>
    <w:p>
      <w:pPr>
        <w:spacing w:after="0" w:line="161" w:lineRule="exact"/>
        <w:rPr>
          <w:sz w:val="20"/>
          <w:szCs w:val="20"/>
          <w:color w:val="auto"/>
        </w:rPr>
      </w:pPr>
    </w:p>
    <w:p>
      <w:pPr>
        <w:jc w:val="both"/>
        <w:ind w:firstLine="361"/>
        <w:spacing w:after="0" w:line="306" w:lineRule="auto"/>
        <w:rPr>
          <w:sz w:val="20"/>
          <w:szCs w:val="20"/>
          <w:color w:val="auto"/>
        </w:rPr>
      </w:pPr>
      <w:r>
        <w:rPr>
          <w:rFonts w:ascii="Arial" w:cs="Arial" w:eastAsia="Arial" w:hAnsi="Arial"/>
          <w:sz w:val="16"/>
          <w:szCs w:val="16"/>
          <w:color w:val="auto"/>
        </w:rPr>
        <w:t>The 2014 annual defined benefit pension expense for substantially all of our employees and certain agents is expected to be $85.1 million pre-tax, which is a $58.2 million decrease from the 2013 pre-tax pension expense of $143.3 million. This decrease is due primarily to an increase in the discount rate from 4.00% for 2013 to 4.90% for 2014. Also, the expected long-term return on plan assets used to develop the 2014 expense decreased from 7.50% to 6.75%.</w:t>
      </w:r>
    </w:p>
    <w:p>
      <w:pPr>
        <w:spacing w:after="0" w:line="161" w:lineRule="exact"/>
        <w:rPr>
          <w:sz w:val="20"/>
          <w:szCs w:val="20"/>
          <w:color w:val="auto"/>
        </w:rPr>
      </w:pPr>
    </w:p>
    <w:p>
      <w:pPr>
        <w:jc w:val="both"/>
        <w:ind w:firstLine="385"/>
        <w:spacing w:after="0" w:line="291" w:lineRule="auto"/>
        <w:rPr>
          <w:sz w:val="20"/>
          <w:szCs w:val="20"/>
          <w:color w:val="auto"/>
        </w:rPr>
      </w:pPr>
      <w:r>
        <w:rPr>
          <w:rFonts w:ascii="Arial" w:cs="Arial" w:eastAsia="Arial" w:hAnsi="Arial"/>
          <w:sz w:val="16"/>
          <w:szCs w:val="16"/>
          <w:color w:val="auto"/>
        </w:rPr>
        <w:t>The 2013 annual other postemployment benefit ("OPEB") plan expense (income) for employees and certain agents was $(47.0) million pre-tax, which is an $8.2 million decrease from the 2012 pre-tax OPEB income of $(55.2) million. The weighted average expected long-term return on plan assets used to develop the expense (income) in 2013 was 5.62%, which was based on the weighted average expected long-term asset returns for the medical, life and long-term care plan. The expected long-term rates for the medical, life and long-term care plans were 5.40%, 7.75%, and 5.85%, respectively. The expected rate of return for the medical plans was reduced to 5.40% to reflect the after-tax return on plan assets resulting from the decision to have taxes paid by the trust instead of PLIC. The discount rate used to develop the 2013 expense (income) decreased to 4.00%, down from 5.15% discount rate used in 2012.</w:t>
      </w:r>
    </w:p>
    <w:p>
      <w:pPr>
        <w:spacing w:after="0" w:line="174" w:lineRule="exact"/>
        <w:rPr>
          <w:sz w:val="20"/>
          <w:szCs w:val="20"/>
          <w:color w:val="auto"/>
        </w:rPr>
      </w:pPr>
    </w:p>
    <w:p>
      <w:pPr>
        <w:jc w:val="both"/>
        <w:ind w:firstLine="402"/>
        <w:spacing w:after="0" w:line="291" w:lineRule="auto"/>
        <w:rPr>
          <w:sz w:val="20"/>
          <w:szCs w:val="20"/>
          <w:color w:val="auto"/>
        </w:rPr>
      </w:pPr>
      <w:r>
        <w:rPr>
          <w:rFonts w:ascii="Arial" w:cs="Arial" w:eastAsia="Arial" w:hAnsi="Arial"/>
          <w:sz w:val="16"/>
          <w:szCs w:val="16"/>
          <w:color w:val="auto"/>
        </w:rPr>
        <w:t>The 2014 annual OPEB plan expense (income) for employees and certain agents is expected to be $(48.3) million pre-tax, which is a $1.3 million increase from the 2013 pre-tax OPEB income of $(47.0) million. The weighted average expected long-term return on plan assets used to develop the expense (income) in 2014 was 5.36% which was based on weighted average expected long-term asset returns for the medical, life and long-term care plan. The expected long-term rates for the medical, life and long-term care plans were 5.40%, 5.00% and 5.85%, respectively. The expected rate of return for the life plans was reduced to 5.00% to reflect the after-tax return on the plan assets resulting from the decision to have taxes paid by the trust instead of PLIC. The discount rate used to develop the 2014 expense (income) increased to 4.90%, up from 4.00% discount rate used in 2013.</w:t>
      </w:r>
    </w:p>
    <w:p>
      <w:pPr>
        <w:spacing w:after="0" w:line="3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Impact of Low Interest Rate Environment</w:t>
      </w:r>
    </w:p>
    <w:p>
      <w:pPr>
        <w:spacing w:after="0" w:line="231" w:lineRule="exact"/>
        <w:rPr>
          <w:sz w:val="20"/>
          <w:szCs w:val="20"/>
          <w:color w:val="auto"/>
        </w:rPr>
      </w:pPr>
    </w:p>
    <w:p>
      <w:pPr>
        <w:jc w:val="both"/>
        <w:ind w:firstLine="407"/>
        <w:spacing w:after="0" w:line="291" w:lineRule="auto"/>
        <w:rPr>
          <w:sz w:val="20"/>
          <w:szCs w:val="20"/>
          <w:color w:val="auto"/>
        </w:rPr>
      </w:pPr>
      <w:r>
        <w:rPr>
          <w:rFonts w:ascii="Arial" w:cs="Arial" w:eastAsia="Arial" w:hAnsi="Arial"/>
          <w:sz w:val="16"/>
          <w:szCs w:val="16"/>
          <w:color w:val="auto"/>
        </w:rPr>
        <w:t>The exposure from the low interest rates is reflected in a reduction in the spreads between the investment income we earn and the interest we credit to our customers. Some of our products, primarily our fixed deferred annuity, general account group annuity and universal life insurance products, include guaranteed minimum interest rates. During periods of low or declining interest rates, borrowers may prepay or redeem mortgages and fixed maturities that are invested to support our product obligations, which would force us to reinvest the proceeds at lower interest rates. The resulting lower net investment income may make it more difficult for us to maintain our desired spread and thereby reduce our profitability. See Item 7A. "Quantitative and Qualitative Disclosures About Market Risk," for a presentation of the differences between the interest rates being credited to contractholders and the respective guaranteed minimum interest rates.</w:t>
      </w:r>
    </w:p>
    <w:p>
      <w:pPr>
        <w:spacing w:after="0" w:line="174" w:lineRule="exact"/>
        <w:rPr>
          <w:sz w:val="20"/>
          <w:szCs w:val="20"/>
          <w:color w:val="auto"/>
        </w:rPr>
      </w:pPr>
    </w:p>
    <w:p>
      <w:pPr>
        <w:jc w:val="both"/>
        <w:ind w:firstLine="366"/>
        <w:spacing w:after="0" w:line="306" w:lineRule="auto"/>
        <w:rPr>
          <w:sz w:val="20"/>
          <w:szCs w:val="20"/>
          <w:color w:val="auto"/>
        </w:rPr>
      </w:pPr>
      <w:r>
        <w:rPr>
          <w:rFonts w:ascii="Arial" w:cs="Arial" w:eastAsia="Arial" w:hAnsi="Arial"/>
          <w:sz w:val="16"/>
          <w:szCs w:val="16"/>
          <w:color w:val="auto"/>
        </w:rPr>
        <w:t>Some of our universal life insurance contracts contain secondary guarantees, which keep the contract in force, even if the contractholder's account balance is insufficient to cover all of the contract charges, provided that the contractholder has continually paid a specified minimum premium. It is possible that more of these secondary guarantees could be triggered, possibly increasing our policyholder obligation and thereby reducing our profitability.</w:t>
      </w:r>
    </w:p>
    <w:p>
      <w:pPr>
        <w:spacing w:after="0" w:line="161" w:lineRule="exact"/>
        <w:rPr>
          <w:sz w:val="20"/>
          <w:szCs w:val="20"/>
          <w:color w:val="auto"/>
        </w:rPr>
      </w:pPr>
    </w:p>
    <w:p>
      <w:pPr>
        <w:jc w:val="both"/>
        <w:ind w:firstLine="372"/>
        <w:spacing w:after="0" w:line="259" w:lineRule="auto"/>
        <w:rPr>
          <w:sz w:val="20"/>
          <w:szCs w:val="20"/>
          <w:color w:val="auto"/>
        </w:rPr>
      </w:pPr>
      <w:r>
        <w:rPr>
          <w:rFonts w:ascii="Arial" w:cs="Arial" w:eastAsia="Arial" w:hAnsi="Arial"/>
          <w:sz w:val="18"/>
          <w:szCs w:val="18"/>
          <w:color w:val="auto"/>
        </w:rPr>
        <w:t>Declining or low interest rates could impact the discount rate assumption used for the purposes of valuing reserves and our pension and other postretirement benefit obligations. A decrease in the discount rate could result in higher reserves as well as lower margins and an increase in the annual pension and other postretirement benefit expense.</w:t>
      </w:r>
    </w:p>
    <w:p>
      <w:pPr>
        <w:spacing w:after="0" w:line="194" w:lineRule="exact"/>
        <w:rPr>
          <w:sz w:val="20"/>
          <w:szCs w:val="20"/>
          <w:color w:val="auto"/>
        </w:rPr>
      </w:pPr>
    </w:p>
    <w:p>
      <w:pPr>
        <w:jc w:val="both"/>
        <w:ind w:firstLine="361"/>
        <w:spacing w:after="0" w:line="332" w:lineRule="auto"/>
        <w:rPr>
          <w:sz w:val="20"/>
          <w:szCs w:val="20"/>
          <w:color w:val="auto"/>
        </w:rPr>
      </w:pPr>
      <w:r>
        <w:rPr>
          <w:rFonts w:ascii="Arial" w:cs="Arial" w:eastAsia="Arial" w:hAnsi="Arial"/>
          <w:sz w:val="16"/>
          <w:szCs w:val="16"/>
          <w:color w:val="auto"/>
        </w:rPr>
        <w:t>Our expectation of EGPs is an important consideration in determining the amortization of DAC and other actuarial balances. To the extent a low interest rate environment impacts our assumptions regarding future EGPs, an unlocking of DAC and other actuarial balances could occur, decreasing net income.</w:t>
      </w:r>
    </w:p>
    <w:p>
      <w:pPr>
        <w:spacing w:after="0" w:line="13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Lastly, lower net investment income could result in the establishment of a premium deficiency reserve for certain of our insurance products.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anticipate that a sustained low interest rate environment would reduce the growth in net income.</w:t>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Changes</w:t>
      </w:r>
    </w:p>
    <w:p>
      <w:pPr>
        <w:spacing w:after="0" w:line="231" w:lineRule="exact"/>
        <w:rPr>
          <w:sz w:val="20"/>
          <w:szCs w:val="20"/>
          <w:color w:val="auto"/>
        </w:rPr>
      </w:pPr>
    </w:p>
    <w:p>
      <w:pPr>
        <w:jc w:val="both"/>
        <w:ind w:right="20" w:firstLine="413"/>
        <w:spacing w:after="0" w:line="259" w:lineRule="auto"/>
        <w:rPr>
          <w:sz w:val="20"/>
          <w:szCs w:val="20"/>
          <w:color w:val="auto"/>
        </w:rPr>
      </w:pPr>
      <w:r>
        <w:rPr>
          <w:rFonts w:ascii="Arial" w:cs="Arial" w:eastAsia="Arial" w:hAnsi="Arial"/>
          <w:sz w:val="18"/>
          <w:szCs w:val="18"/>
          <w:color w:val="auto"/>
        </w:rPr>
        <w:t>For recent accounting changes, see Item 8. "Financial Statements and Supplementary Data, Notes to Consolidated Financial Statements, Note 1, Nature of Operations and Significant Accounting Policies" under the captions, "Revisions to Previously Issued Financial Statements" and "Recent Accounting Pronouncements."</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6" w:name="page47"/>
    <w:bookmarkEnd w:id="4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presents summary consolidated financial information for the years indicated:</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5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80" w:type="dxa"/>
            <w:vAlign w:val="bottom"/>
            <w:gridSpan w:val="8"/>
          </w:tcPr>
          <w:p>
            <w:pPr>
              <w:jc w:val="center"/>
              <w:ind w:left="292"/>
              <w:spacing w:after="0"/>
              <w:rPr>
                <w:sz w:val="20"/>
                <w:szCs w:val="20"/>
                <w:color w:val="auto"/>
              </w:rPr>
            </w:pPr>
            <w:r>
              <w:rPr>
                <w:rFonts w:ascii="Arial" w:cs="Arial" w:eastAsia="Arial" w:hAnsi="Arial"/>
                <w:sz w:val="14"/>
                <w:szCs w:val="14"/>
                <w:b w:val="1"/>
                <w:bCs w:val="1"/>
                <w:color w:val="auto"/>
                <w:w w:val="87"/>
              </w:rPr>
              <w:t>For the year ended</w:t>
            </w:r>
          </w:p>
        </w:tc>
        <w:tc>
          <w:tcPr>
            <w:tcW w:w="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960" w:type="dxa"/>
            <w:vAlign w:val="bottom"/>
            <w:tcBorders>
              <w:bottom w:val="single" w:sz="8" w:color="auto"/>
            </w:tcBorders>
            <w:gridSpan w:val="5"/>
          </w:tcPr>
          <w:p>
            <w:pPr>
              <w:jc w:val="right"/>
              <w:ind w:right="392"/>
              <w:spacing w:after="0"/>
              <w:rPr>
                <w:sz w:val="20"/>
                <w:szCs w:val="20"/>
                <w:color w:val="auto"/>
              </w:rPr>
            </w:pPr>
            <w:r>
              <w:rPr>
                <w:rFonts w:ascii="Arial" w:cs="Arial" w:eastAsia="Arial" w:hAnsi="Arial"/>
                <w:sz w:val="14"/>
                <w:szCs w:val="14"/>
                <w:b w:val="1"/>
                <w:bCs w:val="1"/>
                <w:color w:val="auto"/>
              </w:rPr>
              <w:t>Increase (decrease)</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5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50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840" w:type="dxa"/>
            <w:vAlign w:val="bottom"/>
            <w:tcBorders>
              <w:bottom w:val="single" w:sz="8" w:color="auto"/>
            </w:tcBorders>
            <w:gridSpan w:val="4"/>
          </w:tcPr>
          <w:p>
            <w:pPr>
              <w:jc w:val="center"/>
              <w:ind w:right="20"/>
              <w:spacing w:after="0" w:line="129" w:lineRule="exact"/>
              <w:rPr>
                <w:sz w:val="20"/>
                <w:szCs w:val="20"/>
                <w:color w:val="auto"/>
              </w:rPr>
            </w:pPr>
            <w:r>
              <w:rPr>
                <w:rFonts w:ascii="Arial" w:cs="Arial" w:eastAsia="Arial" w:hAnsi="Arial"/>
                <w:sz w:val="14"/>
                <w:szCs w:val="14"/>
                <w:b w:val="1"/>
                <w:bCs w:val="1"/>
                <w:color w:val="auto"/>
                <w:w w:val="85"/>
              </w:rPr>
              <w:t>December 31,</w:t>
            </w:r>
          </w:p>
        </w:tc>
        <w:tc>
          <w:tcPr>
            <w:tcW w:w="6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500" w:type="dxa"/>
            <w:vAlign w:val="bottom"/>
            <w:tcBorders>
              <w:bottom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60" w:type="dxa"/>
            <w:vAlign w:val="bottom"/>
            <w:vMerge w:val="restart"/>
          </w:tcPr>
          <w:p>
            <w:pPr>
              <w:jc w:val="right"/>
              <w:ind w:right="12"/>
              <w:spacing w:after="0"/>
              <w:rPr>
                <w:sz w:val="20"/>
                <w:szCs w:val="20"/>
                <w:color w:val="auto"/>
              </w:rPr>
            </w:pPr>
            <w:r>
              <w:rPr>
                <w:rFonts w:ascii="Arial" w:cs="Arial" w:eastAsia="Arial" w:hAnsi="Arial"/>
                <w:sz w:val="14"/>
                <w:szCs w:val="14"/>
                <w:b w:val="1"/>
                <w:bCs w:val="1"/>
                <w:color w:val="auto"/>
                <w:w w:val="84"/>
              </w:rPr>
              <w:t>2013 vs. 2012</w:t>
            </w:r>
          </w:p>
        </w:tc>
        <w:tc>
          <w:tcPr>
            <w:tcW w:w="100" w:type="dxa"/>
            <w:vAlign w:val="bottom"/>
            <w:vMerge w:val="restart"/>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60" w:type="dxa"/>
            <w:vAlign w:val="bottom"/>
            <w:vMerge w:val="restart"/>
          </w:tcPr>
          <w:p>
            <w:pPr>
              <w:jc w:val="right"/>
              <w:ind w:right="32"/>
              <w:spacing w:after="0"/>
              <w:rPr>
                <w:sz w:val="20"/>
                <w:szCs w:val="20"/>
                <w:color w:val="auto"/>
              </w:rPr>
            </w:pPr>
            <w:r>
              <w:rPr>
                <w:rFonts w:ascii="Arial" w:cs="Arial" w:eastAsia="Arial" w:hAnsi="Arial"/>
                <w:sz w:val="14"/>
                <w:szCs w:val="14"/>
                <w:b w:val="1"/>
                <w:bCs w:val="1"/>
                <w:color w:val="auto"/>
                <w:w w:val="82"/>
              </w:rPr>
              <w:t>2012 vs. 2011</w:t>
            </w:r>
          </w:p>
        </w:tc>
        <w:tc>
          <w:tcPr>
            <w:tcW w:w="160" w:type="dxa"/>
            <w:vAlign w:val="bottom"/>
            <w:vMerge w:val="restart"/>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w w:val="96"/>
              </w:rPr>
              <w:t>2013</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center"/>
              <w:ind w:right="52"/>
              <w:spacing w:after="0" w:line="142" w:lineRule="exact"/>
              <w:rPr>
                <w:sz w:val="20"/>
                <w:szCs w:val="20"/>
                <w:color w:val="auto"/>
              </w:rPr>
            </w:pPr>
            <w:r>
              <w:rPr>
                <w:rFonts w:ascii="Arial" w:cs="Arial" w:eastAsia="Arial" w:hAnsi="Arial"/>
                <w:sz w:val="14"/>
                <w:szCs w:val="14"/>
                <w:b w:val="1"/>
                <w:bCs w:val="1"/>
                <w:color w:val="auto"/>
                <w:w w:val="89"/>
              </w:rPr>
              <w:t>2012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132"/>
              <w:spacing w:after="0" w:line="142" w:lineRule="exact"/>
              <w:rPr>
                <w:sz w:val="20"/>
                <w:szCs w:val="20"/>
                <w:color w:val="auto"/>
              </w:rPr>
            </w:pPr>
            <w:r>
              <w:rPr>
                <w:rFonts w:ascii="Arial" w:cs="Arial" w:eastAsia="Arial" w:hAnsi="Arial"/>
                <w:sz w:val="14"/>
                <w:szCs w:val="14"/>
                <w:b w:val="1"/>
                <w:bCs w:val="1"/>
                <w:color w:val="auto"/>
                <w:w w:val="89"/>
              </w:rPr>
              <w:t>2011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vMerge w:val="continue"/>
          </w:tcPr>
          <w:p>
            <w:pPr>
              <w:spacing w:after="0"/>
              <w:rPr>
                <w:sz w:val="12"/>
                <w:szCs w:val="12"/>
                <w:color w:val="auto"/>
              </w:rPr>
            </w:pPr>
          </w:p>
        </w:tc>
        <w:tc>
          <w:tcPr>
            <w:tcW w:w="10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vMerge w:val="continue"/>
          </w:tcPr>
          <w:p>
            <w:pPr>
              <w:spacing w:after="0"/>
              <w:rPr>
                <w:sz w:val="12"/>
                <w:szCs w:val="12"/>
                <w:color w:val="auto"/>
              </w:rPr>
            </w:pPr>
          </w:p>
        </w:tc>
        <w:tc>
          <w:tcPr>
            <w:tcW w:w="1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80" w:type="dxa"/>
            <w:vAlign w:val="bottom"/>
            <w:gridSpan w:val="5"/>
          </w:tcPr>
          <w:p>
            <w:pPr>
              <w:jc w:val="right"/>
              <w:ind w:right="672"/>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Revenues:</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80" w:type="dxa"/>
            <w:vAlign w:val="bottom"/>
          </w:tcPr>
          <w:p>
            <w:pPr>
              <w:ind w:left="140"/>
              <w:spacing w:after="0" w:line="149" w:lineRule="exact"/>
              <w:rPr>
                <w:sz w:val="20"/>
                <w:szCs w:val="20"/>
                <w:color w:val="auto"/>
              </w:rPr>
            </w:pPr>
            <w:r>
              <w:rPr>
                <w:rFonts w:ascii="Arial" w:cs="Arial" w:eastAsia="Arial" w:hAnsi="Arial"/>
                <w:sz w:val="14"/>
                <w:szCs w:val="14"/>
                <w:color w:val="auto"/>
              </w:rPr>
              <w:t>Premiums and other considerations</w:t>
            </w:r>
          </w:p>
        </w:tc>
        <w:tc>
          <w:tcPr>
            <w:tcW w:w="120" w:type="dxa"/>
            <w:vAlign w:val="bottom"/>
            <w:gridSpan w:val="2"/>
          </w:tcPr>
          <w:p>
            <w:pPr>
              <w:jc w:val="right"/>
              <w:ind w:right="37"/>
              <w:spacing w:after="0"/>
              <w:rPr>
                <w:sz w:val="20"/>
                <w:szCs w:val="20"/>
                <w:color w:val="auto"/>
              </w:rPr>
            </w:pPr>
            <w:r>
              <w:rPr>
                <w:rFonts w:ascii="Arial" w:cs="Arial" w:eastAsia="Arial" w:hAnsi="Arial"/>
                <w:sz w:val="10"/>
                <w:szCs w:val="10"/>
                <w:b w:val="1"/>
                <w:bCs w:val="1"/>
                <w:color w:val="auto"/>
                <w:w w:val="71"/>
              </w:rPr>
              <w:t>$</w:t>
            </w: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3,154.1</w:t>
            </w:r>
          </w:p>
        </w:tc>
        <w:tc>
          <w:tcPr>
            <w:tcW w:w="60" w:type="dxa"/>
            <w:vAlign w:val="bottom"/>
          </w:tcPr>
          <w:p>
            <w:pPr>
              <w:spacing w:after="0"/>
              <w:rPr>
                <w:sz w:val="12"/>
                <w:szCs w:val="12"/>
                <w:color w:val="auto"/>
              </w:rPr>
            </w:pP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3,219.4</w:t>
            </w:r>
          </w:p>
        </w:tc>
        <w:tc>
          <w:tcPr>
            <w:tcW w:w="100" w:type="dxa"/>
            <w:vAlign w:val="bottom"/>
          </w:tcPr>
          <w:p>
            <w:pPr>
              <w:spacing w:after="0"/>
              <w:rPr>
                <w:sz w:val="12"/>
                <w:szCs w:val="12"/>
                <w:color w:val="auto"/>
              </w:rPr>
            </w:pPr>
          </w:p>
        </w:tc>
        <w:tc>
          <w:tcPr>
            <w:tcW w:w="18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w w:val="98"/>
              </w:rPr>
              <w:t>2,891.0</w:t>
            </w:r>
          </w:p>
        </w:tc>
        <w:tc>
          <w:tcPr>
            <w:tcW w:w="100" w:type="dxa"/>
            <w:vAlign w:val="bottom"/>
          </w:tcPr>
          <w:p>
            <w:pPr>
              <w:spacing w:after="0"/>
              <w:rPr>
                <w:sz w:val="12"/>
                <w:szCs w:val="12"/>
                <w:color w:val="auto"/>
              </w:rPr>
            </w:pPr>
          </w:p>
        </w:tc>
        <w:tc>
          <w:tcPr>
            <w:tcW w:w="1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9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(65.3)</w:t>
            </w: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328.4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Fees and other revenues</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3,222.2</w:t>
            </w: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2,626.7</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8"/>
              </w:rPr>
              <w:t>2,526.7</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595.5</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80" w:type="dxa"/>
            <w:vAlign w:val="bottom"/>
          </w:tcPr>
          <w:p>
            <w:pPr>
              <w:ind w:left="140"/>
              <w:spacing w:after="0" w:line="149" w:lineRule="exact"/>
              <w:rPr>
                <w:sz w:val="20"/>
                <w:szCs w:val="20"/>
                <w:color w:val="auto"/>
              </w:rPr>
            </w:pPr>
            <w:r>
              <w:rPr>
                <w:rFonts w:ascii="Arial" w:cs="Arial" w:eastAsia="Arial" w:hAnsi="Arial"/>
                <w:sz w:val="14"/>
                <w:szCs w:val="14"/>
                <w:color w:val="auto"/>
              </w:rPr>
              <w:t>Net investment income</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3,138.4</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3,254.9</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w w:val="98"/>
              </w:rPr>
              <w:t>3,375.3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(116.5)</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(120.4)</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4580" w:type="dxa"/>
            <w:vAlign w:val="bottom"/>
            <w:shd w:val="clear" w:color="auto" w:fill="CCEEFF"/>
          </w:tcPr>
          <w:p>
            <w:pPr>
              <w:ind w:left="140"/>
              <w:spacing w:after="0" w:line="138" w:lineRule="exact"/>
              <w:rPr>
                <w:sz w:val="20"/>
                <w:szCs w:val="20"/>
                <w:color w:val="auto"/>
              </w:rPr>
            </w:pPr>
            <w:r>
              <w:rPr>
                <w:rFonts w:ascii="Arial" w:cs="Arial" w:eastAsia="Arial" w:hAnsi="Arial"/>
                <w:sz w:val="14"/>
                <w:szCs w:val="14"/>
                <w:color w:val="auto"/>
                <w:w w:val="92"/>
              </w:rPr>
              <w:t>Net realized capital gains (losses), excluding impairment losses on available-</w:t>
            </w: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4"/>
                <w:szCs w:val="14"/>
                <w:b w:val="1"/>
                <w:bCs w:val="1"/>
                <w:color w:val="auto"/>
              </w:rPr>
              <w:t>(109.2)</w:t>
            </w: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4580" w:type="dxa"/>
            <w:vAlign w:val="bottom"/>
            <w:shd w:val="clear" w:color="auto" w:fill="CCEEFF"/>
          </w:tcPr>
          <w:p>
            <w:pPr>
              <w:ind w:left="280"/>
              <w:spacing w:after="0" w:line="159" w:lineRule="exact"/>
              <w:rPr>
                <w:sz w:val="20"/>
                <w:szCs w:val="20"/>
                <w:color w:val="auto"/>
              </w:rPr>
            </w:pPr>
            <w:r>
              <w:rPr>
                <w:rFonts w:ascii="Arial" w:cs="Arial" w:eastAsia="Arial" w:hAnsi="Arial"/>
                <w:sz w:val="14"/>
                <w:szCs w:val="14"/>
                <w:color w:val="auto"/>
              </w:rPr>
              <w:t>for-sale securities</w:t>
            </w: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60" w:type="dxa"/>
            <w:vAlign w:val="bottom"/>
            <w:gridSpan w:val="2"/>
            <w:vMerge w:val="continue"/>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232.7</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75.0</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(341.9)</w:t>
            </w:r>
          </w:p>
        </w:tc>
        <w:tc>
          <w:tcPr>
            <w:tcW w:w="8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157.7</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80" w:type="dxa"/>
            <w:vAlign w:val="bottom"/>
          </w:tcPr>
          <w:p>
            <w:pPr>
              <w:ind w:left="140"/>
              <w:spacing w:after="0" w:line="149" w:lineRule="exact"/>
              <w:rPr>
                <w:sz w:val="20"/>
                <w:szCs w:val="20"/>
                <w:color w:val="auto"/>
              </w:rPr>
            </w:pPr>
            <w:r>
              <w:rPr>
                <w:rFonts w:ascii="Arial" w:cs="Arial" w:eastAsia="Arial" w:hAnsi="Arial"/>
                <w:sz w:val="14"/>
                <w:szCs w:val="14"/>
                <w:color w:val="auto"/>
                <w:w w:val="92"/>
              </w:rPr>
              <w:t>Total other-than-temporary impairment losses on available-for-sale securities</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(91.5)</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(135.9)</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(147.6)</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44.4</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11.7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4580" w:type="dxa"/>
            <w:vAlign w:val="bottom"/>
            <w:shd w:val="clear" w:color="auto" w:fill="CCEEFF"/>
          </w:tcPr>
          <w:p>
            <w:pPr>
              <w:ind w:left="140"/>
              <w:spacing w:after="0" w:line="138" w:lineRule="exact"/>
              <w:rPr>
                <w:sz w:val="20"/>
                <w:szCs w:val="20"/>
                <w:color w:val="auto"/>
              </w:rPr>
            </w:pPr>
            <w:r>
              <w:rPr>
                <w:rFonts w:ascii="Arial" w:cs="Arial" w:eastAsia="Arial" w:hAnsi="Arial"/>
                <w:sz w:val="14"/>
                <w:szCs w:val="14"/>
                <w:color w:val="auto"/>
                <w:w w:val="92"/>
              </w:rPr>
              <w:t>Other-than-temporary impairment losses on fixed maturities available-for-sale</w:t>
            </w: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4"/>
                <w:szCs w:val="14"/>
                <w:b w:val="1"/>
                <w:bCs w:val="1"/>
                <w:color w:val="auto"/>
              </w:rPr>
              <w:t>(24.5)</w:t>
            </w: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4580" w:type="dxa"/>
            <w:vAlign w:val="bottom"/>
            <w:shd w:val="clear" w:color="auto" w:fill="CCEEFF"/>
          </w:tcPr>
          <w:p>
            <w:pPr>
              <w:ind w:left="280"/>
              <w:spacing w:after="0" w:line="159" w:lineRule="exact"/>
              <w:rPr>
                <w:sz w:val="20"/>
                <w:szCs w:val="20"/>
                <w:color w:val="auto"/>
              </w:rPr>
            </w:pPr>
            <w:r>
              <w:rPr>
                <w:rFonts w:ascii="Arial" w:cs="Arial" w:eastAsia="Arial" w:hAnsi="Arial"/>
                <w:sz w:val="14"/>
                <w:szCs w:val="14"/>
                <w:color w:val="auto"/>
              </w:rPr>
              <w:t>reclassified to (from) other comprehensive income</w:t>
            </w: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60" w:type="dxa"/>
            <w:vAlign w:val="bottom"/>
            <w:gridSpan w:val="2"/>
            <w:vMerge w:val="continue"/>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17.3</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0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(49.7)</w:t>
            </w: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(41.8)</w:t>
            </w:r>
          </w:p>
        </w:tc>
        <w:tc>
          <w:tcPr>
            <w:tcW w:w="8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67.0</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580" w:type="dxa"/>
            <w:vAlign w:val="bottom"/>
          </w:tcPr>
          <w:p>
            <w:pPr>
              <w:ind w:left="140"/>
              <w:spacing w:after="0" w:line="142" w:lineRule="exact"/>
              <w:rPr>
                <w:sz w:val="20"/>
                <w:szCs w:val="20"/>
                <w:color w:val="auto"/>
              </w:rPr>
            </w:pPr>
            <w:r>
              <w:rPr>
                <w:rFonts w:ascii="Arial" w:cs="Arial" w:eastAsia="Arial" w:hAnsi="Arial"/>
                <w:sz w:val="14"/>
                <w:szCs w:val="14"/>
                <w:color w:val="auto"/>
              </w:rPr>
              <w:t>Net impairment losses on available-for-sale securities</w:t>
            </w:r>
          </w:p>
        </w:tc>
        <w:tc>
          <w:tcPr>
            <w:tcW w:w="2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(116.0)</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(118.6)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(197.3)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2.6</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78.7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58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Net realized capital gains (losses)</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(225.2)</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114.1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(122.3)</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(339.3)</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236.4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580" w:type="dxa"/>
            <w:vAlign w:val="bottom"/>
          </w:tcPr>
          <w:p>
            <w:pPr>
              <w:ind w:left="280"/>
              <w:spacing w:after="0" w:line="142" w:lineRule="exact"/>
              <w:rPr>
                <w:sz w:val="20"/>
                <w:szCs w:val="20"/>
                <w:color w:val="auto"/>
              </w:rPr>
            </w:pPr>
            <w:r>
              <w:rPr>
                <w:rFonts w:ascii="Arial" w:cs="Arial" w:eastAsia="Arial" w:hAnsi="Arial"/>
                <w:sz w:val="14"/>
                <w:szCs w:val="14"/>
                <w:color w:val="auto"/>
              </w:rPr>
              <w:t>Total revenues</w:t>
            </w:r>
          </w:p>
        </w:tc>
        <w:tc>
          <w:tcPr>
            <w:tcW w:w="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9,289.5</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9,215.1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w w:val="98"/>
              </w:rPr>
              <w:t>8,670.7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74.4</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544.4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Expenses:</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80" w:type="dxa"/>
            <w:vAlign w:val="bottom"/>
          </w:tcPr>
          <w:p>
            <w:pPr>
              <w:ind w:left="140"/>
              <w:spacing w:after="0" w:line="149" w:lineRule="exact"/>
              <w:rPr>
                <w:sz w:val="20"/>
                <w:szCs w:val="20"/>
                <w:color w:val="auto"/>
              </w:rPr>
            </w:pPr>
            <w:r>
              <w:rPr>
                <w:rFonts w:ascii="Arial" w:cs="Arial" w:eastAsia="Arial" w:hAnsi="Arial"/>
                <w:sz w:val="14"/>
                <w:szCs w:val="14"/>
                <w:color w:val="auto"/>
              </w:rPr>
              <w:t>Benefits, claims and settlement expenses</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4,683.6</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5,123.9</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w w:val="98"/>
              </w:rPr>
              <w:t>4,616.6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(440.3)</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507.3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Dividends to policyholders</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189.0</w:t>
            </w: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197.7</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210.2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(8.7)</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(12.5)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80" w:type="dxa"/>
            <w:vAlign w:val="bottom"/>
          </w:tcPr>
          <w:p>
            <w:pPr>
              <w:ind w:left="140"/>
              <w:spacing w:after="0" w:line="149" w:lineRule="exact"/>
              <w:rPr>
                <w:sz w:val="20"/>
                <w:szCs w:val="20"/>
                <w:color w:val="auto"/>
              </w:rPr>
            </w:pPr>
            <w:r>
              <w:rPr>
                <w:rFonts w:ascii="Arial" w:cs="Arial" w:eastAsia="Arial" w:hAnsi="Arial"/>
                <w:sz w:val="14"/>
                <w:szCs w:val="14"/>
                <w:color w:val="auto"/>
              </w:rPr>
              <w:t>Operating expenses</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3,292.9</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2,933.5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w w:val="98"/>
              </w:rPr>
              <w:t>2,971.1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359.4</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(37.6)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4580" w:type="dxa"/>
            <w:vAlign w:val="bottom"/>
            <w:shd w:val="clear" w:color="auto" w:fill="CCEEFF"/>
          </w:tcPr>
          <w:p>
            <w:pPr>
              <w:ind w:left="280"/>
              <w:spacing w:after="0" w:line="142" w:lineRule="exact"/>
              <w:rPr>
                <w:sz w:val="20"/>
                <w:szCs w:val="20"/>
                <w:color w:val="auto"/>
              </w:rPr>
            </w:pPr>
            <w:r>
              <w:rPr>
                <w:rFonts w:ascii="Arial" w:cs="Arial" w:eastAsia="Arial" w:hAnsi="Arial"/>
                <w:sz w:val="14"/>
                <w:szCs w:val="14"/>
                <w:color w:val="auto"/>
              </w:rPr>
              <w:t>Total expenses</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8,165.5</w:t>
            </w: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8,255.1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8"/>
              </w:rPr>
              <w:t>7,797.9</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(89.6)</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457.2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600" w:type="dxa"/>
            <w:vAlign w:val="bottom"/>
            <w:gridSpan w:val="2"/>
          </w:tcPr>
          <w:p>
            <w:pPr>
              <w:spacing w:after="0" w:line="142" w:lineRule="exact"/>
              <w:rPr>
                <w:sz w:val="20"/>
                <w:szCs w:val="20"/>
                <w:color w:val="auto"/>
              </w:rPr>
            </w:pPr>
            <w:r>
              <w:rPr>
                <w:rFonts w:ascii="Arial" w:cs="Arial" w:eastAsia="Arial" w:hAnsi="Arial"/>
                <w:sz w:val="14"/>
                <w:szCs w:val="14"/>
                <w:color w:val="auto"/>
              </w:rPr>
              <w:t>Income before taxes</w:t>
            </w:r>
          </w:p>
        </w:tc>
        <w:tc>
          <w:tcPr>
            <w:tcW w:w="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1,124.0</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960.0</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872.8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164.0</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87.2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Income taxes</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187.9</w:t>
            </w: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134.6</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198.3</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53.3</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(63.7)</w:t>
            </w:r>
          </w:p>
        </w:tc>
        <w:tc>
          <w:tcPr>
            <w:tcW w:w="0" w:type="dxa"/>
            <w:vAlign w:val="bottom"/>
          </w:tcPr>
          <w:p>
            <w:pPr>
              <w:spacing w:after="0"/>
              <w:rPr>
                <w:sz w:val="1"/>
                <w:szCs w:val="1"/>
                <w:color w:val="auto"/>
              </w:rPr>
            </w:pPr>
          </w:p>
        </w:tc>
      </w:tr>
      <w:tr>
        <w:trPr>
          <w:trHeight w:val="142"/>
        </w:trPr>
        <w:tc>
          <w:tcPr>
            <w:tcW w:w="4600" w:type="dxa"/>
            <w:vAlign w:val="bottom"/>
            <w:gridSpan w:val="2"/>
          </w:tcPr>
          <w:p>
            <w:pPr>
              <w:spacing w:after="0" w:line="142" w:lineRule="exact"/>
              <w:rPr>
                <w:sz w:val="20"/>
                <w:szCs w:val="20"/>
                <w:color w:val="auto"/>
              </w:rPr>
            </w:pPr>
            <w:r>
              <w:rPr>
                <w:rFonts w:ascii="Arial" w:cs="Arial" w:eastAsia="Arial" w:hAnsi="Arial"/>
                <w:sz w:val="14"/>
                <w:szCs w:val="14"/>
                <w:color w:val="auto"/>
              </w:rPr>
              <w:t>Net income</w:t>
            </w:r>
          </w:p>
        </w:tc>
        <w:tc>
          <w:tcPr>
            <w:tcW w:w="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936.1</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825.4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674.5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110.7</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150.9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income attributable to noncontrolling interest</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23.4</w:t>
            </w: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18.8</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36.2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4.6</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(17.4)</w:t>
            </w:r>
          </w:p>
        </w:tc>
        <w:tc>
          <w:tcPr>
            <w:tcW w:w="0" w:type="dxa"/>
            <w:vAlign w:val="bottom"/>
          </w:tcPr>
          <w:p>
            <w:pPr>
              <w:spacing w:after="0"/>
              <w:rPr>
                <w:sz w:val="1"/>
                <w:szCs w:val="1"/>
                <w:color w:val="auto"/>
              </w:rPr>
            </w:pPr>
          </w:p>
        </w:tc>
      </w:tr>
      <w:tr>
        <w:trPr>
          <w:trHeight w:val="142"/>
        </w:trPr>
        <w:tc>
          <w:tcPr>
            <w:tcW w:w="4600" w:type="dxa"/>
            <w:vAlign w:val="bottom"/>
            <w:gridSpan w:val="2"/>
          </w:tcPr>
          <w:p>
            <w:pPr>
              <w:spacing w:after="0" w:line="142" w:lineRule="exact"/>
              <w:rPr>
                <w:sz w:val="20"/>
                <w:szCs w:val="20"/>
                <w:color w:val="auto"/>
              </w:rPr>
            </w:pPr>
            <w:r>
              <w:rPr>
                <w:rFonts w:ascii="Arial" w:cs="Arial" w:eastAsia="Arial" w:hAnsi="Arial"/>
                <w:sz w:val="14"/>
                <w:szCs w:val="14"/>
                <w:color w:val="auto"/>
              </w:rPr>
              <w:t>Net income attributable to Principal Financial Group, Inc.</w:t>
            </w:r>
          </w:p>
        </w:tc>
        <w:tc>
          <w:tcPr>
            <w:tcW w:w="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912.7</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806.6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638.3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106.1</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168.3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Preferred stock dividends</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33.0</w:t>
            </w: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2"/>
        </w:trPr>
        <w:tc>
          <w:tcPr>
            <w:tcW w:w="4600" w:type="dxa"/>
            <w:vAlign w:val="bottom"/>
            <w:gridSpan w:val="2"/>
          </w:tcPr>
          <w:p>
            <w:pPr>
              <w:spacing w:after="0" w:line="142" w:lineRule="exact"/>
              <w:rPr>
                <w:sz w:val="20"/>
                <w:szCs w:val="20"/>
                <w:color w:val="auto"/>
              </w:rPr>
            </w:pPr>
            <w:r>
              <w:rPr>
                <w:rFonts w:ascii="Arial" w:cs="Arial" w:eastAsia="Arial" w:hAnsi="Arial"/>
                <w:sz w:val="14"/>
                <w:szCs w:val="14"/>
                <w:color w:val="auto"/>
              </w:rPr>
              <w:t>Net income available to common stockholders</w:t>
            </w:r>
          </w:p>
        </w:tc>
        <w:tc>
          <w:tcPr>
            <w:tcW w:w="20" w:type="dxa"/>
            <w:vAlign w:val="bottom"/>
            <w:tcBorders>
              <w:bottom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jc w:val="right"/>
              <w:ind w:right="37"/>
              <w:spacing w:after="0"/>
              <w:rPr>
                <w:sz w:val="20"/>
                <w:szCs w:val="20"/>
                <w:color w:val="auto"/>
              </w:rPr>
            </w:pPr>
            <w:r>
              <w:rPr>
                <w:rFonts w:ascii="Arial" w:cs="Arial" w:eastAsia="Arial" w:hAnsi="Arial"/>
                <w:sz w:val="5"/>
                <w:szCs w:val="5"/>
                <w:b w:val="1"/>
                <w:bCs w:val="1"/>
                <w:color w:val="auto"/>
                <w:w w:val="70"/>
              </w:rPr>
              <w:t>$</w:t>
            </w:r>
          </w:p>
        </w:tc>
        <w:tc>
          <w:tcPr>
            <w:tcW w:w="5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879.7</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5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773.6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5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605.3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106.1</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168.3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Year Ended December 31, 2013 Compared to Year Ended December 31, 2012</w:t>
      </w:r>
    </w:p>
    <w:p>
      <w:pPr>
        <w:spacing w:after="0" w:line="219"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Net Income Available to Common Stockholders</w:t>
      </w:r>
    </w:p>
    <w:p>
      <w:pPr>
        <w:spacing w:after="0" w:line="231" w:lineRule="exact"/>
        <w:rPr>
          <w:sz w:val="20"/>
          <w:szCs w:val="20"/>
          <w:color w:val="auto"/>
        </w:rPr>
      </w:pPr>
    </w:p>
    <w:p>
      <w:pPr>
        <w:jc w:val="both"/>
        <w:ind w:firstLine="405"/>
        <w:spacing w:after="0" w:line="306" w:lineRule="auto"/>
        <w:rPr>
          <w:sz w:val="20"/>
          <w:szCs w:val="20"/>
          <w:color w:val="auto"/>
        </w:rPr>
      </w:pPr>
      <w:r>
        <w:rPr>
          <w:rFonts w:ascii="Arial" w:cs="Arial" w:eastAsia="Arial" w:hAnsi="Arial"/>
          <w:sz w:val="16"/>
          <w:szCs w:val="16"/>
          <w:color w:val="auto"/>
        </w:rPr>
        <w:t>Net income available to common stockholders increased primarily due to higher earnings in our Retirement and Investor Services segment stemming from positive equity market performance and growth in the business. This increase in net income available to common stockholders was partially offset by an after-tax increase in net realized capital losses due to the net after-tax gain in 2012 associated with the merger of Catalyst Health Solutions, Inc.</w:t>
      </w:r>
    </w:p>
    <w:p>
      <w:pPr>
        <w:spacing w:after="0" w:line="155"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Total Revenues</w:t>
      </w:r>
    </w:p>
    <w:p>
      <w:pPr>
        <w:spacing w:after="0" w:line="231" w:lineRule="exact"/>
        <w:rPr>
          <w:sz w:val="20"/>
          <w:szCs w:val="20"/>
          <w:color w:val="auto"/>
        </w:rPr>
      </w:pPr>
    </w:p>
    <w:p>
      <w:pPr>
        <w:jc w:val="both"/>
        <w:ind w:firstLine="407"/>
        <w:spacing w:after="0" w:line="298" w:lineRule="auto"/>
        <w:rPr>
          <w:sz w:val="20"/>
          <w:szCs w:val="20"/>
          <w:color w:val="auto"/>
        </w:rPr>
      </w:pPr>
      <w:r>
        <w:rPr>
          <w:rFonts w:ascii="Arial" w:cs="Arial" w:eastAsia="Arial" w:hAnsi="Arial"/>
          <w:sz w:val="16"/>
          <w:szCs w:val="16"/>
          <w:color w:val="auto"/>
        </w:rPr>
        <w:t>Premiums decreased $117.1 million for the Retirement and Investor Services segment primarily due to lower sales of single premium group annuities with life contingencies. The single premium product, which is typically used to fund defined benefit plan terminations, can generate large premiums from very few customers and therefore premiums tend to vary from period to period. Partially offsetting this decrease was a $47.2 million increase for the U.S. Insurance Solutions segment primarily due to growth as a result of solid sales and stable employment and salary trends in our specialty benefits insurance business.</w:t>
      </w:r>
    </w:p>
    <w:p>
      <w:pPr>
        <w:spacing w:after="0" w:line="167" w:lineRule="exact"/>
        <w:rPr>
          <w:sz w:val="20"/>
          <w:szCs w:val="20"/>
          <w:color w:val="auto"/>
        </w:rPr>
      </w:pPr>
    </w:p>
    <w:p>
      <w:pPr>
        <w:jc w:val="both"/>
        <w:ind w:firstLine="376"/>
        <w:spacing w:after="0" w:line="298" w:lineRule="auto"/>
        <w:rPr>
          <w:sz w:val="20"/>
          <w:szCs w:val="20"/>
          <w:color w:val="auto"/>
        </w:rPr>
      </w:pPr>
      <w:r>
        <w:rPr>
          <w:rFonts w:ascii="Arial" w:cs="Arial" w:eastAsia="Arial" w:hAnsi="Arial"/>
          <w:sz w:val="16"/>
          <w:szCs w:val="16"/>
          <w:color w:val="auto"/>
        </w:rPr>
        <w:t>Fee revenues increased $280.8 million for our Retirement and Investor Services segment primarily due to higher fees stemming from an increase in average account values, which resulted from positive equity market performance and growth in the business. Fee revenues also increased $187.5 million for our Principal International segment primarily due to the Cuprum acquisition. In addition, fees increased $126.4 million for our Principal Global Investors segment due to higher management fee revenues as a result of increased AUM and increased performance fee revenue.</w:t>
      </w:r>
    </w:p>
    <w:p>
      <w:pPr>
        <w:spacing w:after="0" w:line="167" w:lineRule="exact"/>
        <w:rPr>
          <w:sz w:val="20"/>
          <w:szCs w:val="20"/>
          <w:color w:val="auto"/>
        </w:rPr>
      </w:pPr>
    </w:p>
    <w:p>
      <w:pPr>
        <w:jc w:val="both"/>
        <w:ind w:firstLine="355"/>
        <w:spacing w:after="0" w:line="306" w:lineRule="auto"/>
        <w:rPr>
          <w:sz w:val="20"/>
          <w:szCs w:val="20"/>
          <w:color w:val="auto"/>
        </w:rPr>
      </w:pPr>
      <w:r>
        <w:rPr>
          <w:rFonts w:ascii="Arial" w:cs="Arial" w:eastAsia="Arial" w:hAnsi="Arial"/>
          <w:sz w:val="16"/>
          <w:szCs w:val="16"/>
          <w:color w:val="auto"/>
        </w:rPr>
        <w:t>Net investment income decreased due to lower investment yields on our invested assets and cash in our U.S. operations and lower inflation-based investment returns on average invested assets and cash as a result of the weakening of the Latin American currencies against the U.S. dollar. These decreases were partially offset by the Cuprum acquisition and higher average invested assets in Chile. For additional information, see "Investments — Investment Results."</w:t>
      </w:r>
    </w:p>
    <w:p>
      <w:pPr>
        <w:spacing w:after="0" w:line="161" w:lineRule="exact"/>
        <w:rPr>
          <w:sz w:val="20"/>
          <w:szCs w:val="20"/>
          <w:color w:val="auto"/>
        </w:rPr>
      </w:pPr>
    </w:p>
    <w:p>
      <w:pPr>
        <w:jc w:val="both"/>
        <w:ind w:firstLine="351"/>
        <w:spacing w:after="0" w:line="306" w:lineRule="auto"/>
        <w:rPr>
          <w:sz w:val="20"/>
          <w:szCs w:val="20"/>
          <w:color w:val="auto"/>
        </w:rPr>
      </w:pPr>
      <w:r>
        <w:rPr>
          <w:rFonts w:ascii="Arial" w:cs="Arial" w:eastAsia="Arial" w:hAnsi="Arial"/>
          <w:sz w:val="16"/>
          <w:szCs w:val="16"/>
          <w:color w:val="auto"/>
        </w:rPr>
        <w:t>Net realized capital gains (losses) can be volatile due to other-than-temporary impairments of invested assets, mark-to-market adjustments of certain invested assets and our decision to sell invested assets. We had net realized capital losses in 2013 as compared to net realized capital gains in 2012 due to a gain associated with the merger of Catalyst Health Solutions, Inc. and the subsequent disposition of our remaining interest in the surviving corporation in the third</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7" w:name="page48"/>
    <w:bookmarkEnd w:id="4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quarter of 2012 and increased losses on derivatives not designated as hedging instruments. For additional information, see "Investments — Investment Results."</w:t>
      </w:r>
    </w:p>
    <w:p>
      <w:pPr>
        <w:spacing w:after="0" w:line="242"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Total Expenses</w:t>
      </w:r>
    </w:p>
    <w:p>
      <w:pPr>
        <w:spacing w:after="0" w:line="231" w:lineRule="exact"/>
        <w:rPr>
          <w:sz w:val="20"/>
          <w:szCs w:val="20"/>
          <w:color w:val="auto"/>
        </w:rPr>
      </w:pPr>
    </w:p>
    <w:p>
      <w:pPr>
        <w:jc w:val="both"/>
        <w:ind w:firstLine="355"/>
        <w:spacing w:after="0" w:line="255" w:lineRule="auto"/>
        <w:rPr>
          <w:sz w:val="20"/>
          <w:szCs w:val="20"/>
          <w:color w:val="auto"/>
        </w:rPr>
      </w:pPr>
      <w:r>
        <w:rPr>
          <w:rFonts w:ascii="Arial" w:cs="Arial" w:eastAsia="Arial" w:hAnsi="Arial"/>
          <w:sz w:val="18"/>
          <w:szCs w:val="18"/>
          <w:color w:val="auto"/>
        </w:rPr>
        <w:t>Benefits, claims and settlement expenses decreased $325.7 million for the Retirement and Investor Services segment primarily due to a decrease in change in reserves resulting from lower sales of single premium group annuities with life contingencies. Benefits, claims and settlement expenses also decreased $109.5 million for the U.S. Insurance Solutions segment primarily due to the change in basis for amortizing DAC and other actuarial balances in the first quarter of 2012 and the unlocking associated with a change in our long-term interest rate assumptions and model refinements in the third quarter of 2012 partially offset by higher mortality and growth in 2013.</w:t>
      </w:r>
    </w:p>
    <w:p>
      <w:pPr>
        <w:spacing w:after="0" w:line="197" w:lineRule="exact"/>
        <w:rPr>
          <w:sz w:val="20"/>
          <w:szCs w:val="20"/>
          <w:color w:val="auto"/>
        </w:rPr>
      </w:pPr>
    </w:p>
    <w:p>
      <w:pPr>
        <w:jc w:val="both"/>
        <w:ind w:firstLine="355"/>
        <w:spacing w:after="0" w:line="291" w:lineRule="auto"/>
        <w:rPr>
          <w:sz w:val="20"/>
          <w:szCs w:val="20"/>
          <w:color w:val="auto"/>
        </w:rPr>
      </w:pPr>
      <w:r>
        <w:rPr>
          <w:rFonts w:ascii="Arial" w:cs="Arial" w:eastAsia="Arial" w:hAnsi="Arial"/>
          <w:sz w:val="16"/>
          <w:szCs w:val="16"/>
          <w:color w:val="auto"/>
        </w:rPr>
        <w:t>Operating expenses increased $157.6 million for the Retirement and Investor Services segment primarily due to higher staff related costs, an increase in non-deferrable distribution costs resulting from growth in the business and higher sub-advisory fees stemming from positive equity market performance. Operating expenses increased $125.1 million for the U.S. Insurance Solutions segment primarily due to the change in basis for amortizing DAC and other actuarial balances in the first quarter of 2012 partially offset by unlocking associated with a change in our long-term interest rate assumptions and model refinements in the third quarter of 2012. In addition, operating expenses increased $113.4 million for the Principal International segment primarily due to the Cuprum acquisition and higher overall compensation expenses due to growth.</w:t>
      </w:r>
    </w:p>
    <w:p>
      <w:pPr>
        <w:spacing w:after="0" w:line="168"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Income Taxes</w:t>
      </w:r>
    </w:p>
    <w:p>
      <w:pPr>
        <w:spacing w:after="0" w:line="231" w:lineRule="exact"/>
        <w:rPr>
          <w:sz w:val="20"/>
          <w:szCs w:val="20"/>
          <w:color w:val="auto"/>
        </w:rPr>
      </w:pPr>
    </w:p>
    <w:p>
      <w:pPr>
        <w:jc w:val="both"/>
        <w:ind w:firstLine="373"/>
        <w:spacing w:after="0" w:line="290" w:lineRule="auto"/>
        <w:rPr>
          <w:sz w:val="20"/>
          <w:szCs w:val="20"/>
          <w:color w:val="auto"/>
        </w:rPr>
      </w:pPr>
      <w:r>
        <w:rPr>
          <w:rFonts w:ascii="Arial" w:cs="Arial" w:eastAsia="Arial" w:hAnsi="Arial"/>
          <w:sz w:val="16"/>
          <w:szCs w:val="16"/>
          <w:color w:val="auto"/>
        </w:rPr>
        <w:t>The effective income tax rates were 17% and 14% for the years ended December 31, 2013 and 2012, respectively. The effective income tax rate for the year ended December 31, 2013 was lower than the U.S. corporate income tax rate of 35% ("U.S. statutory rate") primarily due to income tax deductions allowed for corporate dividends received, the presentation of taxes on our share of earnings generated from equity method investments in net investment income and foreign tax rate differential. The effective income tax rate for the year ended December 31, 2012, was lower than the U.S. statutory rate primarily due to income tax deductions allowed for corporate dividends received, the presentation of taxes on our share of earnings generated from equity method investments in net investment income and the interest exclusion from taxable income. The effective income tax rate increased to 17% from 14% for the years ended December 31, 2013 and 2012, respectively, primarily due to an increase in income before taxes with no proportionate change in permanent tax differences.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Year Ended December 31, 2012 Compared to Year Ended December 31, 2011</w:t>
      </w:r>
    </w:p>
    <w:p>
      <w:pPr>
        <w:spacing w:after="0" w:line="219"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Net Income Available to Common Stockholders</w:t>
      </w:r>
    </w:p>
    <w:p>
      <w:pPr>
        <w:spacing w:after="0" w:line="231" w:lineRule="exact"/>
        <w:rPr>
          <w:sz w:val="20"/>
          <w:szCs w:val="20"/>
          <w:color w:val="auto"/>
        </w:rPr>
      </w:pPr>
    </w:p>
    <w:p>
      <w:pPr>
        <w:jc w:val="both"/>
        <w:ind w:firstLine="391"/>
        <w:spacing w:after="0" w:line="259" w:lineRule="auto"/>
        <w:rPr>
          <w:sz w:val="20"/>
          <w:szCs w:val="20"/>
          <w:color w:val="auto"/>
        </w:rPr>
      </w:pPr>
      <w:r>
        <w:rPr>
          <w:rFonts w:ascii="Arial" w:cs="Arial" w:eastAsia="Arial" w:hAnsi="Arial"/>
          <w:sz w:val="18"/>
          <w:szCs w:val="18"/>
          <w:color w:val="auto"/>
        </w:rPr>
        <w:t>Net income available to common stockholders increased primarily due to higher gains associated with the merger of Catalyst Health Solutions, Inc. and the subsequent disposition of our remaining interest in the surviving corporation in 2012 compared to the portion of our interest sold in 2011 and a negative impact of a court ruling on some uncertain tax positions in 2011 with no corresponding activity in 2012.</w:t>
      </w:r>
    </w:p>
    <w:p>
      <w:pPr>
        <w:spacing w:after="0" w:line="188"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Total Revenues</w:t>
      </w:r>
    </w:p>
    <w:p>
      <w:pPr>
        <w:spacing w:after="0" w:line="231" w:lineRule="exact"/>
        <w:rPr>
          <w:sz w:val="20"/>
          <w:szCs w:val="20"/>
          <w:color w:val="auto"/>
        </w:rPr>
      </w:pPr>
    </w:p>
    <w:p>
      <w:pPr>
        <w:jc w:val="both"/>
        <w:ind w:firstLine="355"/>
        <w:spacing w:after="0" w:line="298" w:lineRule="auto"/>
        <w:rPr>
          <w:sz w:val="20"/>
          <w:szCs w:val="20"/>
          <w:color w:val="auto"/>
        </w:rPr>
      </w:pPr>
      <w:r>
        <w:rPr>
          <w:rFonts w:ascii="Arial" w:cs="Arial" w:eastAsia="Arial" w:hAnsi="Arial"/>
          <w:sz w:val="16"/>
          <w:szCs w:val="16"/>
          <w:color w:val="auto"/>
        </w:rPr>
        <w:t>Premiums increased $772.2 million for the Retirement and Investor Services segment primarily due to an increase in sales of single premium group annuities with life contingencies. The single premium product, which is typically used to fund defined benefit plan terminations, can generate large premiums from very few customers and therefore tends to vary from period to period. Partially offsetting this increase was a $509.2 million decrease for the Corporate segment primarily due to a reduction in average covered medical members in our exited group medical insurance business.</w:t>
      </w:r>
    </w:p>
    <w:p>
      <w:pPr>
        <w:spacing w:after="0" w:line="167" w:lineRule="exact"/>
        <w:rPr>
          <w:sz w:val="20"/>
          <w:szCs w:val="20"/>
          <w:color w:val="auto"/>
        </w:rPr>
      </w:pPr>
    </w:p>
    <w:p>
      <w:pPr>
        <w:jc w:val="both"/>
        <w:ind w:firstLine="402"/>
        <w:spacing w:after="0" w:line="291" w:lineRule="auto"/>
        <w:rPr>
          <w:sz w:val="20"/>
          <w:szCs w:val="20"/>
          <w:color w:val="auto"/>
        </w:rPr>
      </w:pPr>
      <w:r>
        <w:rPr>
          <w:rFonts w:ascii="Arial" w:cs="Arial" w:eastAsia="Arial" w:hAnsi="Arial"/>
          <w:sz w:val="16"/>
          <w:szCs w:val="16"/>
          <w:color w:val="auto"/>
        </w:rPr>
        <w:t>Fee revenues increased $93.3 million for our Retirement and Investor Services segment primarily due to higher fees stemming from an increase in average account values, which resulted from positive equity market performance in 2012 and strong net cash flow from customers. Fee revenues also increased $48.4 million for our Principal International segment primarily due to higher sub-advisory fees driven by higher average AUM in Mexico and the Claritas acquisition in Brazil. In addition, fees increased $44.6 million for our Principal Global Investors segment primarily due to higher fee revenues as a result of increased AUM. Partially offsetting these increases was an $86.3 million decrease in fee revenues for the Corporate segment primarily due to a reduction in average fee-for-service members in our exited group medical insurance business.</w:t>
      </w:r>
    </w:p>
    <w:p>
      <w:pPr>
        <w:spacing w:after="0" w:line="174" w:lineRule="exact"/>
        <w:rPr>
          <w:sz w:val="20"/>
          <w:szCs w:val="20"/>
          <w:color w:val="auto"/>
        </w:rPr>
      </w:pPr>
    </w:p>
    <w:p>
      <w:pPr>
        <w:jc w:val="both"/>
        <w:ind w:firstLine="567"/>
        <w:spacing w:after="0" w:line="256" w:lineRule="auto"/>
        <w:rPr>
          <w:sz w:val="20"/>
          <w:szCs w:val="20"/>
          <w:color w:val="auto"/>
        </w:rPr>
      </w:pPr>
      <w:r>
        <w:rPr>
          <w:rFonts w:ascii="Arial" w:cs="Arial" w:eastAsia="Arial" w:hAnsi="Arial"/>
          <w:sz w:val="18"/>
          <w:szCs w:val="18"/>
          <w:color w:val="auto"/>
        </w:rPr>
        <w:t>Net investment income decreased due to lower investment yields on our invested assets and cash in our U.S. operations, and lower inflation-based investment returns on average invested assets and cash as a result of lower inflation in Chile and the weakening of the Latin American currencies against the U.S. dollar. These decreases were partially offset by an increase in average invested assets and cash. For additional information, see "Investments — Investment Results."</w:t>
      </w:r>
    </w:p>
    <w:p>
      <w:pPr>
        <w:spacing w:after="0" w:line="197" w:lineRule="exact"/>
        <w:rPr>
          <w:sz w:val="20"/>
          <w:szCs w:val="20"/>
          <w:color w:val="auto"/>
        </w:rPr>
      </w:pPr>
    </w:p>
    <w:p>
      <w:pPr>
        <w:jc w:val="both"/>
        <w:ind w:firstLine="359"/>
        <w:spacing w:after="0" w:line="259" w:lineRule="auto"/>
        <w:rPr>
          <w:sz w:val="20"/>
          <w:szCs w:val="20"/>
          <w:color w:val="auto"/>
        </w:rPr>
      </w:pPr>
      <w:r>
        <w:rPr>
          <w:rFonts w:ascii="Arial" w:cs="Arial" w:eastAsia="Arial" w:hAnsi="Arial"/>
          <w:sz w:val="18"/>
          <w:szCs w:val="18"/>
          <w:color w:val="auto"/>
        </w:rPr>
        <w:t>Net realized capital gains (losses) can be volatile due to other than temporary impairments of invested assets, mark-to-market adjustments of certain invested assets and our decision to sell invested assets. Net realized capital gains (losses) increased primarily due to higher gains associated with the merger of Catalyst Health Solutions, Inc. and the</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8" w:name="page49"/>
    <w:bookmarkEnd w:id="4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right="20"/>
        <w:spacing w:after="0" w:line="268" w:lineRule="auto"/>
        <w:rPr>
          <w:sz w:val="20"/>
          <w:szCs w:val="20"/>
          <w:color w:val="auto"/>
        </w:rPr>
      </w:pPr>
      <w:r>
        <w:rPr>
          <w:rFonts w:ascii="Arial" w:cs="Arial" w:eastAsia="Arial" w:hAnsi="Arial"/>
          <w:sz w:val="18"/>
          <w:szCs w:val="18"/>
          <w:color w:val="auto"/>
        </w:rPr>
        <w:t>subsequent disposition of our remaining interest in the surviving corporation in 2012 compared to the portion of our interest sold in 2011 and a decrease in credit impairments on fixed maturities, available-for-sale. For additional information, see "Investments — Investment Results."</w:t>
      </w:r>
    </w:p>
    <w:p>
      <w:pPr>
        <w:spacing w:after="0" w:line="180"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Total Expenses</w:t>
      </w:r>
    </w:p>
    <w:p>
      <w:pPr>
        <w:spacing w:after="0" w:line="231" w:lineRule="exact"/>
        <w:rPr>
          <w:sz w:val="20"/>
          <w:szCs w:val="20"/>
          <w:color w:val="auto"/>
        </w:rPr>
      </w:pPr>
    </w:p>
    <w:p>
      <w:pPr>
        <w:jc w:val="both"/>
        <w:ind w:firstLine="396"/>
        <w:spacing w:after="0" w:line="291" w:lineRule="auto"/>
        <w:rPr>
          <w:sz w:val="20"/>
          <w:szCs w:val="20"/>
          <w:color w:val="auto"/>
        </w:rPr>
      </w:pPr>
      <w:r>
        <w:rPr>
          <w:rFonts w:ascii="Arial" w:cs="Arial" w:eastAsia="Arial" w:hAnsi="Arial"/>
          <w:sz w:val="16"/>
          <w:szCs w:val="16"/>
          <w:color w:val="auto"/>
        </w:rPr>
        <w:t>Benefits, claims and settlement expenses increased $695.8 million for the Retirement and Investor Services segment primarily due to an increase in change in reserves resulting from an increase in sales of single premium group annuities with life contingencies. Benefits, claims and settlement expenses also increased $210.4 million for the U.S. Insurance Solutions segment primarily due to the change in amortization basis, unlocking associated with a change in our long-term interest rate assumptions and model refinements in the third quarter of 2012 and growth in our individual life insurance business. Partially offsetting these increases was a $384.4 million decrease in benefits, claims and settlement expenses for the Corporate segment primarily due to a reduction in average covered medical members in our exited group medical insurance business.</w:t>
      </w:r>
    </w:p>
    <w:p>
      <w:pPr>
        <w:spacing w:after="0" w:line="168"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Income Taxes</w:t>
      </w:r>
    </w:p>
    <w:p>
      <w:pPr>
        <w:spacing w:after="0" w:line="231" w:lineRule="exact"/>
        <w:rPr>
          <w:sz w:val="20"/>
          <w:szCs w:val="20"/>
          <w:color w:val="auto"/>
        </w:rPr>
      </w:pPr>
    </w:p>
    <w:p>
      <w:pPr>
        <w:jc w:val="both"/>
        <w:ind w:firstLine="373"/>
        <w:spacing w:after="0" w:line="253" w:lineRule="auto"/>
        <w:rPr>
          <w:sz w:val="20"/>
          <w:szCs w:val="20"/>
          <w:color w:val="auto"/>
        </w:rPr>
      </w:pPr>
      <w:r>
        <w:rPr>
          <w:rFonts w:ascii="Arial" w:cs="Arial" w:eastAsia="Arial" w:hAnsi="Arial"/>
          <w:sz w:val="18"/>
          <w:szCs w:val="18"/>
          <w:color w:val="auto"/>
        </w:rPr>
        <w:t>The effective income tax rates were 14% and 23% for the years ended December 31, 2012 and 2011, respectively. The effective income tax rate for the year ended December 31, 2012 was lower than the U.S. statutory rate primarily due to income tax deductions allowed for corporate dividends received, the presentation of taxes on our share of earnings generated from equity method investments in net investment income and the interest exclusion from taxable income. The effective income tax rate for the year ended December 31, 2011, was lower than the U.S. statutory rate primarily due to income tax deductions allowed for corporate dividends received, the presentation of taxes on our share of earnings generated from equity method investments in net investment income and the interest exclusion from taxable income, which were partially offset by the impact of a court ruling on some uncertain tax positions. The effective income tax rate decreased to 14% from 23% for the years ended December 31, 2012 and 2011, respectively, primarily due to the impact of a 2011 court ruling on some uncertain tax positions.</w:t>
      </w: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 by Segment</w:t>
      </w:r>
    </w:p>
    <w:p>
      <w:pPr>
        <w:spacing w:after="0" w:line="231" w:lineRule="exact"/>
        <w:rPr>
          <w:sz w:val="20"/>
          <w:szCs w:val="20"/>
          <w:color w:val="auto"/>
        </w:rPr>
      </w:pPr>
    </w:p>
    <w:p>
      <w:pPr>
        <w:jc w:val="both"/>
        <w:ind w:firstLine="486"/>
        <w:spacing w:after="0" w:line="268" w:lineRule="auto"/>
        <w:rPr>
          <w:sz w:val="20"/>
          <w:szCs w:val="20"/>
          <w:color w:val="auto"/>
        </w:rPr>
      </w:pPr>
      <w:r>
        <w:rPr>
          <w:rFonts w:ascii="Arial" w:cs="Arial" w:eastAsia="Arial" w:hAnsi="Arial"/>
          <w:sz w:val="18"/>
          <w:szCs w:val="18"/>
          <w:color w:val="auto"/>
        </w:rPr>
        <w:t>For results of operations by segment see Item 8. "Financial Statements and Supplementary Data, Notes to Consolidated Financial Statements, Note 17, Segment Information."</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Retirement and Investor Services Segment</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Retirement and Investor Services Trends</w:t>
      </w:r>
    </w:p>
    <w:p>
      <w:pPr>
        <w:spacing w:after="0" w:line="225" w:lineRule="exact"/>
        <w:rPr>
          <w:sz w:val="20"/>
          <w:szCs w:val="20"/>
          <w:color w:val="auto"/>
        </w:rPr>
      </w:pPr>
    </w:p>
    <w:p>
      <w:pPr>
        <w:jc w:val="both"/>
        <w:ind w:firstLine="567"/>
        <w:spacing w:after="0" w:line="255" w:lineRule="auto"/>
        <w:rPr>
          <w:sz w:val="20"/>
          <w:szCs w:val="20"/>
          <w:color w:val="auto"/>
        </w:rPr>
      </w:pPr>
      <w:r>
        <w:rPr>
          <w:rFonts w:ascii="Arial" w:cs="Arial" w:eastAsia="Arial" w:hAnsi="Arial"/>
          <w:sz w:val="18"/>
          <w:szCs w:val="18"/>
          <w:color w:val="auto"/>
        </w:rPr>
        <w:t>Several key factors impact revenue and earnings growth in our Retirement and Investor Services segment. These factors include: the ability of our distribution channels to generate new sales and retain existing business; pricing decisions that take account of competitive conditions, persistency, investment returns, mortality trends, and operating expense levels; investment management performance; equity market returns and interest rate changes. Profitability ultimately depends on our ability to price products and invest assets at a level that enables us to earn a margin over the cost of providing benefits and the expense of acquiring and administering those products.</w:t>
      </w:r>
    </w:p>
    <w:p>
      <w:pPr>
        <w:spacing w:after="0" w:line="197" w:lineRule="exact"/>
        <w:rPr>
          <w:sz w:val="20"/>
          <w:szCs w:val="20"/>
          <w:color w:val="auto"/>
        </w:rPr>
      </w:pPr>
    </w:p>
    <w:p>
      <w:pPr>
        <w:jc w:val="both"/>
        <w:ind w:firstLine="484"/>
        <w:spacing w:after="0" w:line="255" w:lineRule="auto"/>
        <w:rPr>
          <w:sz w:val="20"/>
          <w:szCs w:val="20"/>
          <w:color w:val="auto"/>
        </w:rPr>
      </w:pPr>
      <w:r>
        <w:rPr>
          <w:rFonts w:ascii="Arial" w:cs="Arial" w:eastAsia="Arial" w:hAnsi="Arial"/>
          <w:sz w:val="18"/>
          <w:szCs w:val="18"/>
          <w:color w:val="auto"/>
        </w:rPr>
        <w:t>Net revenue is a key metric used to understand RIS earnings growth. Net revenue is defined as operating revenues less benefits, claims and settlement expenses less dividends to policyholders. Net revenue from our Accumulation products is primarily fee based and is impacted by changes in the equity markets. Net revenue from our Guaranteed products is driven by our ability to earn an investment spread. Accumulation net revenue has grown due to improvement in the equity markets as well as growth in the block of business. Guaranteed net revenue has increased due to improving returns on new business as well as an improvement in variable investment income.</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presents the Retirement and Investor Services net revenue for the years indicated:</w:t>
      </w:r>
    </w:p>
    <w:p>
      <w:pPr>
        <w:spacing w:after="0" w:line="356"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5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100" w:type="dxa"/>
            <w:vAlign w:val="bottom"/>
            <w:gridSpan w:val="7"/>
            <w:vMerge w:val="restart"/>
          </w:tcPr>
          <w:p>
            <w:pPr>
              <w:jc w:val="right"/>
              <w:ind w:right="72"/>
              <w:spacing w:after="0"/>
              <w:rPr>
                <w:sz w:val="20"/>
                <w:szCs w:val="20"/>
                <w:color w:val="auto"/>
              </w:rPr>
            </w:pPr>
            <w:r>
              <w:rPr>
                <w:rFonts w:ascii="Arial" w:cs="Arial" w:eastAsia="Arial" w:hAnsi="Arial"/>
                <w:sz w:val="14"/>
                <w:szCs w:val="14"/>
                <w:b w:val="1"/>
                <w:bCs w:val="1"/>
                <w:color w:val="auto"/>
                <w:w w:val="88"/>
              </w:rPr>
              <w:t>For the year ended December 31,</w:t>
            </w: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960" w:type="dxa"/>
            <w:vAlign w:val="bottom"/>
            <w:tcBorders>
              <w:bottom w:val="single" w:sz="8" w:color="auto"/>
            </w:tcBorders>
            <w:gridSpan w:val="4"/>
          </w:tcPr>
          <w:p>
            <w:pPr>
              <w:jc w:val="right"/>
              <w:ind w:right="392"/>
              <w:spacing w:after="0"/>
              <w:rPr>
                <w:sz w:val="20"/>
                <w:szCs w:val="20"/>
                <w:color w:val="auto"/>
              </w:rPr>
            </w:pPr>
            <w:r>
              <w:rPr>
                <w:rFonts w:ascii="Arial" w:cs="Arial" w:eastAsia="Arial" w:hAnsi="Arial"/>
                <w:sz w:val="14"/>
                <w:szCs w:val="14"/>
                <w:b w:val="1"/>
                <w:bCs w:val="1"/>
                <w:color w:val="auto"/>
              </w:rPr>
              <w:t>Increase (decrease)</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5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100" w:type="dxa"/>
            <w:vAlign w:val="bottom"/>
            <w:tcBorders>
              <w:bottom w:val="single" w:sz="8" w:color="auto"/>
            </w:tcBorders>
            <w:gridSpan w:val="7"/>
            <w:vMerge w:val="continue"/>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60" w:type="dxa"/>
            <w:vAlign w:val="bottom"/>
            <w:vMerge w:val="restart"/>
          </w:tcPr>
          <w:p>
            <w:pPr>
              <w:jc w:val="right"/>
              <w:ind w:right="12"/>
              <w:spacing w:after="0"/>
              <w:rPr>
                <w:sz w:val="20"/>
                <w:szCs w:val="20"/>
                <w:color w:val="auto"/>
              </w:rPr>
            </w:pPr>
            <w:r>
              <w:rPr>
                <w:rFonts w:ascii="Arial" w:cs="Arial" w:eastAsia="Arial" w:hAnsi="Arial"/>
                <w:sz w:val="14"/>
                <w:szCs w:val="14"/>
                <w:b w:val="1"/>
                <w:bCs w:val="1"/>
                <w:color w:val="auto"/>
                <w:w w:val="84"/>
              </w:rPr>
              <w:t>2013 vs. 2012</w:t>
            </w: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60" w:type="dxa"/>
            <w:vAlign w:val="bottom"/>
            <w:vMerge w:val="restart"/>
          </w:tcPr>
          <w:p>
            <w:pPr>
              <w:jc w:val="right"/>
              <w:ind w:right="32"/>
              <w:spacing w:after="0"/>
              <w:rPr>
                <w:sz w:val="20"/>
                <w:szCs w:val="20"/>
                <w:color w:val="auto"/>
              </w:rPr>
            </w:pPr>
            <w:r>
              <w:rPr>
                <w:rFonts w:ascii="Arial" w:cs="Arial" w:eastAsia="Arial" w:hAnsi="Arial"/>
                <w:sz w:val="14"/>
                <w:szCs w:val="14"/>
                <w:b w:val="1"/>
                <w:bCs w:val="1"/>
                <w:color w:val="auto"/>
                <w:w w:val="82"/>
              </w:rPr>
              <w:t>2012 vs. 2011</w:t>
            </w:r>
          </w:p>
        </w:tc>
        <w:tc>
          <w:tcPr>
            <w:tcW w:w="160" w:type="dxa"/>
            <w:vAlign w:val="bottom"/>
            <w:vMerge w:val="restart"/>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rPr>
              <w:t>2013</w:t>
            </w:r>
          </w:p>
        </w:tc>
        <w:tc>
          <w:tcPr>
            <w:tcW w:w="18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rPr>
              <w:t>2012</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132"/>
              <w:spacing w:after="0" w:line="142" w:lineRule="exact"/>
              <w:rPr>
                <w:sz w:val="20"/>
                <w:szCs w:val="20"/>
                <w:color w:val="auto"/>
              </w:rPr>
            </w:pPr>
            <w:r>
              <w:rPr>
                <w:rFonts w:ascii="Arial" w:cs="Arial" w:eastAsia="Arial" w:hAnsi="Arial"/>
                <w:sz w:val="14"/>
                <w:szCs w:val="14"/>
                <w:b w:val="1"/>
                <w:bCs w:val="1"/>
                <w:color w:val="auto"/>
                <w:w w:val="89"/>
              </w:rPr>
              <w:t>2011</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vMerge w:val="continue"/>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vMerge w:val="continue"/>
          </w:tcPr>
          <w:p>
            <w:pPr>
              <w:spacing w:after="0"/>
              <w:rPr>
                <w:sz w:val="12"/>
                <w:szCs w:val="12"/>
                <w:color w:val="auto"/>
              </w:rPr>
            </w:pPr>
          </w:p>
        </w:tc>
        <w:tc>
          <w:tcPr>
            <w:tcW w:w="1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80" w:type="dxa"/>
            <w:vAlign w:val="bottom"/>
            <w:gridSpan w:val="4"/>
          </w:tcPr>
          <w:p>
            <w:pPr>
              <w:jc w:val="right"/>
              <w:ind w:right="672"/>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revenue:</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80" w:type="dxa"/>
            <w:vAlign w:val="bottom"/>
          </w:tcPr>
          <w:p>
            <w:pPr>
              <w:ind w:left="140"/>
              <w:spacing w:after="0" w:line="149" w:lineRule="exact"/>
              <w:rPr>
                <w:sz w:val="20"/>
                <w:szCs w:val="20"/>
                <w:color w:val="auto"/>
              </w:rPr>
            </w:pPr>
            <w:r>
              <w:rPr>
                <w:rFonts w:ascii="Arial" w:cs="Arial" w:eastAsia="Arial" w:hAnsi="Arial"/>
                <w:sz w:val="14"/>
                <w:szCs w:val="14"/>
                <w:color w:val="auto"/>
              </w:rPr>
              <w:t>Accumulation</w:t>
            </w:r>
          </w:p>
        </w:tc>
        <w:tc>
          <w:tcPr>
            <w:tcW w:w="100" w:type="dxa"/>
            <w:vAlign w:val="bottom"/>
            <w:gridSpan w:val="2"/>
          </w:tcPr>
          <w:p>
            <w:pPr>
              <w:jc w:val="right"/>
              <w:ind w:right="17"/>
              <w:spacing w:after="0"/>
              <w:rPr>
                <w:sz w:val="20"/>
                <w:szCs w:val="20"/>
                <w:color w:val="auto"/>
              </w:rPr>
            </w:pPr>
            <w:r>
              <w:rPr>
                <w:rFonts w:ascii="Arial" w:cs="Arial" w:eastAsia="Arial" w:hAnsi="Arial"/>
                <w:sz w:val="10"/>
                <w:szCs w:val="10"/>
                <w:b w:val="1"/>
                <w:bCs w:val="1"/>
                <w:color w:val="auto"/>
                <w:w w:val="71"/>
              </w:rPr>
              <w:t>$</w:t>
            </w: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2,336.1</w:t>
            </w:r>
          </w:p>
        </w:tc>
        <w:tc>
          <w:tcPr>
            <w:tcW w:w="2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2,044.1</w:t>
            </w:r>
          </w:p>
        </w:tc>
        <w:tc>
          <w:tcPr>
            <w:tcW w:w="28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w w:val="98"/>
              </w:rPr>
              <w:t>1,917.0</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292.0</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127.1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Guaranteed</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184.2</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155.1</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161.3</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29.1</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(6.2)</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580" w:type="dxa"/>
            <w:vAlign w:val="bottom"/>
          </w:tcPr>
          <w:p>
            <w:pPr>
              <w:ind w:left="140"/>
              <w:spacing w:after="0" w:line="142" w:lineRule="exact"/>
              <w:rPr>
                <w:sz w:val="20"/>
                <w:szCs w:val="20"/>
                <w:color w:val="auto"/>
              </w:rPr>
            </w:pPr>
            <w:r>
              <w:rPr>
                <w:rFonts w:ascii="Arial" w:cs="Arial" w:eastAsia="Arial" w:hAnsi="Arial"/>
                <w:sz w:val="14"/>
                <w:szCs w:val="14"/>
                <w:color w:val="auto"/>
              </w:rPr>
              <w:t>Total Retirement and Investor Services</w:t>
            </w:r>
          </w:p>
        </w:tc>
        <w:tc>
          <w:tcPr>
            <w:tcW w:w="20" w:type="dxa"/>
            <w:vAlign w:val="bottom"/>
            <w:tcBorders>
              <w:bottom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jc w:val="right"/>
              <w:ind w:right="17"/>
              <w:spacing w:after="0"/>
              <w:rPr>
                <w:sz w:val="20"/>
                <w:szCs w:val="20"/>
                <w:color w:val="auto"/>
              </w:rPr>
            </w:pPr>
            <w:r>
              <w:rPr>
                <w:rFonts w:ascii="Arial" w:cs="Arial" w:eastAsia="Arial" w:hAnsi="Arial"/>
                <w:sz w:val="5"/>
                <w:szCs w:val="5"/>
                <w:b w:val="1"/>
                <w:bCs w:val="1"/>
                <w:color w:val="auto"/>
                <w:w w:val="70"/>
              </w:rPr>
              <w:t>$</w:t>
            </w:r>
          </w:p>
        </w:tc>
        <w:tc>
          <w:tcPr>
            <w:tcW w:w="5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2,520.3</w:t>
            </w:r>
          </w:p>
        </w:tc>
        <w:tc>
          <w:tcPr>
            <w:tcW w:w="18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5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2,199.2</w:t>
            </w:r>
          </w:p>
        </w:tc>
        <w:tc>
          <w:tcPr>
            <w:tcW w:w="16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5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98"/>
              </w:rPr>
              <w:t>2,078.3</w:t>
            </w:r>
          </w:p>
        </w:tc>
        <w:tc>
          <w:tcPr>
            <w:tcW w:w="1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321.1</w:t>
            </w:r>
          </w:p>
        </w:tc>
        <w:tc>
          <w:tcPr>
            <w:tcW w:w="18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120.9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9" w:name="page50"/>
    <w:bookmarkEnd w:id="4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Retirement and Investor Services Segment Summary Financial Data</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presents certain summary financial data relating to the RIS segment for the periods indicated:</w:t>
      </w:r>
    </w:p>
    <w:p>
      <w:pPr>
        <w:spacing w:after="0" w:line="356"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5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100" w:type="dxa"/>
            <w:vAlign w:val="bottom"/>
            <w:gridSpan w:val="7"/>
            <w:vMerge w:val="restart"/>
          </w:tcPr>
          <w:p>
            <w:pPr>
              <w:jc w:val="right"/>
              <w:ind w:right="72"/>
              <w:spacing w:after="0"/>
              <w:rPr>
                <w:sz w:val="20"/>
                <w:szCs w:val="20"/>
                <w:color w:val="auto"/>
              </w:rPr>
            </w:pPr>
            <w:r>
              <w:rPr>
                <w:rFonts w:ascii="Arial" w:cs="Arial" w:eastAsia="Arial" w:hAnsi="Arial"/>
                <w:sz w:val="14"/>
                <w:szCs w:val="14"/>
                <w:b w:val="1"/>
                <w:bCs w:val="1"/>
                <w:color w:val="auto"/>
                <w:w w:val="88"/>
              </w:rPr>
              <w:t>For the year ended December 31,</w:t>
            </w: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960" w:type="dxa"/>
            <w:vAlign w:val="bottom"/>
            <w:tcBorders>
              <w:bottom w:val="single" w:sz="8" w:color="auto"/>
            </w:tcBorders>
            <w:gridSpan w:val="5"/>
          </w:tcPr>
          <w:p>
            <w:pPr>
              <w:jc w:val="right"/>
              <w:ind w:right="392"/>
              <w:spacing w:after="0"/>
              <w:rPr>
                <w:sz w:val="20"/>
                <w:szCs w:val="20"/>
                <w:color w:val="auto"/>
              </w:rPr>
            </w:pPr>
            <w:r>
              <w:rPr>
                <w:rFonts w:ascii="Arial" w:cs="Arial" w:eastAsia="Arial" w:hAnsi="Arial"/>
                <w:sz w:val="14"/>
                <w:szCs w:val="14"/>
                <w:b w:val="1"/>
                <w:bCs w:val="1"/>
                <w:color w:val="auto"/>
              </w:rPr>
              <w:t>Increase (decrease)</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5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100" w:type="dxa"/>
            <w:vAlign w:val="bottom"/>
            <w:tcBorders>
              <w:bottom w:val="single" w:sz="8" w:color="auto"/>
            </w:tcBorders>
            <w:gridSpan w:val="7"/>
            <w:vMerge w:val="continue"/>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60" w:type="dxa"/>
            <w:vAlign w:val="bottom"/>
            <w:vMerge w:val="restart"/>
          </w:tcPr>
          <w:p>
            <w:pPr>
              <w:jc w:val="right"/>
              <w:ind w:right="12"/>
              <w:spacing w:after="0"/>
              <w:rPr>
                <w:sz w:val="20"/>
                <w:szCs w:val="20"/>
                <w:color w:val="auto"/>
              </w:rPr>
            </w:pPr>
            <w:r>
              <w:rPr>
                <w:rFonts w:ascii="Arial" w:cs="Arial" w:eastAsia="Arial" w:hAnsi="Arial"/>
                <w:sz w:val="14"/>
                <w:szCs w:val="14"/>
                <w:b w:val="1"/>
                <w:bCs w:val="1"/>
                <w:color w:val="auto"/>
                <w:w w:val="84"/>
              </w:rPr>
              <w:t>2013 vs. 2012</w:t>
            </w:r>
          </w:p>
        </w:tc>
        <w:tc>
          <w:tcPr>
            <w:tcW w:w="100" w:type="dxa"/>
            <w:vAlign w:val="bottom"/>
            <w:vMerge w:val="restart"/>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60" w:type="dxa"/>
            <w:vAlign w:val="bottom"/>
            <w:vMerge w:val="restart"/>
          </w:tcPr>
          <w:p>
            <w:pPr>
              <w:jc w:val="right"/>
              <w:ind w:right="32"/>
              <w:spacing w:after="0"/>
              <w:rPr>
                <w:sz w:val="20"/>
                <w:szCs w:val="20"/>
                <w:color w:val="auto"/>
              </w:rPr>
            </w:pPr>
            <w:r>
              <w:rPr>
                <w:rFonts w:ascii="Arial" w:cs="Arial" w:eastAsia="Arial" w:hAnsi="Arial"/>
                <w:sz w:val="14"/>
                <w:szCs w:val="14"/>
                <w:b w:val="1"/>
                <w:bCs w:val="1"/>
                <w:color w:val="auto"/>
                <w:w w:val="82"/>
              </w:rPr>
              <w:t>2012 vs. 2011</w:t>
            </w:r>
          </w:p>
        </w:tc>
        <w:tc>
          <w:tcPr>
            <w:tcW w:w="160" w:type="dxa"/>
            <w:vAlign w:val="bottom"/>
            <w:vMerge w:val="restart"/>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rPr>
              <w:t>2013</w:t>
            </w:r>
          </w:p>
        </w:tc>
        <w:tc>
          <w:tcPr>
            <w:tcW w:w="18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rPr>
              <w:t>2012</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132"/>
              <w:spacing w:after="0" w:line="142" w:lineRule="exact"/>
              <w:rPr>
                <w:sz w:val="20"/>
                <w:szCs w:val="20"/>
                <w:color w:val="auto"/>
              </w:rPr>
            </w:pPr>
            <w:r>
              <w:rPr>
                <w:rFonts w:ascii="Arial" w:cs="Arial" w:eastAsia="Arial" w:hAnsi="Arial"/>
                <w:sz w:val="14"/>
                <w:szCs w:val="14"/>
                <w:b w:val="1"/>
                <w:bCs w:val="1"/>
                <w:color w:val="auto"/>
                <w:w w:val="89"/>
              </w:rPr>
              <w:t>2011</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vMerge w:val="continue"/>
          </w:tcPr>
          <w:p>
            <w:pPr>
              <w:spacing w:after="0"/>
              <w:rPr>
                <w:sz w:val="12"/>
                <w:szCs w:val="12"/>
                <w:color w:val="auto"/>
              </w:rPr>
            </w:pPr>
          </w:p>
        </w:tc>
        <w:tc>
          <w:tcPr>
            <w:tcW w:w="10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vMerge w:val="continue"/>
          </w:tcPr>
          <w:p>
            <w:pPr>
              <w:spacing w:after="0"/>
              <w:rPr>
                <w:sz w:val="12"/>
                <w:szCs w:val="12"/>
                <w:color w:val="auto"/>
              </w:rPr>
            </w:pPr>
          </w:p>
        </w:tc>
        <w:tc>
          <w:tcPr>
            <w:tcW w:w="1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80" w:type="dxa"/>
            <w:vAlign w:val="bottom"/>
            <w:gridSpan w:val="4"/>
          </w:tcPr>
          <w:p>
            <w:pPr>
              <w:jc w:val="right"/>
              <w:ind w:right="672"/>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Operating revenues:</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80" w:type="dxa"/>
            <w:vAlign w:val="bottom"/>
          </w:tcPr>
          <w:p>
            <w:pPr>
              <w:ind w:left="140"/>
              <w:spacing w:after="0" w:line="149" w:lineRule="exact"/>
              <w:rPr>
                <w:sz w:val="20"/>
                <w:szCs w:val="20"/>
                <w:color w:val="auto"/>
              </w:rPr>
            </w:pPr>
            <w:r>
              <w:rPr>
                <w:rFonts w:ascii="Arial" w:cs="Arial" w:eastAsia="Arial" w:hAnsi="Arial"/>
                <w:sz w:val="14"/>
                <w:szCs w:val="14"/>
                <w:color w:val="auto"/>
              </w:rPr>
              <w:t>Premiums and other considerations</w:t>
            </w:r>
          </w:p>
        </w:tc>
        <w:tc>
          <w:tcPr>
            <w:tcW w:w="100" w:type="dxa"/>
            <w:vAlign w:val="bottom"/>
            <w:gridSpan w:val="2"/>
          </w:tcPr>
          <w:p>
            <w:pPr>
              <w:jc w:val="right"/>
              <w:ind w:right="17"/>
              <w:spacing w:after="0"/>
              <w:rPr>
                <w:sz w:val="20"/>
                <w:szCs w:val="20"/>
                <w:color w:val="auto"/>
              </w:rPr>
            </w:pPr>
            <w:r>
              <w:rPr>
                <w:rFonts w:ascii="Arial" w:cs="Arial" w:eastAsia="Arial" w:hAnsi="Arial"/>
                <w:sz w:val="10"/>
                <w:szCs w:val="10"/>
                <w:b w:val="1"/>
                <w:bCs w:val="1"/>
                <w:color w:val="auto"/>
                <w:w w:val="71"/>
              </w:rPr>
              <w:t>$</w:t>
            </w: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1,045.5</w:t>
            </w:r>
          </w:p>
        </w:tc>
        <w:tc>
          <w:tcPr>
            <w:tcW w:w="2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1,162.6</w:t>
            </w:r>
          </w:p>
        </w:tc>
        <w:tc>
          <w:tcPr>
            <w:tcW w:w="28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390.4</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9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(117.1)</w:t>
            </w: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772.2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Fees and other revenues</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1,806.0</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1,525.5</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8"/>
              </w:rPr>
              <w:t>1,432.1</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280.5</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93.4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80" w:type="dxa"/>
            <w:vAlign w:val="bottom"/>
          </w:tcPr>
          <w:p>
            <w:pPr>
              <w:ind w:left="140"/>
              <w:spacing w:after="0" w:line="149" w:lineRule="exact"/>
              <w:rPr>
                <w:sz w:val="20"/>
                <w:szCs w:val="20"/>
                <w:color w:val="auto"/>
              </w:rPr>
            </w:pPr>
            <w:r>
              <w:rPr>
                <w:rFonts w:ascii="Arial" w:cs="Arial" w:eastAsia="Arial" w:hAnsi="Arial"/>
                <w:sz w:val="14"/>
                <w:szCs w:val="14"/>
                <w:color w:val="auto"/>
              </w:rPr>
              <w:t>Net investment income</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1,996.1</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2,146.8</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w w:val="98"/>
              </w:rPr>
              <w:t>2,252.5</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(150.7)</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(105.7)</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580" w:type="dxa"/>
            <w:vAlign w:val="bottom"/>
            <w:shd w:val="clear" w:color="auto" w:fill="CCEEFF"/>
          </w:tcPr>
          <w:p>
            <w:pPr>
              <w:ind w:left="280"/>
              <w:spacing w:after="0" w:line="142" w:lineRule="exact"/>
              <w:rPr>
                <w:sz w:val="20"/>
                <w:szCs w:val="20"/>
                <w:color w:val="auto"/>
              </w:rPr>
            </w:pPr>
            <w:r>
              <w:rPr>
                <w:rFonts w:ascii="Arial" w:cs="Arial" w:eastAsia="Arial" w:hAnsi="Arial"/>
                <w:sz w:val="14"/>
                <w:szCs w:val="14"/>
                <w:color w:val="auto"/>
              </w:rPr>
              <w:t>Total operating revenues</w:t>
            </w:r>
          </w:p>
        </w:tc>
        <w:tc>
          <w:tcPr>
            <w:tcW w:w="2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52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4,847.6</w:t>
            </w:r>
          </w:p>
        </w:tc>
        <w:tc>
          <w:tcPr>
            <w:tcW w:w="180" w:type="dxa"/>
            <w:vAlign w:val="bottom"/>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52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4,834.9</w:t>
            </w:r>
          </w:p>
        </w:tc>
        <w:tc>
          <w:tcPr>
            <w:tcW w:w="160" w:type="dxa"/>
            <w:vAlign w:val="bottom"/>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50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98"/>
              </w:rPr>
              <w:t>4,075.0</w:t>
            </w:r>
          </w:p>
        </w:tc>
        <w:tc>
          <w:tcPr>
            <w:tcW w:w="160" w:type="dxa"/>
            <w:vAlign w:val="bottom"/>
            <w:shd w:val="clear" w:color="auto" w:fill="CCEEFF"/>
          </w:tcPr>
          <w:p>
            <w:pPr>
              <w:spacing w:after="0"/>
              <w:rPr>
                <w:sz w:val="12"/>
                <w:szCs w:val="12"/>
                <w:color w:val="auto"/>
              </w:rPr>
            </w:pPr>
          </w:p>
        </w:tc>
        <w:tc>
          <w:tcPr>
            <w:tcW w:w="60" w:type="dxa"/>
            <w:vAlign w:val="bottom"/>
            <w:tcBorders>
              <w:top w:val="single" w:sz="8" w:color="auto"/>
            </w:tcBorders>
            <w:shd w:val="clear" w:color="auto" w:fill="CCEEFF"/>
          </w:tcPr>
          <w:p>
            <w:pPr>
              <w:spacing w:after="0"/>
              <w:rPr>
                <w:sz w:val="12"/>
                <w:szCs w:val="12"/>
                <w:color w:val="auto"/>
              </w:rPr>
            </w:pPr>
          </w:p>
        </w:tc>
        <w:tc>
          <w:tcPr>
            <w:tcW w:w="86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12.7</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tcBorders>
              <w:top w:val="single" w:sz="8" w:color="auto"/>
            </w:tcBorders>
            <w:shd w:val="clear" w:color="auto" w:fill="CCEEFF"/>
          </w:tcPr>
          <w:p>
            <w:pPr>
              <w:spacing w:after="0"/>
              <w:rPr>
                <w:sz w:val="12"/>
                <w:szCs w:val="12"/>
                <w:color w:val="auto"/>
              </w:rPr>
            </w:pPr>
          </w:p>
        </w:tc>
        <w:tc>
          <w:tcPr>
            <w:tcW w:w="86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759.9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80" w:type="dxa"/>
            <w:vAlign w:val="bottom"/>
          </w:tcPr>
          <w:p>
            <w:pPr>
              <w:spacing w:after="0" w:line="149" w:lineRule="exact"/>
              <w:rPr>
                <w:sz w:val="20"/>
                <w:szCs w:val="20"/>
                <w:color w:val="auto"/>
              </w:rPr>
            </w:pPr>
            <w:r>
              <w:rPr>
                <w:rFonts w:ascii="Arial" w:cs="Arial" w:eastAsia="Arial" w:hAnsi="Arial"/>
                <w:sz w:val="14"/>
                <w:szCs w:val="14"/>
                <w:color w:val="auto"/>
              </w:rPr>
              <w:t>Expenses:</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w w:val="91"/>
              </w:rPr>
              <w:t>Benefits, claims and settlement expenses, including dividends to policyholders</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2,327.3</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2,635.7</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8"/>
              </w:rPr>
              <w:t>1,996.7</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(308.4)</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639.0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80" w:type="dxa"/>
            <w:vAlign w:val="bottom"/>
          </w:tcPr>
          <w:p>
            <w:pPr>
              <w:ind w:left="140"/>
              <w:spacing w:after="0" w:line="149" w:lineRule="exact"/>
              <w:rPr>
                <w:sz w:val="20"/>
                <w:szCs w:val="20"/>
                <w:color w:val="auto"/>
              </w:rPr>
            </w:pPr>
            <w:r>
              <w:rPr>
                <w:rFonts w:ascii="Arial" w:cs="Arial" w:eastAsia="Arial" w:hAnsi="Arial"/>
                <w:sz w:val="14"/>
                <w:szCs w:val="14"/>
                <w:color w:val="auto"/>
              </w:rPr>
              <w:t>Operating expenses</w:t>
            </w:r>
          </w:p>
        </w:tc>
        <w:tc>
          <w:tcPr>
            <w:tcW w:w="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1,630.3</w:t>
            </w:r>
          </w:p>
        </w:tc>
        <w:tc>
          <w:tcPr>
            <w:tcW w:w="18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1,474.1</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w w:val="98"/>
              </w:rPr>
              <w:t>1,351.5</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156.2</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122.6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580" w:type="dxa"/>
            <w:vAlign w:val="bottom"/>
            <w:shd w:val="clear" w:color="auto" w:fill="CCEEFF"/>
          </w:tcPr>
          <w:p>
            <w:pPr>
              <w:ind w:left="280"/>
              <w:spacing w:after="0" w:line="142" w:lineRule="exact"/>
              <w:rPr>
                <w:sz w:val="20"/>
                <w:szCs w:val="20"/>
                <w:color w:val="auto"/>
              </w:rPr>
            </w:pPr>
            <w:r>
              <w:rPr>
                <w:rFonts w:ascii="Arial" w:cs="Arial" w:eastAsia="Arial" w:hAnsi="Arial"/>
                <w:sz w:val="14"/>
                <w:szCs w:val="14"/>
                <w:color w:val="auto"/>
              </w:rPr>
              <w:t>Total expenses</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3,957.6</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4,109.8</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8"/>
              </w:rPr>
              <w:t>3,348.2</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(152.2)</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761.6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600" w:type="dxa"/>
            <w:vAlign w:val="bottom"/>
            <w:gridSpan w:val="2"/>
          </w:tcPr>
          <w:p>
            <w:pPr>
              <w:spacing w:after="0" w:line="142" w:lineRule="exact"/>
              <w:rPr>
                <w:sz w:val="20"/>
                <w:szCs w:val="20"/>
                <w:color w:val="auto"/>
              </w:rPr>
            </w:pPr>
            <w:r>
              <w:rPr>
                <w:rFonts w:ascii="Arial" w:cs="Arial" w:eastAsia="Arial" w:hAnsi="Arial"/>
                <w:sz w:val="14"/>
                <w:szCs w:val="14"/>
                <w:color w:val="auto"/>
              </w:rPr>
              <w:t>Operating earnings before income taxes</w:t>
            </w:r>
          </w:p>
        </w:tc>
        <w:tc>
          <w:tcPr>
            <w:tcW w:w="2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5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890.0</w:t>
            </w:r>
          </w:p>
        </w:tc>
        <w:tc>
          <w:tcPr>
            <w:tcW w:w="18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725.1</w:t>
            </w:r>
          </w:p>
        </w:tc>
        <w:tc>
          <w:tcPr>
            <w:tcW w:w="1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726.8</w:t>
            </w:r>
          </w:p>
        </w:tc>
        <w:tc>
          <w:tcPr>
            <w:tcW w:w="1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164.9</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Income taxes</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195.6</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150.0</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163.9</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45.6</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(13.9)</w:t>
            </w:r>
          </w:p>
        </w:tc>
        <w:tc>
          <w:tcPr>
            <w:tcW w:w="0" w:type="dxa"/>
            <w:vAlign w:val="bottom"/>
          </w:tcPr>
          <w:p>
            <w:pPr>
              <w:spacing w:after="0"/>
              <w:rPr>
                <w:sz w:val="1"/>
                <w:szCs w:val="1"/>
                <w:color w:val="auto"/>
              </w:rPr>
            </w:pPr>
          </w:p>
        </w:tc>
      </w:tr>
      <w:tr>
        <w:trPr>
          <w:trHeight w:val="142"/>
        </w:trPr>
        <w:tc>
          <w:tcPr>
            <w:tcW w:w="4600" w:type="dxa"/>
            <w:vAlign w:val="bottom"/>
            <w:gridSpan w:val="2"/>
          </w:tcPr>
          <w:p>
            <w:pPr>
              <w:spacing w:after="0" w:line="142" w:lineRule="exact"/>
              <w:rPr>
                <w:sz w:val="20"/>
                <w:szCs w:val="20"/>
                <w:color w:val="auto"/>
              </w:rPr>
            </w:pPr>
            <w:r>
              <w:rPr>
                <w:rFonts w:ascii="Arial" w:cs="Arial" w:eastAsia="Arial" w:hAnsi="Arial"/>
                <w:sz w:val="14"/>
                <w:szCs w:val="14"/>
                <w:color w:val="auto"/>
              </w:rPr>
              <w:t>Operating earnings</w:t>
            </w:r>
          </w:p>
        </w:tc>
        <w:tc>
          <w:tcPr>
            <w:tcW w:w="20" w:type="dxa"/>
            <w:vAlign w:val="bottom"/>
            <w:tcBorders>
              <w:bottom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jc w:val="right"/>
              <w:ind w:right="17"/>
              <w:spacing w:after="0"/>
              <w:rPr>
                <w:sz w:val="20"/>
                <w:szCs w:val="20"/>
                <w:color w:val="auto"/>
              </w:rPr>
            </w:pPr>
            <w:r>
              <w:rPr>
                <w:rFonts w:ascii="Arial" w:cs="Arial" w:eastAsia="Arial" w:hAnsi="Arial"/>
                <w:sz w:val="5"/>
                <w:szCs w:val="5"/>
                <w:b w:val="1"/>
                <w:bCs w:val="1"/>
                <w:color w:val="auto"/>
                <w:w w:val="70"/>
              </w:rPr>
              <w:t>$</w:t>
            </w:r>
          </w:p>
        </w:tc>
        <w:tc>
          <w:tcPr>
            <w:tcW w:w="5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694.4</w:t>
            </w:r>
          </w:p>
        </w:tc>
        <w:tc>
          <w:tcPr>
            <w:tcW w:w="18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5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575.1</w:t>
            </w:r>
          </w:p>
        </w:tc>
        <w:tc>
          <w:tcPr>
            <w:tcW w:w="16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5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562.9</w:t>
            </w:r>
          </w:p>
        </w:tc>
        <w:tc>
          <w:tcPr>
            <w:tcW w:w="1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119.3</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Year Ended December 31, 2013 Compared to Year Ended December 31, 2012</w:t>
      </w:r>
    </w:p>
    <w:p>
      <w:pPr>
        <w:spacing w:after="0" w:line="219"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Operating Earnings</w:t>
      </w:r>
    </w:p>
    <w:p>
      <w:pPr>
        <w:spacing w:after="0" w:line="231" w:lineRule="exact"/>
        <w:rPr>
          <w:sz w:val="20"/>
          <w:szCs w:val="20"/>
          <w:color w:val="auto"/>
        </w:rPr>
      </w:pPr>
    </w:p>
    <w:p>
      <w:pPr>
        <w:jc w:val="both"/>
        <w:ind w:right="20" w:firstLine="382"/>
        <w:spacing w:after="0" w:line="268" w:lineRule="auto"/>
        <w:rPr>
          <w:sz w:val="20"/>
          <w:szCs w:val="20"/>
          <w:color w:val="auto"/>
        </w:rPr>
      </w:pPr>
      <w:r>
        <w:rPr>
          <w:rFonts w:ascii="Arial" w:cs="Arial" w:eastAsia="Arial" w:hAnsi="Arial"/>
          <w:sz w:val="18"/>
          <w:szCs w:val="18"/>
          <w:color w:val="auto"/>
        </w:rPr>
        <w:t>Operating earnings increased $102.0 million in our Accumulation business primarily due to positive equity market performance and growth in the business, which was partially offset by an increase in staff related costs and higher non-deferrable commissions and sub-advisory fees.</w:t>
      </w:r>
    </w:p>
    <w:p>
      <w:pPr>
        <w:spacing w:after="0" w:line="180"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Net Revenue</w:t>
      </w:r>
    </w:p>
    <w:p>
      <w:pPr>
        <w:spacing w:after="0" w:line="231" w:lineRule="exact"/>
        <w:rPr>
          <w:sz w:val="20"/>
          <w:szCs w:val="20"/>
          <w:color w:val="auto"/>
        </w:rPr>
      </w:pPr>
    </w:p>
    <w:p>
      <w:pPr>
        <w:jc w:val="both"/>
        <w:ind w:firstLine="474"/>
        <w:spacing w:after="0" w:line="268" w:lineRule="auto"/>
        <w:rPr>
          <w:sz w:val="20"/>
          <w:szCs w:val="20"/>
          <w:color w:val="auto"/>
        </w:rPr>
      </w:pPr>
      <w:r>
        <w:rPr>
          <w:rFonts w:ascii="Arial" w:cs="Arial" w:eastAsia="Arial" w:hAnsi="Arial"/>
          <w:sz w:val="18"/>
          <w:szCs w:val="18"/>
          <w:color w:val="auto"/>
        </w:rPr>
        <w:t>Net revenue increased $292.0 million in our Accumulation business primarily due to higher fees stemming from an increase in average account values, which resulted from positive equity market performance and growth in the business.</w:t>
      </w:r>
    </w:p>
    <w:p>
      <w:pPr>
        <w:spacing w:after="0" w:line="180"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Operating Expenses</w:t>
      </w:r>
    </w:p>
    <w:p>
      <w:pPr>
        <w:spacing w:after="0" w:line="231" w:lineRule="exact"/>
        <w:rPr>
          <w:sz w:val="20"/>
          <w:szCs w:val="20"/>
          <w:color w:val="auto"/>
        </w:rPr>
      </w:pPr>
    </w:p>
    <w:p>
      <w:pPr>
        <w:jc w:val="both"/>
        <w:ind w:right="20" w:firstLine="579"/>
        <w:spacing w:after="0" w:line="259" w:lineRule="auto"/>
        <w:rPr>
          <w:sz w:val="20"/>
          <w:szCs w:val="20"/>
          <w:color w:val="auto"/>
        </w:rPr>
      </w:pPr>
      <w:r>
        <w:rPr>
          <w:rFonts w:ascii="Arial" w:cs="Arial" w:eastAsia="Arial" w:hAnsi="Arial"/>
          <w:sz w:val="18"/>
          <w:szCs w:val="18"/>
          <w:color w:val="auto"/>
        </w:rPr>
        <w:t>Operating expenses increased $154.3 million in our Accumulation business primarily due to higher staff related costs, including pension and other postretirement benefits. In addition, operating expenses increased due to an increase in non-deferrable distribution costs resulting from growth in the business and higher sub-advisory fees stemming from positive equity market performance.</w:t>
      </w:r>
    </w:p>
    <w:p>
      <w:pPr>
        <w:spacing w:after="0" w:line="188"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Income Taxes</w:t>
      </w:r>
    </w:p>
    <w:p>
      <w:pPr>
        <w:spacing w:after="0" w:line="231" w:lineRule="exact"/>
        <w:rPr>
          <w:sz w:val="20"/>
          <w:szCs w:val="20"/>
          <w:color w:val="auto"/>
        </w:rPr>
      </w:pPr>
    </w:p>
    <w:p>
      <w:pPr>
        <w:jc w:val="both"/>
        <w:ind w:firstLine="381"/>
        <w:spacing w:after="0" w:line="259" w:lineRule="auto"/>
        <w:rPr>
          <w:sz w:val="20"/>
          <w:szCs w:val="20"/>
          <w:color w:val="auto"/>
        </w:rPr>
      </w:pPr>
      <w:r>
        <w:rPr>
          <w:rFonts w:ascii="Arial" w:cs="Arial" w:eastAsia="Arial" w:hAnsi="Arial"/>
          <w:sz w:val="18"/>
          <w:szCs w:val="18"/>
          <w:color w:val="auto"/>
        </w:rPr>
        <w:t>The effective income tax rates for the segment were 22% and 21% for the years ended December 31, 2013 and 2012, respectively. The effective income tax rates were lower than the U.S. statutory rate primarily as a result of income tax deductions allowed for corporate dividends received and the interest exclusion from taxable income.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Year Ended December 31, 2012 Compared to Year Ended December 31, 2011</w:t>
      </w:r>
    </w:p>
    <w:p>
      <w:pPr>
        <w:spacing w:after="0" w:line="219"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Operating Earnings</w:t>
      </w:r>
    </w:p>
    <w:p>
      <w:pPr>
        <w:spacing w:after="0" w:line="231" w:lineRule="exact"/>
        <w:rPr>
          <w:sz w:val="20"/>
          <w:szCs w:val="20"/>
          <w:color w:val="auto"/>
        </w:rPr>
      </w:pPr>
    </w:p>
    <w:p>
      <w:pPr>
        <w:jc w:val="both"/>
        <w:ind w:firstLine="444"/>
        <w:spacing w:after="0" w:line="256" w:lineRule="auto"/>
        <w:rPr>
          <w:sz w:val="20"/>
          <w:szCs w:val="20"/>
          <w:color w:val="auto"/>
        </w:rPr>
      </w:pPr>
      <w:r>
        <w:rPr>
          <w:rFonts w:ascii="Arial" w:cs="Arial" w:eastAsia="Arial" w:hAnsi="Arial"/>
          <w:sz w:val="18"/>
          <w:szCs w:val="18"/>
          <w:color w:val="auto"/>
        </w:rPr>
        <w:t>Operating earnings increased $15.5 million in our Accumulation business resulting from positive equity market performance in 2012 and strong net cash flow from customers, which was partially offset by higher staff related costs, including pension and other postretirement benefits, and higher non-deferrable commissions and sub-advisory fees stemming from an increase in average account values. Operating earnings decreased $3.3 million in our Guaranteed business primarily resulting from lower mortality reserve gains in 2012 compared to 2011.</w:t>
      </w:r>
    </w:p>
    <w:p>
      <w:pPr>
        <w:spacing w:after="0" w:line="191"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Net Revenue</w:t>
      </w:r>
    </w:p>
    <w:p>
      <w:pPr>
        <w:spacing w:after="0" w:line="231" w:lineRule="exact"/>
        <w:rPr>
          <w:sz w:val="20"/>
          <w:szCs w:val="20"/>
          <w:color w:val="auto"/>
        </w:rPr>
      </w:pPr>
    </w:p>
    <w:p>
      <w:pPr>
        <w:jc w:val="both"/>
        <w:ind w:firstLine="474"/>
        <w:spacing w:after="0" w:line="268" w:lineRule="auto"/>
        <w:rPr>
          <w:sz w:val="20"/>
          <w:szCs w:val="20"/>
          <w:color w:val="auto"/>
        </w:rPr>
      </w:pPr>
      <w:r>
        <w:rPr>
          <w:rFonts w:ascii="Arial" w:cs="Arial" w:eastAsia="Arial" w:hAnsi="Arial"/>
          <w:sz w:val="18"/>
          <w:szCs w:val="18"/>
          <w:color w:val="auto"/>
        </w:rPr>
        <w:t>Net revenue increased $127.1 million in our Accumulation business primarily due to higher fees stemming from an increase in average account values, which resulted from positive equity market performance in 2012 and strong net cash flow from customers.</w:t>
      </w:r>
    </w:p>
    <w:p>
      <w:pPr>
        <w:spacing w:after="0" w:line="180"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Operating Expenses</w:t>
      </w:r>
    </w:p>
    <w:p>
      <w:pPr>
        <w:spacing w:after="0" w:line="231" w:lineRule="exact"/>
        <w:rPr>
          <w:sz w:val="20"/>
          <w:szCs w:val="20"/>
          <w:color w:val="auto"/>
        </w:rPr>
      </w:pPr>
    </w:p>
    <w:p>
      <w:pPr>
        <w:jc w:val="both"/>
        <w:ind w:right="20" w:firstLine="579"/>
        <w:spacing w:after="0" w:line="268" w:lineRule="auto"/>
        <w:rPr>
          <w:sz w:val="20"/>
          <w:szCs w:val="20"/>
          <w:color w:val="auto"/>
        </w:rPr>
      </w:pPr>
      <w:r>
        <w:rPr>
          <w:rFonts w:ascii="Arial" w:cs="Arial" w:eastAsia="Arial" w:hAnsi="Arial"/>
          <w:sz w:val="18"/>
          <w:szCs w:val="18"/>
          <w:color w:val="auto"/>
        </w:rPr>
        <w:t>Operating expenses increased $124.7 million in our Accumulation business primarily due to higher staff related costs, including pension and other postretirement benefits. In addition, operating expenses increased due to higher</w:t>
      </w:r>
    </w:p>
    <w:p>
      <w:pPr>
        <w:sectPr>
          <w:pgSz w:w="11900" w:h="16838" w:orient="portrait"/>
          <w:cols w:equalWidth="0" w:num="1">
            <w:col w:w="11420"/>
          </w:cols>
          <w:pgMar w:left="240" w:top="131" w:right="239" w:bottom="1440" w:gutter="0" w:footer="0" w:header="0"/>
        </w:sectPr>
      </w:pP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50" w:name="page51"/>
    <w:bookmarkEnd w:id="5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non-deferrable commissions and sub-advisory fees stemming from increased sales and an increase in average account values, respectively.</w:t>
      </w:r>
    </w:p>
    <w:p>
      <w:pPr>
        <w:spacing w:after="0" w:line="219"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Income Taxes</w:t>
      </w:r>
    </w:p>
    <w:p>
      <w:pPr>
        <w:spacing w:after="0" w:line="231" w:lineRule="exact"/>
        <w:rPr>
          <w:sz w:val="20"/>
          <w:szCs w:val="20"/>
          <w:color w:val="auto"/>
        </w:rPr>
      </w:pPr>
    </w:p>
    <w:p>
      <w:pPr>
        <w:jc w:val="both"/>
        <w:ind w:firstLine="381"/>
        <w:spacing w:after="0" w:line="259" w:lineRule="auto"/>
        <w:rPr>
          <w:sz w:val="20"/>
          <w:szCs w:val="20"/>
          <w:color w:val="auto"/>
        </w:rPr>
      </w:pPr>
      <w:r>
        <w:rPr>
          <w:rFonts w:ascii="Arial" w:cs="Arial" w:eastAsia="Arial" w:hAnsi="Arial"/>
          <w:sz w:val="18"/>
          <w:szCs w:val="18"/>
          <w:color w:val="auto"/>
        </w:rPr>
        <w:t>The effective income tax rates for the segment were 21% and 23% for the years ended December 31, 2012 and 2011, respectively. The effective income tax rates were lower than the U.S. statutory rate primarily as a result of income tax deductions allowed for corporate dividends received and the interest exclusion from taxable income.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Principal Global Investors Segment</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Principal Global Investors Trends</w:t>
      </w:r>
    </w:p>
    <w:p>
      <w:pPr>
        <w:spacing w:after="0" w:line="225" w:lineRule="exact"/>
        <w:rPr>
          <w:sz w:val="20"/>
          <w:szCs w:val="20"/>
          <w:color w:val="auto"/>
        </w:rPr>
      </w:pPr>
    </w:p>
    <w:p>
      <w:pPr>
        <w:jc w:val="both"/>
        <w:ind w:firstLine="391"/>
        <w:spacing w:after="0" w:line="332" w:lineRule="auto"/>
        <w:rPr>
          <w:sz w:val="20"/>
          <w:szCs w:val="20"/>
          <w:color w:val="auto"/>
        </w:rPr>
      </w:pPr>
      <w:r>
        <w:rPr>
          <w:rFonts w:ascii="Arial" w:cs="Arial" w:eastAsia="Arial" w:hAnsi="Arial"/>
          <w:sz w:val="16"/>
          <w:szCs w:val="16"/>
          <w:color w:val="auto"/>
        </w:rPr>
        <w:t>Our overall AUM increased $28.9 billion in 2013 primarily due to continued strong portfolio management as well as positive market performance. We also continue to expand our global presence and experience success in winning institutional asset management mandates and other deposits.</w:t>
      </w:r>
    </w:p>
    <w:p>
      <w:pPr>
        <w:spacing w:after="0" w:line="13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provides a summary of Principal Global Investors' affiliated and third-party AUM as of the years indicated:</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120" w:type="dxa"/>
            <w:vAlign w:val="bottom"/>
            <w:tcBorders>
              <w:bottom w:val="single" w:sz="8" w:color="auto"/>
            </w:tcBorders>
            <w:gridSpan w:val="6"/>
          </w:tcPr>
          <w:p>
            <w:pPr>
              <w:jc w:val="right"/>
              <w:ind w:right="52"/>
              <w:spacing w:after="0"/>
              <w:rPr>
                <w:sz w:val="20"/>
                <w:szCs w:val="20"/>
                <w:color w:val="auto"/>
              </w:rPr>
            </w:pPr>
            <w:r>
              <w:rPr>
                <w:rFonts w:ascii="Arial" w:cs="Arial" w:eastAsia="Arial" w:hAnsi="Arial"/>
                <w:sz w:val="14"/>
                <w:szCs w:val="14"/>
                <w:b w:val="1"/>
                <w:bCs w:val="1"/>
                <w:color w:val="auto"/>
              </w:rPr>
              <w:t>Principal Global Investors</w:t>
            </w:r>
          </w:p>
        </w:tc>
        <w:tc>
          <w:tcPr>
            <w:tcW w:w="4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6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jc w:val="right"/>
              <w:ind w:right="12"/>
              <w:spacing w:after="0" w:line="129" w:lineRule="exact"/>
              <w:rPr>
                <w:sz w:val="20"/>
                <w:szCs w:val="20"/>
                <w:color w:val="auto"/>
              </w:rPr>
            </w:pPr>
            <w:r>
              <w:rPr>
                <w:rFonts w:ascii="Arial" w:cs="Arial" w:eastAsia="Arial" w:hAnsi="Arial"/>
                <w:sz w:val="14"/>
                <w:szCs w:val="14"/>
                <w:b w:val="1"/>
                <w:bCs w:val="1"/>
                <w:color w:val="auto"/>
                <w:w w:val="86"/>
              </w:rPr>
              <w:t>Affiliated</w:t>
            </w:r>
          </w:p>
        </w:tc>
        <w:tc>
          <w:tcPr>
            <w:tcW w:w="160" w:type="dxa"/>
            <w:vAlign w:val="bottom"/>
          </w:tcPr>
          <w:p>
            <w:pPr>
              <w:spacing w:after="0"/>
              <w:rPr>
                <w:sz w:val="11"/>
                <w:szCs w:val="11"/>
                <w:color w:val="auto"/>
              </w:rPr>
            </w:pPr>
          </w:p>
        </w:tc>
        <w:tc>
          <w:tcPr>
            <w:tcW w:w="82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9"/>
              </w:rPr>
              <w:t>Third-Party</w:t>
            </w:r>
          </w:p>
        </w:tc>
        <w:tc>
          <w:tcPr>
            <w:tcW w:w="1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r>
      <w:tr>
        <w:trPr>
          <w:trHeight w:val="161"/>
        </w:trPr>
        <w:tc>
          <w:tcPr>
            <w:tcW w:w="6180" w:type="dxa"/>
            <w:vAlign w:val="bottom"/>
            <w:gridSpan w:val="2"/>
          </w:tcPr>
          <w:p>
            <w:pPr>
              <w:spacing w:after="0"/>
              <w:rPr>
                <w:sz w:val="20"/>
                <w:szCs w:val="20"/>
                <w:color w:val="auto"/>
              </w:rPr>
            </w:pPr>
            <w:r>
              <w:rPr>
                <w:rFonts w:ascii="Arial" w:cs="Arial" w:eastAsia="Arial" w:hAnsi="Arial"/>
                <w:sz w:val="14"/>
                <w:szCs w:val="14"/>
                <w:b w:val="1"/>
                <w:bCs w:val="1"/>
                <w:color w:val="auto"/>
              </w:rPr>
              <w:t>As of</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jc w:val="right"/>
              <w:ind w:right="132"/>
              <w:spacing w:after="0"/>
              <w:rPr>
                <w:sz w:val="20"/>
                <w:szCs w:val="20"/>
                <w:color w:val="auto"/>
              </w:rPr>
            </w:pPr>
            <w:r>
              <w:rPr>
                <w:rFonts w:ascii="Arial" w:cs="Arial" w:eastAsia="Arial" w:hAnsi="Arial"/>
                <w:sz w:val="14"/>
                <w:szCs w:val="14"/>
                <w:b w:val="1"/>
                <w:bCs w:val="1"/>
                <w:color w:val="auto"/>
              </w:rPr>
              <w:t>AUM</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jc w:val="right"/>
              <w:ind w:right="192"/>
              <w:spacing w:after="0"/>
              <w:rPr>
                <w:sz w:val="20"/>
                <w:szCs w:val="20"/>
                <w:color w:val="auto"/>
              </w:rPr>
            </w:pPr>
            <w:r>
              <w:rPr>
                <w:rFonts w:ascii="Arial" w:cs="Arial" w:eastAsia="Arial" w:hAnsi="Arial"/>
                <w:sz w:val="14"/>
                <w:szCs w:val="14"/>
                <w:b w:val="1"/>
                <w:bCs w:val="1"/>
                <w:color w:val="auto"/>
              </w:rPr>
              <w:t>AUM</w:t>
            </w:r>
          </w:p>
        </w:tc>
        <w:tc>
          <w:tcPr>
            <w:tcW w:w="160" w:type="dxa"/>
            <w:vAlign w:val="bottom"/>
          </w:tcPr>
          <w:p>
            <w:pPr>
              <w:spacing w:after="0"/>
              <w:rPr>
                <w:sz w:val="14"/>
                <w:szCs w:val="14"/>
                <w:color w:val="auto"/>
              </w:rPr>
            </w:pPr>
          </w:p>
        </w:tc>
        <w:tc>
          <w:tcPr>
            <w:tcW w:w="960" w:type="dxa"/>
            <w:vAlign w:val="bottom"/>
            <w:gridSpan w:val="3"/>
          </w:tcPr>
          <w:p>
            <w:pPr>
              <w:ind w:left="80"/>
              <w:spacing w:after="0"/>
              <w:rPr>
                <w:sz w:val="20"/>
                <w:szCs w:val="20"/>
                <w:color w:val="auto"/>
              </w:rPr>
            </w:pPr>
            <w:r>
              <w:rPr>
                <w:rFonts w:ascii="Arial" w:cs="Arial" w:eastAsia="Arial" w:hAnsi="Arial"/>
                <w:sz w:val="14"/>
                <w:szCs w:val="14"/>
                <w:b w:val="1"/>
                <w:bCs w:val="1"/>
                <w:color w:val="auto"/>
              </w:rPr>
              <w:t>Total AUM</w:t>
            </w:r>
          </w:p>
        </w:tc>
      </w:tr>
      <w:tr>
        <w:trPr>
          <w:trHeight w:val="142"/>
        </w:trPr>
        <w:tc>
          <w:tcPr>
            <w:tcW w:w="20" w:type="dxa"/>
            <w:vAlign w:val="bottom"/>
          </w:tcPr>
          <w:p>
            <w:pPr>
              <w:spacing w:after="0"/>
              <w:rPr>
                <w:sz w:val="12"/>
                <w:szCs w:val="12"/>
                <w:color w:val="auto"/>
              </w:rPr>
            </w:pPr>
          </w:p>
        </w:tc>
        <w:tc>
          <w:tcPr>
            <w:tcW w:w="61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6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i w:val="1"/>
                <w:iCs w:val="1"/>
                <w:color w:val="auto"/>
                <w:w w:val="88"/>
              </w:rPr>
              <w:t>(in billions)</w:t>
            </w:r>
          </w:p>
        </w:tc>
        <w:tc>
          <w:tcPr>
            <w:tcW w:w="160" w:type="dxa"/>
            <w:vAlign w:val="bottom"/>
          </w:tcPr>
          <w:p>
            <w:pPr>
              <w:spacing w:after="0"/>
              <w:rPr>
                <w:sz w:val="12"/>
                <w:szCs w:val="12"/>
                <w:color w:val="auto"/>
              </w:rPr>
            </w:pPr>
          </w:p>
        </w:tc>
        <w:tc>
          <w:tcPr>
            <w:tcW w:w="36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1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December 31, 2013</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182.7</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109.4</w:t>
            </w:r>
          </w:p>
        </w:tc>
        <w:tc>
          <w:tcPr>
            <w:tcW w:w="520" w:type="dxa"/>
            <w:vAlign w:val="bottom"/>
            <w:gridSpan w:val="2"/>
            <w:shd w:val="clear" w:color="auto" w:fill="CCEEFF"/>
          </w:tcPr>
          <w:p>
            <w:pPr>
              <w:jc w:val="right"/>
              <w:ind w:right="212"/>
              <w:spacing w:after="0" w:line="149" w:lineRule="exact"/>
              <w:rPr>
                <w:sz w:val="20"/>
                <w:szCs w:val="20"/>
                <w:color w:val="auto"/>
              </w:rPr>
            </w:pPr>
            <w:r>
              <w:rPr>
                <w:rFonts w:ascii="Arial" w:cs="Arial" w:eastAsia="Arial" w:hAnsi="Arial"/>
                <w:sz w:val="14"/>
                <w:szCs w:val="14"/>
                <w:b w:val="1"/>
                <w:bCs w:val="1"/>
                <w:color w:val="auto"/>
              </w:rPr>
              <w:t>$</w:t>
            </w: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292.1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160" w:type="dxa"/>
            <w:vAlign w:val="bottom"/>
          </w:tcPr>
          <w:p>
            <w:pPr>
              <w:spacing w:after="0" w:line="149" w:lineRule="exact"/>
              <w:rPr>
                <w:sz w:val="20"/>
                <w:szCs w:val="20"/>
                <w:color w:val="auto"/>
              </w:rPr>
            </w:pPr>
            <w:r>
              <w:rPr>
                <w:rFonts w:ascii="Arial" w:cs="Arial" w:eastAsia="Arial" w:hAnsi="Arial"/>
                <w:sz w:val="14"/>
                <w:szCs w:val="14"/>
                <w:color w:val="auto"/>
              </w:rPr>
              <w:t>December 31, 2012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165.0</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jc w:val="right"/>
              <w:spacing w:after="0" w:line="149" w:lineRule="exact"/>
              <w:rPr>
                <w:sz w:val="20"/>
                <w:szCs w:val="20"/>
                <w:color w:val="auto"/>
              </w:rPr>
            </w:pPr>
            <w:r>
              <w:rPr>
                <w:rFonts w:ascii="Arial" w:cs="Arial" w:eastAsia="Arial" w:hAnsi="Arial"/>
                <w:sz w:val="14"/>
                <w:szCs w:val="14"/>
                <w:color w:val="auto"/>
              </w:rPr>
              <w:t>98.2</w:t>
            </w:r>
          </w:p>
        </w:tc>
        <w:tc>
          <w:tcPr>
            <w:tcW w:w="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440" w:type="dxa"/>
            <w:vAlign w:val="bottom"/>
          </w:tcPr>
          <w:p>
            <w:pPr>
              <w:jc w:val="right"/>
              <w:spacing w:after="0" w:line="149" w:lineRule="exact"/>
              <w:rPr>
                <w:sz w:val="20"/>
                <w:szCs w:val="20"/>
                <w:color w:val="auto"/>
              </w:rPr>
            </w:pPr>
            <w:r>
              <w:rPr>
                <w:rFonts w:ascii="Arial" w:cs="Arial" w:eastAsia="Arial" w:hAnsi="Arial"/>
                <w:sz w:val="14"/>
                <w:szCs w:val="14"/>
                <w:color w:val="auto"/>
              </w:rPr>
              <w:t>263.2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1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December 31, 2011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145.4</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82.4</w:t>
            </w:r>
          </w:p>
        </w:tc>
        <w:tc>
          <w:tcPr>
            <w:tcW w:w="1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227.8</w:t>
            </w:r>
          </w:p>
        </w:tc>
        <w:tc>
          <w:tcPr>
            <w:tcW w:w="160" w:type="dxa"/>
            <w:vAlign w:val="bottom"/>
            <w:shd w:val="clear" w:color="auto" w:fill="CCEEFF"/>
          </w:tcPr>
          <w:p>
            <w:pPr>
              <w:spacing w:after="0"/>
              <w:rPr>
                <w:sz w:val="12"/>
                <w:szCs w:val="12"/>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Principal Global Investors Segment Summary Financial Data</w:t>
      </w:r>
    </w:p>
    <w:p>
      <w:pPr>
        <w:spacing w:after="0" w:line="225" w:lineRule="exact"/>
        <w:rPr>
          <w:sz w:val="20"/>
          <w:szCs w:val="20"/>
          <w:color w:val="auto"/>
        </w:rPr>
      </w:pPr>
    </w:p>
    <w:p>
      <w:pPr>
        <w:jc w:val="both"/>
        <w:ind w:firstLine="392"/>
        <w:spacing w:after="0" w:line="256" w:lineRule="auto"/>
        <w:rPr>
          <w:sz w:val="20"/>
          <w:szCs w:val="20"/>
          <w:color w:val="auto"/>
        </w:rPr>
      </w:pPr>
      <w:r>
        <w:rPr>
          <w:rFonts w:ascii="Arial" w:cs="Arial" w:eastAsia="Arial" w:hAnsi="Arial"/>
          <w:sz w:val="18"/>
          <w:szCs w:val="18"/>
          <w:color w:val="auto"/>
        </w:rPr>
        <w:t>AUM is a key indicator of earnings growth for our Principal Global Investors segment, as AUM is the base by which we generate revenues. Net cash flow and market performance are the two main drivers of AUM growth. Net cash flow reflects our ability to attract and retain client deposits. Market performance reflects equity, fixed income and real estate market performance. The percentage growth in revenues of the segment will generally track with the percentage growth in AUM. This trend may vary due to changes in business and/or product mix.</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presents the AUM rollforward for assets managed by Principal Global Investors for the periods indicated:</w:t>
      </w:r>
    </w:p>
    <w:p>
      <w:pPr>
        <w:spacing w:after="0" w:line="20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59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380" w:type="dxa"/>
            <w:vAlign w:val="bottom"/>
            <w:gridSpan w:val="8"/>
          </w:tcPr>
          <w:p>
            <w:pPr>
              <w:jc w:val="center"/>
              <w:ind w:left="232"/>
              <w:spacing w:after="0"/>
              <w:rPr>
                <w:sz w:val="20"/>
                <w:szCs w:val="20"/>
                <w:color w:val="auto"/>
              </w:rPr>
            </w:pPr>
            <w:r>
              <w:rPr>
                <w:rFonts w:ascii="Arial" w:cs="Arial" w:eastAsia="Arial" w:hAnsi="Arial"/>
                <w:sz w:val="14"/>
                <w:szCs w:val="14"/>
                <w:b w:val="1"/>
                <w:bCs w:val="1"/>
                <w:color w:val="auto"/>
                <w:w w:val="86"/>
              </w:rPr>
              <w:t>For the year ended</w:t>
            </w:r>
          </w:p>
        </w:tc>
        <w:tc>
          <w:tcPr>
            <w:tcW w:w="40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59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b w:val="1"/>
                <w:bCs w:val="1"/>
                <w:color w:val="auto"/>
                <w:w w:val="85"/>
              </w:rPr>
              <w:t>December 31,</w:t>
            </w: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59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jc w:val="right"/>
              <w:ind w:right="72"/>
              <w:spacing w:after="0" w:line="142" w:lineRule="exact"/>
              <w:rPr>
                <w:sz w:val="20"/>
                <w:szCs w:val="20"/>
                <w:color w:val="auto"/>
              </w:rPr>
            </w:pPr>
            <w:r>
              <w:rPr>
                <w:rFonts w:ascii="Arial" w:cs="Arial" w:eastAsia="Arial" w:hAnsi="Arial"/>
                <w:sz w:val="14"/>
                <w:szCs w:val="14"/>
                <w:b w:val="1"/>
                <w:bCs w:val="1"/>
                <w:color w:val="auto"/>
                <w:w w:val="89"/>
              </w:rPr>
              <w:t>2013</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center"/>
              <w:ind w:right="32"/>
              <w:spacing w:after="0" w:line="142" w:lineRule="exact"/>
              <w:rPr>
                <w:sz w:val="20"/>
                <w:szCs w:val="20"/>
                <w:color w:val="auto"/>
              </w:rPr>
            </w:pPr>
            <w:r>
              <w:rPr>
                <w:rFonts w:ascii="Arial" w:cs="Arial" w:eastAsia="Arial" w:hAnsi="Arial"/>
                <w:sz w:val="14"/>
                <w:szCs w:val="14"/>
                <w:b w:val="1"/>
                <w:bCs w:val="1"/>
                <w:color w:val="auto"/>
                <w:w w:val="89"/>
              </w:rPr>
              <w:t>2012</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59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gridSpan w:val="3"/>
          </w:tcPr>
          <w:p>
            <w:pPr>
              <w:jc w:val="right"/>
              <w:spacing w:after="0" w:line="142" w:lineRule="exact"/>
              <w:rPr>
                <w:sz w:val="20"/>
                <w:szCs w:val="20"/>
                <w:color w:val="auto"/>
              </w:rPr>
            </w:pPr>
            <w:r>
              <w:rPr>
                <w:rFonts w:ascii="Arial" w:cs="Arial" w:eastAsia="Arial" w:hAnsi="Arial"/>
                <w:sz w:val="14"/>
                <w:szCs w:val="14"/>
                <w:b w:val="1"/>
                <w:bCs w:val="1"/>
                <w:i w:val="1"/>
                <w:iCs w:val="1"/>
                <w:color w:val="auto"/>
                <w:w w:val="77"/>
              </w:rPr>
              <w:t>(in billions)</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1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AUM, beginning of period</w:t>
            </w:r>
          </w:p>
        </w:tc>
        <w:tc>
          <w:tcPr>
            <w:tcW w:w="80" w:type="dxa"/>
            <w:vAlign w:val="bottom"/>
            <w:gridSpan w:val="2"/>
            <w:shd w:val="clear" w:color="auto" w:fill="CCEEFF"/>
          </w:tcPr>
          <w:p>
            <w:pPr>
              <w:jc w:val="right"/>
              <w:spacing w:after="0"/>
              <w:rPr>
                <w:sz w:val="20"/>
                <w:szCs w:val="20"/>
                <w:color w:val="auto"/>
              </w:rPr>
            </w:pPr>
            <w:r>
              <w:rPr>
                <w:rFonts w:ascii="Arial" w:cs="Arial" w:eastAsia="Arial" w:hAnsi="Arial"/>
                <w:sz w:val="10"/>
                <w:szCs w:val="10"/>
                <w:b w:val="1"/>
                <w:bCs w:val="1"/>
                <w:color w:val="auto"/>
                <w:w w:val="71"/>
              </w:rPr>
              <w:t>$</w:t>
            </w: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263.2</w:t>
            </w:r>
          </w:p>
        </w:tc>
        <w:tc>
          <w:tcPr>
            <w:tcW w:w="6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227.8</w:t>
            </w:r>
          </w:p>
        </w:tc>
        <w:tc>
          <w:tcPr>
            <w:tcW w:w="160" w:type="dxa"/>
            <w:vAlign w:val="bottom"/>
            <w:shd w:val="clear" w:color="auto" w:fill="CCEEFF"/>
          </w:tcPr>
          <w:p>
            <w:pPr>
              <w:spacing w:after="0"/>
              <w:rPr>
                <w:sz w:val="12"/>
                <w:szCs w:val="12"/>
                <w:color w:val="auto"/>
              </w:rPr>
            </w:pPr>
          </w:p>
        </w:tc>
        <w:tc>
          <w:tcPr>
            <w:tcW w:w="1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220.1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100" w:type="dxa"/>
            <w:vAlign w:val="bottom"/>
            <w:gridSpan w:val="2"/>
          </w:tcPr>
          <w:p>
            <w:pPr>
              <w:spacing w:after="0" w:line="149" w:lineRule="exact"/>
              <w:rPr>
                <w:sz w:val="20"/>
                <w:szCs w:val="20"/>
                <w:color w:val="auto"/>
              </w:rPr>
            </w:pPr>
            <w:r>
              <w:rPr>
                <w:rFonts w:ascii="Arial" w:cs="Arial" w:eastAsia="Arial" w:hAnsi="Arial"/>
                <w:sz w:val="14"/>
                <w:szCs w:val="14"/>
                <w:color w:val="auto"/>
              </w:rPr>
              <w:t>Net cash flow (1)</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4.2</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11.7</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(1.8)</w:t>
            </w:r>
          </w:p>
        </w:tc>
      </w:tr>
      <w:tr>
        <w:trPr>
          <w:trHeight w:val="149"/>
        </w:trPr>
        <w:tc>
          <w:tcPr>
            <w:tcW w:w="20" w:type="dxa"/>
            <w:vAlign w:val="bottom"/>
          </w:tcPr>
          <w:p>
            <w:pPr>
              <w:spacing w:after="0"/>
              <w:rPr>
                <w:sz w:val="12"/>
                <w:szCs w:val="12"/>
                <w:color w:val="auto"/>
              </w:rPr>
            </w:pPr>
          </w:p>
        </w:tc>
        <w:tc>
          <w:tcPr>
            <w:tcW w:w="71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Investment performance (2)</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26.3</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24.2</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100" w:type="dxa"/>
            <w:vAlign w:val="bottom"/>
            <w:gridSpan w:val="2"/>
          </w:tcPr>
          <w:p>
            <w:pPr>
              <w:spacing w:after="0" w:line="149" w:lineRule="exact"/>
              <w:rPr>
                <w:sz w:val="20"/>
                <w:szCs w:val="20"/>
                <w:color w:val="auto"/>
              </w:rPr>
            </w:pPr>
            <w:r>
              <w:rPr>
                <w:rFonts w:ascii="Arial" w:cs="Arial" w:eastAsia="Arial" w:hAnsi="Arial"/>
                <w:sz w:val="14"/>
                <w:szCs w:val="14"/>
                <w:color w:val="auto"/>
              </w:rPr>
              <w:t>Operations acquired (3)</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jc w:val="right"/>
              <w:spacing w:after="0" w:line="149" w:lineRule="exact"/>
              <w:rPr>
                <w:sz w:val="20"/>
                <w:szCs w:val="20"/>
                <w:color w:val="auto"/>
              </w:rPr>
            </w:pPr>
            <w:r>
              <w:rPr>
                <w:rFonts w:ascii="Arial" w:cs="Arial" w:eastAsia="Arial" w:hAnsi="Arial"/>
                <w:sz w:val="14"/>
                <w:szCs w:val="14"/>
                <w:color w:val="auto"/>
              </w:rPr>
              <w:t>4.3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1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Other (4)</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(3.0)</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(0.5)</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(0.9)</w:t>
            </w:r>
          </w:p>
        </w:tc>
      </w:tr>
      <w:tr>
        <w:trPr>
          <w:trHeight w:val="142"/>
        </w:trPr>
        <w:tc>
          <w:tcPr>
            <w:tcW w:w="7120" w:type="dxa"/>
            <w:vAlign w:val="bottom"/>
            <w:gridSpan w:val="3"/>
          </w:tcPr>
          <w:p>
            <w:pPr>
              <w:spacing w:after="0" w:line="142" w:lineRule="exact"/>
              <w:rPr>
                <w:sz w:val="20"/>
                <w:szCs w:val="20"/>
                <w:color w:val="auto"/>
              </w:rPr>
            </w:pPr>
            <w:r>
              <w:rPr>
                <w:rFonts w:ascii="Arial" w:cs="Arial" w:eastAsia="Arial" w:hAnsi="Arial"/>
                <w:sz w:val="14"/>
                <w:szCs w:val="14"/>
                <w:color w:val="auto"/>
              </w:rPr>
              <w:t>AUM, end of period</w:t>
            </w:r>
          </w:p>
        </w:tc>
        <w:tc>
          <w:tcPr>
            <w:tcW w:w="20" w:type="dxa"/>
            <w:vAlign w:val="bottom"/>
            <w:tcBorders>
              <w:bottom w:val="single" w:sz="8" w:color="auto"/>
            </w:tcBorders>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5"/>
                <w:szCs w:val="5"/>
                <w:b w:val="1"/>
                <w:bCs w:val="1"/>
                <w:color w:val="auto"/>
                <w:w w:val="70"/>
              </w:rPr>
              <w:t>$</w:t>
            </w:r>
          </w:p>
        </w:tc>
        <w:tc>
          <w:tcPr>
            <w:tcW w:w="4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292.1</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263.2</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227.8</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59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598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4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0" w:type="dxa"/>
            <w:vAlign w:val="bottom"/>
          </w:tcPr>
          <w:p>
            <w:pPr>
              <w:spacing w:after="0"/>
              <w:rPr>
                <w:sz w:val="7"/>
                <w:szCs w:val="7"/>
                <w:color w:val="auto"/>
              </w:rPr>
            </w:pPr>
          </w:p>
        </w:tc>
        <w:tc>
          <w:tcPr>
            <w:tcW w:w="160" w:type="dxa"/>
            <w:vAlign w:val="bottom"/>
          </w:tcPr>
          <w:p>
            <w:pPr>
              <w:spacing w:after="0"/>
              <w:rPr>
                <w:sz w:val="7"/>
                <w:szCs w:val="7"/>
                <w:color w:val="auto"/>
              </w:rPr>
            </w:pPr>
          </w:p>
        </w:tc>
      </w:tr>
    </w:tbl>
    <w:p>
      <w:pPr>
        <w:spacing w:after="0" w:line="192" w:lineRule="exact"/>
        <w:rPr>
          <w:sz w:val="20"/>
          <w:szCs w:val="20"/>
          <w:color w:val="auto"/>
        </w:rPr>
      </w:pPr>
    </w:p>
    <w:p>
      <w:pPr>
        <w:ind w:left="1680" w:hanging="531"/>
        <w:spacing w:after="0" w:line="239" w:lineRule="auto"/>
        <w:tabs>
          <w:tab w:leader="none" w:pos="1680" w:val="left"/>
        </w:tabs>
        <w:numPr>
          <w:ilvl w:val="0"/>
          <w:numId w:val="22"/>
        </w:numPr>
        <w:rPr>
          <w:rFonts w:ascii="Arial" w:cs="Arial" w:eastAsia="Arial" w:hAnsi="Arial"/>
          <w:sz w:val="14"/>
          <w:szCs w:val="14"/>
          <w:color w:val="auto"/>
        </w:rPr>
      </w:pPr>
      <w:r>
        <w:rPr>
          <w:rFonts w:ascii="Arial" w:cs="Arial" w:eastAsia="Arial" w:hAnsi="Arial"/>
          <w:sz w:val="14"/>
          <w:szCs w:val="14"/>
          <w:color w:val="auto"/>
        </w:rPr>
        <w:t>Positive net cash flows are primarily due to continued strong distribution results in 2013 and 2012. 2011 includes net cash flow of $(0.7) resulting from the Retirement Investors Services segment's decision to scale back its investment only business.</w:t>
      </w:r>
    </w:p>
    <w:p>
      <w:pPr>
        <w:spacing w:after="0" w:line="111" w:lineRule="exact"/>
        <w:rPr>
          <w:rFonts w:ascii="Arial" w:cs="Arial" w:eastAsia="Arial" w:hAnsi="Arial"/>
          <w:sz w:val="14"/>
          <w:szCs w:val="14"/>
          <w:color w:val="auto"/>
        </w:rPr>
      </w:pPr>
    </w:p>
    <w:p>
      <w:pPr>
        <w:ind w:left="1680" w:hanging="531"/>
        <w:spacing w:after="0"/>
        <w:tabs>
          <w:tab w:leader="none" w:pos="1680" w:val="left"/>
        </w:tabs>
        <w:numPr>
          <w:ilvl w:val="0"/>
          <w:numId w:val="22"/>
        </w:numPr>
        <w:rPr>
          <w:rFonts w:ascii="Arial" w:cs="Arial" w:eastAsia="Arial" w:hAnsi="Arial"/>
          <w:sz w:val="14"/>
          <w:szCs w:val="14"/>
          <w:color w:val="auto"/>
        </w:rPr>
      </w:pPr>
      <w:r>
        <w:rPr>
          <w:rFonts w:ascii="Arial" w:cs="Arial" w:eastAsia="Arial" w:hAnsi="Arial"/>
          <w:sz w:val="14"/>
          <w:szCs w:val="14"/>
          <w:color w:val="auto"/>
        </w:rPr>
        <w:t>Variations in investment performance are primarily the result of fluctuations in market performance over time.</w:t>
      </w:r>
    </w:p>
    <w:p>
      <w:pPr>
        <w:spacing w:after="0" w:line="122" w:lineRule="exact"/>
        <w:rPr>
          <w:rFonts w:ascii="Arial" w:cs="Arial" w:eastAsia="Arial" w:hAnsi="Arial"/>
          <w:sz w:val="14"/>
          <w:szCs w:val="14"/>
          <w:color w:val="auto"/>
        </w:rPr>
      </w:pPr>
    </w:p>
    <w:p>
      <w:pPr>
        <w:ind w:left="1680" w:hanging="531"/>
        <w:spacing w:after="0"/>
        <w:tabs>
          <w:tab w:leader="none" w:pos="1680" w:val="left"/>
        </w:tabs>
        <w:numPr>
          <w:ilvl w:val="0"/>
          <w:numId w:val="22"/>
        </w:numPr>
        <w:rPr>
          <w:rFonts w:ascii="Arial" w:cs="Arial" w:eastAsia="Arial" w:hAnsi="Arial"/>
          <w:sz w:val="14"/>
          <w:szCs w:val="14"/>
          <w:color w:val="auto"/>
        </w:rPr>
      </w:pPr>
      <w:r>
        <w:rPr>
          <w:rFonts w:ascii="Arial" w:cs="Arial" w:eastAsia="Arial" w:hAnsi="Arial"/>
          <w:sz w:val="14"/>
          <w:szCs w:val="14"/>
          <w:color w:val="auto"/>
        </w:rPr>
        <w:t>Reflects acquisition of Finisterre Capital and Origin in 2011 and Liongate in 2013.</w:t>
      </w:r>
    </w:p>
    <w:p>
      <w:pPr>
        <w:spacing w:after="0" w:line="122" w:lineRule="exact"/>
        <w:rPr>
          <w:rFonts w:ascii="Arial" w:cs="Arial" w:eastAsia="Arial" w:hAnsi="Arial"/>
          <w:sz w:val="14"/>
          <w:szCs w:val="14"/>
          <w:color w:val="auto"/>
        </w:rPr>
      </w:pPr>
    </w:p>
    <w:p>
      <w:pPr>
        <w:ind w:left="1680" w:hanging="531"/>
        <w:spacing w:after="0"/>
        <w:tabs>
          <w:tab w:leader="none" w:pos="1680" w:val="left"/>
        </w:tabs>
        <w:numPr>
          <w:ilvl w:val="0"/>
          <w:numId w:val="22"/>
        </w:numPr>
        <w:rPr>
          <w:rFonts w:ascii="Arial" w:cs="Arial" w:eastAsia="Arial" w:hAnsi="Arial"/>
          <w:sz w:val="14"/>
          <w:szCs w:val="14"/>
          <w:color w:val="auto"/>
        </w:rPr>
      </w:pPr>
      <w:r>
        <w:rPr>
          <w:rFonts w:ascii="Arial" w:cs="Arial" w:eastAsia="Arial" w:hAnsi="Arial"/>
          <w:sz w:val="14"/>
          <w:szCs w:val="14"/>
          <w:color w:val="auto"/>
        </w:rPr>
        <w:t>Includes the transfer of cash needed for the Cuprum acquisition in 2013.</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1" w:name="page52"/>
    <w:bookmarkEnd w:id="5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presents certain summary financial data relating to the Principal Global Investors segment for the years indicated:</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9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80" w:type="dxa"/>
            <w:vAlign w:val="bottom"/>
            <w:gridSpan w:val="7"/>
          </w:tcPr>
          <w:p>
            <w:pPr>
              <w:jc w:val="center"/>
              <w:ind w:left="232"/>
              <w:spacing w:after="0"/>
              <w:rPr>
                <w:sz w:val="20"/>
                <w:szCs w:val="20"/>
                <w:color w:val="auto"/>
              </w:rPr>
            </w:pPr>
            <w:r>
              <w:rPr>
                <w:rFonts w:ascii="Arial" w:cs="Arial" w:eastAsia="Arial" w:hAnsi="Arial"/>
                <w:sz w:val="14"/>
                <w:szCs w:val="14"/>
                <w:b w:val="1"/>
                <w:bCs w:val="1"/>
                <w:color w:val="auto"/>
                <w:w w:val="86"/>
              </w:rPr>
              <w:t>For the year ended</w:t>
            </w:r>
          </w:p>
        </w:tc>
        <w:tc>
          <w:tcPr>
            <w:tcW w:w="4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960" w:type="dxa"/>
            <w:vAlign w:val="bottom"/>
            <w:tcBorders>
              <w:bottom w:val="single" w:sz="8" w:color="auto"/>
            </w:tcBorders>
            <w:gridSpan w:val="4"/>
          </w:tcPr>
          <w:p>
            <w:pPr>
              <w:jc w:val="right"/>
              <w:ind w:right="392"/>
              <w:spacing w:after="0"/>
              <w:rPr>
                <w:sz w:val="20"/>
                <w:szCs w:val="20"/>
                <w:color w:val="auto"/>
              </w:rPr>
            </w:pPr>
            <w:r>
              <w:rPr>
                <w:rFonts w:ascii="Arial" w:cs="Arial" w:eastAsia="Arial" w:hAnsi="Arial"/>
                <w:sz w:val="14"/>
                <w:szCs w:val="14"/>
                <w:b w:val="1"/>
                <w:bCs w:val="1"/>
                <w:color w:val="auto"/>
              </w:rPr>
              <w:t>Increase (decrease)</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9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gridSpan w:val="4"/>
          </w:tcPr>
          <w:p>
            <w:pPr>
              <w:jc w:val="center"/>
              <w:spacing w:after="0" w:line="129" w:lineRule="exact"/>
              <w:rPr>
                <w:sz w:val="20"/>
                <w:szCs w:val="20"/>
                <w:color w:val="auto"/>
              </w:rPr>
            </w:pPr>
            <w:r>
              <w:rPr>
                <w:rFonts w:ascii="Arial" w:cs="Arial" w:eastAsia="Arial" w:hAnsi="Arial"/>
                <w:sz w:val="14"/>
                <w:szCs w:val="14"/>
                <w:b w:val="1"/>
                <w:bCs w:val="1"/>
                <w:color w:val="auto"/>
                <w:w w:val="85"/>
              </w:rPr>
              <w:t>December 31,</w:t>
            </w:r>
          </w:p>
        </w:tc>
        <w:tc>
          <w:tcPr>
            <w:tcW w:w="2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400" w:type="dxa"/>
            <w:vAlign w:val="bottom"/>
            <w:tcBorders>
              <w:bottom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60" w:type="dxa"/>
            <w:vAlign w:val="bottom"/>
            <w:vMerge w:val="restart"/>
          </w:tcPr>
          <w:p>
            <w:pPr>
              <w:jc w:val="right"/>
              <w:ind w:right="12"/>
              <w:spacing w:after="0"/>
              <w:rPr>
                <w:sz w:val="20"/>
                <w:szCs w:val="20"/>
                <w:color w:val="auto"/>
              </w:rPr>
            </w:pPr>
            <w:r>
              <w:rPr>
                <w:rFonts w:ascii="Arial" w:cs="Arial" w:eastAsia="Arial" w:hAnsi="Arial"/>
                <w:sz w:val="14"/>
                <w:szCs w:val="14"/>
                <w:b w:val="1"/>
                <w:bCs w:val="1"/>
                <w:color w:val="auto"/>
                <w:w w:val="84"/>
              </w:rPr>
              <w:t>2013 vs. 2012</w:t>
            </w: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60" w:type="dxa"/>
            <w:vAlign w:val="bottom"/>
            <w:vMerge w:val="restart"/>
          </w:tcPr>
          <w:p>
            <w:pPr>
              <w:jc w:val="right"/>
              <w:ind w:right="32"/>
              <w:spacing w:after="0"/>
              <w:rPr>
                <w:sz w:val="20"/>
                <w:szCs w:val="20"/>
                <w:color w:val="auto"/>
              </w:rPr>
            </w:pPr>
            <w:r>
              <w:rPr>
                <w:rFonts w:ascii="Arial" w:cs="Arial" w:eastAsia="Arial" w:hAnsi="Arial"/>
                <w:sz w:val="14"/>
                <w:szCs w:val="14"/>
                <w:b w:val="1"/>
                <w:bCs w:val="1"/>
                <w:color w:val="auto"/>
                <w:w w:val="82"/>
              </w:rPr>
              <w:t>2012 vs. 2011</w:t>
            </w:r>
          </w:p>
        </w:tc>
        <w:tc>
          <w:tcPr>
            <w:tcW w:w="160" w:type="dxa"/>
            <w:vAlign w:val="bottom"/>
            <w:vMerge w:val="restart"/>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9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9"/>
              </w:rPr>
              <w:t>2013</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center"/>
              <w:ind w:right="32"/>
              <w:spacing w:after="0" w:line="142" w:lineRule="exact"/>
              <w:rPr>
                <w:sz w:val="20"/>
                <w:szCs w:val="20"/>
                <w:color w:val="auto"/>
              </w:rPr>
            </w:pPr>
            <w:r>
              <w:rPr>
                <w:rFonts w:ascii="Arial" w:cs="Arial" w:eastAsia="Arial" w:hAnsi="Arial"/>
                <w:sz w:val="14"/>
                <w:szCs w:val="14"/>
                <w:b w:val="1"/>
                <w:bCs w:val="1"/>
                <w:color w:val="auto"/>
                <w:w w:val="89"/>
              </w:rPr>
              <w:t>2012</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jc w:val="right"/>
              <w:ind w:right="72"/>
              <w:spacing w:after="0" w:line="142" w:lineRule="exact"/>
              <w:rPr>
                <w:sz w:val="20"/>
                <w:szCs w:val="20"/>
                <w:color w:val="auto"/>
              </w:rPr>
            </w:pPr>
            <w:r>
              <w:rPr>
                <w:rFonts w:ascii="Arial" w:cs="Arial" w:eastAsia="Arial" w:hAnsi="Arial"/>
                <w:sz w:val="14"/>
                <w:szCs w:val="14"/>
                <w:b w:val="1"/>
                <w:bCs w:val="1"/>
                <w:color w:val="auto"/>
                <w:w w:val="76"/>
              </w:rPr>
              <w:t>2011</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vMerge w:val="continue"/>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vMerge w:val="continue"/>
          </w:tcPr>
          <w:p>
            <w:pPr>
              <w:spacing w:after="0"/>
              <w:rPr>
                <w:sz w:val="12"/>
                <w:szCs w:val="12"/>
                <w:color w:val="auto"/>
              </w:rPr>
            </w:pPr>
          </w:p>
        </w:tc>
        <w:tc>
          <w:tcPr>
            <w:tcW w:w="1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9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80" w:type="dxa"/>
            <w:vAlign w:val="bottom"/>
            <w:gridSpan w:val="4"/>
          </w:tcPr>
          <w:p>
            <w:pPr>
              <w:jc w:val="right"/>
              <w:ind w:right="512"/>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9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Operating revenues:</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900" w:type="dxa"/>
            <w:vAlign w:val="bottom"/>
          </w:tcPr>
          <w:p>
            <w:pPr>
              <w:ind w:left="140"/>
              <w:spacing w:after="0" w:line="149" w:lineRule="exact"/>
              <w:rPr>
                <w:sz w:val="20"/>
                <w:szCs w:val="20"/>
                <w:color w:val="auto"/>
              </w:rPr>
            </w:pPr>
            <w:r>
              <w:rPr>
                <w:rFonts w:ascii="Arial" w:cs="Arial" w:eastAsia="Arial" w:hAnsi="Arial"/>
                <w:sz w:val="14"/>
                <w:szCs w:val="14"/>
                <w:color w:val="auto"/>
              </w:rPr>
              <w:t>Fees and other revenues</w:t>
            </w:r>
          </w:p>
        </w:tc>
        <w:tc>
          <w:tcPr>
            <w:tcW w:w="1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4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702.2</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575.8</w:t>
            </w:r>
          </w:p>
        </w:tc>
        <w:tc>
          <w:tcPr>
            <w:tcW w:w="140" w:type="dxa"/>
            <w:vAlign w:val="bottom"/>
          </w:tcPr>
          <w:p>
            <w:pPr>
              <w:spacing w:after="0"/>
              <w:rPr>
                <w:sz w:val="12"/>
                <w:szCs w:val="12"/>
                <w:color w:val="auto"/>
              </w:rPr>
            </w:pPr>
          </w:p>
        </w:tc>
        <w:tc>
          <w:tcPr>
            <w:tcW w:w="14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w w:val="76"/>
              </w:rPr>
              <w:t>$</w:t>
            </w:r>
          </w:p>
        </w:tc>
        <w:tc>
          <w:tcPr>
            <w:tcW w:w="400" w:type="dxa"/>
            <w:vAlign w:val="bottom"/>
          </w:tcPr>
          <w:p>
            <w:pPr>
              <w:jc w:val="right"/>
              <w:spacing w:after="0" w:line="149" w:lineRule="exact"/>
              <w:rPr>
                <w:sz w:val="20"/>
                <w:szCs w:val="20"/>
                <w:color w:val="auto"/>
              </w:rPr>
            </w:pPr>
            <w:r>
              <w:rPr>
                <w:rFonts w:ascii="Arial" w:cs="Arial" w:eastAsia="Arial" w:hAnsi="Arial"/>
                <w:sz w:val="14"/>
                <w:szCs w:val="14"/>
                <w:color w:val="auto"/>
              </w:rPr>
              <w:t>531.2</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126.4</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44.6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9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Net investment income</w:t>
            </w:r>
          </w:p>
        </w:tc>
        <w:tc>
          <w:tcPr>
            <w:tcW w:w="2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4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17.0</w:t>
            </w:r>
          </w:p>
        </w:tc>
        <w:tc>
          <w:tcPr>
            <w:tcW w:w="16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4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15.4</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4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15.1</w:t>
            </w:r>
          </w:p>
        </w:tc>
        <w:tc>
          <w:tcPr>
            <w:tcW w:w="16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8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1.6</w:t>
            </w:r>
          </w:p>
        </w:tc>
        <w:tc>
          <w:tcPr>
            <w:tcW w:w="18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8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0.3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900" w:type="dxa"/>
            <w:vAlign w:val="bottom"/>
          </w:tcPr>
          <w:p>
            <w:pPr>
              <w:ind w:left="280"/>
              <w:spacing w:after="0" w:line="142" w:lineRule="exact"/>
              <w:rPr>
                <w:sz w:val="20"/>
                <w:szCs w:val="20"/>
                <w:color w:val="auto"/>
              </w:rPr>
            </w:pPr>
            <w:r>
              <w:rPr>
                <w:rFonts w:ascii="Arial" w:cs="Arial" w:eastAsia="Arial" w:hAnsi="Arial"/>
                <w:sz w:val="14"/>
                <w:szCs w:val="14"/>
                <w:color w:val="auto"/>
              </w:rPr>
              <w:t>Total operating revenues</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719.2</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jc w:val="right"/>
              <w:spacing w:after="0" w:line="142" w:lineRule="exact"/>
              <w:rPr>
                <w:sz w:val="20"/>
                <w:szCs w:val="20"/>
                <w:color w:val="auto"/>
              </w:rPr>
            </w:pPr>
            <w:r>
              <w:rPr>
                <w:rFonts w:ascii="Arial" w:cs="Arial" w:eastAsia="Arial" w:hAnsi="Arial"/>
                <w:sz w:val="14"/>
                <w:szCs w:val="14"/>
                <w:color w:val="auto"/>
              </w:rPr>
              <w:t>591.2</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0" w:type="dxa"/>
            <w:vAlign w:val="bottom"/>
          </w:tcPr>
          <w:p>
            <w:pPr>
              <w:jc w:val="right"/>
              <w:spacing w:after="0" w:line="142" w:lineRule="exact"/>
              <w:rPr>
                <w:sz w:val="20"/>
                <w:szCs w:val="20"/>
                <w:color w:val="auto"/>
              </w:rPr>
            </w:pPr>
            <w:r>
              <w:rPr>
                <w:rFonts w:ascii="Arial" w:cs="Arial" w:eastAsia="Arial" w:hAnsi="Arial"/>
                <w:sz w:val="14"/>
                <w:szCs w:val="14"/>
                <w:color w:val="auto"/>
              </w:rPr>
              <w:t>546.3</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2" w:lineRule="exact"/>
              <w:rPr>
                <w:sz w:val="20"/>
                <w:szCs w:val="20"/>
                <w:color w:val="auto"/>
              </w:rPr>
            </w:pPr>
            <w:r>
              <w:rPr>
                <w:rFonts w:ascii="Arial" w:cs="Arial" w:eastAsia="Arial" w:hAnsi="Arial"/>
                <w:sz w:val="14"/>
                <w:szCs w:val="14"/>
                <w:color w:val="auto"/>
              </w:rPr>
              <w:t>128.0</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2" w:lineRule="exact"/>
              <w:rPr>
                <w:sz w:val="20"/>
                <w:szCs w:val="20"/>
                <w:color w:val="auto"/>
              </w:rPr>
            </w:pPr>
            <w:r>
              <w:rPr>
                <w:rFonts w:ascii="Arial" w:cs="Arial" w:eastAsia="Arial" w:hAnsi="Arial"/>
                <w:sz w:val="14"/>
                <w:szCs w:val="14"/>
                <w:color w:val="auto"/>
              </w:rPr>
              <w:t>44.9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9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Expenses:</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900" w:type="dxa"/>
            <w:vAlign w:val="bottom"/>
          </w:tcPr>
          <w:p>
            <w:pPr>
              <w:ind w:left="280"/>
              <w:spacing w:after="0" w:line="149" w:lineRule="exact"/>
              <w:rPr>
                <w:sz w:val="20"/>
                <w:szCs w:val="20"/>
                <w:color w:val="auto"/>
              </w:rPr>
            </w:pPr>
            <w:r>
              <w:rPr>
                <w:rFonts w:ascii="Arial" w:cs="Arial" w:eastAsia="Arial" w:hAnsi="Arial"/>
                <w:sz w:val="14"/>
                <w:szCs w:val="14"/>
                <w:color w:val="auto"/>
              </w:rPr>
              <w:t>Total expenses</w:t>
            </w:r>
          </w:p>
        </w:tc>
        <w:tc>
          <w:tcPr>
            <w:tcW w:w="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544.5</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456.2</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429.3</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88.3</w:t>
            </w:r>
          </w:p>
        </w:tc>
        <w:tc>
          <w:tcPr>
            <w:tcW w:w="1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26.9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90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Operating earnings before income taxes and noncontrolling interests</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174.7</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135.0</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117.0</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39.7</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18.0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900" w:type="dxa"/>
            <w:vAlign w:val="bottom"/>
          </w:tcPr>
          <w:p>
            <w:pPr>
              <w:spacing w:after="0" w:line="149" w:lineRule="exact"/>
              <w:rPr>
                <w:sz w:val="20"/>
                <w:szCs w:val="20"/>
                <w:color w:val="auto"/>
              </w:rPr>
            </w:pPr>
            <w:r>
              <w:rPr>
                <w:rFonts w:ascii="Arial" w:cs="Arial" w:eastAsia="Arial" w:hAnsi="Arial"/>
                <w:sz w:val="14"/>
                <w:szCs w:val="14"/>
                <w:color w:val="auto"/>
              </w:rPr>
              <w:t>Income taxes</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55.5</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43.5</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0" w:type="dxa"/>
            <w:vAlign w:val="bottom"/>
          </w:tcPr>
          <w:p>
            <w:pPr>
              <w:jc w:val="right"/>
              <w:spacing w:after="0" w:line="149" w:lineRule="exact"/>
              <w:rPr>
                <w:sz w:val="20"/>
                <w:szCs w:val="20"/>
                <w:color w:val="auto"/>
              </w:rPr>
            </w:pPr>
            <w:r>
              <w:rPr>
                <w:rFonts w:ascii="Arial" w:cs="Arial" w:eastAsia="Arial" w:hAnsi="Arial"/>
                <w:sz w:val="14"/>
                <w:szCs w:val="14"/>
                <w:color w:val="auto"/>
              </w:rPr>
              <w:t>41.0</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12.0</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2.5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9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Operating earnings attributable to noncontrolling interests</w:t>
            </w:r>
          </w:p>
        </w:tc>
        <w:tc>
          <w:tcPr>
            <w:tcW w:w="2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4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16.6</w:t>
            </w:r>
          </w:p>
        </w:tc>
        <w:tc>
          <w:tcPr>
            <w:tcW w:w="16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4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10.3</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4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2.0</w:t>
            </w:r>
          </w:p>
        </w:tc>
        <w:tc>
          <w:tcPr>
            <w:tcW w:w="16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8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6.3</w:t>
            </w:r>
          </w:p>
        </w:tc>
        <w:tc>
          <w:tcPr>
            <w:tcW w:w="18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8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8.3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920" w:type="dxa"/>
            <w:vAlign w:val="bottom"/>
            <w:gridSpan w:val="2"/>
          </w:tcPr>
          <w:p>
            <w:pPr>
              <w:spacing w:after="0" w:line="142" w:lineRule="exact"/>
              <w:rPr>
                <w:sz w:val="20"/>
                <w:szCs w:val="20"/>
                <w:color w:val="auto"/>
              </w:rPr>
            </w:pPr>
            <w:r>
              <w:rPr>
                <w:rFonts w:ascii="Arial" w:cs="Arial" w:eastAsia="Arial" w:hAnsi="Arial"/>
                <w:sz w:val="14"/>
                <w:szCs w:val="14"/>
                <w:color w:val="auto"/>
              </w:rPr>
              <w:t>Operating earnings</w:t>
            </w:r>
          </w:p>
        </w:tc>
        <w:tc>
          <w:tcPr>
            <w:tcW w:w="2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4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102.6</w:t>
            </w:r>
          </w:p>
        </w:tc>
        <w:tc>
          <w:tcPr>
            <w:tcW w:w="160" w:type="dxa"/>
            <w:vAlign w:val="bottom"/>
          </w:tcPr>
          <w:p>
            <w:pPr>
              <w:spacing w:after="0"/>
              <w:rPr>
                <w:sz w:val="12"/>
                <w:szCs w:val="12"/>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81.2</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4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74.0</w:t>
            </w:r>
          </w:p>
        </w:tc>
        <w:tc>
          <w:tcPr>
            <w:tcW w:w="160" w:type="dxa"/>
            <w:vAlign w:val="bottom"/>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21.4</w:t>
            </w:r>
          </w:p>
        </w:tc>
        <w:tc>
          <w:tcPr>
            <w:tcW w:w="180" w:type="dxa"/>
            <w:vAlign w:val="bottom"/>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7.2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Year Ended December 31, 2013 Compared to Year Ended December 31, 2012</w:t>
      </w:r>
    </w:p>
    <w:p>
      <w:pPr>
        <w:spacing w:after="0" w:line="219"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Operating Earnings</w:t>
      </w:r>
    </w:p>
    <w:p>
      <w:pPr>
        <w:spacing w:after="0" w:line="231" w:lineRule="exact"/>
        <w:rPr>
          <w:sz w:val="20"/>
          <w:szCs w:val="20"/>
          <w:color w:val="auto"/>
        </w:rPr>
      </w:pPr>
    </w:p>
    <w:p>
      <w:pPr>
        <w:jc w:val="both"/>
        <w:ind w:right="20" w:firstLine="409"/>
        <w:spacing w:after="0" w:line="259" w:lineRule="auto"/>
        <w:rPr>
          <w:sz w:val="20"/>
          <w:szCs w:val="20"/>
          <w:color w:val="auto"/>
        </w:rPr>
      </w:pPr>
      <w:r>
        <w:rPr>
          <w:rFonts w:ascii="Arial" w:cs="Arial" w:eastAsia="Arial" w:hAnsi="Arial"/>
          <w:sz w:val="18"/>
          <w:szCs w:val="18"/>
          <w:color w:val="auto"/>
        </w:rPr>
        <w:t>Operating earnings increased due to higher management fee revenue as a result of increased AUM. In addition, operating earnings increased due to higher performance fee revenue in our real estate and alternative strategies. These increases were partially offset by higher staff related costs, many of which are aligned with both the expansion of our business and increased performance based revenue.</w:t>
      </w:r>
    </w:p>
    <w:p>
      <w:pPr>
        <w:spacing w:after="0" w:line="188"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Income Taxes</w:t>
      </w:r>
    </w:p>
    <w:p>
      <w:pPr>
        <w:spacing w:after="0" w:line="231" w:lineRule="exact"/>
        <w:rPr>
          <w:sz w:val="20"/>
          <w:szCs w:val="20"/>
          <w:color w:val="auto"/>
        </w:rPr>
      </w:pPr>
    </w:p>
    <w:p>
      <w:pPr>
        <w:jc w:val="both"/>
        <w:ind w:firstLine="367"/>
        <w:spacing w:after="0" w:line="259" w:lineRule="auto"/>
        <w:rPr>
          <w:sz w:val="20"/>
          <w:szCs w:val="20"/>
          <w:color w:val="auto"/>
        </w:rPr>
      </w:pPr>
      <w:r>
        <w:rPr>
          <w:rFonts w:ascii="Arial" w:cs="Arial" w:eastAsia="Arial" w:hAnsi="Arial"/>
          <w:sz w:val="18"/>
          <w:szCs w:val="18"/>
          <w:color w:val="auto"/>
        </w:rPr>
        <w:t>The effective income tax rate for the segment was 32% for both the years ended December 31, 2013 and 2012. The effective income tax rate was lower than the U.S. statutory rate, primarily due to inclusion of income attributable to noncontrolling interest in pre-tax operating earnings with no corresponding change in income taxes reported by us as the controlling interest.</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Year Ended December 31, 2012 Compared to Year Ended December 31, 2011</w:t>
      </w:r>
    </w:p>
    <w:p>
      <w:pPr>
        <w:spacing w:after="0" w:line="219"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Operating Earnings</w:t>
      </w:r>
    </w:p>
    <w:p>
      <w:pPr>
        <w:spacing w:after="0" w:line="231" w:lineRule="exact"/>
        <w:rPr>
          <w:sz w:val="20"/>
          <w:szCs w:val="20"/>
          <w:color w:val="auto"/>
        </w:rPr>
      </w:pPr>
    </w:p>
    <w:p>
      <w:pPr>
        <w:jc w:val="both"/>
        <w:ind w:firstLine="466"/>
        <w:spacing w:after="0" w:line="306" w:lineRule="auto"/>
        <w:rPr>
          <w:sz w:val="20"/>
          <w:szCs w:val="20"/>
          <w:color w:val="auto"/>
        </w:rPr>
      </w:pPr>
      <w:r>
        <w:rPr>
          <w:rFonts w:ascii="Arial" w:cs="Arial" w:eastAsia="Arial" w:hAnsi="Arial"/>
          <w:sz w:val="16"/>
          <w:szCs w:val="16"/>
          <w:color w:val="auto"/>
        </w:rPr>
        <w:t>Operating earnings increased due to higher fee revenues driven by an increase in average AUM. In addition, operating earnings increased due to higher borrower fees from our real estate business resulting from higher transaction volumes and higher servicing fees. These increases were partially offset by higher staff related costs resulting from higher compensation expense, as well as other expenses generally related to our acquisition of Origin in 2011.</w:t>
      </w:r>
    </w:p>
    <w:p>
      <w:pPr>
        <w:spacing w:after="0" w:line="155"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Income Taxes</w:t>
      </w:r>
    </w:p>
    <w:p>
      <w:pPr>
        <w:spacing w:after="0" w:line="231" w:lineRule="exact"/>
        <w:rPr>
          <w:sz w:val="20"/>
          <w:szCs w:val="20"/>
          <w:color w:val="auto"/>
        </w:rPr>
      </w:pPr>
    </w:p>
    <w:p>
      <w:pPr>
        <w:jc w:val="both"/>
        <w:ind w:firstLine="381"/>
        <w:spacing w:after="0" w:line="306" w:lineRule="auto"/>
        <w:rPr>
          <w:sz w:val="20"/>
          <w:szCs w:val="20"/>
          <w:color w:val="auto"/>
        </w:rPr>
      </w:pPr>
      <w:r>
        <w:rPr>
          <w:rFonts w:ascii="Arial" w:cs="Arial" w:eastAsia="Arial" w:hAnsi="Arial"/>
          <w:sz w:val="16"/>
          <w:szCs w:val="16"/>
          <w:color w:val="auto"/>
        </w:rPr>
        <w:t>The effective income tax rates for the segment were 32% and 35% for the years ended December 31, 2012 and 2011, respectively. The effective income tax rate was lower than the U.S. statutory rate for the year ended December 31, 2012, primarily due to inclusion of income attributable to noncontrolling interest in pre-tax operating earnings with no corresponding change in income taxes reported by us as the controlling interest.</w:t>
      </w: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Principal International Segment</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Principal International Trends</w:t>
      </w:r>
    </w:p>
    <w:p>
      <w:pPr>
        <w:spacing w:after="0" w:line="225" w:lineRule="exact"/>
        <w:rPr>
          <w:sz w:val="20"/>
          <w:szCs w:val="20"/>
          <w:color w:val="auto"/>
        </w:rPr>
      </w:pPr>
    </w:p>
    <w:p>
      <w:pPr>
        <w:jc w:val="both"/>
        <w:ind w:firstLine="451"/>
        <w:spacing w:after="0" w:line="298" w:lineRule="auto"/>
        <w:rPr>
          <w:sz w:val="20"/>
          <w:szCs w:val="20"/>
          <w:color w:val="auto"/>
        </w:rPr>
      </w:pPr>
      <w:r>
        <w:rPr>
          <w:rFonts w:ascii="Arial" w:cs="Arial" w:eastAsia="Arial" w:hAnsi="Arial"/>
          <w:sz w:val="16"/>
          <w:szCs w:val="16"/>
          <w:color w:val="auto"/>
        </w:rPr>
        <w:t>Our Principal International businesses focus on countries with favorable demographics and growing long-term savings and defined contribution markets. With variations depending upon the specific country, we have targeted these markets for sales of retirement and related products and services, including defined contribution pension plans, annuities and mutual funds to businesses and individuals. In some of our international markets, we complement our sales of these products with institutional asset management and life insurance accumulation products.</w:t>
      </w:r>
    </w:p>
    <w:p>
      <w:pPr>
        <w:spacing w:after="0" w:line="167" w:lineRule="exact"/>
        <w:rPr>
          <w:sz w:val="20"/>
          <w:szCs w:val="20"/>
          <w:color w:val="auto"/>
        </w:rPr>
      </w:pPr>
    </w:p>
    <w:p>
      <w:pPr>
        <w:jc w:val="both"/>
        <w:ind w:firstLine="390"/>
        <w:spacing w:after="0" w:line="268" w:lineRule="auto"/>
        <w:rPr>
          <w:sz w:val="20"/>
          <w:szCs w:val="20"/>
          <w:color w:val="auto"/>
        </w:rPr>
      </w:pPr>
      <w:r>
        <w:rPr>
          <w:rFonts w:ascii="Arial" w:cs="Arial" w:eastAsia="Arial" w:hAnsi="Arial"/>
          <w:sz w:val="18"/>
          <w:szCs w:val="18"/>
          <w:color w:val="auto"/>
        </w:rPr>
        <w:t>We have pursued our international strategy through a combination of start-ups, acquisitions and joint ventures, which require infusions of capital consistent with our strategy of long-term growth and profitability.</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Principal International Segment Summary Financial Data</w:t>
      </w:r>
    </w:p>
    <w:p>
      <w:pPr>
        <w:spacing w:after="0" w:line="225" w:lineRule="exact"/>
        <w:rPr>
          <w:sz w:val="20"/>
          <w:szCs w:val="20"/>
          <w:color w:val="auto"/>
        </w:rPr>
      </w:pPr>
    </w:p>
    <w:p>
      <w:pPr>
        <w:jc w:val="both"/>
        <w:ind w:firstLine="459"/>
        <w:spacing w:after="0" w:line="335" w:lineRule="auto"/>
        <w:rPr>
          <w:sz w:val="20"/>
          <w:szCs w:val="20"/>
          <w:color w:val="auto"/>
        </w:rPr>
      </w:pPr>
      <w:r>
        <w:rPr>
          <w:rFonts w:ascii="Arial" w:cs="Arial" w:eastAsia="Arial" w:hAnsi="Arial"/>
          <w:sz w:val="15"/>
          <w:szCs w:val="15"/>
          <w:color w:val="auto"/>
        </w:rPr>
        <w:t>AUM is generally a key indicator of earnings growth for the segment, as AUM is the base by which we can generate local currency profits. The newly acquired Cuprum business differs in that fees generated are determined by salary levels of the mandatory retirement customers, with deposits subject to an annual cap, as opposed to asset levels. Net customer cash flow and market performance are the two main drivers of local currency AUM growth. Net customer cash flow</w:t>
      </w:r>
    </w:p>
    <w:p>
      <w:pPr>
        <w:sectPr>
          <w:pgSz w:w="11900" w:h="16838" w:orient="portrait"/>
          <w:cols w:equalWidth="0" w:num="1">
            <w:col w:w="11420"/>
          </w:cols>
          <w:pgMar w:left="240" w:top="131" w:right="239" w:bottom="1440" w:gutter="0" w:footer="0" w:header="0"/>
        </w:sectPr>
      </w:pPr>
    </w:p>
    <w:p>
      <w:pPr>
        <w:spacing w:after="0" w:line="14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52" w:name="page53"/>
    <w:bookmarkEnd w:id="5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reflects our ability to attract and retain client deposits. Market performance reflects the investment returns on our underlying AUM. Our financial results are also impacted by fluctuations of the foreign currency to U.S. dollar exchange rates for the countries in which we have operations. AUM of our foreign subsidiaries is translated into U.S. dollar equivalents at the end of the reporting period using the spot foreign exchange rates. Revenue and expenses for our foreign subsidiaries are translated into U.S. dollar equivalents at the average foreign exchange rates.</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presents the Principal International segment AUM rollforward for the years indicated:</w:t>
      </w:r>
    </w:p>
    <w:p>
      <w:pPr>
        <w:spacing w:after="0" w:line="20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220" w:type="dxa"/>
            <w:vAlign w:val="bottom"/>
          </w:tcPr>
          <w:p>
            <w:pPr>
              <w:spacing w:after="0"/>
              <w:rPr>
                <w:sz w:val="14"/>
                <w:szCs w:val="14"/>
                <w:color w:val="auto"/>
              </w:rPr>
            </w:pPr>
          </w:p>
        </w:tc>
        <w:tc>
          <w:tcPr>
            <w:tcW w:w="29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0" w:type="dxa"/>
            <w:vAlign w:val="bottom"/>
            <w:gridSpan w:val="9"/>
          </w:tcPr>
          <w:p>
            <w:pPr>
              <w:jc w:val="right"/>
              <w:ind w:right="480"/>
              <w:spacing w:after="0"/>
              <w:rPr>
                <w:sz w:val="20"/>
                <w:szCs w:val="20"/>
                <w:color w:val="auto"/>
              </w:rPr>
            </w:pPr>
            <w:r>
              <w:rPr>
                <w:rFonts w:ascii="Arial" w:cs="Arial" w:eastAsia="Arial" w:hAnsi="Arial"/>
                <w:sz w:val="14"/>
                <w:szCs w:val="14"/>
                <w:b w:val="1"/>
                <w:bCs w:val="1"/>
                <w:color w:val="auto"/>
              </w:rPr>
              <w:t>For the year ended</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220" w:type="dxa"/>
            <w:vAlign w:val="bottom"/>
          </w:tcPr>
          <w:p>
            <w:pPr>
              <w:spacing w:after="0"/>
              <w:rPr>
                <w:sz w:val="14"/>
                <w:szCs w:val="14"/>
                <w:color w:val="auto"/>
              </w:rPr>
            </w:pPr>
          </w:p>
        </w:tc>
        <w:tc>
          <w:tcPr>
            <w:tcW w:w="29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gridSpan w:val="5"/>
          </w:tcPr>
          <w:p>
            <w:pPr>
              <w:jc w:val="right"/>
              <w:ind w:right="20"/>
              <w:spacing w:after="0"/>
              <w:rPr>
                <w:sz w:val="20"/>
                <w:szCs w:val="20"/>
                <w:color w:val="auto"/>
              </w:rPr>
            </w:pPr>
            <w:r>
              <w:rPr>
                <w:rFonts w:ascii="Arial" w:cs="Arial" w:eastAsia="Arial" w:hAnsi="Arial"/>
                <w:sz w:val="14"/>
                <w:szCs w:val="14"/>
                <w:b w:val="1"/>
                <w:bCs w:val="1"/>
                <w:color w:val="auto"/>
              </w:rPr>
              <w:t>December 31,</w:t>
            </w:r>
          </w:p>
        </w:tc>
        <w:tc>
          <w:tcPr>
            <w:tcW w:w="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220" w:type="dxa"/>
            <w:vAlign w:val="bottom"/>
          </w:tcPr>
          <w:p>
            <w:pPr>
              <w:spacing w:after="0"/>
              <w:rPr>
                <w:sz w:val="12"/>
                <w:szCs w:val="12"/>
                <w:color w:val="auto"/>
              </w:rPr>
            </w:pPr>
          </w:p>
        </w:tc>
        <w:tc>
          <w:tcPr>
            <w:tcW w:w="290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9"/>
              </w:rPr>
              <w:t>2013</w:t>
            </w:r>
          </w:p>
        </w:tc>
        <w:tc>
          <w:tcPr>
            <w:tcW w:w="240" w:type="dxa"/>
            <w:vAlign w:val="bottom"/>
            <w:gridSpan w:val="2"/>
            <w:vMerge w:val="restart"/>
          </w:tcPr>
          <w:p>
            <w:pPr>
              <w:jc w:val="right"/>
              <w:spacing w:after="0"/>
              <w:rPr>
                <w:sz w:val="20"/>
                <w:szCs w:val="20"/>
                <w:color w:val="auto"/>
              </w:rPr>
            </w:pPr>
            <w:r>
              <w:rPr>
                <w:rFonts w:ascii="Arial" w:cs="Arial" w:eastAsia="Arial" w:hAnsi="Arial"/>
                <w:sz w:val="14"/>
                <w:szCs w:val="14"/>
                <w:b w:val="1"/>
                <w:bCs w:val="1"/>
                <w:i w:val="1"/>
                <w:iCs w:val="1"/>
                <w:color w:val="auto"/>
                <w:w w:val="93"/>
              </w:rPr>
              <w:t>(in</w:t>
            </w:r>
          </w:p>
        </w:tc>
        <w:tc>
          <w:tcPr>
            <w:tcW w:w="380" w:type="dxa"/>
            <w:vAlign w:val="bottom"/>
            <w:tcBorders>
              <w:bottom w:val="single" w:sz="8" w:color="auto"/>
            </w:tcBorders>
          </w:tcPr>
          <w:p>
            <w:pPr>
              <w:jc w:val="right"/>
              <w:ind w:right="33"/>
              <w:spacing w:after="0" w:line="142" w:lineRule="exact"/>
              <w:rPr>
                <w:sz w:val="20"/>
                <w:szCs w:val="20"/>
                <w:color w:val="auto"/>
              </w:rPr>
            </w:pPr>
            <w:r>
              <w:rPr>
                <w:rFonts w:ascii="Arial" w:cs="Arial" w:eastAsia="Arial" w:hAnsi="Arial"/>
                <w:sz w:val="14"/>
                <w:szCs w:val="14"/>
                <w:b w:val="1"/>
                <w:bCs w:val="1"/>
                <w:color w:val="auto"/>
                <w:w w:val="83"/>
              </w:rPr>
              <w:t>2012</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w w:val="76"/>
              </w:rPr>
              <w:t>2011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220" w:type="dxa"/>
            <w:vAlign w:val="bottom"/>
          </w:tcPr>
          <w:p>
            <w:pPr>
              <w:spacing w:after="0"/>
              <w:rPr>
                <w:sz w:val="12"/>
                <w:szCs w:val="12"/>
                <w:color w:val="auto"/>
              </w:rPr>
            </w:pPr>
          </w:p>
        </w:tc>
        <w:tc>
          <w:tcPr>
            <w:tcW w:w="29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40" w:type="dxa"/>
            <w:vAlign w:val="bottom"/>
            <w:gridSpan w:val="2"/>
            <w:vMerge w:val="continue"/>
          </w:tcPr>
          <w:p>
            <w:pPr>
              <w:spacing w:after="0"/>
              <w:rPr>
                <w:sz w:val="12"/>
                <w:szCs w:val="12"/>
                <w:color w:val="auto"/>
              </w:rPr>
            </w:pPr>
          </w:p>
        </w:tc>
        <w:tc>
          <w:tcPr>
            <w:tcW w:w="380" w:type="dxa"/>
            <w:vAlign w:val="bottom"/>
          </w:tcPr>
          <w:p>
            <w:pPr>
              <w:jc w:val="right"/>
              <w:spacing w:after="0"/>
              <w:rPr>
                <w:sz w:val="20"/>
                <w:szCs w:val="20"/>
                <w:color w:val="auto"/>
              </w:rPr>
            </w:pPr>
            <w:r>
              <w:rPr>
                <w:rFonts w:ascii="Arial" w:cs="Arial" w:eastAsia="Arial" w:hAnsi="Arial"/>
                <w:sz w:val="12"/>
                <w:szCs w:val="12"/>
                <w:b w:val="1"/>
                <w:bCs w:val="1"/>
                <w:i w:val="1"/>
                <w:iCs w:val="1"/>
                <w:color w:val="auto"/>
                <w:w w:val="78"/>
              </w:rPr>
              <w:t>billions)</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AUM, beginning of period</w:t>
            </w:r>
          </w:p>
        </w:tc>
        <w:tc>
          <w:tcPr>
            <w:tcW w:w="298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69.3</w:t>
            </w: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52.8</w:t>
            </w:r>
          </w:p>
        </w:tc>
        <w:tc>
          <w:tcPr>
            <w:tcW w:w="140" w:type="dxa"/>
            <w:vAlign w:val="bottom"/>
            <w:shd w:val="clear" w:color="auto" w:fill="CCEEFF"/>
          </w:tcPr>
          <w:p>
            <w:pPr>
              <w:spacing w:after="0"/>
              <w:rPr>
                <w:sz w:val="12"/>
                <w:szCs w:val="12"/>
                <w:color w:val="auto"/>
              </w:rPr>
            </w:pPr>
          </w:p>
        </w:tc>
        <w:tc>
          <w:tcPr>
            <w:tcW w:w="10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w w:val="76"/>
              </w:rPr>
              <w:t>$</w:t>
            </w:r>
          </w:p>
        </w:tc>
        <w:tc>
          <w:tcPr>
            <w:tcW w:w="3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45.8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Net cash flow</w:t>
            </w:r>
          </w:p>
        </w:tc>
        <w:tc>
          <w:tcPr>
            <w:tcW w:w="29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8.5</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80" w:type="dxa"/>
            <w:vAlign w:val="bottom"/>
          </w:tcPr>
          <w:p>
            <w:pPr>
              <w:jc w:val="right"/>
              <w:spacing w:after="0" w:line="149" w:lineRule="exact"/>
              <w:rPr>
                <w:sz w:val="20"/>
                <w:szCs w:val="20"/>
                <w:color w:val="auto"/>
              </w:rPr>
            </w:pPr>
            <w:r>
              <w:rPr>
                <w:rFonts w:ascii="Arial" w:cs="Arial" w:eastAsia="Arial" w:hAnsi="Arial"/>
                <w:sz w:val="14"/>
                <w:szCs w:val="14"/>
                <w:color w:val="auto"/>
              </w:rPr>
              <w:t>9.3</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jc w:val="right"/>
              <w:spacing w:after="0" w:line="149" w:lineRule="exact"/>
              <w:rPr>
                <w:sz w:val="20"/>
                <w:szCs w:val="20"/>
                <w:color w:val="auto"/>
              </w:rPr>
            </w:pPr>
            <w:r>
              <w:rPr>
                <w:rFonts w:ascii="Arial" w:cs="Arial" w:eastAsia="Arial" w:hAnsi="Arial"/>
                <w:sz w:val="14"/>
                <w:szCs w:val="14"/>
                <w:color w:val="auto"/>
              </w:rPr>
              <w:t>5.5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Investment performance</w:t>
            </w:r>
          </w:p>
        </w:tc>
        <w:tc>
          <w:tcPr>
            <w:tcW w:w="29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3.6</w:t>
            </w: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7.2</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Operations acquired (1)</w:t>
            </w:r>
          </w:p>
        </w:tc>
        <w:tc>
          <w:tcPr>
            <w:tcW w:w="29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34.3</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80" w:type="dxa"/>
            <w:vAlign w:val="bottom"/>
          </w:tcPr>
          <w:p>
            <w:pPr>
              <w:jc w:val="right"/>
              <w:spacing w:after="0" w:line="149" w:lineRule="exact"/>
              <w:rPr>
                <w:sz w:val="20"/>
                <w:szCs w:val="20"/>
                <w:color w:val="auto"/>
              </w:rPr>
            </w:pPr>
            <w:r>
              <w:rPr>
                <w:rFonts w:ascii="Arial" w:cs="Arial" w:eastAsia="Arial" w:hAnsi="Arial"/>
                <w:sz w:val="14"/>
                <w:szCs w:val="14"/>
                <w:color w:val="auto"/>
              </w:rPr>
              <w:t>2.0</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jc w:val="right"/>
              <w:spacing w:after="0" w:line="149" w:lineRule="exact"/>
              <w:rPr>
                <w:sz w:val="20"/>
                <w:szCs w:val="20"/>
                <w:color w:val="auto"/>
              </w:rPr>
            </w:pPr>
            <w:r>
              <w:rPr>
                <w:rFonts w:ascii="Arial" w:cs="Arial" w:eastAsia="Arial" w:hAnsi="Arial"/>
                <w:sz w:val="14"/>
                <w:szCs w:val="14"/>
                <w:color w:val="auto"/>
              </w:rPr>
              <w:t>3.1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Effect of exchange rates</w:t>
            </w:r>
          </w:p>
        </w:tc>
        <w:tc>
          <w:tcPr>
            <w:tcW w:w="29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(11.1)</w:t>
            </w:r>
          </w:p>
        </w:tc>
        <w:tc>
          <w:tcPr>
            <w:tcW w:w="140" w:type="dxa"/>
            <w:vAlign w:val="bottom"/>
            <w:tcBorders>
              <w:right w:val="single" w:sz="8" w:color="CCEEFF"/>
            </w:tcBorders>
            <w:shd w:val="clear" w:color="auto" w:fill="CCEEFF"/>
          </w:tcPr>
          <w:p>
            <w:pPr>
              <w:spacing w:after="0"/>
              <w:rPr>
                <w:sz w:val="12"/>
                <w:szCs w:val="12"/>
                <w:color w:val="auto"/>
              </w:rPr>
            </w:pPr>
          </w:p>
        </w:tc>
        <w:tc>
          <w:tcPr>
            <w:tcW w:w="5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(1.8)</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(4.8)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Other</w:t>
            </w:r>
          </w:p>
        </w:tc>
        <w:tc>
          <w:tcPr>
            <w:tcW w:w="29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140" w:type="dxa"/>
            <w:vAlign w:val="bottom"/>
          </w:tcPr>
          <w:p>
            <w:pPr>
              <w:spacing w:after="0"/>
              <w:rPr>
                <w:sz w:val="12"/>
                <w:szCs w:val="12"/>
                <w:color w:val="auto"/>
              </w:rPr>
            </w:pPr>
          </w:p>
        </w:tc>
        <w:tc>
          <w:tcPr>
            <w:tcW w:w="52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(0.2)</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(0.3)</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434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AUM, end of period</w:t>
            </w:r>
          </w:p>
        </w:tc>
        <w:tc>
          <w:tcPr>
            <w:tcW w:w="298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4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104.5</w:t>
            </w: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69.3</w:t>
            </w:r>
          </w:p>
        </w:tc>
        <w:tc>
          <w:tcPr>
            <w:tcW w:w="140" w:type="dxa"/>
            <w:vAlign w:val="bottom"/>
            <w:shd w:val="clear" w:color="auto" w:fill="CCEEFF"/>
          </w:tcPr>
          <w:p>
            <w:pPr>
              <w:spacing w:after="0"/>
              <w:rPr>
                <w:sz w:val="12"/>
                <w:szCs w:val="12"/>
                <w:color w:val="auto"/>
              </w:rPr>
            </w:pPr>
          </w:p>
        </w:tc>
        <w:tc>
          <w:tcPr>
            <w:tcW w:w="10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color w:val="auto"/>
                <w:w w:val="76"/>
              </w:rPr>
              <w:t>$</w:t>
            </w:r>
          </w:p>
        </w:tc>
        <w:tc>
          <w:tcPr>
            <w:tcW w:w="3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52.8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3220" w:type="dxa"/>
            <w:vAlign w:val="bottom"/>
          </w:tcPr>
          <w:p>
            <w:pPr>
              <w:spacing w:after="0"/>
              <w:rPr>
                <w:sz w:val="7"/>
                <w:szCs w:val="7"/>
                <w:color w:val="auto"/>
              </w:rPr>
            </w:pPr>
          </w:p>
        </w:tc>
        <w:tc>
          <w:tcPr>
            <w:tcW w:w="290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40" w:type="dxa"/>
            <w:vAlign w:val="bottom"/>
          </w:tcPr>
          <w:p>
            <w:pPr>
              <w:spacing w:after="0"/>
              <w:rPr>
                <w:sz w:val="7"/>
                <w:szCs w:val="7"/>
                <w:color w:val="auto"/>
              </w:rPr>
            </w:pPr>
          </w:p>
        </w:tc>
        <w:tc>
          <w:tcPr>
            <w:tcW w:w="380" w:type="dxa"/>
            <w:vAlign w:val="bottom"/>
          </w:tcPr>
          <w:p>
            <w:pPr>
              <w:spacing w:after="0"/>
              <w:rPr>
                <w:sz w:val="7"/>
                <w:szCs w:val="7"/>
                <w:color w:val="auto"/>
              </w:rPr>
            </w:pPr>
          </w:p>
        </w:tc>
        <w:tc>
          <w:tcPr>
            <w:tcW w:w="1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36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ind w:left="1680" w:hanging="531"/>
        <w:spacing w:after="0"/>
        <w:tabs>
          <w:tab w:leader="none" w:pos="1680" w:val="left"/>
        </w:tabs>
        <w:numPr>
          <w:ilvl w:val="0"/>
          <w:numId w:val="23"/>
        </w:numPr>
        <w:rPr>
          <w:rFonts w:ascii="Arial" w:cs="Arial" w:eastAsia="Arial" w:hAnsi="Arial"/>
          <w:sz w:val="14"/>
          <w:szCs w:val="14"/>
          <w:color w:val="auto"/>
        </w:rPr>
      </w:pPr>
      <w:r>
        <w:rPr>
          <w:rFonts w:ascii="Arial" w:cs="Arial" w:eastAsia="Arial" w:hAnsi="Arial"/>
          <w:sz w:val="14"/>
          <w:szCs w:val="14"/>
          <w:color w:val="auto"/>
        </w:rPr>
        <w:t>Reflects the acquisitions of Cuprum in Chile in February 2013, Claritas in Brazil in April 2012 and HSBC AFORE in Mexico in August 2011.</w:t>
      </w:r>
    </w:p>
    <w:p>
      <w:pPr>
        <w:spacing w:after="0" w:line="206" w:lineRule="exact"/>
        <w:rPr>
          <w:sz w:val="20"/>
          <w:szCs w:val="20"/>
          <w:color w:val="auto"/>
        </w:rPr>
      </w:pPr>
    </w:p>
    <w:p>
      <w:pPr>
        <w:ind w:firstLine="395"/>
        <w:spacing w:after="0" w:line="268" w:lineRule="auto"/>
        <w:rPr>
          <w:sz w:val="20"/>
          <w:szCs w:val="20"/>
          <w:color w:val="auto"/>
        </w:rPr>
      </w:pPr>
      <w:r>
        <w:rPr>
          <w:rFonts w:ascii="Arial" w:cs="Arial" w:eastAsia="Arial" w:hAnsi="Arial"/>
          <w:sz w:val="18"/>
          <w:szCs w:val="18"/>
          <w:color w:val="auto"/>
        </w:rPr>
        <w:t>Net revenue is a key metric used to understand the earnings growth for the Principal International segment. The following table presents the net revenue of the Principal International segment for the years indicated.</w:t>
      </w:r>
    </w:p>
    <w:p>
      <w:pPr>
        <w:spacing w:after="0" w:line="18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8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1460" w:type="dxa"/>
            <w:vAlign w:val="bottom"/>
            <w:gridSpan w:val="5"/>
          </w:tcPr>
          <w:p>
            <w:pPr>
              <w:jc w:val="center"/>
              <w:ind w:left="312"/>
              <w:spacing w:after="0"/>
              <w:rPr>
                <w:sz w:val="20"/>
                <w:szCs w:val="20"/>
                <w:color w:val="auto"/>
              </w:rPr>
            </w:pPr>
            <w:r>
              <w:rPr>
                <w:rFonts w:ascii="Arial" w:cs="Arial" w:eastAsia="Arial" w:hAnsi="Arial"/>
                <w:sz w:val="14"/>
                <w:szCs w:val="14"/>
                <w:b w:val="1"/>
                <w:bCs w:val="1"/>
                <w:color w:val="auto"/>
                <w:w w:val="86"/>
              </w:rPr>
              <w:t>For the year ended</w:t>
            </w:r>
          </w:p>
        </w:tc>
        <w:tc>
          <w:tcPr>
            <w:tcW w:w="4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940" w:type="dxa"/>
            <w:vAlign w:val="bottom"/>
            <w:tcBorders>
              <w:bottom w:val="single" w:sz="8" w:color="auto"/>
            </w:tcBorders>
            <w:gridSpan w:val="4"/>
          </w:tcPr>
          <w:p>
            <w:pPr>
              <w:jc w:val="right"/>
              <w:ind w:right="392"/>
              <w:spacing w:after="0"/>
              <w:rPr>
                <w:sz w:val="20"/>
                <w:szCs w:val="20"/>
                <w:color w:val="auto"/>
              </w:rPr>
            </w:pPr>
            <w:r>
              <w:rPr>
                <w:rFonts w:ascii="Arial" w:cs="Arial" w:eastAsia="Arial" w:hAnsi="Arial"/>
                <w:sz w:val="14"/>
                <w:szCs w:val="14"/>
                <w:b w:val="1"/>
                <w:bCs w:val="1"/>
                <w:color w:val="auto"/>
              </w:rPr>
              <w:t>Increase (decrease)</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780" w:type="dxa"/>
            <w:vAlign w:val="bottom"/>
          </w:tcPr>
          <w:p>
            <w:pPr>
              <w:spacing w:after="0"/>
              <w:rPr>
                <w:sz w:val="11"/>
                <w:szCs w:val="11"/>
                <w:color w:val="auto"/>
              </w:rPr>
            </w:pPr>
          </w:p>
        </w:tc>
        <w:tc>
          <w:tcPr>
            <w:tcW w:w="2140" w:type="dxa"/>
            <w:vAlign w:val="bottom"/>
          </w:tcPr>
          <w:p>
            <w:pPr>
              <w:spacing w:after="0"/>
              <w:rPr>
                <w:sz w:val="11"/>
                <w:szCs w:val="11"/>
                <w:color w:val="auto"/>
              </w:rPr>
            </w:pPr>
          </w:p>
        </w:tc>
        <w:tc>
          <w:tcPr>
            <w:tcW w:w="500" w:type="dxa"/>
            <w:vAlign w:val="bottom"/>
            <w:tcBorders>
              <w:bottom w:val="single" w:sz="8" w:color="auto"/>
            </w:tcBorders>
          </w:tcPr>
          <w:p>
            <w:pPr>
              <w:spacing w:after="0"/>
              <w:rPr>
                <w:sz w:val="11"/>
                <w:szCs w:val="11"/>
                <w:color w:val="auto"/>
              </w:rPr>
            </w:pPr>
          </w:p>
        </w:tc>
        <w:tc>
          <w:tcPr>
            <w:tcW w:w="840" w:type="dxa"/>
            <w:vAlign w:val="bottom"/>
            <w:tcBorders>
              <w:bottom w:val="single" w:sz="8" w:color="auto"/>
            </w:tcBorders>
            <w:gridSpan w:val="3"/>
          </w:tcPr>
          <w:p>
            <w:pPr>
              <w:jc w:val="center"/>
              <w:ind w:right="20"/>
              <w:spacing w:after="0" w:line="129" w:lineRule="exact"/>
              <w:rPr>
                <w:sz w:val="20"/>
                <w:szCs w:val="20"/>
                <w:color w:val="auto"/>
              </w:rPr>
            </w:pPr>
            <w:r>
              <w:rPr>
                <w:rFonts w:ascii="Arial" w:cs="Arial" w:eastAsia="Arial" w:hAnsi="Arial"/>
                <w:sz w:val="14"/>
                <w:szCs w:val="14"/>
                <w:b w:val="1"/>
                <w:bCs w:val="1"/>
                <w:color w:val="auto"/>
                <w:w w:val="85"/>
              </w:rPr>
              <w:t>December 31,</w:t>
            </w:r>
          </w:p>
        </w:tc>
        <w:tc>
          <w:tcPr>
            <w:tcW w:w="120" w:type="dxa"/>
            <w:vAlign w:val="bottom"/>
            <w:tcBorders>
              <w:bottom w:val="single" w:sz="8" w:color="auto"/>
            </w:tcBorders>
          </w:tcPr>
          <w:p>
            <w:pPr>
              <w:spacing w:after="0"/>
              <w:rPr>
                <w:sz w:val="11"/>
                <w:szCs w:val="11"/>
                <w:color w:val="auto"/>
              </w:rPr>
            </w:pPr>
          </w:p>
        </w:tc>
        <w:tc>
          <w:tcPr>
            <w:tcW w:w="400" w:type="dxa"/>
            <w:vAlign w:val="bottom"/>
            <w:tcBorders>
              <w:bottom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vMerge w:val="restart"/>
          </w:tcPr>
          <w:p>
            <w:pPr>
              <w:jc w:val="right"/>
              <w:ind w:right="12"/>
              <w:spacing w:after="0"/>
              <w:rPr>
                <w:sz w:val="20"/>
                <w:szCs w:val="20"/>
                <w:color w:val="auto"/>
              </w:rPr>
            </w:pPr>
            <w:r>
              <w:rPr>
                <w:rFonts w:ascii="Arial" w:cs="Arial" w:eastAsia="Arial" w:hAnsi="Arial"/>
                <w:sz w:val="14"/>
                <w:szCs w:val="14"/>
                <w:b w:val="1"/>
                <w:bCs w:val="1"/>
                <w:color w:val="auto"/>
                <w:w w:val="82"/>
              </w:rPr>
              <w:t>2013 vs. 2012</w:t>
            </w: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60" w:type="dxa"/>
            <w:vAlign w:val="bottom"/>
            <w:vMerge w:val="restart"/>
          </w:tcPr>
          <w:p>
            <w:pPr>
              <w:jc w:val="right"/>
              <w:ind w:right="32"/>
              <w:spacing w:after="0"/>
              <w:rPr>
                <w:sz w:val="20"/>
                <w:szCs w:val="20"/>
                <w:color w:val="auto"/>
              </w:rPr>
            </w:pPr>
            <w:r>
              <w:rPr>
                <w:rFonts w:ascii="Arial" w:cs="Arial" w:eastAsia="Arial" w:hAnsi="Arial"/>
                <w:sz w:val="14"/>
                <w:szCs w:val="14"/>
                <w:b w:val="1"/>
                <w:bCs w:val="1"/>
                <w:color w:val="auto"/>
                <w:w w:val="82"/>
              </w:rPr>
              <w:t>2012 vs. 2011</w:t>
            </w:r>
          </w:p>
        </w:tc>
        <w:tc>
          <w:tcPr>
            <w:tcW w:w="160" w:type="dxa"/>
            <w:vAlign w:val="bottom"/>
            <w:vMerge w:val="restart"/>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780" w:type="dxa"/>
            <w:vAlign w:val="bottom"/>
          </w:tcPr>
          <w:p>
            <w:pPr>
              <w:spacing w:after="0"/>
              <w:rPr>
                <w:sz w:val="12"/>
                <w:szCs w:val="12"/>
                <w:color w:val="auto"/>
              </w:rPr>
            </w:pPr>
          </w:p>
        </w:tc>
        <w:tc>
          <w:tcPr>
            <w:tcW w:w="2140" w:type="dxa"/>
            <w:vAlign w:val="bottom"/>
          </w:tcPr>
          <w:p>
            <w:pPr>
              <w:spacing w:after="0"/>
              <w:rPr>
                <w:sz w:val="12"/>
                <w:szCs w:val="12"/>
                <w:color w:val="auto"/>
              </w:rPr>
            </w:pPr>
          </w:p>
        </w:tc>
        <w:tc>
          <w:tcPr>
            <w:tcW w:w="500" w:type="dxa"/>
            <w:vAlign w:val="bottom"/>
            <w:tcBorders>
              <w:bottom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rPr>
              <w:t>2013</w:t>
            </w:r>
          </w:p>
        </w:tc>
        <w:tc>
          <w:tcPr>
            <w:tcW w:w="160" w:type="dxa"/>
            <w:vAlign w:val="bottom"/>
          </w:tcPr>
          <w:p>
            <w:pPr>
              <w:spacing w:after="0"/>
              <w:rPr>
                <w:sz w:val="12"/>
                <w:szCs w:val="12"/>
                <w:color w:val="auto"/>
              </w:rPr>
            </w:pPr>
          </w:p>
        </w:tc>
        <w:tc>
          <w:tcPr>
            <w:tcW w:w="52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89"/>
              </w:rPr>
              <w:t>2012</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jc w:val="right"/>
              <w:ind w:right="72"/>
              <w:spacing w:after="0" w:line="142" w:lineRule="exact"/>
              <w:rPr>
                <w:sz w:val="20"/>
                <w:szCs w:val="20"/>
                <w:color w:val="auto"/>
              </w:rPr>
            </w:pPr>
            <w:r>
              <w:rPr>
                <w:rFonts w:ascii="Arial" w:cs="Arial" w:eastAsia="Arial" w:hAnsi="Arial"/>
                <w:sz w:val="14"/>
                <w:szCs w:val="14"/>
                <w:b w:val="1"/>
                <w:bCs w:val="1"/>
                <w:color w:val="auto"/>
                <w:w w:val="76"/>
              </w:rPr>
              <w:t>2011</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vMerge w:val="continue"/>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vMerge w:val="continue"/>
          </w:tcPr>
          <w:p>
            <w:pPr>
              <w:spacing w:after="0"/>
              <w:rPr>
                <w:sz w:val="12"/>
                <w:szCs w:val="12"/>
                <w:color w:val="auto"/>
              </w:rPr>
            </w:pPr>
          </w:p>
        </w:tc>
        <w:tc>
          <w:tcPr>
            <w:tcW w:w="1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780" w:type="dxa"/>
            <w:vAlign w:val="bottom"/>
          </w:tcPr>
          <w:p>
            <w:pPr>
              <w:spacing w:after="0"/>
              <w:rPr>
                <w:sz w:val="12"/>
                <w:szCs w:val="12"/>
                <w:color w:val="auto"/>
              </w:rPr>
            </w:pPr>
          </w:p>
        </w:tc>
        <w:tc>
          <w:tcPr>
            <w:tcW w:w="21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80" w:type="dxa"/>
            <w:vAlign w:val="bottom"/>
            <w:gridSpan w:val="4"/>
          </w:tcPr>
          <w:p>
            <w:pPr>
              <w:jc w:val="right"/>
              <w:ind w:right="512"/>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7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revenue</w:t>
            </w:r>
          </w:p>
        </w:tc>
        <w:tc>
          <w:tcPr>
            <w:tcW w:w="26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  582.6</w:t>
            </w:r>
          </w:p>
        </w:tc>
        <w:tc>
          <w:tcPr>
            <w:tcW w:w="680" w:type="dxa"/>
            <w:vAlign w:val="bottom"/>
            <w:gridSpan w:val="2"/>
            <w:shd w:val="clear" w:color="auto" w:fill="CCEEFF"/>
          </w:tcPr>
          <w:p>
            <w:pPr>
              <w:jc w:val="center"/>
              <w:ind w:left="112"/>
              <w:spacing w:after="0" w:line="149" w:lineRule="exact"/>
              <w:rPr>
                <w:sz w:val="20"/>
                <w:szCs w:val="20"/>
                <w:color w:val="auto"/>
              </w:rPr>
            </w:pPr>
            <w:r>
              <w:rPr>
                <w:rFonts w:ascii="Arial" w:cs="Arial" w:eastAsia="Arial" w:hAnsi="Arial"/>
                <w:sz w:val="14"/>
                <w:szCs w:val="14"/>
                <w:color w:val="auto"/>
                <w:w w:val="98"/>
              </w:rPr>
              <w:t>$  375.8</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325.9</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206.8</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49.9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Net revenue increased primarily due to the Cuprum acquisition in Chile.</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presents certain summary financial data of the Principal International segment for the years indicated.</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2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40" w:type="dxa"/>
            <w:vAlign w:val="bottom"/>
            <w:gridSpan w:val="7"/>
          </w:tcPr>
          <w:p>
            <w:pPr>
              <w:jc w:val="right"/>
              <w:ind w:right="40"/>
              <w:spacing w:after="0"/>
              <w:rPr>
                <w:sz w:val="20"/>
                <w:szCs w:val="20"/>
                <w:color w:val="auto"/>
              </w:rPr>
            </w:pPr>
            <w:r>
              <w:rPr>
                <w:rFonts w:ascii="Arial" w:cs="Arial" w:eastAsia="Arial" w:hAnsi="Arial"/>
                <w:sz w:val="14"/>
                <w:szCs w:val="14"/>
                <w:b w:val="1"/>
                <w:bCs w:val="1"/>
                <w:color w:val="auto"/>
              </w:rPr>
              <w:t>For the year ended</w:t>
            </w: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960" w:type="dxa"/>
            <w:vAlign w:val="bottom"/>
            <w:tcBorders>
              <w:bottom w:val="single" w:sz="8" w:color="auto"/>
            </w:tcBorders>
            <w:gridSpan w:val="3"/>
          </w:tcPr>
          <w:p>
            <w:pPr>
              <w:jc w:val="right"/>
              <w:ind w:right="392"/>
              <w:spacing w:after="0"/>
              <w:rPr>
                <w:sz w:val="20"/>
                <w:szCs w:val="20"/>
                <w:color w:val="auto"/>
              </w:rPr>
            </w:pPr>
            <w:r>
              <w:rPr>
                <w:rFonts w:ascii="Arial" w:cs="Arial" w:eastAsia="Arial" w:hAnsi="Arial"/>
                <w:sz w:val="14"/>
                <w:szCs w:val="14"/>
                <w:b w:val="1"/>
                <w:bCs w:val="1"/>
                <w:color w:val="auto"/>
              </w:rPr>
              <w:t>Increase (decrease)</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2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1300" w:type="dxa"/>
            <w:vAlign w:val="bottom"/>
            <w:tcBorders>
              <w:bottom w:val="single" w:sz="8" w:color="auto"/>
            </w:tcBorders>
            <w:gridSpan w:val="5"/>
          </w:tcPr>
          <w:p>
            <w:pPr>
              <w:ind w:left="480"/>
              <w:spacing w:after="0" w:line="129" w:lineRule="exact"/>
              <w:rPr>
                <w:sz w:val="20"/>
                <w:szCs w:val="20"/>
                <w:color w:val="auto"/>
              </w:rPr>
            </w:pPr>
            <w:r>
              <w:rPr>
                <w:rFonts w:ascii="Arial" w:cs="Arial" w:eastAsia="Arial" w:hAnsi="Arial"/>
                <w:sz w:val="14"/>
                <w:szCs w:val="14"/>
                <w:b w:val="1"/>
                <w:bCs w:val="1"/>
                <w:color w:val="auto"/>
                <w:w w:val="87"/>
              </w:rPr>
              <w:t>December 31,</w:t>
            </w:r>
          </w:p>
        </w:tc>
        <w:tc>
          <w:tcPr>
            <w:tcW w:w="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vMerge w:val="restart"/>
          </w:tcPr>
          <w:p>
            <w:pPr>
              <w:jc w:val="right"/>
              <w:ind w:right="12"/>
              <w:spacing w:after="0"/>
              <w:rPr>
                <w:sz w:val="20"/>
                <w:szCs w:val="20"/>
                <w:color w:val="auto"/>
              </w:rPr>
            </w:pPr>
            <w:r>
              <w:rPr>
                <w:rFonts w:ascii="Arial" w:cs="Arial" w:eastAsia="Arial" w:hAnsi="Arial"/>
                <w:sz w:val="14"/>
                <w:szCs w:val="14"/>
                <w:b w:val="1"/>
                <w:bCs w:val="1"/>
                <w:color w:val="auto"/>
                <w:w w:val="84"/>
              </w:rPr>
              <w:t>2013 vs. 2012</w:t>
            </w:r>
          </w:p>
        </w:tc>
        <w:tc>
          <w:tcPr>
            <w:tcW w:w="240" w:type="dxa"/>
            <w:vAlign w:val="bottom"/>
          </w:tcPr>
          <w:p>
            <w:pPr>
              <w:spacing w:after="0"/>
              <w:rPr>
                <w:sz w:val="11"/>
                <w:szCs w:val="11"/>
                <w:color w:val="auto"/>
              </w:rPr>
            </w:pPr>
          </w:p>
        </w:tc>
        <w:tc>
          <w:tcPr>
            <w:tcW w:w="860" w:type="dxa"/>
            <w:vAlign w:val="bottom"/>
            <w:vMerge w:val="restart"/>
          </w:tcPr>
          <w:p>
            <w:pPr>
              <w:jc w:val="right"/>
              <w:ind w:right="32"/>
              <w:spacing w:after="0"/>
              <w:rPr>
                <w:sz w:val="20"/>
                <w:szCs w:val="20"/>
                <w:color w:val="auto"/>
              </w:rPr>
            </w:pPr>
            <w:r>
              <w:rPr>
                <w:rFonts w:ascii="Arial" w:cs="Arial" w:eastAsia="Arial" w:hAnsi="Arial"/>
                <w:sz w:val="14"/>
                <w:szCs w:val="14"/>
                <w:b w:val="1"/>
                <w:bCs w:val="1"/>
                <w:color w:val="auto"/>
                <w:w w:val="82"/>
              </w:rPr>
              <w:t>2012 vs. 2011</w:t>
            </w:r>
          </w:p>
        </w:tc>
        <w:tc>
          <w:tcPr>
            <w:tcW w:w="160" w:type="dxa"/>
            <w:vAlign w:val="bottom"/>
            <w:vMerge w:val="restart"/>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2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w w:val="96"/>
              </w:rPr>
              <w:t>2013</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9"/>
              </w:rPr>
              <w:t>2012</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ind w:right="72"/>
              <w:spacing w:after="0" w:line="142" w:lineRule="exact"/>
              <w:rPr>
                <w:sz w:val="20"/>
                <w:szCs w:val="20"/>
                <w:color w:val="auto"/>
              </w:rPr>
            </w:pPr>
            <w:r>
              <w:rPr>
                <w:rFonts w:ascii="Arial" w:cs="Arial" w:eastAsia="Arial" w:hAnsi="Arial"/>
                <w:sz w:val="14"/>
                <w:szCs w:val="14"/>
                <w:b w:val="1"/>
                <w:bCs w:val="1"/>
                <w:color w:val="auto"/>
                <w:w w:val="83"/>
              </w:rPr>
              <w:t>2011</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Borders>
              <w:bottom w:val="single" w:sz="8" w:color="auto"/>
            </w:tcBorders>
            <w:vMerge w:val="continue"/>
          </w:tcPr>
          <w:p>
            <w:pPr>
              <w:spacing w:after="0"/>
              <w:rPr>
                <w:sz w:val="12"/>
                <w:szCs w:val="12"/>
                <w:color w:val="auto"/>
              </w:rPr>
            </w:pPr>
          </w:p>
        </w:tc>
        <w:tc>
          <w:tcPr>
            <w:tcW w:w="240" w:type="dxa"/>
            <w:vAlign w:val="bottom"/>
          </w:tcPr>
          <w:p>
            <w:pPr>
              <w:spacing w:after="0"/>
              <w:rPr>
                <w:sz w:val="12"/>
                <w:szCs w:val="12"/>
                <w:color w:val="auto"/>
              </w:rPr>
            </w:pPr>
          </w:p>
        </w:tc>
        <w:tc>
          <w:tcPr>
            <w:tcW w:w="860" w:type="dxa"/>
            <w:vAlign w:val="bottom"/>
            <w:tcBorders>
              <w:bottom w:val="single" w:sz="8" w:color="auto"/>
            </w:tcBorders>
            <w:vMerge w:val="continue"/>
          </w:tcPr>
          <w:p>
            <w:pPr>
              <w:spacing w:after="0"/>
              <w:rPr>
                <w:sz w:val="12"/>
                <w:szCs w:val="12"/>
                <w:color w:val="auto"/>
              </w:rPr>
            </w:pPr>
          </w:p>
        </w:tc>
        <w:tc>
          <w:tcPr>
            <w:tcW w:w="1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2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500" w:type="dxa"/>
            <w:vAlign w:val="bottom"/>
            <w:gridSpan w:val="4"/>
          </w:tcPr>
          <w:p>
            <w:pPr>
              <w:jc w:val="right"/>
              <w:ind w:right="572"/>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2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Operating revenues:</w:t>
            </w:r>
          </w:p>
        </w:tc>
        <w:tc>
          <w:tcPr>
            <w:tcW w:w="5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40" w:type="dxa"/>
            <w:vAlign w:val="bottom"/>
          </w:tcPr>
          <w:p>
            <w:pPr>
              <w:ind w:left="140"/>
              <w:spacing w:after="0" w:line="149" w:lineRule="exact"/>
              <w:rPr>
                <w:sz w:val="20"/>
                <w:szCs w:val="20"/>
                <w:color w:val="auto"/>
              </w:rPr>
            </w:pPr>
            <w:r>
              <w:rPr>
                <w:rFonts w:ascii="Arial" w:cs="Arial" w:eastAsia="Arial" w:hAnsi="Arial"/>
                <w:sz w:val="14"/>
                <w:szCs w:val="14"/>
                <w:color w:val="auto"/>
              </w:rPr>
              <w:t>Premiums and other considerations</w:t>
            </w:r>
          </w:p>
        </w:tc>
        <w:tc>
          <w:tcPr>
            <w:tcW w:w="68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291.6</w:t>
            </w:r>
          </w:p>
        </w:tc>
        <w:tc>
          <w:tcPr>
            <w:tcW w:w="26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284.6</w:t>
            </w:r>
          </w:p>
        </w:tc>
        <w:tc>
          <w:tcPr>
            <w:tcW w:w="120" w:type="dxa"/>
            <w:vAlign w:val="bottom"/>
          </w:tcPr>
          <w:p>
            <w:pPr>
              <w:spacing w:after="0"/>
              <w:rPr>
                <w:sz w:val="12"/>
                <w:szCs w:val="12"/>
                <w:color w:val="auto"/>
              </w:rPr>
            </w:pPr>
          </w:p>
        </w:tc>
        <w:tc>
          <w:tcPr>
            <w:tcW w:w="14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264.5</w:t>
            </w:r>
          </w:p>
        </w:tc>
        <w:tc>
          <w:tcPr>
            <w:tcW w:w="100" w:type="dxa"/>
            <w:vAlign w:val="bottom"/>
          </w:tcPr>
          <w:p>
            <w:pPr>
              <w:spacing w:after="0"/>
              <w:rPr>
                <w:sz w:val="12"/>
                <w:szCs w:val="12"/>
                <w:color w:val="auto"/>
              </w:rPr>
            </w:pPr>
          </w:p>
        </w:tc>
        <w:tc>
          <w:tcPr>
            <w:tcW w:w="1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7.0</w:t>
            </w:r>
          </w:p>
        </w:tc>
        <w:tc>
          <w:tcPr>
            <w:tcW w:w="2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20.1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Fees and other revenues</w:t>
            </w:r>
          </w:p>
        </w:tc>
        <w:tc>
          <w:tcPr>
            <w:tcW w:w="5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404.4</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216.9</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168.5</w:t>
            </w: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187.5</w:t>
            </w:r>
          </w:p>
        </w:tc>
        <w:tc>
          <w:tcPr>
            <w:tcW w:w="24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48.4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40" w:type="dxa"/>
            <w:vAlign w:val="bottom"/>
          </w:tcPr>
          <w:p>
            <w:pPr>
              <w:ind w:left="140"/>
              <w:spacing w:after="0" w:line="149" w:lineRule="exact"/>
              <w:rPr>
                <w:sz w:val="20"/>
                <w:szCs w:val="20"/>
                <w:color w:val="auto"/>
              </w:rPr>
            </w:pPr>
            <w:r>
              <w:rPr>
                <w:rFonts w:ascii="Arial" w:cs="Arial" w:eastAsia="Arial" w:hAnsi="Arial"/>
                <w:sz w:val="14"/>
                <w:szCs w:val="14"/>
                <w:color w:val="auto"/>
              </w:rPr>
              <w:t>Net investment income</w:t>
            </w:r>
          </w:p>
        </w:tc>
        <w:tc>
          <w:tcPr>
            <w:tcW w:w="5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454.0</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441.2</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476.0</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12.8</w:t>
            </w:r>
          </w:p>
        </w:tc>
        <w:tc>
          <w:tcPr>
            <w:tcW w:w="240" w:type="dxa"/>
            <w:vAlign w:val="bottom"/>
          </w:tcPr>
          <w:p>
            <w:pPr>
              <w:spacing w:after="0"/>
              <w:rPr>
                <w:sz w:val="12"/>
                <w:szCs w:val="12"/>
                <w:color w:val="auto"/>
              </w:rPr>
            </w:pPr>
          </w:p>
        </w:tc>
        <w:tc>
          <w:tcPr>
            <w:tcW w:w="10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(34.8)</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240" w:type="dxa"/>
            <w:vAlign w:val="bottom"/>
            <w:shd w:val="clear" w:color="auto" w:fill="CCEEFF"/>
          </w:tcPr>
          <w:p>
            <w:pPr>
              <w:ind w:left="280"/>
              <w:spacing w:after="0" w:line="142" w:lineRule="exact"/>
              <w:rPr>
                <w:sz w:val="20"/>
                <w:szCs w:val="20"/>
                <w:color w:val="auto"/>
              </w:rPr>
            </w:pPr>
            <w:r>
              <w:rPr>
                <w:rFonts w:ascii="Arial" w:cs="Arial" w:eastAsia="Arial" w:hAnsi="Arial"/>
                <w:sz w:val="14"/>
                <w:szCs w:val="14"/>
                <w:color w:val="auto"/>
              </w:rPr>
              <w:t>Total operating revenues</w:t>
            </w:r>
          </w:p>
        </w:tc>
        <w:tc>
          <w:tcPr>
            <w:tcW w:w="560" w:type="dxa"/>
            <w:vAlign w:val="bottom"/>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50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1,150.0</w:t>
            </w:r>
          </w:p>
        </w:tc>
        <w:tc>
          <w:tcPr>
            <w:tcW w:w="160" w:type="dxa"/>
            <w:vAlign w:val="bottom"/>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42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942.7</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42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909.0</w:t>
            </w: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86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207.3</w:t>
            </w:r>
          </w:p>
        </w:tc>
        <w:tc>
          <w:tcPr>
            <w:tcW w:w="240" w:type="dxa"/>
            <w:vAlign w:val="bottom"/>
            <w:tcBorders>
              <w:right w:val="single" w:sz="8" w:color="CCEEFF"/>
            </w:tcBorders>
            <w:shd w:val="clear" w:color="auto" w:fill="CCEEFF"/>
          </w:tcPr>
          <w:p>
            <w:pPr>
              <w:spacing w:after="0"/>
              <w:rPr>
                <w:sz w:val="12"/>
                <w:szCs w:val="12"/>
                <w:color w:val="auto"/>
              </w:rPr>
            </w:pPr>
          </w:p>
        </w:tc>
        <w:tc>
          <w:tcPr>
            <w:tcW w:w="86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33.7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40" w:type="dxa"/>
            <w:vAlign w:val="bottom"/>
          </w:tcPr>
          <w:p>
            <w:pPr>
              <w:spacing w:after="0" w:line="149" w:lineRule="exact"/>
              <w:rPr>
                <w:sz w:val="20"/>
                <w:szCs w:val="20"/>
                <w:color w:val="auto"/>
              </w:rPr>
            </w:pPr>
            <w:r>
              <w:rPr>
                <w:rFonts w:ascii="Arial" w:cs="Arial" w:eastAsia="Arial" w:hAnsi="Arial"/>
                <w:sz w:val="14"/>
                <w:szCs w:val="14"/>
                <w:color w:val="auto"/>
              </w:rPr>
              <w:t>Expenses:</w:t>
            </w:r>
          </w:p>
        </w:tc>
        <w:tc>
          <w:tcPr>
            <w:tcW w:w="5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Benefits, claims and settlement expenses</w:t>
            </w:r>
          </w:p>
        </w:tc>
        <w:tc>
          <w:tcPr>
            <w:tcW w:w="5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567.4</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566.9</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583.1</w:t>
            </w: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0.5</w:t>
            </w:r>
          </w:p>
        </w:tc>
        <w:tc>
          <w:tcPr>
            <w:tcW w:w="240" w:type="dxa"/>
            <w:vAlign w:val="bottom"/>
            <w:tcBorders>
              <w:right w:val="single" w:sz="8" w:color="CCEEFF"/>
            </w:tcBorders>
            <w:shd w:val="clear" w:color="auto" w:fill="CCEEFF"/>
          </w:tcPr>
          <w:p>
            <w:pPr>
              <w:spacing w:after="0"/>
              <w:rPr>
                <w:sz w:val="12"/>
                <w:szCs w:val="12"/>
                <w:color w:val="auto"/>
              </w:rPr>
            </w:pPr>
          </w:p>
        </w:tc>
        <w:tc>
          <w:tcPr>
            <w:tcW w:w="10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(16.2)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40" w:type="dxa"/>
            <w:vAlign w:val="bottom"/>
          </w:tcPr>
          <w:p>
            <w:pPr>
              <w:ind w:left="140"/>
              <w:spacing w:after="0" w:line="149" w:lineRule="exact"/>
              <w:rPr>
                <w:sz w:val="20"/>
                <w:szCs w:val="20"/>
                <w:color w:val="auto"/>
              </w:rPr>
            </w:pPr>
            <w:r>
              <w:rPr>
                <w:rFonts w:ascii="Arial" w:cs="Arial" w:eastAsia="Arial" w:hAnsi="Arial"/>
                <w:sz w:val="14"/>
                <w:szCs w:val="14"/>
                <w:color w:val="auto"/>
              </w:rPr>
              <w:t>Operating expenses</w:t>
            </w:r>
          </w:p>
        </w:tc>
        <w:tc>
          <w:tcPr>
            <w:tcW w:w="5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333.9</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220.9</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194.2</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113.0</w:t>
            </w:r>
          </w:p>
        </w:tc>
        <w:tc>
          <w:tcPr>
            <w:tcW w:w="240" w:type="dxa"/>
            <w:vAlign w:val="bottom"/>
          </w:tcPr>
          <w:p>
            <w:pPr>
              <w:spacing w:after="0"/>
              <w:rPr>
                <w:sz w:val="12"/>
                <w:szCs w:val="12"/>
                <w:color w:val="auto"/>
              </w:rPr>
            </w:pPr>
          </w:p>
        </w:tc>
        <w:tc>
          <w:tcPr>
            <w:tcW w:w="8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26.7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240" w:type="dxa"/>
            <w:vAlign w:val="bottom"/>
            <w:shd w:val="clear" w:color="auto" w:fill="CCEEFF"/>
          </w:tcPr>
          <w:p>
            <w:pPr>
              <w:ind w:left="280"/>
              <w:spacing w:after="0" w:line="142" w:lineRule="exact"/>
              <w:rPr>
                <w:sz w:val="20"/>
                <w:szCs w:val="20"/>
                <w:color w:val="auto"/>
              </w:rPr>
            </w:pPr>
            <w:r>
              <w:rPr>
                <w:rFonts w:ascii="Arial" w:cs="Arial" w:eastAsia="Arial" w:hAnsi="Arial"/>
                <w:sz w:val="14"/>
                <w:szCs w:val="14"/>
                <w:color w:val="auto"/>
              </w:rPr>
              <w:t>Total expenses</w:t>
            </w:r>
          </w:p>
        </w:tc>
        <w:tc>
          <w:tcPr>
            <w:tcW w:w="5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901.3</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787.8</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777.3</w:t>
            </w: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113.5</w:t>
            </w:r>
          </w:p>
        </w:tc>
        <w:tc>
          <w:tcPr>
            <w:tcW w:w="24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10.5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40" w:type="dxa"/>
            <w:vAlign w:val="bottom"/>
          </w:tcPr>
          <w:p>
            <w:pPr>
              <w:spacing w:after="0" w:line="149" w:lineRule="exact"/>
              <w:rPr>
                <w:sz w:val="20"/>
                <w:szCs w:val="20"/>
                <w:color w:val="auto"/>
              </w:rPr>
            </w:pPr>
            <w:r>
              <w:rPr>
                <w:rFonts w:ascii="Arial" w:cs="Arial" w:eastAsia="Arial" w:hAnsi="Arial"/>
                <w:sz w:val="14"/>
                <w:szCs w:val="14"/>
                <w:color w:val="auto"/>
                <w:w w:val="99"/>
              </w:rPr>
              <w:t>Operating earnings before income taxes and noncontrolling interests</w:t>
            </w:r>
          </w:p>
        </w:tc>
        <w:tc>
          <w:tcPr>
            <w:tcW w:w="5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248.7</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154.9</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131.7</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93.8</w:t>
            </w:r>
          </w:p>
        </w:tc>
        <w:tc>
          <w:tcPr>
            <w:tcW w:w="24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23.2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Income taxes (benefits)</w:t>
            </w:r>
          </w:p>
        </w:tc>
        <w:tc>
          <w:tcPr>
            <w:tcW w:w="5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28.0</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0.6</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(3.1)</w:t>
            </w:r>
          </w:p>
        </w:tc>
        <w:tc>
          <w:tcPr>
            <w:tcW w:w="12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27.4</w:t>
            </w:r>
          </w:p>
        </w:tc>
        <w:tc>
          <w:tcPr>
            <w:tcW w:w="24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40" w:type="dxa"/>
            <w:vAlign w:val="bottom"/>
          </w:tcPr>
          <w:p>
            <w:pPr>
              <w:spacing w:after="0" w:line="149" w:lineRule="exact"/>
              <w:rPr>
                <w:sz w:val="20"/>
                <w:szCs w:val="20"/>
                <w:color w:val="auto"/>
              </w:rPr>
            </w:pPr>
            <w:r>
              <w:rPr>
                <w:rFonts w:ascii="Arial" w:cs="Arial" w:eastAsia="Arial" w:hAnsi="Arial"/>
                <w:sz w:val="14"/>
                <w:szCs w:val="14"/>
                <w:color w:val="auto"/>
              </w:rPr>
              <w:t>Operating earnings (losses) attributable to noncontrolling interests</w:t>
            </w:r>
          </w:p>
        </w:tc>
        <w:tc>
          <w:tcPr>
            <w:tcW w:w="5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5.5</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0.2</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(0.2)</w:t>
            </w:r>
          </w:p>
        </w:tc>
        <w:tc>
          <w:tcPr>
            <w:tcW w:w="12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5.3</w:t>
            </w:r>
          </w:p>
        </w:tc>
        <w:tc>
          <w:tcPr>
            <w:tcW w:w="24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0.4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2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424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Operating earnings</w:t>
            </w:r>
          </w:p>
        </w:tc>
        <w:tc>
          <w:tcPr>
            <w:tcW w:w="68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w:t>
            </w: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215.2</w:t>
            </w:r>
          </w:p>
        </w:tc>
        <w:tc>
          <w:tcPr>
            <w:tcW w:w="26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154.1</w:t>
            </w:r>
          </w:p>
        </w:tc>
        <w:tc>
          <w:tcPr>
            <w:tcW w:w="12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135.0</w:t>
            </w: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61.1</w:t>
            </w:r>
          </w:p>
        </w:tc>
        <w:tc>
          <w:tcPr>
            <w:tcW w:w="240" w:type="dxa"/>
            <w:vAlign w:val="bottom"/>
            <w:tcBorders>
              <w:right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19.1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Year Ended December 31, 2013 Compared to Year Ended December 31, 2012</w:t>
      </w:r>
    </w:p>
    <w:p>
      <w:pPr>
        <w:spacing w:after="0" w:line="219"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Operating Earnings</w:t>
      </w:r>
    </w:p>
    <w:p>
      <w:pPr>
        <w:spacing w:after="0" w:line="231" w:lineRule="exact"/>
        <w:rPr>
          <w:sz w:val="20"/>
          <w:szCs w:val="20"/>
          <w:color w:val="auto"/>
        </w:rPr>
      </w:pPr>
    </w:p>
    <w:p>
      <w:pPr>
        <w:ind w:firstLine="430"/>
        <w:spacing w:after="0" w:line="268" w:lineRule="auto"/>
        <w:rPr>
          <w:sz w:val="20"/>
          <w:szCs w:val="20"/>
          <w:color w:val="auto"/>
        </w:rPr>
      </w:pPr>
      <w:r>
        <w:rPr>
          <w:rFonts w:ascii="Arial" w:cs="Arial" w:eastAsia="Arial" w:hAnsi="Arial"/>
          <w:sz w:val="18"/>
          <w:szCs w:val="18"/>
          <w:color w:val="auto"/>
        </w:rPr>
        <w:t>Operating earnings increased primarily due to the Cuprum acquisition partially offset by the weakening of the Brazilian real and Chilean peso against the U.S. dollar and the one-time impact of the tax regulation changes enacted in 2013 in Mexico.</w:t>
      </w:r>
    </w:p>
    <w:p>
      <w:pPr>
        <w:spacing w:after="0" w:line="180"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Operating Revenues</w:t>
      </w:r>
    </w:p>
    <w:p>
      <w:pPr>
        <w:spacing w:after="0" w:line="231" w:lineRule="exact"/>
        <w:rPr>
          <w:sz w:val="20"/>
          <w:szCs w:val="20"/>
          <w:color w:val="auto"/>
        </w:rPr>
      </w:pPr>
    </w:p>
    <w:p>
      <w:pPr>
        <w:ind w:right="20" w:firstLine="369"/>
        <w:spacing w:after="0" w:line="268" w:lineRule="auto"/>
        <w:rPr>
          <w:sz w:val="20"/>
          <w:szCs w:val="20"/>
          <w:color w:val="auto"/>
        </w:rPr>
      </w:pPr>
      <w:r>
        <w:rPr>
          <w:rFonts w:ascii="Arial" w:cs="Arial" w:eastAsia="Arial" w:hAnsi="Arial"/>
          <w:sz w:val="18"/>
          <w:szCs w:val="18"/>
          <w:color w:val="auto"/>
        </w:rPr>
        <w:t>Premiums increased $7.0 million in Chile primarily due to higher sales of single premium annuities with life contingencies partially offset by the weakening of the Chilean peso against the U.S. dollar.</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Fees and other revenues increased primarily due to the Cuprum acquisition.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3" w:name="page54"/>
    <w:bookmarkEnd w:id="5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firstLine="416"/>
        <w:spacing w:after="0" w:line="268" w:lineRule="auto"/>
        <w:rPr>
          <w:sz w:val="20"/>
          <w:szCs w:val="20"/>
          <w:color w:val="auto"/>
        </w:rPr>
      </w:pPr>
      <w:r>
        <w:rPr>
          <w:rFonts w:ascii="Arial" w:cs="Arial" w:eastAsia="Arial" w:hAnsi="Arial"/>
          <w:sz w:val="18"/>
          <w:szCs w:val="18"/>
          <w:color w:val="auto"/>
        </w:rPr>
        <w:t>Net investment income increased primarily due to the Cuprum acquisition and higher average invested assets in Chile partially offset by the weakening of the Chilean peso and Brazilian real against the U.S. dollar.</w:t>
      </w:r>
    </w:p>
    <w:p>
      <w:pPr>
        <w:spacing w:after="0" w:line="180"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Total Expenses</w:t>
      </w:r>
    </w:p>
    <w:p>
      <w:pPr>
        <w:spacing w:after="0" w:line="231" w:lineRule="exact"/>
        <w:rPr>
          <w:sz w:val="20"/>
          <w:szCs w:val="20"/>
          <w:color w:val="auto"/>
        </w:rPr>
      </w:pPr>
    </w:p>
    <w:p>
      <w:pPr>
        <w:jc w:val="both"/>
        <w:ind w:firstLine="426"/>
        <w:spacing w:after="0" w:line="268" w:lineRule="auto"/>
        <w:rPr>
          <w:sz w:val="20"/>
          <w:szCs w:val="20"/>
          <w:color w:val="auto"/>
        </w:rPr>
      </w:pPr>
      <w:r>
        <w:rPr>
          <w:rFonts w:ascii="Arial" w:cs="Arial" w:eastAsia="Arial" w:hAnsi="Arial"/>
          <w:sz w:val="18"/>
          <w:szCs w:val="18"/>
          <w:color w:val="auto"/>
        </w:rPr>
        <w:t>Benefits, claims and settlement expenses increased $0.7 million in Chile primarily due to higher sales of single premium annuities with life contingencies partially offset by the weakening of the Chilean peso against the U.S. dollar.</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Operating expenses increased primarily due to the Cuprum acquisition and higher overall compensation expenses due to growth.</w:t>
      </w:r>
    </w:p>
    <w:p>
      <w:pPr>
        <w:spacing w:after="0" w:line="219"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Income Taxes</w:t>
      </w:r>
    </w:p>
    <w:p>
      <w:pPr>
        <w:spacing w:after="0" w:line="231" w:lineRule="exact"/>
        <w:rPr>
          <w:sz w:val="20"/>
          <w:szCs w:val="20"/>
          <w:color w:val="auto"/>
        </w:rPr>
      </w:pPr>
    </w:p>
    <w:p>
      <w:pPr>
        <w:jc w:val="both"/>
        <w:ind w:firstLine="400"/>
        <w:spacing w:after="0" w:line="290" w:lineRule="auto"/>
        <w:rPr>
          <w:sz w:val="20"/>
          <w:szCs w:val="20"/>
          <w:color w:val="auto"/>
        </w:rPr>
      </w:pPr>
      <w:r>
        <w:rPr>
          <w:rFonts w:ascii="Arial" w:cs="Arial" w:eastAsia="Arial" w:hAnsi="Arial"/>
          <w:sz w:val="16"/>
          <w:szCs w:val="16"/>
          <w:color w:val="auto"/>
        </w:rPr>
        <w:t>The effective income tax rates for the segment were 11% and 0% for the years ended December 31, 2013 and 2012, respectively. The effective income tax rates were lower than the U.S. statutory rate primarily due to taxes on our share of earnings generated from our equity method investments. Specifically, our share of earnings generated from equity method investments, net of foreign taxes incurred, are reported within net investment income whereas any residual U.S. tax expense or benefit related to equity method investments is reported in income taxes. The foreign tax rate differential also contributed to the lower effective income tax rates. The effective income tax rate increased to 11% from 0% for the years ended December 31, 2013 and 2012, respectively, primarily due to the Cuprum acquisition, which increased our distribution of operating earnings from our consolidated entities compared to our equity method investments, coupled with tax regulation changes in Mexico.</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Year Ended December 31, 2012 Compared to Year Ended December 31, 2011</w:t>
      </w:r>
    </w:p>
    <w:p>
      <w:pPr>
        <w:spacing w:after="0" w:line="219"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Operating Earnings</w:t>
      </w:r>
    </w:p>
    <w:p>
      <w:pPr>
        <w:spacing w:after="0" w:line="231" w:lineRule="exact"/>
        <w:rPr>
          <w:sz w:val="20"/>
          <w:szCs w:val="20"/>
          <w:color w:val="auto"/>
        </w:rPr>
      </w:pPr>
    </w:p>
    <w:p>
      <w:pPr>
        <w:jc w:val="both"/>
        <w:ind w:right="20" w:firstLine="351"/>
        <w:spacing w:after="0" w:line="332" w:lineRule="auto"/>
        <w:rPr>
          <w:sz w:val="20"/>
          <w:szCs w:val="20"/>
          <w:color w:val="auto"/>
        </w:rPr>
      </w:pPr>
      <w:r>
        <w:rPr>
          <w:rFonts w:ascii="Arial" w:cs="Arial" w:eastAsia="Arial" w:hAnsi="Arial"/>
          <w:sz w:val="16"/>
          <w:szCs w:val="16"/>
          <w:color w:val="auto"/>
        </w:rPr>
        <w:t>Operating earnings increased primarily due to higher fees driven by higher average AUM in Mexico and our equity method investment in Brazil, which were partially offset by the weakening of the Latin American currencies against the U.S. dollar and acquisition and growth initiatives across the segment.</w:t>
      </w:r>
    </w:p>
    <w:p>
      <w:pPr>
        <w:spacing w:after="0" w:line="133"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Operating Revenues</w:t>
      </w:r>
    </w:p>
    <w:p>
      <w:pPr>
        <w:spacing w:after="0" w:line="231" w:lineRule="exact"/>
        <w:rPr>
          <w:sz w:val="20"/>
          <w:szCs w:val="20"/>
          <w:color w:val="auto"/>
        </w:rPr>
      </w:pPr>
    </w:p>
    <w:p>
      <w:pPr>
        <w:jc w:val="both"/>
        <w:ind w:firstLine="409"/>
        <w:spacing w:after="0" w:line="268" w:lineRule="auto"/>
        <w:rPr>
          <w:sz w:val="20"/>
          <w:szCs w:val="20"/>
          <w:color w:val="auto"/>
        </w:rPr>
      </w:pPr>
      <w:r>
        <w:rPr>
          <w:rFonts w:ascii="Arial" w:cs="Arial" w:eastAsia="Arial" w:hAnsi="Arial"/>
          <w:sz w:val="18"/>
          <w:szCs w:val="18"/>
          <w:color w:val="auto"/>
        </w:rPr>
        <w:t>Premiums in Chile increased $20.2 million primarily due to higher sales of single premium annuities with life contingencies, which was partially offset by the weakening of the Chilean peso against the U.S. dollar.</w:t>
      </w:r>
    </w:p>
    <w:p>
      <w:pPr>
        <w:spacing w:after="0" w:line="186" w:lineRule="exact"/>
        <w:rPr>
          <w:sz w:val="20"/>
          <w:szCs w:val="20"/>
          <w:color w:val="auto"/>
        </w:rPr>
      </w:pPr>
    </w:p>
    <w:p>
      <w:pPr>
        <w:jc w:val="both"/>
        <w:ind w:firstLine="560"/>
        <w:spacing w:after="0" w:line="268" w:lineRule="auto"/>
        <w:rPr>
          <w:sz w:val="20"/>
          <w:szCs w:val="20"/>
          <w:color w:val="auto"/>
        </w:rPr>
      </w:pPr>
      <w:r>
        <w:rPr>
          <w:rFonts w:ascii="Arial" w:cs="Arial" w:eastAsia="Arial" w:hAnsi="Arial"/>
          <w:sz w:val="18"/>
          <w:szCs w:val="18"/>
          <w:color w:val="auto"/>
        </w:rPr>
        <w:t>Fees and other revenues increased primarily due to higher investment management fees driven by higher average AUM in Mexico and the Claritas acquisition in Brazil, which was partially offset by the weakening of the Latin American currencies against the U.S. dollar.</w:t>
      </w:r>
    </w:p>
    <w:p>
      <w:pPr>
        <w:spacing w:after="0" w:line="186" w:lineRule="exact"/>
        <w:rPr>
          <w:sz w:val="20"/>
          <w:szCs w:val="20"/>
          <w:color w:val="auto"/>
        </w:rPr>
      </w:pPr>
    </w:p>
    <w:p>
      <w:pPr>
        <w:jc w:val="both"/>
        <w:ind w:firstLine="369"/>
        <w:spacing w:after="0" w:line="259" w:lineRule="auto"/>
        <w:rPr>
          <w:sz w:val="20"/>
          <w:szCs w:val="20"/>
          <w:color w:val="auto"/>
        </w:rPr>
      </w:pPr>
      <w:r>
        <w:rPr>
          <w:rFonts w:ascii="Arial" w:cs="Arial" w:eastAsia="Arial" w:hAnsi="Arial"/>
          <w:sz w:val="18"/>
          <w:szCs w:val="18"/>
          <w:color w:val="auto"/>
        </w:rPr>
        <w:t>Net investment income decreased primarily due to lower inflation-based investment returns on average invested assets and cash as a result of lower inflation in Chile and the weakening of the Latin American currencies against the U.S. dollar. These decreases were partially offset by higher earnings in our equity method investment in Brazil and higher average invested assets in Chile.</w:t>
      </w:r>
    </w:p>
    <w:p>
      <w:pPr>
        <w:spacing w:after="0" w:line="188"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Total Expenses</w:t>
      </w:r>
    </w:p>
    <w:p>
      <w:pPr>
        <w:spacing w:after="0" w:line="231" w:lineRule="exact"/>
        <w:rPr>
          <w:sz w:val="20"/>
          <w:szCs w:val="20"/>
          <w:color w:val="auto"/>
        </w:rPr>
      </w:pPr>
    </w:p>
    <w:p>
      <w:pPr>
        <w:jc w:val="both"/>
        <w:ind w:firstLine="424"/>
        <w:spacing w:after="0" w:line="259" w:lineRule="auto"/>
        <w:rPr>
          <w:sz w:val="20"/>
          <w:szCs w:val="20"/>
          <w:color w:val="auto"/>
        </w:rPr>
      </w:pPr>
      <w:r>
        <w:rPr>
          <w:rFonts w:ascii="Arial" w:cs="Arial" w:eastAsia="Arial" w:hAnsi="Arial"/>
          <w:sz w:val="18"/>
          <w:szCs w:val="18"/>
          <w:color w:val="auto"/>
        </w:rPr>
        <w:t>Benefits, claims and settlement expenses in Chile decreased $14.0 million primarily due to higher inflation-based interest crediting rates to customers and the weakening of the Chilean peso against the U.S. dollar, which were partially offset by an increase in the change in reserves related to higher sales of single premium annuities with life contingencies.</w:t>
      </w:r>
    </w:p>
    <w:p>
      <w:pPr>
        <w:spacing w:after="0" w:line="194" w:lineRule="exact"/>
        <w:rPr>
          <w:sz w:val="20"/>
          <w:szCs w:val="20"/>
          <w:color w:val="auto"/>
        </w:rPr>
      </w:pPr>
    </w:p>
    <w:p>
      <w:pPr>
        <w:jc w:val="both"/>
        <w:ind w:firstLine="498"/>
        <w:spacing w:after="0" w:line="332" w:lineRule="auto"/>
        <w:rPr>
          <w:sz w:val="20"/>
          <w:szCs w:val="20"/>
          <w:color w:val="auto"/>
        </w:rPr>
      </w:pPr>
      <w:r>
        <w:rPr>
          <w:rFonts w:ascii="Arial" w:cs="Arial" w:eastAsia="Arial" w:hAnsi="Arial"/>
          <w:sz w:val="16"/>
          <w:szCs w:val="16"/>
          <w:color w:val="auto"/>
        </w:rPr>
        <w:t>Operating expenses increased primarily due to higher PVFP and DAC amortization resulting from net unlocking and true-ups in Mexico coupled with growth initiatives across the segment. These increases were partially offset by the weakening of the Latin American currencies against the U.S. dollar.</w:t>
      </w:r>
    </w:p>
    <w:p>
      <w:pPr>
        <w:spacing w:after="0" w:line="133"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Income Taxes</w:t>
      </w:r>
    </w:p>
    <w:p>
      <w:pPr>
        <w:spacing w:after="0" w:line="231" w:lineRule="exact"/>
        <w:rPr>
          <w:sz w:val="20"/>
          <w:szCs w:val="20"/>
          <w:color w:val="auto"/>
        </w:rPr>
      </w:pPr>
    </w:p>
    <w:p>
      <w:pPr>
        <w:jc w:val="both"/>
        <w:ind w:firstLine="410"/>
        <w:spacing w:after="0" w:line="255" w:lineRule="auto"/>
        <w:rPr>
          <w:sz w:val="20"/>
          <w:szCs w:val="20"/>
          <w:color w:val="auto"/>
        </w:rPr>
      </w:pPr>
      <w:r>
        <w:rPr>
          <w:rFonts w:ascii="Arial" w:cs="Arial" w:eastAsia="Arial" w:hAnsi="Arial"/>
          <w:sz w:val="18"/>
          <w:szCs w:val="18"/>
          <w:color w:val="auto"/>
        </w:rPr>
        <w:t>The effective income tax rates for the segment were 0% and -2% for the years ended December 31, 2012 and 2011, respectively. The effective income tax rates were lower than the U.S. statutory rate primarily due to taxes on our share of earnings generated from our equity method investments. Specifically, our share of earnings generated from equity method investments, net of foreign taxes incurred, are reported within net investment income whereas any residual U.S. tax expense or benefit related to equity method investments is reported in income taxes. The foreign tax rate differential also contributed to the lower effective income tax rates.</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 Insurance Solutions Segment</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Individual Life Insurance Trends</w:t>
      </w:r>
    </w:p>
    <w:p>
      <w:pPr>
        <w:spacing w:after="0" w:line="225" w:lineRule="exact"/>
        <w:rPr>
          <w:sz w:val="20"/>
          <w:szCs w:val="20"/>
          <w:color w:val="auto"/>
        </w:rPr>
      </w:pPr>
    </w:p>
    <w:p>
      <w:pPr>
        <w:jc w:val="both"/>
        <w:ind w:firstLine="371"/>
        <w:spacing w:after="0" w:line="268" w:lineRule="auto"/>
        <w:rPr>
          <w:sz w:val="20"/>
          <w:szCs w:val="20"/>
          <w:color w:val="auto"/>
        </w:rPr>
      </w:pPr>
      <w:r>
        <w:rPr>
          <w:rFonts w:ascii="Arial" w:cs="Arial" w:eastAsia="Arial" w:hAnsi="Arial"/>
          <w:sz w:val="18"/>
          <w:szCs w:val="18"/>
          <w:color w:val="auto"/>
        </w:rPr>
        <w:t>Our life insurance premium and fees are influenced by both economic and industry trends. Due to the declining interest rate environment in recent years, we have intentionally increased sales of non-interest sensitive traditional products.</w:t>
      </w:r>
    </w:p>
    <w:p>
      <w:pPr>
        <w:sectPr>
          <w:pgSz w:w="11900" w:h="16838" w:orient="portrait"/>
          <w:cols w:equalWidth="0" w:num="1">
            <w:col w:w="11420"/>
          </w:cols>
          <w:pgMar w:left="240" w:top="131" w:right="239" w:bottom="1440" w:gutter="0" w:footer="0" w:header="0"/>
        </w:sectPr>
      </w:pP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54" w:name="page55"/>
    <w:bookmarkEnd w:id="5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460"/>
        <w:spacing w:after="0" w:line="268" w:lineRule="auto"/>
        <w:rPr>
          <w:sz w:val="20"/>
          <w:szCs w:val="20"/>
          <w:color w:val="auto"/>
        </w:rPr>
      </w:pPr>
      <w:r>
        <w:rPr>
          <w:rFonts w:ascii="Arial" w:cs="Arial" w:eastAsia="Arial" w:hAnsi="Arial"/>
          <w:sz w:val="18"/>
          <w:szCs w:val="18"/>
          <w:color w:val="auto"/>
        </w:rPr>
        <w:t>The following table provides a summary of our individual universal and variable universal life insurance fee revenues and our individual traditional life insurance premiums for the years indicated:</w:t>
      </w:r>
    </w:p>
    <w:p>
      <w:pPr>
        <w:spacing w:after="0" w:line="169"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5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00" w:type="dxa"/>
            <w:vAlign w:val="bottom"/>
          </w:tcPr>
          <w:p>
            <w:pPr>
              <w:jc w:val="center"/>
              <w:spacing w:after="0"/>
              <w:rPr>
                <w:sz w:val="20"/>
                <w:szCs w:val="20"/>
                <w:color w:val="auto"/>
              </w:rPr>
            </w:pPr>
            <w:r>
              <w:rPr>
                <w:rFonts w:ascii="Arial" w:cs="Arial" w:eastAsia="Arial" w:hAnsi="Arial"/>
                <w:sz w:val="14"/>
                <w:szCs w:val="14"/>
                <w:b w:val="1"/>
                <w:bCs w:val="1"/>
                <w:color w:val="auto"/>
                <w:w w:val="89"/>
              </w:rPr>
              <w:t>Universal and</w:t>
            </w: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49"/>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5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variable universal</w:t>
            </w: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9"/>
              </w:rPr>
              <w:t>Traditional</w:t>
            </w:r>
          </w:p>
        </w:tc>
      </w:tr>
      <w:tr>
        <w:trPr>
          <w:trHeight w:val="149"/>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5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life insurance</w:t>
            </w: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6"/>
              </w:rPr>
              <w:t>life insurance</w:t>
            </w:r>
          </w:p>
        </w:tc>
      </w:tr>
      <w:tr>
        <w:trPr>
          <w:trHeight w:val="161"/>
        </w:trPr>
        <w:tc>
          <w:tcPr>
            <w:tcW w:w="6520" w:type="dxa"/>
            <w:vAlign w:val="bottom"/>
            <w:gridSpan w:val="3"/>
          </w:tcPr>
          <w:p>
            <w:pPr>
              <w:spacing w:after="0"/>
              <w:rPr>
                <w:sz w:val="20"/>
                <w:szCs w:val="20"/>
                <w:color w:val="auto"/>
              </w:rPr>
            </w:pPr>
            <w:r>
              <w:rPr>
                <w:rFonts w:ascii="Arial" w:cs="Arial" w:eastAsia="Arial" w:hAnsi="Arial"/>
                <w:sz w:val="14"/>
                <w:szCs w:val="14"/>
                <w:b w:val="1"/>
                <w:bCs w:val="1"/>
                <w:color w:val="auto"/>
              </w:rPr>
              <w:t>For the year ended</w:t>
            </w:r>
          </w:p>
        </w:tc>
        <w:tc>
          <w:tcPr>
            <w:tcW w:w="220" w:type="dxa"/>
            <w:vAlign w:val="bottom"/>
          </w:tcPr>
          <w:p>
            <w:pPr>
              <w:spacing w:after="0"/>
              <w:rPr>
                <w:sz w:val="14"/>
                <w:szCs w:val="14"/>
                <w:color w:val="auto"/>
              </w:rPr>
            </w:pPr>
          </w:p>
        </w:tc>
        <w:tc>
          <w:tcPr>
            <w:tcW w:w="1100" w:type="dxa"/>
            <w:vAlign w:val="bottom"/>
          </w:tcPr>
          <w:p>
            <w:pPr>
              <w:jc w:val="center"/>
              <w:spacing w:after="0"/>
              <w:rPr>
                <w:sz w:val="20"/>
                <w:szCs w:val="20"/>
                <w:color w:val="auto"/>
              </w:rPr>
            </w:pPr>
            <w:r>
              <w:rPr>
                <w:rFonts w:ascii="Arial" w:cs="Arial" w:eastAsia="Arial" w:hAnsi="Arial"/>
                <w:sz w:val="14"/>
                <w:szCs w:val="14"/>
                <w:b w:val="1"/>
                <w:bCs w:val="1"/>
                <w:color w:val="auto"/>
                <w:w w:val="81"/>
              </w:rPr>
              <w:t>fee revenues</w:t>
            </w: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6"/>
              </w:rPr>
              <w:t>premiums</w:t>
            </w:r>
          </w:p>
        </w:tc>
      </w:tr>
      <w:tr>
        <w:trPr>
          <w:trHeight w:val="20"/>
        </w:trPr>
        <w:tc>
          <w:tcPr>
            <w:tcW w:w="20" w:type="dxa"/>
            <w:vAlign w:val="bottom"/>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538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140" w:type="dxa"/>
            <w:vAlign w:val="bottom"/>
            <w:gridSpan w:val="2"/>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40" w:type="dxa"/>
            <w:vAlign w:val="bottom"/>
            <w:gridSpan w:val="2"/>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5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400" w:type="dxa"/>
            <w:vAlign w:val="bottom"/>
            <w:gridSpan w:val="6"/>
          </w:tcPr>
          <w:p>
            <w:pPr>
              <w:ind w:left="740"/>
              <w:spacing w:after="0" w:line="142" w:lineRule="exact"/>
              <w:rPr>
                <w:sz w:val="20"/>
                <w:szCs w:val="20"/>
                <w:color w:val="auto"/>
              </w:rPr>
            </w:pPr>
            <w:r>
              <w:rPr>
                <w:rFonts w:ascii="Arial" w:cs="Arial" w:eastAsia="Arial" w:hAnsi="Arial"/>
                <w:sz w:val="14"/>
                <w:szCs w:val="14"/>
                <w:b w:val="1"/>
                <w:bCs w:val="1"/>
                <w:i w:val="1"/>
                <w:iCs w:val="1"/>
                <w:color w:val="auto"/>
              </w:rPr>
              <w:t>(in millions)</w:t>
            </w:r>
          </w:p>
        </w:tc>
      </w:tr>
      <w:tr>
        <w:trPr>
          <w:trHeight w:val="149"/>
        </w:trPr>
        <w:tc>
          <w:tcPr>
            <w:tcW w:w="20" w:type="dxa"/>
            <w:vAlign w:val="bottom"/>
          </w:tcPr>
          <w:p>
            <w:pPr>
              <w:spacing w:after="0"/>
              <w:rPr>
                <w:sz w:val="12"/>
                <w:szCs w:val="12"/>
                <w:color w:val="auto"/>
              </w:rPr>
            </w:pPr>
          </w:p>
        </w:tc>
        <w:tc>
          <w:tcPr>
            <w:tcW w:w="65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December 31, 2013</w:t>
            </w:r>
          </w:p>
        </w:tc>
        <w:tc>
          <w:tcPr>
            <w:tcW w:w="22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532.2</w:t>
            </w:r>
          </w:p>
        </w:tc>
        <w:tc>
          <w:tcPr>
            <w:tcW w:w="280" w:type="dxa"/>
            <w:vAlign w:val="bottom"/>
            <w:gridSpan w:val="3"/>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512.5</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500" w:type="dxa"/>
            <w:vAlign w:val="bottom"/>
            <w:gridSpan w:val="2"/>
          </w:tcPr>
          <w:p>
            <w:pPr>
              <w:spacing w:after="0" w:line="149" w:lineRule="exact"/>
              <w:rPr>
                <w:sz w:val="20"/>
                <w:szCs w:val="20"/>
                <w:color w:val="auto"/>
              </w:rPr>
            </w:pPr>
            <w:r>
              <w:rPr>
                <w:rFonts w:ascii="Arial" w:cs="Arial" w:eastAsia="Arial" w:hAnsi="Arial"/>
                <w:sz w:val="14"/>
                <w:szCs w:val="14"/>
                <w:color w:val="auto"/>
              </w:rPr>
              <w:t>December 31, 2012</w:t>
            </w:r>
          </w:p>
        </w:tc>
        <w:tc>
          <w:tcPr>
            <w:tcW w:w="220" w:type="dxa"/>
            <w:vAlign w:val="bottom"/>
          </w:tcPr>
          <w:p>
            <w:pPr>
              <w:spacing w:after="0"/>
              <w:rPr>
                <w:sz w:val="12"/>
                <w:szCs w:val="12"/>
                <w:color w:val="auto"/>
              </w:rPr>
            </w:pP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476.3</w:t>
            </w:r>
          </w:p>
        </w:tc>
        <w:tc>
          <w:tcPr>
            <w:tcW w:w="20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w w:val="93"/>
              </w:rPr>
              <w:t>(1)</w:t>
            </w: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496.5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5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December 31, 2011</w:t>
            </w:r>
          </w:p>
        </w:tc>
        <w:tc>
          <w:tcPr>
            <w:tcW w:w="220" w:type="dxa"/>
            <w:vAlign w:val="bottom"/>
            <w:tcBorders>
              <w:right w:val="single" w:sz="8" w:color="CCEEFF"/>
            </w:tcBorders>
            <w:shd w:val="clear" w:color="auto" w:fill="CCEEFF"/>
          </w:tcPr>
          <w:p>
            <w:pPr>
              <w:spacing w:after="0"/>
              <w:rPr>
                <w:sz w:val="12"/>
                <w:szCs w:val="12"/>
                <w:color w:val="auto"/>
              </w:rPr>
            </w:pP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471.4</w:t>
            </w:r>
          </w:p>
        </w:tc>
        <w:tc>
          <w:tcPr>
            <w:tcW w:w="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502.5</w:t>
            </w:r>
          </w:p>
        </w:tc>
        <w:tc>
          <w:tcPr>
            <w:tcW w:w="160" w:type="dxa"/>
            <w:vAlign w:val="bottom"/>
            <w:shd w:val="clear" w:color="auto" w:fill="CCEEFF"/>
          </w:tcPr>
          <w:p>
            <w:pPr>
              <w:spacing w:after="0"/>
              <w:rPr>
                <w:sz w:val="12"/>
                <w:szCs w:val="12"/>
                <w:color w:val="auto"/>
              </w:rPr>
            </w:pPr>
          </w:p>
        </w:tc>
      </w:tr>
      <w:tr>
        <w:trPr>
          <w:trHeight w:val="108"/>
        </w:trPr>
        <w:tc>
          <w:tcPr>
            <w:tcW w:w="20" w:type="dxa"/>
            <w:vAlign w:val="bottom"/>
          </w:tcPr>
          <w:p>
            <w:pPr>
              <w:spacing w:after="0"/>
              <w:rPr>
                <w:sz w:val="9"/>
                <w:szCs w:val="9"/>
                <w:color w:val="auto"/>
              </w:rPr>
            </w:pPr>
          </w:p>
        </w:tc>
        <w:tc>
          <w:tcPr>
            <w:tcW w:w="1120" w:type="dxa"/>
            <w:vAlign w:val="bottom"/>
            <w:tcBorders>
              <w:bottom w:val="single" w:sz="8" w:color="auto"/>
            </w:tcBorders>
          </w:tcPr>
          <w:p>
            <w:pPr>
              <w:spacing w:after="0"/>
              <w:rPr>
                <w:sz w:val="9"/>
                <w:szCs w:val="9"/>
                <w:color w:val="auto"/>
              </w:rPr>
            </w:pPr>
          </w:p>
        </w:tc>
        <w:tc>
          <w:tcPr>
            <w:tcW w:w="53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100" w:type="dxa"/>
            <w:vAlign w:val="bottom"/>
          </w:tcPr>
          <w:p>
            <w:pPr>
              <w:spacing w:after="0"/>
              <w:rPr>
                <w:sz w:val="9"/>
                <w:szCs w:val="9"/>
                <w:color w:val="auto"/>
              </w:rPr>
            </w:pPr>
          </w:p>
        </w:tc>
        <w:tc>
          <w:tcPr>
            <w:tcW w:w="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860" w:type="dxa"/>
            <w:vAlign w:val="bottom"/>
          </w:tcPr>
          <w:p>
            <w:pPr>
              <w:spacing w:after="0"/>
              <w:rPr>
                <w:sz w:val="9"/>
                <w:szCs w:val="9"/>
                <w:color w:val="auto"/>
              </w:rPr>
            </w:pPr>
          </w:p>
        </w:tc>
        <w:tc>
          <w:tcPr>
            <w:tcW w:w="160" w:type="dxa"/>
            <w:vAlign w:val="bottom"/>
          </w:tcPr>
          <w:p>
            <w:pPr>
              <w:spacing w:after="0"/>
              <w:rPr>
                <w:sz w:val="9"/>
                <w:szCs w:val="9"/>
                <w:color w:val="auto"/>
              </w:rPr>
            </w:pPr>
          </w:p>
        </w:tc>
      </w:tr>
    </w:tbl>
    <w:p>
      <w:pPr>
        <w:spacing w:after="0" w:line="192" w:lineRule="exact"/>
        <w:rPr>
          <w:sz w:val="20"/>
          <w:szCs w:val="20"/>
          <w:color w:val="auto"/>
        </w:rPr>
      </w:pPr>
    </w:p>
    <w:p>
      <w:pPr>
        <w:jc w:val="both"/>
        <w:ind w:left="1680" w:right="20" w:hanging="531"/>
        <w:spacing w:after="0" w:line="233" w:lineRule="auto"/>
        <w:tabs>
          <w:tab w:leader="none" w:pos="1680" w:val="left"/>
        </w:tabs>
        <w:numPr>
          <w:ilvl w:val="0"/>
          <w:numId w:val="24"/>
        </w:numPr>
        <w:rPr>
          <w:rFonts w:ascii="Arial" w:cs="Arial" w:eastAsia="Arial" w:hAnsi="Arial"/>
          <w:sz w:val="14"/>
          <w:szCs w:val="14"/>
          <w:color w:val="auto"/>
        </w:rPr>
      </w:pPr>
      <w:r>
        <w:rPr>
          <w:rFonts w:ascii="Arial" w:cs="Arial" w:eastAsia="Arial" w:hAnsi="Arial"/>
          <w:sz w:val="14"/>
          <w:szCs w:val="14"/>
          <w:color w:val="auto"/>
        </w:rPr>
        <w:t>Fee revenues for the year ended December 31, 2012, reflects a $46.6 million reduction due to unlocking of unearned revenue associated with the change in basis for amortizing DAC and other actuarial balances in the first quarter of 2012, partially offset by an increase of $13.5 million due to unearned revenue unlocking associated with a change in long-term interest rate assumptions and model refinements in the third quarter of 2012.</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Specialty Benefits Insurance Trends</w:t>
      </w:r>
    </w:p>
    <w:p>
      <w:pPr>
        <w:spacing w:after="0" w:line="225" w:lineRule="exact"/>
        <w:rPr>
          <w:sz w:val="20"/>
          <w:szCs w:val="20"/>
          <w:color w:val="auto"/>
        </w:rPr>
      </w:pPr>
    </w:p>
    <w:p>
      <w:pPr>
        <w:ind w:firstLine="400"/>
        <w:spacing w:after="0" w:line="332" w:lineRule="auto"/>
        <w:rPr>
          <w:sz w:val="20"/>
          <w:szCs w:val="20"/>
          <w:color w:val="auto"/>
        </w:rPr>
      </w:pPr>
      <w:r>
        <w:rPr>
          <w:rFonts w:ascii="Arial" w:cs="Arial" w:eastAsia="Arial" w:hAnsi="Arial"/>
          <w:sz w:val="16"/>
          <w:szCs w:val="16"/>
          <w:color w:val="auto"/>
        </w:rPr>
        <w:t>Premium and fees in our specialty benefits insurance business are also influenced by economic and industry trends. Premium and fees have risen slower in recent years due to more moderate increases in underlying salaries and lower membership growth in existing group contracts.</w:t>
      </w:r>
    </w:p>
    <w:p>
      <w:pPr>
        <w:spacing w:after="0" w:line="13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provides a summary of our specialty benefits insurance premium and fees for the years indicated:</w:t>
      </w:r>
    </w:p>
    <w:p>
      <w:pPr>
        <w:spacing w:after="0" w:line="20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40" w:type="dxa"/>
            <w:vAlign w:val="bottom"/>
          </w:tcPr>
          <w:p>
            <w:pPr>
              <w:jc w:val="center"/>
              <w:ind w:right="32"/>
              <w:spacing w:after="0"/>
              <w:rPr>
                <w:sz w:val="20"/>
                <w:szCs w:val="20"/>
                <w:color w:val="auto"/>
              </w:rPr>
            </w:pPr>
            <w:r>
              <w:rPr>
                <w:rFonts w:ascii="Arial" w:cs="Arial" w:eastAsia="Arial" w:hAnsi="Arial"/>
                <w:sz w:val="14"/>
                <w:szCs w:val="14"/>
                <w:b w:val="1"/>
                <w:bCs w:val="1"/>
                <w:color w:val="auto"/>
                <w:w w:val="90"/>
              </w:rPr>
              <w:t>Group</w:t>
            </w:r>
          </w:p>
        </w:tc>
        <w:tc>
          <w:tcPr>
            <w:tcW w:w="160" w:type="dxa"/>
            <w:vAlign w:val="bottom"/>
          </w:tcPr>
          <w:p>
            <w:pPr>
              <w:spacing w:after="0"/>
              <w:rPr>
                <w:sz w:val="14"/>
                <w:szCs w:val="14"/>
                <w:color w:val="auto"/>
              </w:rPr>
            </w:pPr>
          </w:p>
        </w:tc>
        <w:tc>
          <w:tcPr>
            <w:tcW w:w="740" w:type="dxa"/>
            <w:vAlign w:val="bottom"/>
            <w:gridSpan w:val="2"/>
          </w:tcPr>
          <w:p>
            <w:pPr>
              <w:jc w:val="center"/>
              <w:spacing w:after="0"/>
              <w:rPr>
                <w:sz w:val="20"/>
                <w:szCs w:val="20"/>
                <w:color w:val="auto"/>
              </w:rPr>
            </w:pPr>
            <w:r>
              <w:rPr>
                <w:rFonts w:ascii="Arial" w:cs="Arial" w:eastAsia="Arial" w:hAnsi="Arial"/>
                <w:sz w:val="14"/>
                <w:szCs w:val="14"/>
                <w:b w:val="1"/>
                <w:bCs w:val="1"/>
                <w:color w:val="auto"/>
                <w:w w:val="91"/>
              </w:rPr>
              <w:t>Individual</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49"/>
        </w:trPr>
        <w:tc>
          <w:tcPr>
            <w:tcW w:w="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40" w:type="dxa"/>
            <w:vAlign w:val="bottom"/>
          </w:tcPr>
          <w:p>
            <w:pPr>
              <w:jc w:val="right"/>
              <w:ind w:right="32"/>
              <w:spacing w:after="0" w:line="149" w:lineRule="exact"/>
              <w:rPr>
                <w:sz w:val="20"/>
                <w:szCs w:val="20"/>
                <w:color w:val="auto"/>
              </w:rPr>
            </w:pPr>
            <w:r>
              <w:rPr>
                <w:rFonts w:ascii="Arial" w:cs="Arial" w:eastAsia="Arial" w:hAnsi="Arial"/>
                <w:sz w:val="14"/>
                <w:szCs w:val="14"/>
                <w:b w:val="1"/>
                <w:bCs w:val="1"/>
                <w:color w:val="auto"/>
                <w:w w:val="87"/>
              </w:rPr>
              <w:t>Group dental and</w:t>
            </w:r>
          </w:p>
        </w:tc>
        <w:tc>
          <w:tcPr>
            <w:tcW w:w="220" w:type="dxa"/>
            <w:vAlign w:val="bottom"/>
          </w:tcPr>
          <w:p>
            <w:pPr>
              <w:spacing w:after="0"/>
              <w:rPr>
                <w:sz w:val="12"/>
                <w:szCs w:val="12"/>
                <w:color w:val="auto"/>
              </w:rPr>
            </w:pPr>
          </w:p>
        </w:tc>
        <w:tc>
          <w:tcPr>
            <w:tcW w:w="86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Group life</w:t>
            </w:r>
          </w:p>
        </w:tc>
        <w:tc>
          <w:tcPr>
            <w:tcW w:w="60" w:type="dxa"/>
            <w:vAlign w:val="bottom"/>
          </w:tcPr>
          <w:p>
            <w:pPr>
              <w:spacing w:after="0"/>
              <w:rPr>
                <w:sz w:val="12"/>
                <w:szCs w:val="12"/>
                <w:color w:val="auto"/>
              </w:rPr>
            </w:pPr>
          </w:p>
        </w:tc>
        <w:tc>
          <w:tcPr>
            <w:tcW w:w="64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8"/>
              </w:rPr>
              <w:t>disability</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5"/>
              </w:rPr>
              <w:t>disability</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61"/>
        </w:trPr>
        <w:tc>
          <w:tcPr>
            <w:tcW w:w="3940" w:type="dxa"/>
            <w:vAlign w:val="bottom"/>
            <w:gridSpan w:val="3"/>
          </w:tcPr>
          <w:p>
            <w:pPr>
              <w:spacing w:after="0"/>
              <w:rPr>
                <w:sz w:val="20"/>
                <w:szCs w:val="20"/>
                <w:color w:val="auto"/>
              </w:rPr>
            </w:pPr>
            <w:r>
              <w:rPr>
                <w:rFonts w:ascii="Arial" w:cs="Arial" w:eastAsia="Arial" w:hAnsi="Arial"/>
                <w:sz w:val="14"/>
                <w:szCs w:val="14"/>
                <w:b w:val="1"/>
                <w:bCs w:val="1"/>
                <w:color w:val="auto"/>
              </w:rPr>
              <w:t>For the year ended</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40" w:type="dxa"/>
            <w:vAlign w:val="bottom"/>
          </w:tcPr>
          <w:p>
            <w:pPr>
              <w:jc w:val="right"/>
              <w:ind w:right="92"/>
              <w:spacing w:after="0"/>
              <w:rPr>
                <w:sz w:val="20"/>
                <w:szCs w:val="20"/>
                <w:color w:val="auto"/>
              </w:rPr>
            </w:pPr>
            <w:r>
              <w:rPr>
                <w:rFonts w:ascii="Arial" w:cs="Arial" w:eastAsia="Arial" w:hAnsi="Arial"/>
                <w:sz w:val="14"/>
                <w:szCs w:val="14"/>
                <w:b w:val="1"/>
                <w:bCs w:val="1"/>
                <w:color w:val="auto"/>
                <w:w w:val="86"/>
              </w:rPr>
              <w:t>vision insurance</w:t>
            </w:r>
          </w:p>
        </w:tc>
        <w:tc>
          <w:tcPr>
            <w:tcW w:w="220" w:type="dxa"/>
            <w:vAlign w:val="bottom"/>
          </w:tcPr>
          <w:p>
            <w:pPr>
              <w:spacing w:after="0"/>
              <w:rPr>
                <w:sz w:val="14"/>
                <w:szCs w:val="14"/>
                <w:color w:val="auto"/>
              </w:rPr>
            </w:pPr>
          </w:p>
        </w:tc>
        <w:tc>
          <w:tcPr>
            <w:tcW w:w="860" w:type="dxa"/>
            <w:vAlign w:val="bottom"/>
            <w:gridSpan w:val="2"/>
          </w:tcPr>
          <w:p>
            <w:pPr>
              <w:ind w:left="20"/>
              <w:spacing w:after="0"/>
              <w:rPr>
                <w:sz w:val="20"/>
                <w:szCs w:val="20"/>
                <w:color w:val="auto"/>
              </w:rPr>
            </w:pPr>
            <w:r>
              <w:rPr>
                <w:rFonts w:ascii="Arial" w:cs="Arial" w:eastAsia="Arial" w:hAnsi="Arial"/>
                <w:sz w:val="14"/>
                <w:szCs w:val="14"/>
                <w:b w:val="1"/>
                <w:bCs w:val="1"/>
                <w:color w:val="auto"/>
              </w:rPr>
              <w:t>insurance</w:t>
            </w:r>
          </w:p>
        </w:tc>
        <w:tc>
          <w:tcPr>
            <w:tcW w:w="700" w:type="dxa"/>
            <w:vAlign w:val="bottom"/>
            <w:gridSpan w:val="2"/>
          </w:tcPr>
          <w:p>
            <w:pPr>
              <w:jc w:val="center"/>
              <w:spacing w:after="0"/>
              <w:rPr>
                <w:sz w:val="20"/>
                <w:szCs w:val="20"/>
                <w:color w:val="auto"/>
              </w:rPr>
            </w:pPr>
            <w:r>
              <w:rPr>
                <w:rFonts w:ascii="Arial" w:cs="Arial" w:eastAsia="Arial" w:hAnsi="Arial"/>
                <w:sz w:val="14"/>
                <w:szCs w:val="14"/>
                <w:b w:val="1"/>
                <w:bCs w:val="1"/>
                <w:color w:val="auto"/>
                <w:w w:val="84"/>
              </w:rPr>
              <w:t>insurance</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center"/>
              <w:ind w:right="32"/>
              <w:spacing w:after="0"/>
              <w:rPr>
                <w:sz w:val="20"/>
                <w:szCs w:val="20"/>
                <w:color w:val="auto"/>
              </w:rPr>
            </w:pPr>
            <w:r>
              <w:rPr>
                <w:rFonts w:ascii="Arial" w:cs="Arial" w:eastAsia="Arial" w:hAnsi="Arial"/>
                <w:sz w:val="14"/>
                <w:szCs w:val="14"/>
                <w:b w:val="1"/>
                <w:bCs w:val="1"/>
                <w:color w:val="auto"/>
                <w:w w:val="84"/>
              </w:rPr>
              <w:t>insurance</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gridSpan w:val="2"/>
          </w:tcPr>
          <w:p>
            <w:pPr>
              <w:spacing w:after="0"/>
              <w:rPr>
                <w:sz w:val="20"/>
                <w:szCs w:val="20"/>
                <w:color w:val="auto"/>
              </w:rPr>
            </w:pPr>
            <w:r>
              <w:rPr>
                <w:rFonts w:ascii="Arial" w:cs="Arial" w:eastAsia="Arial" w:hAnsi="Arial"/>
                <w:sz w:val="14"/>
                <w:szCs w:val="14"/>
                <w:b w:val="1"/>
                <w:bCs w:val="1"/>
                <w:color w:val="auto"/>
              </w:rPr>
              <w:t>Wellness (1)</w:t>
            </w:r>
          </w:p>
        </w:tc>
      </w:tr>
      <w:tr>
        <w:trPr>
          <w:trHeight w:val="20"/>
        </w:trPr>
        <w:tc>
          <w:tcPr>
            <w:tcW w:w="20" w:type="dxa"/>
            <w:vAlign w:val="bottom"/>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3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60" w:type="dxa"/>
            <w:vAlign w:val="bottom"/>
            <w:gridSpan w:val="2"/>
          </w:tcPr>
          <w:p>
            <w:pPr>
              <w:ind w:left="160"/>
              <w:spacing w:after="0" w:line="142" w:lineRule="exact"/>
              <w:rPr>
                <w:sz w:val="20"/>
                <w:szCs w:val="20"/>
                <w:color w:val="auto"/>
              </w:rPr>
            </w:pPr>
            <w:r>
              <w:rPr>
                <w:rFonts w:ascii="Arial" w:cs="Arial" w:eastAsia="Arial" w:hAnsi="Arial"/>
                <w:sz w:val="14"/>
                <w:szCs w:val="14"/>
                <w:b w:val="1"/>
                <w:bCs w:val="1"/>
                <w:i w:val="1"/>
                <w:iCs w:val="1"/>
                <w:color w:val="auto"/>
                <w:w w:val="86"/>
              </w:rPr>
              <w:t>(in millions)</w:t>
            </w: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9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December 31, 2013</w:t>
            </w:r>
          </w:p>
        </w:tc>
        <w:tc>
          <w:tcPr>
            <w:tcW w:w="24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583.8</w:t>
            </w:r>
          </w:p>
        </w:tc>
        <w:tc>
          <w:tcPr>
            <w:tcW w:w="22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337.4</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b w:val="1"/>
                <w:bCs w:val="1"/>
                <w:color w:val="auto"/>
                <w:w w:val="71"/>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310.5</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256.2</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920" w:type="dxa"/>
            <w:vAlign w:val="bottom"/>
            <w:gridSpan w:val="2"/>
          </w:tcPr>
          <w:p>
            <w:pPr>
              <w:spacing w:after="0" w:line="149" w:lineRule="exact"/>
              <w:rPr>
                <w:sz w:val="20"/>
                <w:szCs w:val="20"/>
                <w:color w:val="auto"/>
              </w:rPr>
            </w:pPr>
            <w:r>
              <w:rPr>
                <w:rFonts w:ascii="Arial" w:cs="Arial" w:eastAsia="Arial" w:hAnsi="Arial"/>
                <w:sz w:val="14"/>
                <w:szCs w:val="14"/>
                <w:color w:val="auto"/>
              </w:rPr>
              <w:t>December 31, 2012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40" w:type="dxa"/>
            <w:vAlign w:val="bottom"/>
          </w:tcPr>
          <w:p>
            <w:pPr>
              <w:jc w:val="right"/>
              <w:spacing w:after="0" w:line="149" w:lineRule="exact"/>
              <w:rPr>
                <w:sz w:val="20"/>
                <w:szCs w:val="20"/>
                <w:color w:val="auto"/>
              </w:rPr>
            </w:pPr>
            <w:r>
              <w:rPr>
                <w:rFonts w:ascii="Arial" w:cs="Arial" w:eastAsia="Arial" w:hAnsi="Arial"/>
                <w:sz w:val="14"/>
                <w:szCs w:val="14"/>
                <w:color w:val="auto"/>
              </w:rPr>
              <w:t>578.2</w:t>
            </w:r>
          </w:p>
        </w:tc>
        <w:tc>
          <w:tcPr>
            <w:tcW w:w="22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328.6</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292.6</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236.0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8.4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9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December 31, 2011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558.9</w:t>
            </w:r>
          </w:p>
        </w:tc>
        <w:tc>
          <w:tcPr>
            <w:tcW w:w="220" w:type="dxa"/>
            <w:vAlign w:val="bottom"/>
            <w:tcBorders>
              <w:right w:val="single" w:sz="8" w:color="CCEEFF"/>
            </w:tcBorders>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319.1</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274.6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216.3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8.3</w:t>
            </w:r>
          </w:p>
        </w:tc>
        <w:tc>
          <w:tcPr>
            <w:tcW w:w="160" w:type="dxa"/>
            <w:vAlign w:val="bottom"/>
            <w:shd w:val="clear" w:color="auto" w:fill="CCEEFF"/>
          </w:tcPr>
          <w:p>
            <w:pPr>
              <w:spacing w:after="0"/>
              <w:rPr>
                <w:sz w:val="12"/>
                <w:szCs w:val="12"/>
                <w:color w:val="auto"/>
              </w:rPr>
            </w:pPr>
          </w:p>
        </w:tc>
      </w:tr>
      <w:tr>
        <w:trPr>
          <w:trHeight w:val="108"/>
        </w:trPr>
        <w:tc>
          <w:tcPr>
            <w:tcW w:w="20" w:type="dxa"/>
            <w:vAlign w:val="bottom"/>
          </w:tcPr>
          <w:p>
            <w:pPr>
              <w:spacing w:after="0"/>
              <w:rPr>
                <w:sz w:val="9"/>
                <w:szCs w:val="9"/>
                <w:color w:val="auto"/>
              </w:rPr>
            </w:pPr>
          </w:p>
        </w:tc>
        <w:tc>
          <w:tcPr>
            <w:tcW w:w="920" w:type="dxa"/>
            <w:vAlign w:val="bottom"/>
            <w:tcBorders>
              <w:bottom w:val="single" w:sz="8" w:color="auto"/>
            </w:tcBorders>
          </w:tcPr>
          <w:p>
            <w:pPr>
              <w:spacing w:after="0"/>
              <w:rPr>
                <w:sz w:val="9"/>
                <w:szCs w:val="9"/>
                <w:color w:val="auto"/>
              </w:rPr>
            </w:pPr>
          </w:p>
        </w:tc>
        <w:tc>
          <w:tcPr>
            <w:tcW w:w="30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80" w:type="dxa"/>
            <w:vAlign w:val="bottom"/>
          </w:tcPr>
          <w:p>
            <w:pPr>
              <w:spacing w:after="0"/>
              <w:rPr>
                <w:sz w:val="9"/>
                <w:szCs w:val="9"/>
                <w:color w:val="auto"/>
              </w:rPr>
            </w:pPr>
          </w:p>
        </w:tc>
        <w:tc>
          <w:tcPr>
            <w:tcW w:w="6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780" w:type="dxa"/>
            <w:vAlign w:val="bottom"/>
          </w:tcPr>
          <w:p>
            <w:pPr>
              <w:spacing w:after="0"/>
              <w:rPr>
                <w:sz w:val="9"/>
                <w:szCs w:val="9"/>
                <w:color w:val="auto"/>
              </w:rPr>
            </w:pPr>
          </w:p>
        </w:tc>
        <w:tc>
          <w:tcPr>
            <w:tcW w:w="160" w:type="dxa"/>
            <w:vAlign w:val="bottom"/>
          </w:tcPr>
          <w:p>
            <w:pPr>
              <w:spacing w:after="0"/>
              <w:rPr>
                <w:sz w:val="9"/>
                <w:szCs w:val="9"/>
                <w:color w:val="auto"/>
              </w:rPr>
            </w:pPr>
          </w:p>
        </w:tc>
      </w:tr>
    </w:tbl>
    <w:p>
      <w:pPr>
        <w:spacing w:after="0" w:line="192" w:lineRule="exact"/>
        <w:rPr>
          <w:sz w:val="20"/>
          <w:szCs w:val="20"/>
          <w:color w:val="auto"/>
        </w:rPr>
      </w:pPr>
    </w:p>
    <w:p>
      <w:pPr>
        <w:ind w:left="1680" w:hanging="531"/>
        <w:spacing w:after="0" w:line="239" w:lineRule="auto"/>
        <w:tabs>
          <w:tab w:leader="none" w:pos="1680" w:val="left"/>
        </w:tabs>
        <w:numPr>
          <w:ilvl w:val="0"/>
          <w:numId w:val="25"/>
        </w:numPr>
        <w:rPr>
          <w:rFonts w:ascii="Arial" w:cs="Arial" w:eastAsia="Arial" w:hAnsi="Arial"/>
          <w:sz w:val="14"/>
          <w:szCs w:val="14"/>
          <w:color w:val="auto"/>
        </w:rPr>
      </w:pPr>
      <w:r>
        <w:rPr>
          <w:rFonts w:ascii="Arial" w:cs="Arial" w:eastAsia="Arial" w:hAnsi="Arial"/>
          <w:sz w:val="14"/>
          <w:szCs w:val="14"/>
          <w:color w:val="auto"/>
        </w:rPr>
        <w:t>On July 1, 2013, we completed the transfer of ownership of Principal Wellness Company to Accountable Health, Inc. We have an equity interest in Accountable Health, Inc., which is reflected in the Corporate segment.</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 Insurance Solutions Segment Summary Financial Data</w:t>
      </w:r>
    </w:p>
    <w:p>
      <w:pPr>
        <w:spacing w:after="0" w:line="225" w:lineRule="exact"/>
        <w:rPr>
          <w:sz w:val="20"/>
          <w:szCs w:val="20"/>
          <w:color w:val="auto"/>
        </w:rPr>
      </w:pPr>
    </w:p>
    <w:p>
      <w:pPr>
        <w:jc w:val="both"/>
        <w:ind w:firstLine="383"/>
        <w:spacing w:after="0" w:line="255" w:lineRule="auto"/>
        <w:rPr>
          <w:sz w:val="20"/>
          <w:szCs w:val="20"/>
          <w:color w:val="auto"/>
        </w:rPr>
      </w:pPr>
      <w:r>
        <w:rPr>
          <w:rFonts w:ascii="Arial" w:cs="Arial" w:eastAsia="Arial" w:hAnsi="Arial"/>
          <w:sz w:val="18"/>
          <w:szCs w:val="18"/>
          <w:color w:val="auto"/>
        </w:rPr>
        <w:t>There are several key indicators for earnings growth in our U.S. Insurance Solutions segment. The ability of our distribution channels to generate new sales and retain existing business drives growth in our premium and fees. Our earnings growth also depends on our ability to price our products at a level that enables us to earn a margin over the cost of providing benefits and the expense of acquiring and administering those products. Factors impacting pricing decisions include competitive conditions, economic trends, persistency, our ability to assess and manage trends in mortality and morbidity and our ability to manage operating expenses.</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presents certain summary financial data relating to the U.S. Insurance Solutions segment for the years indicated:</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0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80" w:type="dxa"/>
            <w:vAlign w:val="bottom"/>
            <w:gridSpan w:val="7"/>
          </w:tcPr>
          <w:p>
            <w:pPr>
              <w:jc w:val="right"/>
              <w:ind w:right="60"/>
              <w:spacing w:after="0"/>
              <w:rPr>
                <w:sz w:val="20"/>
                <w:szCs w:val="20"/>
                <w:color w:val="auto"/>
              </w:rPr>
            </w:pPr>
            <w:r>
              <w:rPr>
                <w:rFonts w:ascii="Arial" w:cs="Arial" w:eastAsia="Arial" w:hAnsi="Arial"/>
                <w:sz w:val="14"/>
                <w:szCs w:val="14"/>
                <w:b w:val="1"/>
                <w:bCs w:val="1"/>
                <w:color w:val="auto"/>
              </w:rPr>
              <w:t>For the year ended</w:t>
            </w:r>
          </w:p>
        </w:tc>
        <w:tc>
          <w:tcPr>
            <w:tcW w:w="5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960" w:type="dxa"/>
            <w:vAlign w:val="bottom"/>
            <w:tcBorders>
              <w:bottom w:val="single" w:sz="8" w:color="auto"/>
            </w:tcBorders>
            <w:gridSpan w:val="4"/>
          </w:tcPr>
          <w:p>
            <w:pPr>
              <w:jc w:val="right"/>
              <w:ind w:right="392"/>
              <w:spacing w:after="0"/>
              <w:rPr>
                <w:sz w:val="20"/>
                <w:szCs w:val="20"/>
                <w:color w:val="auto"/>
              </w:rPr>
            </w:pPr>
            <w:r>
              <w:rPr>
                <w:rFonts w:ascii="Arial" w:cs="Arial" w:eastAsia="Arial" w:hAnsi="Arial"/>
                <w:sz w:val="14"/>
                <w:szCs w:val="14"/>
                <w:b w:val="1"/>
                <w:bCs w:val="1"/>
                <w:color w:val="auto"/>
              </w:rPr>
              <w:t>Increase (decrease)</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0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500" w:type="dxa"/>
            <w:vAlign w:val="bottom"/>
            <w:tcBorders>
              <w:bottom w:val="single" w:sz="8" w:color="auto"/>
            </w:tcBorders>
          </w:tcPr>
          <w:p>
            <w:pPr>
              <w:spacing w:after="0"/>
              <w:rPr>
                <w:sz w:val="11"/>
                <w:szCs w:val="11"/>
                <w:color w:val="auto"/>
              </w:rPr>
            </w:pPr>
          </w:p>
        </w:tc>
        <w:tc>
          <w:tcPr>
            <w:tcW w:w="900" w:type="dxa"/>
            <w:vAlign w:val="bottom"/>
            <w:tcBorders>
              <w:bottom w:val="single" w:sz="8" w:color="auto"/>
            </w:tcBorders>
            <w:gridSpan w:val="4"/>
          </w:tcPr>
          <w:p>
            <w:pPr>
              <w:ind w:left="80"/>
              <w:spacing w:after="0" w:line="129" w:lineRule="exact"/>
              <w:rPr>
                <w:sz w:val="20"/>
                <w:szCs w:val="20"/>
                <w:color w:val="auto"/>
              </w:rPr>
            </w:pPr>
            <w:r>
              <w:rPr>
                <w:rFonts w:ascii="Arial" w:cs="Arial" w:eastAsia="Arial" w:hAnsi="Arial"/>
                <w:sz w:val="14"/>
                <w:szCs w:val="14"/>
                <w:b w:val="1"/>
                <w:bCs w:val="1"/>
                <w:color w:val="auto"/>
                <w:w w:val="87"/>
              </w:rPr>
              <w:t>December 31,</w:t>
            </w:r>
          </w:p>
        </w:tc>
        <w:tc>
          <w:tcPr>
            <w:tcW w:w="6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500" w:type="dxa"/>
            <w:vAlign w:val="bottom"/>
            <w:tcBorders>
              <w:bottom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vMerge w:val="restart"/>
          </w:tcPr>
          <w:p>
            <w:pPr>
              <w:jc w:val="right"/>
              <w:ind w:right="12"/>
              <w:spacing w:after="0"/>
              <w:rPr>
                <w:sz w:val="20"/>
                <w:szCs w:val="20"/>
                <w:color w:val="auto"/>
              </w:rPr>
            </w:pPr>
            <w:r>
              <w:rPr>
                <w:rFonts w:ascii="Arial" w:cs="Arial" w:eastAsia="Arial" w:hAnsi="Arial"/>
                <w:sz w:val="14"/>
                <w:szCs w:val="14"/>
                <w:b w:val="1"/>
                <w:bCs w:val="1"/>
                <w:color w:val="auto"/>
                <w:w w:val="84"/>
              </w:rPr>
              <w:t>2013 vs. 2012</w:t>
            </w:r>
          </w:p>
        </w:tc>
        <w:tc>
          <w:tcPr>
            <w:tcW w:w="100" w:type="dxa"/>
            <w:vAlign w:val="bottom"/>
            <w:vMerge w:val="restart"/>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vMerge w:val="restart"/>
          </w:tcPr>
          <w:p>
            <w:pPr>
              <w:jc w:val="right"/>
              <w:ind w:right="32"/>
              <w:spacing w:after="0"/>
              <w:rPr>
                <w:sz w:val="20"/>
                <w:szCs w:val="20"/>
                <w:color w:val="auto"/>
              </w:rPr>
            </w:pPr>
            <w:r>
              <w:rPr>
                <w:rFonts w:ascii="Arial" w:cs="Arial" w:eastAsia="Arial" w:hAnsi="Arial"/>
                <w:sz w:val="14"/>
                <w:szCs w:val="14"/>
                <w:b w:val="1"/>
                <w:bCs w:val="1"/>
                <w:color w:val="auto"/>
                <w:w w:val="82"/>
              </w:rPr>
              <w:t>2012 vs. 2011</w:t>
            </w:r>
          </w:p>
        </w:tc>
        <w:tc>
          <w:tcPr>
            <w:tcW w:w="160" w:type="dxa"/>
            <w:vAlign w:val="bottom"/>
            <w:vMerge w:val="restart"/>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0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w w:val="96"/>
              </w:rPr>
              <w:t>2013</w:t>
            </w:r>
          </w:p>
        </w:tc>
        <w:tc>
          <w:tcPr>
            <w:tcW w:w="18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rPr>
              <w:t>2012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132"/>
              <w:spacing w:after="0" w:line="142" w:lineRule="exact"/>
              <w:rPr>
                <w:sz w:val="20"/>
                <w:szCs w:val="20"/>
                <w:color w:val="auto"/>
              </w:rPr>
            </w:pPr>
            <w:r>
              <w:rPr>
                <w:rFonts w:ascii="Arial" w:cs="Arial" w:eastAsia="Arial" w:hAnsi="Arial"/>
                <w:sz w:val="14"/>
                <w:szCs w:val="14"/>
                <w:b w:val="1"/>
                <w:bCs w:val="1"/>
                <w:color w:val="auto"/>
                <w:w w:val="89"/>
              </w:rPr>
              <w:t>2011</w:t>
            </w:r>
          </w:p>
        </w:tc>
        <w:tc>
          <w:tcPr>
            <w:tcW w:w="220" w:type="dxa"/>
            <w:vAlign w:val="bottom"/>
          </w:tcPr>
          <w:p>
            <w:pPr>
              <w:spacing w:after="0"/>
              <w:rPr>
                <w:sz w:val="12"/>
                <w:szCs w:val="12"/>
                <w:color w:val="auto"/>
              </w:rPr>
            </w:pPr>
          </w:p>
        </w:tc>
        <w:tc>
          <w:tcPr>
            <w:tcW w:w="860" w:type="dxa"/>
            <w:vAlign w:val="bottom"/>
            <w:tcBorders>
              <w:bottom w:val="single" w:sz="8" w:color="auto"/>
            </w:tcBorders>
            <w:vMerge w:val="continue"/>
          </w:tcPr>
          <w:p>
            <w:pPr>
              <w:spacing w:after="0"/>
              <w:rPr>
                <w:sz w:val="12"/>
                <w:szCs w:val="12"/>
                <w:color w:val="auto"/>
              </w:rPr>
            </w:pPr>
          </w:p>
        </w:tc>
        <w:tc>
          <w:tcPr>
            <w:tcW w:w="10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tcBorders>
              <w:bottom w:val="single" w:sz="8" w:color="auto"/>
            </w:tcBorders>
            <w:vMerge w:val="continue"/>
          </w:tcPr>
          <w:p>
            <w:pPr>
              <w:spacing w:after="0"/>
              <w:rPr>
                <w:sz w:val="12"/>
                <w:szCs w:val="12"/>
                <w:color w:val="auto"/>
              </w:rPr>
            </w:pPr>
          </w:p>
        </w:tc>
        <w:tc>
          <w:tcPr>
            <w:tcW w:w="1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0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80" w:type="dxa"/>
            <w:vAlign w:val="bottom"/>
            <w:gridSpan w:val="3"/>
          </w:tcPr>
          <w:p>
            <w:pPr>
              <w:jc w:val="right"/>
              <w:ind w:right="672"/>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Operating revenues:</w:t>
            </w:r>
          </w:p>
        </w:tc>
        <w:tc>
          <w:tcPr>
            <w:tcW w:w="4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22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4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Premiums and other considerations</w:t>
            </w:r>
          </w:p>
        </w:tc>
        <w:tc>
          <w:tcPr>
            <w:tcW w:w="560" w:type="dxa"/>
            <w:vAlign w:val="bottom"/>
            <w:gridSpan w:val="2"/>
          </w:tcPr>
          <w:p>
            <w:pPr>
              <w:jc w:val="right"/>
              <w:ind w:right="9"/>
              <w:spacing w:after="0" w:line="149" w:lineRule="exact"/>
              <w:rPr>
                <w:sz w:val="20"/>
                <w:szCs w:val="20"/>
                <w:color w:val="auto"/>
              </w:rPr>
            </w:pPr>
            <w:r>
              <w:rPr>
                <w:rFonts w:ascii="Arial" w:cs="Arial" w:eastAsia="Arial" w:hAnsi="Arial"/>
                <w:sz w:val="14"/>
                <w:szCs w:val="14"/>
                <w:b w:val="1"/>
                <w:bCs w:val="1"/>
                <w:color w:val="auto"/>
              </w:rPr>
              <w:t>$</w:t>
            </w: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1,816.5</w:t>
            </w:r>
          </w:p>
        </w:tc>
        <w:tc>
          <w:tcPr>
            <w:tcW w:w="28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1,769.3</w:t>
            </w:r>
          </w:p>
        </w:tc>
        <w:tc>
          <w:tcPr>
            <w:tcW w:w="100" w:type="dxa"/>
            <w:vAlign w:val="bottom"/>
          </w:tcPr>
          <w:p>
            <w:pPr>
              <w:spacing w:after="0"/>
              <w:rPr>
                <w:sz w:val="12"/>
                <w:szCs w:val="12"/>
                <w:color w:val="auto"/>
              </w:rPr>
            </w:pPr>
          </w:p>
        </w:tc>
        <w:tc>
          <w:tcPr>
            <w:tcW w:w="1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w w:val="98"/>
              </w:rPr>
              <w:t>1,724.0</w:t>
            </w:r>
          </w:p>
        </w:tc>
        <w:tc>
          <w:tcPr>
            <w:tcW w:w="2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47.2</w:t>
            </w:r>
          </w:p>
        </w:tc>
        <w:tc>
          <w:tcPr>
            <w:tcW w:w="100" w:type="dxa"/>
            <w:vAlign w:val="bottom"/>
          </w:tcPr>
          <w:p>
            <w:pPr>
              <w:spacing w:after="0"/>
              <w:rPr>
                <w:sz w:val="12"/>
                <w:szCs w:val="12"/>
                <w:color w:val="auto"/>
              </w:rPr>
            </w:pPr>
          </w:p>
        </w:tc>
        <w:tc>
          <w:tcPr>
            <w:tcW w:w="1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45.3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4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Fees and other revenues (1)</w:t>
            </w:r>
          </w:p>
        </w:tc>
        <w:tc>
          <w:tcPr>
            <w:tcW w:w="4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583.1</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531.1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526.2</w:t>
            </w:r>
          </w:p>
        </w:tc>
        <w:tc>
          <w:tcPr>
            <w:tcW w:w="22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52.0</w:t>
            </w: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4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Net investment income</w:t>
            </w:r>
          </w:p>
        </w:tc>
        <w:tc>
          <w:tcPr>
            <w:tcW w:w="4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706.8</w:t>
            </w:r>
          </w:p>
        </w:tc>
        <w:tc>
          <w:tcPr>
            <w:tcW w:w="18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694.3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689.7</w:t>
            </w:r>
          </w:p>
        </w:tc>
        <w:tc>
          <w:tcPr>
            <w:tcW w:w="220" w:type="dxa"/>
            <w:vAlign w:val="bottom"/>
          </w:tcPr>
          <w:p>
            <w:pPr>
              <w:spacing w:after="0"/>
              <w:rPr>
                <w:sz w:val="12"/>
                <w:szCs w:val="12"/>
                <w:color w:val="auto"/>
              </w:rPr>
            </w:pPr>
          </w:p>
        </w:tc>
        <w:tc>
          <w:tcPr>
            <w:tcW w:w="8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12.5</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4.6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140" w:type="dxa"/>
            <w:vAlign w:val="bottom"/>
            <w:gridSpan w:val="2"/>
            <w:shd w:val="clear" w:color="auto" w:fill="CCEEFF"/>
          </w:tcPr>
          <w:p>
            <w:pPr>
              <w:ind w:left="280"/>
              <w:spacing w:after="0" w:line="142" w:lineRule="exact"/>
              <w:rPr>
                <w:sz w:val="20"/>
                <w:szCs w:val="20"/>
                <w:color w:val="auto"/>
              </w:rPr>
            </w:pPr>
            <w:r>
              <w:rPr>
                <w:rFonts w:ascii="Arial" w:cs="Arial" w:eastAsia="Arial" w:hAnsi="Arial"/>
                <w:sz w:val="14"/>
                <w:szCs w:val="14"/>
                <w:color w:val="auto"/>
              </w:rPr>
              <w:t>Total operating revenues</w:t>
            </w:r>
          </w:p>
        </w:tc>
        <w:tc>
          <w:tcPr>
            <w:tcW w:w="4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3,106.4</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2,994.7</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8"/>
              </w:rPr>
              <w:t>2,939.9</w:t>
            </w:r>
          </w:p>
        </w:tc>
        <w:tc>
          <w:tcPr>
            <w:tcW w:w="22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111.7</w:t>
            </w: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54.8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40" w:type="dxa"/>
            <w:vAlign w:val="bottom"/>
            <w:gridSpan w:val="2"/>
          </w:tcPr>
          <w:p>
            <w:pPr>
              <w:spacing w:after="0" w:line="149" w:lineRule="exact"/>
              <w:rPr>
                <w:sz w:val="20"/>
                <w:szCs w:val="20"/>
                <w:color w:val="auto"/>
              </w:rPr>
            </w:pPr>
            <w:r>
              <w:rPr>
                <w:rFonts w:ascii="Arial" w:cs="Arial" w:eastAsia="Arial" w:hAnsi="Arial"/>
                <w:sz w:val="14"/>
                <w:szCs w:val="14"/>
                <w:color w:val="auto"/>
              </w:rPr>
              <w:t>Expenses:</w:t>
            </w:r>
          </w:p>
        </w:tc>
        <w:tc>
          <w:tcPr>
            <w:tcW w:w="4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4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Benefits, claims and settlement expenses (1)</w:t>
            </w:r>
          </w:p>
        </w:tc>
        <w:tc>
          <w:tcPr>
            <w:tcW w:w="4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1,836.2</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1,937.7</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8"/>
              </w:rPr>
              <w:t>1,672.7</w:t>
            </w:r>
          </w:p>
        </w:tc>
        <w:tc>
          <w:tcPr>
            <w:tcW w:w="220" w:type="dxa"/>
            <w:vAlign w:val="bottom"/>
            <w:tcBorders>
              <w:right w:val="single" w:sz="8" w:color="CCEEFF"/>
            </w:tcBorders>
            <w:shd w:val="clear" w:color="auto" w:fill="CCEEFF"/>
          </w:tcPr>
          <w:p>
            <w:pPr>
              <w:spacing w:after="0"/>
              <w:rPr>
                <w:sz w:val="12"/>
                <w:szCs w:val="12"/>
                <w:color w:val="auto"/>
              </w:rPr>
            </w:pPr>
          </w:p>
        </w:tc>
        <w:tc>
          <w:tcPr>
            <w:tcW w:w="9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(101.5)</w:t>
            </w:r>
          </w:p>
        </w:tc>
        <w:tc>
          <w:tcPr>
            <w:tcW w:w="14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265.0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4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Dividends to policyholders</w:t>
            </w:r>
          </w:p>
        </w:tc>
        <w:tc>
          <w:tcPr>
            <w:tcW w:w="4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187.5</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195.8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207.6</w:t>
            </w:r>
          </w:p>
        </w:tc>
        <w:tc>
          <w:tcPr>
            <w:tcW w:w="220" w:type="dxa"/>
            <w:vAlign w:val="bottom"/>
          </w:tcPr>
          <w:p>
            <w:pPr>
              <w:spacing w:after="0"/>
              <w:rPr>
                <w:sz w:val="12"/>
                <w:szCs w:val="12"/>
                <w:color w:val="auto"/>
              </w:rPr>
            </w:pPr>
          </w:p>
        </w:tc>
        <w:tc>
          <w:tcPr>
            <w:tcW w:w="9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(8.3)</w:t>
            </w:r>
          </w:p>
        </w:tc>
        <w:tc>
          <w:tcPr>
            <w:tcW w:w="140" w:type="dxa"/>
            <w:vAlign w:val="bottom"/>
          </w:tcPr>
          <w:p>
            <w:pPr>
              <w:spacing w:after="0"/>
              <w:rPr>
                <w:sz w:val="12"/>
                <w:szCs w:val="12"/>
                <w:color w:val="auto"/>
              </w:rPr>
            </w:pPr>
          </w:p>
        </w:tc>
        <w:tc>
          <w:tcPr>
            <w:tcW w:w="10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(11.8)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4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Operating expenses (1)</w:t>
            </w:r>
          </w:p>
        </w:tc>
        <w:tc>
          <w:tcPr>
            <w:tcW w:w="4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792.1</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661.7</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760.0</w:t>
            </w:r>
          </w:p>
        </w:tc>
        <w:tc>
          <w:tcPr>
            <w:tcW w:w="22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130.4</w:t>
            </w: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10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(98.3)</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140" w:type="dxa"/>
            <w:vAlign w:val="bottom"/>
            <w:gridSpan w:val="2"/>
          </w:tcPr>
          <w:p>
            <w:pPr>
              <w:ind w:left="280"/>
              <w:spacing w:after="0" w:line="142" w:lineRule="exact"/>
              <w:rPr>
                <w:sz w:val="20"/>
                <w:szCs w:val="20"/>
                <w:color w:val="auto"/>
              </w:rPr>
            </w:pPr>
            <w:r>
              <w:rPr>
                <w:rFonts w:ascii="Arial" w:cs="Arial" w:eastAsia="Arial" w:hAnsi="Arial"/>
                <w:sz w:val="14"/>
                <w:szCs w:val="14"/>
                <w:color w:val="auto"/>
              </w:rPr>
              <w:t>Total expenses</w:t>
            </w:r>
          </w:p>
        </w:tc>
        <w:tc>
          <w:tcPr>
            <w:tcW w:w="44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2,815.8</w:t>
            </w:r>
          </w:p>
        </w:tc>
        <w:tc>
          <w:tcPr>
            <w:tcW w:w="18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2,795.2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98"/>
              </w:rPr>
              <w:t>2,640.3</w:t>
            </w:r>
          </w:p>
        </w:tc>
        <w:tc>
          <w:tcPr>
            <w:tcW w:w="220" w:type="dxa"/>
            <w:vAlign w:val="bottom"/>
          </w:tcPr>
          <w:p>
            <w:pPr>
              <w:spacing w:after="0"/>
              <w:rPr>
                <w:sz w:val="12"/>
                <w:szCs w:val="12"/>
                <w:color w:val="auto"/>
              </w:rPr>
            </w:pP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20.6</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154.9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14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w w:val="97"/>
              </w:rPr>
              <w:t>Operating earnings before income taxes and noncontrolling interests</w:t>
            </w:r>
          </w:p>
        </w:tc>
        <w:tc>
          <w:tcPr>
            <w:tcW w:w="4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290.6</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199.5</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299.6</w:t>
            </w:r>
          </w:p>
        </w:tc>
        <w:tc>
          <w:tcPr>
            <w:tcW w:w="22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91.1</w:t>
            </w: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10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(100.1)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40" w:type="dxa"/>
            <w:vAlign w:val="bottom"/>
            <w:gridSpan w:val="2"/>
          </w:tcPr>
          <w:p>
            <w:pPr>
              <w:spacing w:after="0" w:line="149" w:lineRule="exact"/>
              <w:rPr>
                <w:sz w:val="20"/>
                <w:szCs w:val="20"/>
                <w:color w:val="auto"/>
              </w:rPr>
            </w:pPr>
            <w:r>
              <w:rPr>
                <w:rFonts w:ascii="Arial" w:cs="Arial" w:eastAsia="Arial" w:hAnsi="Arial"/>
                <w:sz w:val="14"/>
                <w:szCs w:val="14"/>
                <w:color w:val="auto"/>
              </w:rPr>
              <w:t>Income taxes</w:t>
            </w:r>
          </w:p>
        </w:tc>
        <w:tc>
          <w:tcPr>
            <w:tcW w:w="4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94.0</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61.3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95.3</w:t>
            </w:r>
          </w:p>
        </w:tc>
        <w:tc>
          <w:tcPr>
            <w:tcW w:w="22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32.7</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(34.0)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30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414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Operating earnings</w:t>
            </w:r>
          </w:p>
        </w:tc>
        <w:tc>
          <w:tcPr>
            <w:tcW w:w="440" w:type="dxa"/>
            <w:vAlign w:val="bottom"/>
            <w:shd w:val="clear" w:color="auto" w:fill="CCEEFF"/>
          </w:tcPr>
          <w:p>
            <w:pPr>
              <w:spacing w:after="0"/>
              <w:rPr>
                <w:sz w:val="12"/>
                <w:szCs w:val="12"/>
                <w:color w:val="auto"/>
              </w:rPr>
            </w:pP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196.6</w:t>
            </w:r>
          </w:p>
        </w:tc>
        <w:tc>
          <w:tcPr>
            <w:tcW w:w="28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138.2</w:t>
            </w:r>
          </w:p>
        </w:tc>
        <w:tc>
          <w:tcPr>
            <w:tcW w:w="10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204.3</w:t>
            </w:r>
          </w:p>
        </w:tc>
        <w:tc>
          <w:tcPr>
            <w:tcW w:w="220" w:type="dxa"/>
            <w:vAlign w:val="bottom"/>
            <w:tcBorders>
              <w:right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58.4</w:t>
            </w: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(66.1)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30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3020" w:type="dxa"/>
            <w:vAlign w:val="bottom"/>
          </w:tcPr>
          <w:p>
            <w:pPr>
              <w:spacing w:after="0"/>
              <w:rPr>
                <w:sz w:val="7"/>
                <w:szCs w:val="7"/>
                <w:color w:val="auto"/>
              </w:rPr>
            </w:pPr>
          </w:p>
        </w:tc>
        <w:tc>
          <w:tcPr>
            <w:tcW w:w="440" w:type="dxa"/>
            <w:vAlign w:val="bottom"/>
          </w:tcPr>
          <w:p>
            <w:pPr>
              <w:spacing w:after="0"/>
              <w:rPr>
                <w:sz w:val="7"/>
                <w:szCs w:val="7"/>
                <w:color w:val="auto"/>
              </w:rPr>
            </w:pPr>
          </w:p>
        </w:tc>
        <w:tc>
          <w:tcPr>
            <w:tcW w:w="120" w:type="dxa"/>
            <w:vAlign w:val="bottom"/>
          </w:tcPr>
          <w:p>
            <w:pPr>
              <w:spacing w:after="0"/>
              <w:rPr>
                <w:sz w:val="7"/>
                <w:szCs w:val="7"/>
                <w:color w:val="auto"/>
              </w:rPr>
            </w:pPr>
          </w:p>
        </w:tc>
        <w:tc>
          <w:tcPr>
            <w:tcW w:w="5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5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500" w:type="dxa"/>
            <w:vAlign w:val="bottom"/>
          </w:tcPr>
          <w:p>
            <w:pPr>
              <w:spacing w:after="0"/>
              <w:rPr>
                <w:sz w:val="7"/>
                <w:szCs w:val="7"/>
                <w:color w:val="auto"/>
              </w:rPr>
            </w:pPr>
          </w:p>
        </w:tc>
        <w:tc>
          <w:tcPr>
            <w:tcW w:w="220" w:type="dxa"/>
            <w:vAlign w:val="bottom"/>
          </w:tcPr>
          <w:p>
            <w:pPr>
              <w:spacing w:after="0"/>
              <w:rPr>
                <w:sz w:val="7"/>
                <w:szCs w:val="7"/>
                <w:color w:val="auto"/>
              </w:rPr>
            </w:pPr>
          </w:p>
        </w:tc>
        <w:tc>
          <w:tcPr>
            <w:tcW w:w="8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40" w:type="dxa"/>
            <w:vAlign w:val="bottom"/>
          </w:tcPr>
          <w:p>
            <w:pPr>
              <w:spacing w:after="0"/>
              <w:rPr>
                <w:sz w:val="7"/>
                <w:szCs w:val="7"/>
                <w:color w:val="auto"/>
              </w:rPr>
            </w:pPr>
          </w:p>
        </w:tc>
        <w:tc>
          <w:tcPr>
            <w:tcW w:w="86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ind w:left="1680" w:hanging="531"/>
        <w:spacing w:after="0" w:line="318" w:lineRule="auto"/>
        <w:tabs>
          <w:tab w:leader="none" w:pos="1680" w:val="left"/>
        </w:tabs>
        <w:numPr>
          <w:ilvl w:val="0"/>
          <w:numId w:val="26"/>
        </w:numPr>
        <w:rPr>
          <w:rFonts w:ascii="Arial" w:cs="Arial" w:eastAsia="Arial" w:hAnsi="Arial"/>
          <w:sz w:val="12"/>
          <w:szCs w:val="12"/>
          <w:color w:val="auto"/>
        </w:rPr>
      </w:pPr>
      <w:r>
        <w:rPr>
          <w:rFonts w:ascii="Arial" w:cs="Arial" w:eastAsia="Arial" w:hAnsi="Arial"/>
          <w:sz w:val="12"/>
          <w:szCs w:val="12"/>
          <w:color w:val="auto"/>
        </w:rPr>
        <w:t>For further details related to the impact associated with the actuarial assumption updates and the change in basis for amortizing DAC and other actuarial balances on results for 2012 and see "Transactions Affecting Comparability of Results of Operations — Actuarial Assumption Updates" and "Individual Life Insurance Amortization".</w:t>
      </w:r>
    </w:p>
    <w:p>
      <w:pPr>
        <w:spacing w:after="0" w:line="15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5" w:name="page56"/>
    <w:bookmarkEnd w:id="5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Year Ended December 31, 2013 Compared to Year Ended December 31, 2012</w:t>
      </w:r>
    </w:p>
    <w:p>
      <w:pPr>
        <w:spacing w:after="0" w:line="219"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Operating Earnings</w:t>
      </w:r>
    </w:p>
    <w:p>
      <w:pPr>
        <w:spacing w:after="0" w:line="231" w:lineRule="exact"/>
        <w:rPr>
          <w:sz w:val="20"/>
          <w:szCs w:val="20"/>
          <w:color w:val="auto"/>
        </w:rPr>
      </w:pPr>
    </w:p>
    <w:p>
      <w:pPr>
        <w:jc w:val="both"/>
        <w:ind w:firstLine="385"/>
        <w:spacing w:after="0" w:line="256" w:lineRule="auto"/>
        <w:rPr>
          <w:sz w:val="20"/>
          <w:szCs w:val="20"/>
          <w:color w:val="auto"/>
        </w:rPr>
      </w:pPr>
      <w:r>
        <w:rPr>
          <w:rFonts w:ascii="Arial" w:cs="Arial" w:eastAsia="Arial" w:hAnsi="Arial"/>
          <w:sz w:val="18"/>
          <w:szCs w:val="18"/>
          <w:color w:val="auto"/>
        </w:rPr>
        <w:t>Operating earnings increased $42.1 million in our individual life insurance business primarily due to unfavorable unlocking associated with a change in our long-term interest rate assumptions and model refinements in 2012, partially offset by higher mortality in 2013. Operating earnings increased $16.3 million in our specialty benefits business primarily due to improved claim experience and growth in our business partially offset by higher staff-related costs, including pension and postretirement benefit expense.</w:t>
      </w:r>
    </w:p>
    <w:p>
      <w:pPr>
        <w:spacing w:after="0" w:line="191"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Operating Revenues</w:t>
      </w:r>
    </w:p>
    <w:p>
      <w:pPr>
        <w:spacing w:after="0" w:line="231" w:lineRule="exact"/>
        <w:rPr>
          <w:sz w:val="20"/>
          <w:szCs w:val="20"/>
          <w:color w:val="auto"/>
        </w:rPr>
      </w:pPr>
    </w:p>
    <w:p>
      <w:pPr>
        <w:jc w:val="both"/>
        <w:ind w:firstLine="446"/>
        <w:spacing w:after="0" w:line="268" w:lineRule="auto"/>
        <w:rPr>
          <w:sz w:val="20"/>
          <w:szCs w:val="20"/>
          <w:color w:val="auto"/>
        </w:rPr>
      </w:pPr>
      <w:r>
        <w:rPr>
          <w:rFonts w:ascii="Arial" w:cs="Arial" w:eastAsia="Arial" w:hAnsi="Arial"/>
          <w:sz w:val="18"/>
          <w:szCs w:val="18"/>
          <w:color w:val="auto"/>
        </w:rPr>
        <w:t>Premiums increased $50.7 million in our specialty benefits insurance business due to growth as a result of solid sales in the block of business and stable employment and salary trends.</w:t>
      </w:r>
    </w:p>
    <w:p>
      <w:pPr>
        <w:spacing w:after="0" w:line="186" w:lineRule="exact"/>
        <w:rPr>
          <w:sz w:val="20"/>
          <w:szCs w:val="20"/>
          <w:color w:val="auto"/>
        </w:rPr>
      </w:pPr>
    </w:p>
    <w:p>
      <w:pPr>
        <w:jc w:val="both"/>
        <w:ind w:firstLine="390"/>
        <w:spacing w:after="0" w:line="256" w:lineRule="auto"/>
        <w:rPr>
          <w:sz w:val="20"/>
          <w:szCs w:val="20"/>
          <w:color w:val="auto"/>
        </w:rPr>
      </w:pPr>
      <w:r>
        <w:rPr>
          <w:rFonts w:ascii="Arial" w:cs="Arial" w:eastAsia="Arial" w:hAnsi="Arial"/>
          <w:sz w:val="18"/>
          <w:szCs w:val="18"/>
          <w:color w:val="auto"/>
        </w:rPr>
        <w:t>Fees and other revenues increased $53.8 million in our individual life insurance business due to unlocking of unearned revenue associated with a change in basis for amortizing DAC and other actuarial balances in the first quarter of 2012 and growth in the block of business. This increase was partially offset by a decrease in fees and other revenues due to unlocking associated with a change in our long-term interest rate assumptions and model refinements in the third quarter of 2012.</w:t>
      </w:r>
    </w:p>
    <w:p>
      <w:pPr>
        <w:spacing w:after="0" w:line="191"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Total Expenses</w:t>
      </w:r>
    </w:p>
    <w:p>
      <w:pPr>
        <w:spacing w:after="0" w:line="231" w:lineRule="exact"/>
        <w:rPr>
          <w:sz w:val="20"/>
          <w:szCs w:val="20"/>
          <w:color w:val="auto"/>
        </w:rPr>
      </w:pPr>
    </w:p>
    <w:p>
      <w:pPr>
        <w:jc w:val="both"/>
        <w:ind w:firstLine="351"/>
        <w:spacing w:after="0" w:line="306" w:lineRule="auto"/>
        <w:rPr>
          <w:sz w:val="20"/>
          <w:szCs w:val="20"/>
          <w:color w:val="auto"/>
        </w:rPr>
      </w:pPr>
      <w:r>
        <w:rPr>
          <w:rFonts w:ascii="Arial" w:cs="Arial" w:eastAsia="Arial" w:hAnsi="Arial"/>
          <w:sz w:val="16"/>
          <w:szCs w:val="16"/>
          <w:color w:val="auto"/>
        </w:rPr>
        <w:t>Benefits, claims and settlement expenses decreased $99.8 million in our individual life insurance business primarily due to the change in basis for amortizing DAC and other actuarial balances in the first quarter of 2012 and the unlocking associated with a change in our long-term interest rate assumptions and model refinements in the third quarter of 2012. This decrease was partially offset by higher mortality and growth in 2013.</w:t>
      </w:r>
    </w:p>
    <w:p>
      <w:pPr>
        <w:spacing w:after="0" w:line="161" w:lineRule="exact"/>
        <w:rPr>
          <w:sz w:val="20"/>
          <w:szCs w:val="20"/>
          <w:color w:val="auto"/>
        </w:rPr>
      </w:pPr>
    </w:p>
    <w:p>
      <w:pPr>
        <w:jc w:val="both"/>
        <w:ind w:firstLine="438"/>
        <w:spacing w:after="0" w:line="298" w:lineRule="auto"/>
        <w:rPr>
          <w:sz w:val="20"/>
          <w:szCs w:val="20"/>
          <w:color w:val="auto"/>
        </w:rPr>
      </w:pPr>
      <w:r>
        <w:rPr>
          <w:rFonts w:ascii="Arial" w:cs="Arial" w:eastAsia="Arial" w:hAnsi="Arial"/>
          <w:sz w:val="16"/>
          <w:szCs w:val="16"/>
          <w:color w:val="auto"/>
        </w:rPr>
        <w:t>Operating expenses increased $102.6 million in our individual life insurance business primarily due to the change in basis for amortizing DAC and other actuarial balances in the first quarter of 2012 partially offset by unlocking associated with a change in our long-term interest rate assumptions and model refinements in the third quarter of 2012. In addition, operating expenses increased $28.0 million in our specialty benefits insurance business primarily due to growth in the block of business and higher staff related costs, including pension and other postretirement benefits.</w:t>
      </w:r>
    </w:p>
    <w:p>
      <w:pPr>
        <w:spacing w:after="0" w:line="161"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Income Taxes</w:t>
      </w:r>
    </w:p>
    <w:p>
      <w:pPr>
        <w:spacing w:after="0" w:line="231" w:lineRule="exact"/>
        <w:rPr>
          <w:sz w:val="20"/>
          <w:szCs w:val="20"/>
          <w:color w:val="auto"/>
        </w:rPr>
      </w:pPr>
    </w:p>
    <w:p>
      <w:pPr>
        <w:jc w:val="both"/>
        <w:ind w:firstLine="381"/>
        <w:spacing w:after="0" w:line="259" w:lineRule="auto"/>
        <w:rPr>
          <w:sz w:val="20"/>
          <w:szCs w:val="20"/>
          <w:color w:val="auto"/>
        </w:rPr>
      </w:pPr>
      <w:r>
        <w:rPr>
          <w:rFonts w:ascii="Arial" w:cs="Arial" w:eastAsia="Arial" w:hAnsi="Arial"/>
          <w:sz w:val="18"/>
          <w:szCs w:val="18"/>
          <w:color w:val="auto"/>
        </w:rPr>
        <w:t>The effective income tax rates for the segment were 32% and 31% for the years ended December 31, 2013 and 2012, respectively. The effective income tax rates were lower than the U.S. statutory rate as a result of the interest exclusion from taxable income and income tax deductions allowed for corporate dividends received.</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Year Ended December 31, 2012 Compared to Year Ended December 31, 2011</w:t>
      </w:r>
    </w:p>
    <w:p>
      <w:pPr>
        <w:spacing w:after="0" w:line="219"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Operating Earnings</w:t>
      </w:r>
    </w:p>
    <w:p>
      <w:pPr>
        <w:spacing w:after="0" w:line="231" w:lineRule="exact"/>
        <w:rPr>
          <w:sz w:val="20"/>
          <w:szCs w:val="20"/>
          <w:color w:val="auto"/>
        </w:rPr>
      </w:pPr>
    </w:p>
    <w:p>
      <w:pPr>
        <w:jc w:val="both"/>
        <w:ind w:firstLine="377"/>
        <w:spacing w:after="0" w:line="259" w:lineRule="auto"/>
        <w:rPr>
          <w:sz w:val="20"/>
          <w:szCs w:val="20"/>
          <w:color w:val="auto"/>
        </w:rPr>
      </w:pPr>
      <w:r>
        <w:rPr>
          <w:rFonts w:ascii="Arial" w:cs="Arial" w:eastAsia="Arial" w:hAnsi="Arial"/>
          <w:sz w:val="18"/>
          <w:szCs w:val="18"/>
          <w:color w:val="auto"/>
        </w:rPr>
        <w:t>Operating earnings decreased $60.8 million in our individual life insurance business primarily due to unfavorable unlocking associated with a change in our long-term interest rate assumptions and model refinements in the third quarter of 2012. Operating earnings decreased $5.3 million in our specialty benefits business primarily due to lower yields on invested assets and higher pension and postretirement benefits.</w:t>
      </w:r>
    </w:p>
    <w:p>
      <w:pPr>
        <w:spacing w:after="0" w:line="188"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Operating Revenues</w:t>
      </w:r>
    </w:p>
    <w:p>
      <w:pPr>
        <w:spacing w:after="0" w:line="231" w:lineRule="exact"/>
        <w:rPr>
          <w:sz w:val="20"/>
          <w:szCs w:val="20"/>
          <w:color w:val="auto"/>
        </w:rPr>
      </w:pPr>
    </w:p>
    <w:p>
      <w:pPr>
        <w:jc w:val="both"/>
        <w:ind w:firstLine="564"/>
        <w:spacing w:after="0" w:line="256" w:lineRule="auto"/>
        <w:rPr>
          <w:sz w:val="20"/>
          <w:szCs w:val="20"/>
          <w:color w:val="auto"/>
        </w:rPr>
      </w:pPr>
      <w:r>
        <w:rPr>
          <w:rFonts w:ascii="Arial" w:cs="Arial" w:eastAsia="Arial" w:hAnsi="Arial"/>
          <w:sz w:val="18"/>
          <w:szCs w:val="18"/>
          <w:color w:val="auto"/>
        </w:rPr>
        <w:t>Premiums increased $64.8 million in our specialty benefits insurance business due to growth in all lines of our business and continued recovery in employment and salary trends. Premiums decreased $19.5 million in our individual life insurance business primarily due to an increase in use of ceded premium stemming from growth in our universal life and variable universal life lines of business and, to a lesser extent, expected continued decline from the decreasing block of traditional life insurance business.</w:t>
      </w:r>
    </w:p>
    <w:p>
      <w:pPr>
        <w:spacing w:after="0" w:line="197" w:lineRule="exact"/>
        <w:rPr>
          <w:sz w:val="20"/>
          <w:szCs w:val="20"/>
          <w:color w:val="auto"/>
        </w:rPr>
      </w:pPr>
    </w:p>
    <w:p>
      <w:pPr>
        <w:jc w:val="both"/>
        <w:ind w:firstLine="361"/>
        <w:spacing w:after="0" w:line="323" w:lineRule="auto"/>
        <w:rPr>
          <w:sz w:val="20"/>
          <w:szCs w:val="20"/>
          <w:color w:val="auto"/>
        </w:rPr>
      </w:pPr>
      <w:r>
        <w:rPr>
          <w:rFonts w:ascii="Arial" w:cs="Arial" w:eastAsia="Arial" w:hAnsi="Arial"/>
          <w:sz w:val="15"/>
          <w:szCs w:val="15"/>
          <w:color w:val="auto"/>
        </w:rPr>
        <w:t>Fees and other revenues increased $3.2 million in our individual life insurance business due to growth in the universal life and variable universal life lines of business and unlocking associated with a change in our long-term interest rate assumptions and model refinements in the third quarter of 2012. The increase was offset by negative unlocking of unearned revenue associated with the change in basis for amortizing DAC and other actuarial balances in the first quarter of 2012. In addition, fees and other revenues increased $1.7 million in our specialty benefits insurance business primarily due to the acquisition of First Dental Health.</w:t>
      </w:r>
    </w:p>
    <w:p>
      <w:pPr>
        <w:spacing w:after="0" w:line="146"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Total Expenses</w:t>
      </w:r>
    </w:p>
    <w:p>
      <w:pPr>
        <w:spacing w:after="0" w:line="231" w:lineRule="exact"/>
        <w:rPr>
          <w:sz w:val="20"/>
          <w:szCs w:val="20"/>
          <w:color w:val="auto"/>
        </w:rPr>
      </w:pPr>
    </w:p>
    <w:p>
      <w:pPr>
        <w:jc w:val="both"/>
        <w:ind w:firstLine="370"/>
        <w:spacing w:after="0" w:line="256" w:lineRule="auto"/>
        <w:rPr>
          <w:sz w:val="20"/>
          <w:szCs w:val="20"/>
          <w:color w:val="auto"/>
        </w:rPr>
      </w:pPr>
      <w:r>
        <w:rPr>
          <w:rFonts w:ascii="Arial" w:cs="Arial" w:eastAsia="Arial" w:hAnsi="Arial"/>
          <w:sz w:val="18"/>
          <w:szCs w:val="18"/>
          <w:color w:val="auto"/>
        </w:rPr>
        <w:t>Benefits, claims and settlement expenses increased $220.8 million in our individual life insurance business primarily due to the change in amortization basis in the first quarter of 2012, unlocking associated with a change in our long-term interest rate assumptions and model refinements in the third quarter of 2012 and growth in the block of business. In addition, benefits, claims and settlement expenses increased $44.2 million resulting from continued growth in our specialty benefits insurance business.</w:t>
      </w:r>
    </w:p>
    <w:p>
      <w:pPr>
        <w:sectPr>
          <w:pgSz w:w="11900" w:h="16838" w:orient="portrait"/>
          <w:cols w:equalWidth="0" w:num="1">
            <w:col w:w="11420"/>
          </w:cols>
          <w:pgMar w:left="240" w:top="131" w:right="239" w:bottom="1440" w:gutter="0" w:footer="0" w:header="0"/>
        </w:sectPr>
      </w:pP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56" w:name="page57"/>
    <w:bookmarkEnd w:id="5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firstLine="358"/>
        <w:spacing w:after="0" w:line="298" w:lineRule="auto"/>
        <w:rPr>
          <w:sz w:val="20"/>
          <w:szCs w:val="20"/>
          <w:color w:val="auto"/>
        </w:rPr>
      </w:pPr>
      <w:r>
        <w:rPr>
          <w:rFonts w:ascii="Arial" w:cs="Arial" w:eastAsia="Arial" w:hAnsi="Arial"/>
          <w:sz w:val="16"/>
          <w:szCs w:val="16"/>
          <w:color w:val="auto"/>
        </w:rPr>
        <w:t>Operating expenses decreased $125.1 million in our individual life business primarily due to lower DAC amortization associated with the change in basis for amortizing DAC and other actuarial balances in the first quarter of 2012, partially offset by unlocking associated with the change in our long-term interest rate assumptions and model refinements. Operating expenses increased $26.8 million in our specialty benefits insurance business primarily due to growth in the block of business and higher staff related costs, including pension and other postretirement benefits.</w:t>
      </w:r>
    </w:p>
    <w:p>
      <w:pPr>
        <w:spacing w:after="0" w:line="161"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Income Taxes</w:t>
      </w:r>
    </w:p>
    <w:p>
      <w:pPr>
        <w:spacing w:after="0" w:line="231" w:lineRule="exact"/>
        <w:rPr>
          <w:sz w:val="20"/>
          <w:szCs w:val="20"/>
          <w:color w:val="auto"/>
        </w:rPr>
      </w:pPr>
    </w:p>
    <w:p>
      <w:pPr>
        <w:jc w:val="both"/>
        <w:ind w:firstLine="381"/>
        <w:spacing w:after="0" w:line="259" w:lineRule="auto"/>
        <w:rPr>
          <w:sz w:val="20"/>
          <w:szCs w:val="20"/>
          <w:color w:val="auto"/>
        </w:rPr>
      </w:pPr>
      <w:r>
        <w:rPr>
          <w:rFonts w:ascii="Arial" w:cs="Arial" w:eastAsia="Arial" w:hAnsi="Arial"/>
          <w:sz w:val="18"/>
          <w:szCs w:val="18"/>
          <w:color w:val="auto"/>
        </w:rPr>
        <w:t>The effective income tax rates for the segment were 31% and 32% for the years ended December 31, 2012 and 2011, respectively. The effective income tax rates were lower than the U.S. statutory rate as a result of the interest exclusion from taxable income and income tax deductions allowed for corporate dividends received.</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Segment</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Corporate Segment Summary Financial Data</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presents certain summary financial data relating to the Corporate segment for the years indicated:</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5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60" w:type="dxa"/>
            <w:vAlign w:val="bottom"/>
            <w:gridSpan w:val="8"/>
          </w:tcPr>
          <w:p>
            <w:pPr>
              <w:jc w:val="center"/>
              <w:ind w:left="272"/>
              <w:spacing w:after="0"/>
              <w:rPr>
                <w:sz w:val="20"/>
                <w:szCs w:val="20"/>
                <w:color w:val="auto"/>
              </w:rPr>
            </w:pPr>
            <w:r>
              <w:rPr>
                <w:rFonts w:ascii="Arial" w:cs="Arial" w:eastAsia="Arial" w:hAnsi="Arial"/>
                <w:sz w:val="14"/>
                <w:szCs w:val="14"/>
                <w:b w:val="1"/>
                <w:bCs w:val="1"/>
                <w:color w:val="auto"/>
                <w:w w:val="86"/>
              </w:rPr>
              <w:t>For the year ended</w:t>
            </w:r>
          </w:p>
        </w:tc>
        <w:tc>
          <w:tcPr>
            <w:tcW w:w="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960" w:type="dxa"/>
            <w:vAlign w:val="bottom"/>
            <w:tcBorders>
              <w:bottom w:val="single" w:sz="8" w:color="auto"/>
            </w:tcBorders>
            <w:gridSpan w:val="4"/>
          </w:tcPr>
          <w:p>
            <w:pPr>
              <w:jc w:val="right"/>
              <w:ind w:right="392"/>
              <w:spacing w:after="0"/>
              <w:rPr>
                <w:sz w:val="20"/>
                <w:szCs w:val="20"/>
                <w:color w:val="auto"/>
              </w:rPr>
            </w:pPr>
            <w:r>
              <w:rPr>
                <w:rFonts w:ascii="Arial" w:cs="Arial" w:eastAsia="Arial" w:hAnsi="Arial"/>
                <w:sz w:val="14"/>
                <w:szCs w:val="14"/>
                <w:b w:val="1"/>
                <w:bCs w:val="1"/>
                <w:color w:val="auto"/>
              </w:rPr>
              <w:t>Increase (decrease)</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46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gridSpan w:val="4"/>
          </w:tcPr>
          <w:p>
            <w:pPr>
              <w:jc w:val="center"/>
              <w:ind w:right="40"/>
              <w:spacing w:after="0" w:line="129" w:lineRule="exact"/>
              <w:rPr>
                <w:sz w:val="20"/>
                <w:szCs w:val="20"/>
                <w:color w:val="auto"/>
              </w:rPr>
            </w:pPr>
            <w:r>
              <w:rPr>
                <w:rFonts w:ascii="Arial" w:cs="Arial" w:eastAsia="Arial" w:hAnsi="Arial"/>
                <w:sz w:val="14"/>
                <w:szCs w:val="14"/>
                <w:b w:val="1"/>
                <w:bCs w:val="1"/>
                <w:color w:val="auto"/>
                <w:w w:val="85"/>
              </w:rPr>
              <w:t>December 31,</w:t>
            </w:r>
          </w:p>
        </w:tc>
        <w:tc>
          <w:tcPr>
            <w:tcW w:w="2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460" w:type="dxa"/>
            <w:vAlign w:val="bottom"/>
            <w:tcBorders>
              <w:bottom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vMerge w:val="restart"/>
          </w:tcPr>
          <w:p>
            <w:pPr>
              <w:jc w:val="right"/>
              <w:ind w:right="12"/>
              <w:spacing w:after="0"/>
              <w:rPr>
                <w:sz w:val="20"/>
                <w:szCs w:val="20"/>
                <w:color w:val="auto"/>
              </w:rPr>
            </w:pPr>
            <w:r>
              <w:rPr>
                <w:rFonts w:ascii="Arial" w:cs="Arial" w:eastAsia="Arial" w:hAnsi="Arial"/>
                <w:sz w:val="14"/>
                <w:szCs w:val="14"/>
                <w:b w:val="1"/>
                <w:bCs w:val="1"/>
                <w:color w:val="auto"/>
                <w:w w:val="84"/>
              </w:rPr>
              <w:t>2013 vs. 2012</w:t>
            </w:r>
          </w:p>
        </w:tc>
        <w:tc>
          <w:tcPr>
            <w:tcW w:w="100" w:type="dxa"/>
            <w:vAlign w:val="bottom"/>
            <w:vMerge w:val="restart"/>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vMerge w:val="restart"/>
          </w:tcPr>
          <w:p>
            <w:pPr>
              <w:jc w:val="right"/>
              <w:ind w:right="32"/>
              <w:spacing w:after="0"/>
              <w:rPr>
                <w:sz w:val="20"/>
                <w:szCs w:val="20"/>
                <w:color w:val="auto"/>
              </w:rPr>
            </w:pPr>
            <w:r>
              <w:rPr>
                <w:rFonts w:ascii="Arial" w:cs="Arial" w:eastAsia="Arial" w:hAnsi="Arial"/>
                <w:sz w:val="14"/>
                <w:szCs w:val="14"/>
                <w:b w:val="1"/>
                <w:bCs w:val="1"/>
                <w:color w:val="auto"/>
                <w:w w:val="82"/>
              </w:rPr>
              <w:t>2012 vs. 2011</w:t>
            </w:r>
          </w:p>
        </w:tc>
        <w:tc>
          <w:tcPr>
            <w:tcW w:w="160" w:type="dxa"/>
            <w:vAlign w:val="bottom"/>
            <w:vMerge w:val="restart"/>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89"/>
              </w:rPr>
              <w:t>2013</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center"/>
              <w:ind w:right="32"/>
              <w:spacing w:after="0" w:line="142" w:lineRule="exact"/>
              <w:rPr>
                <w:sz w:val="20"/>
                <w:szCs w:val="20"/>
                <w:color w:val="auto"/>
              </w:rPr>
            </w:pPr>
            <w:r>
              <w:rPr>
                <w:rFonts w:ascii="Arial" w:cs="Arial" w:eastAsia="Arial" w:hAnsi="Arial"/>
                <w:sz w:val="14"/>
                <w:szCs w:val="14"/>
                <w:b w:val="1"/>
                <w:bCs w:val="1"/>
                <w:color w:val="auto"/>
                <w:w w:val="89"/>
              </w:rPr>
              <w:t>2012</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89"/>
              </w:rPr>
              <w:t>2011</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Borders>
              <w:bottom w:val="single" w:sz="8" w:color="auto"/>
            </w:tcBorders>
            <w:vMerge w:val="continue"/>
          </w:tcPr>
          <w:p>
            <w:pPr>
              <w:spacing w:after="0"/>
              <w:rPr>
                <w:sz w:val="12"/>
                <w:szCs w:val="12"/>
                <w:color w:val="auto"/>
              </w:rPr>
            </w:pPr>
          </w:p>
        </w:tc>
        <w:tc>
          <w:tcPr>
            <w:tcW w:w="10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tcBorders>
              <w:bottom w:val="single" w:sz="8" w:color="auto"/>
            </w:tcBorders>
            <w:vMerge w:val="continue"/>
          </w:tcPr>
          <w:p>
            <w:pPr>
              <w:spacing w:after="0"/>
              <w:rPr>
                <w:sz w:val="12"/>
                <w:szCs w:val="12"/>
                <w:color w:val="auto"/>
              </w:rPr>
            </w:pPr>
          </w:p>
        </w:tc>
        <w:tc>
          <w:tcPr>
            <w:tcW w:w="1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40" w:type="dxa"/>
            <w:vAlign w:val="bottom"/>
            <w:gridSpan w:val="4"/>
          </w:tcPr>
          <w:p>
            <w:pPr>
              <w:jc w:val="right"/>
              <w:ind w:right="592"/>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Operating revenues:</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60" w:type="dxa"/>
            <w:vAlign w:val="bottom"/>
          </w:tcPr>
          <w:p>
            <w:pPr>
              <w:ind w:left="140"/>
              <w:spacing w:after="0" w:line="149" w:lineRule="exact"/>
              <w:rPr>
                <w:sz w:val="20"/>
                <w:szCs w:val="20"/>
                <w:color w:val="auto"/>
              </w:rPr>
            </w:pPr>
            <w:r>
              <w:rPr>
                <w:rFonts w:ascii="Arial" w:cs="Arial" w:eastAsia="Arial" w:hAnsi="Arial"/>
                <w:sz w:val="14"/>
                <w:szCs w:val="14"/>
                <w:color w:val="auto"/>
              </w:rPr>
              <w:t>Total operating revenues</w:t>
            </w:r>
          </w:p>
        </w:tc>
        <w:tc>
          <w:tcPr>
            <w:tcW w:w="3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(215.8)</w:t>
            </w:r>
          </w:p>
        </w:tc>
        <w:tc>
          <w:tcPr>
            <w:tcW w:w="22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(188.1)</w:t>
            </w:r>
          </w:p>
        </w:tc>
        <w:tc>
          <w:tcPr>
            <w:tcW w:w="1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w w:val="76"/>
              </w:rPr>
              <w:t>$</w:t>
            </w:r>
          </w:p>
        </w:tc>
        <w:tc>
          <w:tcPr>
            <w:tcW w:w="5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(189.2)</w:t>
            </w:r>
          </w:p>
        </w:tc>
        <w:tc>
          <w:tcPr>
            <w:tcW w:w="1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9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(27.7)</w:t>
            </w:r>
          </w:p>
        </w:tc>
        <w:tc>
          <w:tcPr>
            <w:tcW w:w="1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Expenses:</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60" w:type="dxa"/>
            <w:vAlign w:val="bottom"/>
          </w:tcPr>
          <w:p>
            <w:pPr>
              <w:ind w:left="140"/>
              <w:spacing w:after="0" w:line="149" w:lineRule="exact"/>
              <w:rPr>
                <w:sz w:val="20"/>
                <w:szCs w:val="20"/>
                <w:color w:val="auto"/>
              </w:rPr>
            </w:pPr>
            <w:r>
              <w:rPr>
                <w:rFonts w:ascii="Arial" w:cs="Arial" w:eastAsia="Arial" w:hAnsi="Arial"/>
                <w:sz w:val="14"/>
                <w:szCs w:val="14"/>
                <w:color w:val="auto"/>
              </w:rPr>
              <w:t>Total expenses</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(17.8)</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(11.7)</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(5.2)</w:t>
            </w:r>
          </w:p>
        </w:tc>
        <w:tc>
          <w:tcPr>
            <w:tcW w:w="120" w:type="dxa"/>
            <w:vAlign w:val="bottom"/>
          </w:tcPr>
          <w:p>
            <w:pPr>
              <w:spacing w:after="0"/>
              <w:rPr>
                <w:sz w:val="12"/>
                <w:szCs w:val="12"/>
                <w:color w:val="auto"/>
              </w:rPr>
            </w:pPr>
          </w:p>
        </w:tc>
        <w:tc>
          <w:tcPr>
            <w:tcW w:w="9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(6.1)</w:t>
            </w:r>
          </w:p>
        </w:tc>
        <w:tc>
          <w:tcPr>
            <w:tcW w:w="140" w:type="dxa"/>
            <w:vAlign w:val="bottom"/>
          </w:tcPr>
          <w:p>
            <w:pPr>
              <w:spacing w:after="0"/>
              <w:rPr>
                <w:sz w:val="12"/>
                <w:szCs w:val="12"/>
                <w:color w:val="auto"/>
              </w:rPr>
            </w:pPr>
          </w:p>
        </w:tc>
        <w:tc>
          <w:tcPr>
            <w:tcW w:w="10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(6.5)</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1"/>
        </w:trPr>
        <w:tc>
          <w:tcPr>
            <w:tcW w:w="20" w:type="dxa"/>
            <w:vAlign w:val="bottom"/>
            <w:vMerge w:val="continue"/>
          </w:tcPr>
          <w:p>
            <w:pPr>
              <w:spacing w:after="0"/>
              <w:rPr>
                <w:sz w:val="11"/>
                <w:szCs w:val="11"/>
                <w:color w:val="auto"/>
              </w:rPr>
            </w:pPr>
          </w:p>
        </w:tc>
        <w:tc>
          <w:tcPr>
            <w:tcW w:w="4560" w:type="dxa"/>
            <w:vAlign w:val="bottom"/>
            <w:shd w:val="clear" w:color="auto" w:fill="CCEEFF"/>
          </w:tcPr>
          <w:p>
            <w:pPr>
              <w:spacing w:after="0" w:line="131" w:lineRule="exact"/>
              <w:rPr>
                <w:sz w:val="20"/>
                <w:szCs w:val="20"/>
                <w:color w:val="auto"/>
              </w:rPr>
            </w:pPr>
            <w:r>
              <w:rPr>
                <w:rFonts w:ascii="Arial" w:cs="Arial" w:eastAsia="Arial" w:hAnsi="Arial"/>
                <w:sz w:val="14"/>
                <w:szCs w:val="14"/>
                <w:color w:val="auto"/>
                <w:w w:val="90"/>
              </w:rPr>
              <w:t>Operating loss before income taxes, preferred stock dividends and noncontrolling</w:t>
            </w:r>
          </w:p>
        </w:tc>
        <w:tc>
          <w:tcPr>
            <w:tcW w:w="1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(198.0)</w:t>
            </w: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456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interest</w:t>
            </w:r>
          </w:p>
        </w:tc>
        <w:tc>
          <w:tcPr>
            <w:tcW w:w="18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00" w:type="dxa"/>
            <w:vAlign w:val="bottom"/>
            <w:gridSpan w:val="2"/>
            <w:vMerge w:val="continue"/>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(176.4)</w:t>
            </w:r>
          </w:p>
        </w:tc>
        <w:tc>
          <w:tcPr>
            <w:tcW w:w="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6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(184.0)</w:t>
            </w:r>
          </w:p>
        </w:tc>
        <w:tc>
          <w:tcPr>
            <w:tcW w:w="120" w:type="dxa"/>
            <w:vAlign w:val="bottom"/>
            <w:tcBorders>
              <w:right w:val="single" w:sz="8" w:color="CCEEFF"/>
            </w:tcBorders>
            <w:shd w:val="clear" w:color="auto" w:fill="CCEEFF"/>
          </w:tcPr>
          <w:p>
            <w:pPr>
              <w:spacing w:after="0"/>
              <w:rPr>
                <w:sz w:val="13"/>
                <w:szCs w:val="13"/>
                <w:color w:val="auto"/>
              </w:rPr>
            </w:pPr>
          </w:p>
        </w:tc>
        <w:tc>
          <w:tcPr>
            <w:tcW w:w="96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(21.6)</w:t>
            </w:r>
          </w:p>
        </w:tc>
        <w:tc>
          <w:tcPr>
            <w:tcW w:w="140" w:type="dxa"/>
            <w:vAlign w:val="bottom"/>
            <w:tcBorders>
              <w:right w:val="single" w:sz="8" w:color="CCEEFF"/>
            </w:tcBorders>
            <w:shd w:val="clear" w:color="auto" w:fill="CCEEFF"/>
          </w:tcPr>
          <w:p>
            <w:pPr>
              <w:spacing w:after="0"/>
              <w:rPr>
                <w:sz w:val="13"/>
                <w:szCs w:val="13"/>
                <w:color w:val="auto"/>
              </w:rPr>
            </w:pPr>
          </w:p>
        </w:tc>
        <w:tc>
          <w:tcPr>
            <w:tcW w:w="8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7.6</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60" w:type="dxa"/>
            <w:vAlign w:val="bottom"/>
          </w:tcPr>
          <w:p>
            <w:pPr>
              <w:spacing w:after="0" w:line="149" w:lineRule="exact"/>
              <w:rPr>
                <w:sz w:val="20"/>
                <w:szCs w:val="20"/>
                <w:color w:val="auto"/>
              </w:rPr>
            </w:pPr>
            <w:r>
              <w:rPr>
                <w:rFonts w:ascii="Arial" w:cs="Arial" w:eastAsia="Arial" w:hAnsi="Arial"/>
                <w:sz w:val="14"/>
                <w:szCs w:val="14"/>
                <w:color w:val="auto"/>
              </w:rPr>
              <w:t>Income tax benefits</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(83.2)</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(69.6)</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(72.9)</w:t>
            </w:r>
          </w:p>
        </w:tc>
        <w:tc>
          <w:tcPr>
            <w:tcW w:w="120" w:type="dxa"/>
            <w:vAlign w:val="bottom"/>
          </w:tcPr>
          <w:p>
            <w:pPr>
              <w:spacing w:after="0"/>
              <w:rPr>
                <w:sz w:val="12"/>
                <w:szCs w:val="12"/>
                <w:color w:val="auto"/>
              </w:rPr>
            </w:pPr>
          </w:p>
        </w:tc>
        <w:tc>
          <w:tcPr>
            <w:tcW w:w="9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(13.6)</w:t>
            </w:r>
          </w:p>
        </w:tc>
        <w:tc>
          <w:tcPr>
            <w:tcW w:w="14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3.3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Preferred stock dividends</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33.0</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33.0</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33.0</w:t>
            </w: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40" w:type="dxa"/>
            <w:vAlign w:val="bottom"/>
            <w:tcBorders>
              <w:right w:val="single" w:sz="8" w:color="CCEEFF"/>
            </w:tcBorders>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60" w:type="dxa"/>
            <w:vAlign w:val="bottom"/>
          </w:tcPr>
          <w:p>
            <w:pPr>
              <w:spacing w:after="0" w:line="149" w:lineRule="exact"/>
              <w:rPr>
                <w:sz w:val="20"/>
                <w:szCs w:val="20"/>
                <w:color w:val="auto"/>
              </w:rPr>
            </w:pPr>
            <w:r>
              <w:rPr>
                <w:rFonts w:ascii="Arial" w:cs="Arial" w:eastAsia="Arial" w:hAnsi="Arial"/>
                <w:sz w:val="14"/>
                <w:szCs w:val="14"/>
                <w:color w:val="auto"/>
              </w:rPr>
              <w:t>Operating earnings attributable to noncontrolling interest</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2.8</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1.1</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(2.8)</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456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Operating loss</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50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(148.9)</w:t>
            </w:r>
          </w:p>
        </w:tc>
        <w:tc>
          <w:tcPr>
            <w:tcW w:w="22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100"/>
              <w:spacing w:after="0" w:line="142" w:lineRule="exact"/>
              <w:rPr>
                <w:sz w:val="20"/>
                <w:szCs w:val="20"/>
                <w:color w:val="auto"/>
              </w:rPr>
            </w:pPr>
            <w:r>
              <w:rPr>
                <w:rFonts w:ascii="Arial" w:cs="Arial" w:eastAsia="Arial" w:hAnsi="Arial"/>
                <w:sz w:val="14"/>
                <w:szCs w:val="14"/>
                <w:color w:val="auto"/>
              </w:rPr>
              <w:t>(139.8)</w:t>
            </w:r>
          </w:p>
        </w:tc>
        <w:tc>
          <w:tcPr>
            <w:tcW w:w="14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w w:val="76"/>
              </w:rPr>
              <w:t>$</w:t>
            </w:r>
          </w:p>
        </w:tc>
        <w:tc>
          <w:tcPr>
            <w:tcW w:w="56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(146.9)</w:t>
            </w:r>
          </w:p>
        </w:tc>
        <w:tc>
          <w:tcPr>
            <w:tcW w:w="120" w:type="dxa"/>
            <w:vAlign w:val="bottom"/>
            <w:tcBorders>
              <w:right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96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(9.1)</w:t>
            </w:r>
          </w:p>
        </w:tc>
        <w:tc>
          <w:tcPr>
            <w:tcW w:w="140" w:type="dxa"/>
            <w:vAlign w:val="bottom"/>
            <w:tcBorders>
              <w:right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Year Ended December 31, 2013 Compared to Year Ended December 31, 2012</w:t>
      </w:r>
    </w:p>
    <w:p>
      <w:pPr>
        <w:spacing w:after="0" w:line="219"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Operating Loss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operating loss increased primarily due to higher interest expense associated with the debt issuances that occurred in the latter half of 2012.</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Year Ended December 31, 2012 Compared to Year Ended December 31, 2011</w:t>
      </w:r>
    </w:p>
    <w:p>
      <w:pPr>
        <w:spacing w:after="0" w:line="219"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Operating Loss</w:t>
      </w:r>
    </w:p>
    <w:p>
      <w:pPr>
        <w:spacing w:after="0" w:line="231" w:lineRule="exact"/>
        <w:rPr>
          <w:sz w:val="20"/>
          <w:szCs w:val="20"/>
          <w:color w:val="auto"/>
        </w:rPr>
      </w:pPr>
    </w:p>
    <w:p>
      <w:pPr>
        <w:jc w:val="both"/>
        <w:ind w:firstLine="523"/>
        <w:spacing w:after="0" w:line="268" w:lineRule="auto"/>
        <w:rPr>
          <w:sz w:val="20"/>
          <w:szCs w:val="20"/>
          <w:color w:val="auto"/>
        </w:rPr>
      </w:pPr>
      <w:r>
        <w:rPr>
          <w:rFonts w:ascii="Arial" w:cs="Arial" w:eastAsia="Arial" w:hAnsi="Arial"/>
          <w:sz w:val="18"/>
          <w:szCs w:val="18"/>
          <w:color w:val="auto"/>
        </w:rPr>
        <w:t>The operating loss decreased due to a reduction in corporate overhead expenses needed to support the exited group medical insurance business. This decrease was partially offset by higher interest expense on corporate debt.</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31" w:lineRule="exact"/>
        <w:rPr>
          <w:sz w:val="20"/>
          <w:szCs w:val="20"/>
          <w:color w:val="auto"/>
        </w:rPr>
      </w:pPr>
    </w:p>
    <w:p>
      <w:pPr>
        <w:jc w:val="both"/>
        <w:ind w:firstLine="402"/>
        <w:spacing w:after="0" w:line="259" w:lineRule="auto"/>
        <w:rPr>
          <w:sz w:val="20"/>
          <w:szCs w:val="20"/>
          <w:color w:val="auto"/>
        </w:rPr>
      </w:pPr>
      <w:r>
        <w:rPr>
          <w:rFonts w:ascii="Arial" w:cs="Arial" w:eastAsia="Arial" w:hAnsi="Arial"/>
          <w:sz w:val="18"/>
          <w:szCs w:val="18"/>
          <w:color w:val="auto"/>
        </w:rPr>
        <w:t>Liquidity and capital resources represent the overall strength of a company and its ability to generate strong cash flows, borrow funds at a competitive rate and raise new capital to meet operating and growth needs. Our legal entity structure has an impact on our ability to meet cash flow needs as an organization. Following is a simplified organizational structure.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1017270</wp:posOffset>
            </wp:positionH>
            <wp:positionV relativeFrom="paragraph">
              <wp:posOffset>128905</wp:posOffset>
            </wp:positionV>
            <wp:extent cx="5222875" cy="174942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5222875" cy="174942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57" w:name="page58"/>
    <w:bookmarkEnd w:id="5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w:t>
      </w:r>
    </w:p>
    <w:p>
      <w:pPr>
        <w:spacing w:after="0" w:line="225" w:lineRule="exact"/>
        <w:rPr>
          <w:sz w:val="20"/>
          <w:szCs w:val="20"/>
          <w:color w:val="auto"/>
        </w:rPr>
      </w:pPr>
    </w:p>
    <w:p>
      <w:pPr>
        <w:jc w:val="both"/>
        <w:ind w:firstLine="498"/>
        <w:spacing w:after="0" w:line="259" w:lineRule="auto"/>
        <w:rPr>
          <w:sz w:val="20"/>
          <w:szCs w:val="20"/>
          <w:color w:val="auto"/>
        </w:rPr>
      </w:pPr>
      <w:r>
        <w:rPr>
          <w:rFonts w:ascii="Arial" w:cs="Arial" w:eastAsia="Arial" w:hAnsi="Arial"/>
          <w:sz w:val="18"/>
          <w:szCs w:val="18"/>
          <w:color w:val="auto"/>
        </w:rPr>
        <w:t>Our liquidity requirements have been and will continue to be met by funds from consolidated operations as well as the issuance of commercial paper, common stock, debt or other capital securities and borrowings from credit facilities. We believe that cash flows from these sources are sufficient to satisfy the current liquidity requirements of our operations, including reasonably foreseeable contingencies.</w:t>
      </w:r>
    </w:p>
    <w:p>
      <w:pPr>
        <w:spacing w:after="0" w:line="194" w:lineRule="exact"/>
        <w:rPr>
          <w:sz w:val="20"/>
          <w:szCs w:val="20"/>
          <w:color w:val="auto"/>
        </w:rPr>
      </w:pPr>
    </w:p>
    <w:p>
      <w:pPr>
        <w:jc w:val="both"/>
        <w:ind w:firstLine="375"/>
        <w:spacing w:after="0" w:line="306" w:lineRule="auto"/>
        <w:rPr>
          <w:sz w:val="20"/>
          <w:szCs w:val="20"/>
          <w:color w:val="auto"/>
        </w:rPr>
      </w:pPr>
      <w:r>
        <w:rPr>
          <w:rFonts w:ascii="Arial" w:cs="Arial" w:eastAsia="Arial" w:hAnsi="Arial"/>
          <w:sz w:val="16"/>
          <w:szCs w:val="16"/>
          <w:color w:val="auto"/>
        </w:rPr>
        <w:t>We maintain a level of cash and securities which, combined with expected cash inflows from investments and operations, is believed to be adequate to meet anticipated short-term and long-term payment obligations. We will continue our prudent capital management practice of regularly exploring options available to us to maximize capital flexibility, including accessing the capital markets and careful attention to and management of expenses.</w:t>
      </w:r>
    </w:p>
    <w:p>
      <w:pPr>
        <w:spacing w:after="0" w:line="161" w:lineRule="exact"/>
        <w:rPr>
          <w:sz w:val="20"/>
          <w:szCs w:val="20"/>
          <w:color w:val="auto"/>
        </w:rPr>
      </w:pPr>
    </w:p>
    <w:p>
      <w:pPr>
        <w:jc w:val="both"/>
        <w:ind w:firstLine="446"/>
        <w:spacing w:after="0" w:line="259" w:lineRule="auto"/>
        <w:rPr>
          <w:sz w:val="20"/>
          <w:szCs w:val="20"/>
          <w:color w:val="auto"/>
        </w:rPr>
      </w:pPr>
      <w:r>
        <w:rPr>
          <w:rFonts w:ascii="Arial" w:cs="Arial" w:eastAsia="Arial" w:hAnsi="Arial"/>
          <w:sz w:val="18"/>
          <w:szCs w:val="18"/>
          <w:color w:val="auto"/>
        </w:rPr>
        <w:t>We perform rigorous liquidity stress testing to ensure our asset portfolio includes sufficient high quality liquid assets that could be utilized to bolster our liquidity position under increasingly stressed market conditions. These assets could be utilized as collateral for secured borrowing transactions with various third parties, or by selling the securities in the open market if needed.</w:t>
      </w:r>
    </w:p>
    <w:p>
      <w:pPr>
        <w:spacing w:after="0" w:line="194" w:lineRule="exact"/>
        <w:rPr>
          <w:sz w:val="20"/>
          <w:szCs w:val="20"/>
          <w:color w:val="auto"/>
        </w:rPr>
      </w:pPr>
    </w:p>
    <w:p>
      <w:pPr>
        <w:jc w:val="both"/>
        <w:ind w:firstLine="453"/>
        <w:spacing w:after="0" w:line="306" w:lineRule="auto"/>
        <w:rPr>
          <w:sz w:val="20"/>
          <w:szCs w:val="20"/>
          <w:color w:val="auto"/>
        </w:rPr>
      </w:pPr>
      <w:r>
        <w:rPr>
          <w:rFonts w:ascii="Arial" w:cs="Arial" w:eastAsia="Arial" w:hAnsi="Arial"/>
          <w:sz w:val="16"/>
          <w:szCs w:val="16"/>
          <w:color w:val="auto"/>
        </w:rPr>
        <w:t>We also manage liquidity risk by limiting the sales of liabilities with features such as puts or other options that can be exercised against the company at inopportune times. For example, as of December 31, 2013, approximately $9.5 billion, or 99%, of our institutional guaranteed investment contracts and funding agreements cannot be redeemed by contractholders prior to maturity. Our individual annuity liabilities also contain provisions limiting early surrenders.</w:t>
      </w:r>
    </w:p>
    <w:p>
      <w:pPr>
        <w:spacing w:after="0" w:line="161" w:lineRule="exact"/>
        <w:rPr>
          <w:sz w:val="20"/>
          <w:szCs w:val="20"/>
          <w:color w:val="auto"/>
        </w:rPr>
      </w:pPr>
    </w:p>
    <w:p>
      <w:pPr>
        <w:ind w:left="480"/>
        <w:spacing w:after="0"/>
        <w:rPr>
          <w:sz w:val="20"/>
          <w:szCs w:val="20"/>
          <w:color w:val="auto"/>
        </w:rPr>
      </w:pPr>
      <w:r>
        <w:rPr>
          <w:rFonts w:ascii="Arial" w:cs="Arial" w:eastAsia="Arial" w:hAnsi="Arial"/>
          <w:sz w:val="16"/>
          <w:szCs w:val="16"/>
          <w:color w:val="auto"/>
        </w:rPr>
        <w:t>The following table summarizes the withdrawal characteristics of our domestic general account investment-type insurance contracts as of December 31,</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2013.</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360" w:type="dxa"/>
            <w:vAlign w:val="bottom"/>
          </w:tcPr>
          <w:p>
            <w:pPr>
              <w:jc w:val="right"/>
              <w:ind w:right="32"/>
              <w:spacing w:after="0"/>
              <w:rPr>
                <w:sz w:val="20"/>
                <w:szCs w:val="20"/>
                <w:color w:val="auto"/>
              </w:rPr>
            </w:pPr>
            <w:r>
              <w:rPr>
                <w:rFonts w:ascii="Arial" w:cs="Arial" w:eastAsia="Arial" w:hAnsi="Arial"/>
                <w:sz w:val="14"/>
                <w:szCs w:val="14"/>
                <w:b w:val="1"/>
                <w:bCs w:val="1"/>
                <w:color w:val="auto"/>
                <w:w w:val="87"/>
              </w:rPr>
              <w:t>Contractholder funds</w:t>
            </w:r>
          </w:p>
        </w:tc>
        <w:tc>
          <w:tcPr>
            <w:tcW w:w="160" w:type="dxa"/>
            <w:vAlign w:val="bottom"/>
          </w:tcPr>
          <w:p>
            <w:pPr>
              <w:spacing w:after="0"/>
              <w:rPr>
                <w:sz w:val="14"/>
                <w:szCs w:val="14"/>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87"/>
              </w:rPr>
              <w:t>Percentage</w:t>
            </w:r>
          </w:p>
        </w:tc>
      </w:tr>
      <w:tr>
        <w:trPr>
          <w:trHeight w:val="142"/>
        </w:trPr>
        <w:tc>
          <w:tcPr>
            <w:tcW w:w="20" w:type="dxa"/>
            <w:vAlign w:val="bottom"/>
          </w:tcPr>
          <w:p>
            <w:pPr>
              <w:spacing w:after="0"/>
              <w:rPr>
                <w:sz w:val="12"/>
                <w:szCs w:val="12"/>
                <w:color w:val="auto"/>
              </w:rPr>
            </w:pPr>
          </w:p>
        </w:tc>
        <w:tc>
          <w:tcPr>
            <w:tcW w:w="66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360" w:type="dxa"/>
            <w:vAlign w:val="bottom"/>
            <w:tcBorders>
              <w:top w:val="single" w:sz="8" w:color="auto"/>
            </w:tcBorders>
          </w:tcPr>
          <w:p>
            <w:pPr>
              <w:jc w:val="right"/>
              <w:ind w:right="312"/>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160" w:type="dxa"/>
            <w:vAlign w:val="bottom"/>
          </w:tcPr>
          <w:p>
            <w:pPr>
              <w:spacing w:after="0"/>
              <w:rPr>
                <w:sz w:val="12"/>
                <w:szCs w:val="12"/>
                <w:color w:val="auto"/>
              </w:rPr>
            </w:pPr>
          </w:p>
        </w:tc>
        <w:tc>
          <w:tcPr>
            <w:tcW w:w="7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6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Not subject to discretionary withdrawal</w:t>
            </w:r>
          </w:p>
        </w:tc>
        <w:tc>
          <w:tcPr>
            <w:tcW w:w="80" w:type="dxa"/>
            <w:vAlign w:val="bottom"/>
            <w:gridSpan w:val="2"/>
            <w:shd w:val="clear" w:color="auto" w:fill="CCEEFF"/>
          </w:tcPr>
          <w:p>
            <w:pPr>
              <w:jc w:val="right"/>
              <w:spacing w:after="0"/>
              <w:rPr>
                <w:sz w:val="20"/>
                <w:szCs w:val="20"/>
                <w:color w:val="auto"/>
              </w:rPr>
            </w:pPr>
            <w:r>
              <w:rPr>
                <w:rFonts w:ascii="Arial" w:cs="Arial" w:eastAsia="Arial" w:hAnsi="Arial"/>
                <w:sz w:val="10"/>
                <w:szCs w:val="10"/>
                <w:b w:val="1"/>
                <w:bCs w:val="1"/>
                <w:color w:val="auto"/>
                <w:w w:val="71"/>
              </w:rPr>
              <w:t>$</w:t>
            </w:r>
          </w:p>
        </w:tc>
        <w:tc>
          <w:tcPr>
            <w:tcW w:w="13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10,573.3</w:t>
            </w:r>
          </w:p>
        </w:tc>
        <w:tc>
          <w:tcPr>
            <w:tcW w:w="1080" w:type="dxa"/>
            <w:vAlign w:val="bottom"/>
            <w:gridSpan w:val="3"/>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35.1%</w:t>
            </w:r>
          </w:p>
        </w:tc>
      </w:tr>
      <w:tr>
        <w:trPr>
          <w:trHeight w:val="149"/>
        </w:trPr>
        <w:tc>
          <w:tcPr>
            <w:tcW w:w="20" w:type="dxa"/>
            <w:vAlign w:val="bottom"/>
          </w:tcPr>
          <w:p>
            <w:pPr>
              <w:spacing w:after="0"/>
              <w:rPr>
                <w:sz w:val="12"/>
                <w:szCs w:val="12"/>
                <w:color w:val="auto"/>
              </w:rPr>
            </w:pPr>
          </w:p>
        </w:tc>
        <w:tc>
          <w:tcPr>
            <w:tcW w:w="6600" w:type="dxa"/>
            <w:vAlign w:val="bottom"/>
          </w:tcPr>
          <w:p>
            <w:pPr>
              <w:spacing w:after="0" w:line="149" w:lineRule="exact"/>
              <w:rPr>
                <w:sz w:val="20"/>
                <w:szCs w:val="20"/>
                <w:color w:val="auto"/>
              </w:rPr>
            </w:pPr>
            <w:r>
              <w:rPr>
                <w:rFonts w:ascii="Arial" w:cs="Arial" w:eastAsia="Arial" w:hAnsi="Arial"/>
                <w:sz w:val="14"/>
                <w:szCs w:val="14"/>
                <w:color w:val="auto"/>
              </w:rPr>
              <w:t>Subject to discretionary withdrawal with adjustments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6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Specified surrender charges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3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7,304.3</w:t>
            </w:r>
          </w:p>
        </w:tc>
        <w:tc>
          <w:tcPr>
            <w:tcW w:w="9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24.3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600" w:type="dxa"/>
            <w:vAlign w:val="bottom"/>
          </w:tcPr>
          <w:p>
            <w:pPr>
              <w:ind w:left="140"/>
              <w:spacing w:after="0" w:line="149" w:lineRule="exact"/>
              <w:rPr>
                <w:sz w:val="20"/>
                <w:szCs w:val="20"/>
                <w:color w:val="auto"/>
              </w:rPr>
            </w:pPr>
            <w:r>
              <w:rPr>
                <w:rFonts w:ascii="Arial" w:cs="Arial" w:eastAsia="Arial" w:hAnsi="Arial"/>
                <w:sz w:val="14"/>
                <w:szCs w:val="14"/>
                <w:color w:val="auto"/>
              </w:rPr>
              <w:t>Market value adjustments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3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5,351.4</w:t>
            </w:r>
          </w:p>
        </w:tc>
        <w:tc>
          <w:tcPr>
            <w:tcW w:w="9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17.8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6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Subject to discretionary withdrawal without adjustments</w:t>
            </w:r>
          </w:p>
        </w:tc>
        <w:tc>
          <w:tcPr>
            <w:tcW w:w="2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13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6,877.2</w:t>
            </w:r>
          </w:p>
        </w:tc>
        <w:tc>
          <w:tcPr>
            <w:tcW w:w="160" w:type="dxa"/>
            <w:vAlign w:val="bottom"/>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22.8</w:t>
            </w:r>
          </w:p>
        </w:tc>
        <w:tc>
          <w:tcPr>
            <w:tcW w:w="160" w:type="dxa"/>
            <w:vAlign w:val="bottom"/>
            <w:shd w:val="clear" w:color="auto" w:fill="CCEEFF"/>
          </w:tcPr>
          <w:p>
            <w:pPr>
              <w:spacing w:after="0"/>
              <w:rPr>
                <w:sz w:val="12"/>
                <w:szCs w:val="12"/>
                <w:color w:val="auto"/>
              </w:rPr>
            </w:pPr>
          </w:p>
        </w:tc>
      </w:tr>
      <w:tr>
        <w:trPr>
          <w:trHeight w:val="142"/>
        </w:trPr>
        <w:tc>
          <w:tcPr>
            <w:tcW w:w="6620" w:type="dxa"/>
            <w:vAlign w:val="bottom"/>
            <w:gridSpan w:val="2"/>
          </w:tcPr>
          <w:p>
            <w:pPr>
              <w:spacing w:after="0" w:line="142" w:lineRule="exact"/>
              <w:rPr>
                <w:sz w:val="20"/>
                <w:szCs w:val="20"/>
                <w:color w:val="auto"/>
              </w:rPr>
            </w:pPr>
            <w:r>
              <w:rPr>
                <w:rFonts w:ascii="Arial" w:cs="Arial" w:eastAsia="Arial" w:hAnsi="Arial"/>
                <w:sz w:val="14"/>
                <w:szCs w:val="14"/>
                <w:color w:val="auto"/>
              </w:rPr>
              <w:t>Total domestic investment-type insurance contracts</w:t>
            </w:r>
          </w:p>
        </w:tc>
        <w:tc>
          <w:tcPr>
            <w:tcW w:w="20" w:type="dxa"/>
            <w:vAlign w:val="bottom"/>
          </w:tcPr>
          <w:p>
            <w:pPr>
              <w:spacing w:after="0"/>
              <w:rPr>
                <w:sz w:val="12"/>
                <w:szCs w:val="12"/>
                <w:color w:val="auto"/>
              </w:rPr>
            </w:pPr>
          </w:p>
        </w:tc>
        <w:tc>
          <w:tcPr>
            <w:tcW w:w="60" w:type="dxa"/>
            <w:vAlign w:val="bottom"/>
          </w:tcPr>
          <w:p>
            <w:pPr>
              <w:jc w:val="right"/>
              <w:spacing w:after="0"/>
              <w:rPr>
                <w:sz w:val="20"/>
                <w:szCs w:val="20"/>
                <w:color w:val="auto"/>
              </w:rPr>
            </w:pPr>
            <w:r>
              <w:rPr>
                <w:rFonts w:ascii="Arial" w:cs="Arial" w:eastAsia="Arial" w:hAnsi="Arial"/>
                <w:sz w:val="5"/>
                <w:szCs w:val="5"/>
                <w:b w:val="1"/>
                <w:bCs w:val="1"/>
                <w:color w:val="auto"/>
                <w:w w:val="70"/>
              </w:rPr>
              <w:t>$</w:t>
            </w:r>
          </w:p>
        </w:tc>
        <w:tc>
          <w:tcPr>
            <w:tcW w:w="136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30,106.2</w:t>
            </w:r>
          </w:p>
        </w:tc>
        <w:tc>
          <w:tcPr>
            <w:tcW w:w="160" w:type="dxa"/>
            <w:vAlign w:val="bottom"/>
          </w:tcPr>
          <w:p>
            <w:pPr>
              <w:spacing w:after="0"/>
              <w:rPr>
                <w:sz w:val="12"/>
                <w:szCs w:val="12"/>
                <w:color w:val="auto"/>
              </w:rPr>
            </w:pPr>
          </w:p>
        </w:tc>
        <w:tc>
          <w:tcPr>
            <w:tcW w:w="920" w:type="dxa"/>
            <w:vAlign w:val="bottom"/>
            <w:gridSpan w:val="2"/>
          </w:tcPr>
          <w:p>
            <w:pPr>
              <w:jc w:val="right"/>
              <w:ind w:right="20"/>
              <w:spacing w:after="0" w:line="142" w:lineRule="exact"/>
              <w:rPr>
                <w:sz w:val="20"/>
                <w:szCs w:val="20"/>
                <w:color w:val="auto"/>
              </w:rPr>
            </w:pPr>
            <w:r>
              <w:rPr>
                <w:rFonts w:ascii="Arial" w:cs="Arial" w:eastAsia="Arial" w:hAnsi="Arial"/>
                <w:sz w:val="14"/>
                <w:szCs w:val="14"/>
                <w:b w:val="1"/>
                <w:bCs w:val="1"/>
                <w:color w:val="auto"/>
              </w:rPr>
              <w:t>100.0%</w:t>
            </w:r>
          </w:p>
        </w:tc>
      </w:tr>
      <w:tr>
        <w:trPr>
          <w:trHeight w:val="20"/>
        </w:trPr>
        <w:tc>
          <w:tcPr>
            <w:tcW w:w="20" w:type="dxa"/>
            <w:vAlign w:val="bottom"/>
          </w:tcPr>
          <w:p>
            <w:pPr>
              <w:spacing w:after="0" w:line="20" w:lineRule="exact"/>
              <w:rPr>
                <w:sz w:val="1"/>
                <w:szCs w:val="1"/>
                <w:color w:val="auto"/>
              </w:rPr>
            </w:pPr>
          </w:p>
        </w:tc>
        <w:tc>
          <w:tcPr>
            <w:tcW w:w="660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firstLine="367"/>
        <w:spacing w:after="0" w:line="256" w:lineRule="auto"/>
        <w:rPr>
          <w:sz w:val="20"/>
          <w:szCs w:val="20"/>
          <w:color w:val="auto"/>
        </w:rPr>
      </w:pPr>
      <w:r>
        <w:rPr>
          <w:rFonts w:ascii="Arial" w:cs="Arial" w:eastAsia="Arial" w:hAnsi="Arial"/>
          <w:sz w:val="18"/>
          <w:szCs w:val="18"/>
          <w:color w:val="auto"/>
        </w:rPr>
        <w:t>Universal life insurance and certain traditional life insurance policies are also subject to discretionary withdrawals by policyholders. However, life insurance policies tend to be less susceptible to withdrawal than our investment-type insurance contracts, because policyholders may be subject to a new underwriting process in order to obtain a new life insurance policy. In addition, our life insurance liabilities include surrender charges and other provisions limiting early surrenders.</w:t>
      </w:r>
    </w:p>
    <w:p>
      <w:pPr>
        <w:spacing w:after="0" w:line="197" w:lineRule="exact"/>
        <w:rPr>
          <w:sz w:val="20"/>
          <w:szCs w:val="20"/>
          <w:color w:val="auto"/>
        </w:rPr>
      </w:pPr>
    </w:p>
    <w:p>
      <w:pPr>
        <w:jc w:val="both"/>
        <w:ind w:firstLine="554"/>
        <w:spacing w:after="0" w:line="288" w:lineRule="auto"/>
        <w:rPr>
          <w:sz w:val="20"/>
          <w:szCs w:val="20"/>
          <w:color w:val="auto"/>
        </w:rPr>
      </w:pPr>
      <w:r>
        <w:rPr>
          <w:rFonts w:ascii="Arial" w:cs="Arial" w:eastAsia="Arial" w:hAnsi="Arial"/>
          <w:sz w:val="16"/>
          <w:szCs w:val="16"/>
          <w:color w:val="auto"/>
        </w:rPr>
        <w:t>As of December 31, 2013 and December 31, 2012, we had short-term credit facilities with various financial institutions in an aggregate amount of $1,105.0 million and $905.0 million, respectively. As of December 31, 2013 and December 31, 2012, we had $150.6 million and $40.8 million, respectively, of outstanding borrowings, with no assets pledged as support as of December 31, 2013. Our credit facilities include a $500.0 million 4-year facility that matures in March 2016, with PFG, PFS and Principal Life as co-borrowers. We also have a $300.0 million 364-day facility for Principal Life only that was refinanced in April 2013. Also in April 2013, we added a $200.0 million 3-year facility with PFG, PFS, Principal Life and Principal Financial Services V (UK) LTD as borrowers. These credit facilities are committed facilities and provide 100% back-stop support for our commercial paper program. The 4-year facility is supported by eighteen banks; the 364-day facility and 3-year facility are supported by fifteen banks, most of which have other relationships with us. Due to the financial strength and the strong relationships we have with these providers, we are comfortable there is a very low risk the financial institutions would be unable or unwilling to fund these facilities.</w:t>
      </w:r>
    </w:p>
    <w:p>
      <w:pPr>
        <w:spacing w:after="0" w:line="174" w:lineRule="exact"/>
        <w:rPr>
          <w:sz w:val="20"/>
          <w:szCs w:val="20"/>
          <w:color w:val="auto"/>
        </w:rPr>
      </w:pPr>
    </w:p>
    <w:p>
      <w:pPr>
        <w:jc w:val="both"/>
        <w:ind w:firstLine="385"/>
        <w:spacing w:after="0" w:line="288" w:lineRule="auto"/>
        <w:rPr>
          <w:sz w:val="20"/>
          <w:szCs w:val="20"/>
          <w:color w:val="auto"/>
        </w:rPr>
      </w:pPr>
      <w:r>
        <w:rPr>
          <w:rFonts w:ascii="Arial" w:cs="Arial" w:eastAsia="Arial" w:hAnsi="Arial"/>
          <w:sz w:val="16"/>
          <w:szCs w:val="16"/>
          <w:b w:val="1"/>
          <w:bCs w:val="1"/>
          <w:i w:val="1"/>
          <w:iCs w:val="1"/>
          <w:color w:val="auto"/>
        </w:rPr>
        <w:t xml:space="preserve">The Holding Companies: Principal Financial Group, Inc. and Principal Financial Services, Inc. </w:t>
      </w:r>
      <w:r>
        <w:rPr>
          <w:rFonts w:ascii="Arial" w:cs="Arial" w:eastAsia="Arial" w:hAnsi="Arial"/>
          <w:sz w:val="16"/>
          <w:szCs w:val="16"/>
          <w:color w:val="auto"/>
        </w:rPr>
        <w:t>The principal sources of funds available to our parent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holding company, PFG, to meet its obligations, including the payments of dividends on common stock, debt service and the repurchase of stock, are dividends from subsidiaries as well as its ability to borrow funds at competitive rates and raise capital to meet operating and growth needs. Dividends from Principal Life, our primary subsidiary, are limited by Iowa law. Under Iowa laws, Principal Life may pay dividends only from the earned surplus arising from its business and must receive the prior approval of the Insurance Commissioner of the State of Iowa ("the Commissioner") to pay stockholder dividends or make any other distribution if such distributions would exceed certain statutory limitations. Iowa law gives the Commissioner discretion to disapprove requests for distributions in excess of these limits. Extraordinary dividends are those, together with dividends or other distributions made within the preceding twelve months, that exceed the greater of (i) 10% of Principal Life's statutory policyholder surplus as of the previous year-end or (ii) the statutory net gain from operations from the previous calendar year. Based on December 31, 2013 statutory results, the dividend limitation for Principal Life is approximately $687.2 million in 2014.</w:t>
      </w:r>
    </w:p>
    <w:p>
      <w:pPr>
        <w:spacing w:after="0" w:line="174" w:lineRule="exact"/>
        <w:rPr>
          <w:sz w:val="20"/>
          <w:szCs w:val="20"/>
          <w:color w:val="auto"/>
        </w:rPr>
      </w:pPr>
    </w:p>
    <w:p>
      <w:pPr>
        <w:jc w:val="both"/>
        <w:ind w:firstLine="393"/>
        <w:spacing w:after="0" w:line="259" w:lineRule="auto"/>
        <w:rPr>
          <w:sz w:val="20"/>
          <w:szCs w:val="20"/>
          <w:color w:val="auto"/>
        </w:rPr>
      </w:pPr>
      <w:r>
        <w:rPr>
          <w:rFonts w:ascii="Arial" w:cs="Arial" w:eastAsia="Arial" w:hAnsi="Arial"/>
          <w:sz w:val="18"/>
          <w:szCs w:val="18"/>
          <w:color w:val="auto"/>
        </w:rPr>
        <w:t>In 2013, Principal Life distributed paid-in and contributed surplus in the amount of $150.0 million to its parent company, which was extraordinary and was approved by the Commissioner. In addition, total stockholder dividends paid by Principal Life to its parent were $80.0 million, which were extraordinary and were approved by the Commissioner. As</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8" w:name="page59"/>
    <w:bookmarkEnd w:id="5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of December 31, 2013, we had $353.7 million of cash and highly liquid assets in the holding companies readily deployable for holding company obligations.</w:t>
      </w:r>
    </w:p>
    <w:p>
      <w:pPr>
        <w:spacing w:after="0" w:line="248" w:lineRule="exact"/>
        <w:rPr>
          <w:sz w:val="20"/>
          <w:szCs w:val="20"/>
          <w:color w:val="auto"/>
        </w:rPr>
      </w:pPr>
    </w:p>
    <w:p>
      <w:pPr>
        <w:jc w:val="both"/>
        <w:ind w:firstLine="582"/>
        <w:spacing w:after="0" w:line="268" w:lineRule="auto"/>
        <w:rPr>
          <w:sz w:val="20"/>
          <w:szCs w:val="20"/>
          <w:color w:val="auto"/>
        </w:rPr>
      </w:pPr>
      <w:r>
        <w:rPr>
          <w:rFonts w:ascii="Arial" w:cs="Arial" w:eastAsia="Arial" w:hAnsi="Arial"/>
          <w:sz w:val="18"/>
          <w:szCs w:val="18"/>
          <w:color w:val="auto"/>
        </w:rPr>
        <w:t>In 2012, total stockholder dividends paid by Principal Life to its parent were $700.0 million, which were extraordinary and were approved by the Commissioner.</w:t>
      </w:r>
    </w:p>
    <w:p>
      <w:pPr>
        <w:spacing w:after="0" w:line="186" w:lineRule="exact"/>
        <w:rPr>
          <w:sz w:val="20"/>
          <w:szCs w:val="20"/>
          <w:color w:val="auto"/>
        </w:rPr>
      </w:pPr>
    </w:p>
    <w:p>
      <w:pPr>
        <w:jc w:val="both"/>
        <w:ind w:firstLine="434"/>
        <w:spacing w:after="0" w:line="259" w:lineRule="auto"/>
        <w:rPr>
          <w:sz w:val="20"/>
          <w:szCs w:val="20"/>
          <w:color w:val="auto"/>
        </w:rPr>
      </w:pPr>
      <w:r>
        <w:rPr>
          <w:rFonts w:ascii="Arial" w:cs="Arial" w:eastAsia="Arial" w:hAnsi="Arial"/>
          <w:sz w:val="18"/>
          <w:szCs w:val="18"/>
          <w:color w:val="auto"/>
        </w:rPr>
        <w:t>Principal Life distributed paid-in and contributed surplus in the amount of $500.0 million to its parent company. In addition, Principal Life requested and received permission from the Commissioner to pay an extraordinary dividend in the amount of $250.0 million, which was paid by Principal Life to its parent in 2011.</w:t>
      </w:r>
    </w:p>
    <w:p>
      <w:pPr>
        <w:spacing w:after="0" w:line="194" w:lineRule="exact"/>
        <w:rPr>
          <w:sz w:val="20"/>
          <w:szCs w:val="20"/>
          <w:color w:val="auto"/>
        </w:rPr>
      </w:pPr>
    </w:p>
    <w:p>
      <w:pPr>
        <w:jc w:val="both"/>
        <w:ind w:firstLine="473"/>
        <w:spacing w:after="0" w:line="290" w:lineRule="auto"/>
        <w:rPr>
          <w:sz w:val="20"/>
          <w:szCs w:val="20"/>
          <w:color w:val="auto"/>
        </w:rPr>
      </w:pPr>
      <w:r>
        <w:rPr>
          <w:rFonts w:ascii="Arial" w:cs="Arial" w:eastAsia="Arial" w:hAnsi="Arial"/>
          <w:sz w:val="16"/>
          <w:szCs w:val="16"/>
          <w:b w:val="1"/>
          <w:bCs w:val="1"/>
          <w:i w:val="1"/>
          <w:iCs w:val="1"/>
          <w:color w:val="auto"/>
        </w:rPr>
        <w:t xml:space="preserve">Operations. </w:t>
      </w:r>
      <w:r>
        <w:rPr>
          <w:rFonts w:ascii="Arial" w:cs="Arial" w:eastAsia="Arial" w:hAnsi="Arial"/>
          <w:sz w:val="16"/>
          <w:szCs w:val="16"/>
          <w:color w:val="auto"/>
        </w:rPr>
        <w:t>Our primary consolidated cash flow sources are premiums from insurance products, pension and annuity deposits, asset management fee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revenues, administrative services fee revenues, income from investments and proceeds from the sales or maturity of investments. Cash outflows consist primarily of payment of benefits to policyholders and beneficiaries, income and other taxes, current operating expenses, payment of dividends to policyholders, payments in connection with investments acquired, payments made to acquire subsidiaries, payments relating to policy and contract surrenders, withdrawals, policy loans, interest payments and repayment of short-term debt and long-term debt. Our investment strategies are generally intended to provide adequate funds to pay benefits without forced sales of investments. For a discussion of our investment objectives, strategies and a discussion of duration matching, see "Investments" as well as Item 7A. "Quantitative and Qualitative Disclosures About Market Risk — Interest Rate Risk."</w:t>
      </w:r>
    </w:p>
    <w:p>
      <w:pPr>
        <w:spacing w:after="0" w:line="172" w:lineRule="exact"/>
        <w:rPr>
          <w:sz w:val="20"/>
          <w:szCs w:val="20"/>
          <w:color w:val="auto"/>
        </w:rPr>
      </w:pPr>
    </w:p>
    <w:p>
      <w:pPr>
        <w:jc w:val="both"/>
        <w:ind w:firstLine="375"/>
        <w:spacing w:after="0" w:line="332" w:lineRule="auto"/>
        <w:rPr>
          <w:sz w:val="20"/>
          <w:szCs w:val="20"/>
          <w:color w:val="auto"/>
        </w:rPr>
      </w:pPr>
      <w:r>
        <w:rPr>
          <w:rFonts w:ascii="Arial" w:cs="Arial" w:eastAsia="Arial" w:hAnsi="Arial"/>
          <w:sz w:val="16"/>
          <w:szCs w:val="16"/>
          <w:b w:val="1"/>
          <w:bCs w:val="1"/>
          <w:i w:val="1"/>
          <w:iCs w:val="1"/>
          <w:color w:val="auto"/>
        </w:rPr>
        <w:t xml:space="preserve">Cash Flows. </w:t>
      </w:r>
      <w:r>
        <w:rPr>
          <w:rFonts w:ascii="Arial" w:cs="Arial" w:eastAsia="Arial" w:hAnsi="Arial"/>
          <w:sz w:val="16"/>
          <w:szCs w:val="16"/>
          <w:color w:val="auto"/>
        </w:rPr>
        <w:t>Activity, as reported in our consolidated statements of cash flows, provides relevant information regarding our sources and uses of cash. The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following discussion of our operating, investing and financing portions of the cash flows excludes cash flows attributable to the separate accounts.</w:t>
      </w:r>
    </w:p>
    <w:p>
      <w:pPr>
        <w:spacing w:after="0" w:line="139" w:lineRule="exact"/>
        <w:rPr>
          <w:sz w:val="20"/>
          <w:szCs w:val="20"/>
          <w:color w:val="auto"/>
        </w:rPr>
      </w:pPr>
    </w:p>
    <w:p>
      <w:pPr>
        <w:jc w:val="both"/>
        <w:ind w:firstLine="474"/>
        <w:spacing w:after="0" w:line="288" w:lineRule="auto"/>
        <w:rPr>
          <w:sz w:val="20"/>
          <w:szCs w:val="20"/>
          <w:color w:val="auto"/>
        </w:rPr>
      </w:pPr>
      <w:r>
        <w:rPr>
          <w:rFonts w:ascii="Arial" w:cs="Arial" w:eastAsia="Arial" w:hAnsi="Arial"/>
          <w:sz w:val="16"/>
          <w:szCs w:val="16"/>
          <w:color w:val="auto"/>
        </w:rPr>
        <w:t>Net cash provided by operating activities was $2,221.2 million, $3,080.8 million and $2,713.3 for the years ended December 31, 2013, 2012 and 2011, respectively. As an insurance business, we typically generate positive cash flows from operating activities, as premiums collected from our insurance products and income received from our investments exceed acquisition costs, benefits paid, redemptions and operating expenses. These positive cash flows are then invested to support the obligations of our insurance products and required capital supporting these products. Our cash flows from operating activities are affected by the timing of premiums, fees, and investment income received and expenses paid. The decrease in cash provided by operating activities in 2013 compared to 2012 was primarily due to fluctuations in receivables and payables associated with the timing of settlements as well as decreased cash flows from trading securities. The increase in cash provided by operating activities in 2012 compared to 2011 was the result of an increase in premiums and other consideration received primarily due to an increase in sales of single premium group annuities with life contingencies and a decrease in claims paid. The increase was partially offset by fluctuations in receivables and payables associated with the timing of settlement.</w:t>
      </w:r>
    </w:p>
    <w:p>
      <w:pPr>
        <w:spacing w:after="0" w:line="174" w:lineRule="exact"/>
        <w:rPr>
          <w:sz w:val="20"/>
          <w:szCs w:val="20"/>
          <w:color w:val="auto"/>
        </w:rPr>
      </w:pPr>
    </w:p>
    <w:p>
      <w:pPr>
        <w:jc w:val="both"/>
        <w:ind w:firstLine="456"/>
        <w:spacing w:after="0" w:line="256" w:lineRule="auto"/>
        <w:rPr>
          <w:sz w:val="20"/>
          <w:szCs w:val="20"/>
          <w:color w:val="auto"/>
        </w:rPr>
      </w:pPr>
      <w:r>
        <w:rPr>
          <w:rFonts w:ascii="Arial" w:cs="Arial" w:eastAsia="Arial" w:hAnsi="Arial"/>
          <w:sz w:val="18"/>
          <w:szCs w:val="18"/>
          <w:color w:val="auto"/>
        </w:rPr>
        <w:t>Net cash used in investing activities was $1,226.3 million, $1,611.3 million and $202.1 million for the years ended December 31, 2013, 2012 and 2011, respectively. The decrease in cash used in investing activities in 2013 compared to 2012 was primarily the result of fewer net purchases of investments in the current year. This decrease was largely offset by the first quarter 2013 acquisition of Cuprum. The increase in cash used in investing activities in 2012 compared to 2011 was due to an increase in net purchases of investments.</w:t>
      </w:r>
    </w:p>
    <w:p>
      <w:pPr>
        <w:spacing w:after="0" w:line="197" w:lineRule="exact"/>
        <w:rPr>
          <w:sz w:val="20"/>
          <w:szCs w:val="20"/>
          <w:color w:val="auto"/>
        </w:rPr>
      </w:pPr>
    </w:p>
    <w:p>
      <w:pPr>
        <w:jc w:val="both"/>
        <w:ind w:firstLine="449"/>
        <w:spacing w:after="0" w:line="291" w:lineRule="auto"/>
        <w:rPr>
          <w:sz w:val="20"/>
          <w:szCs w:val="20"/>
          <w:color w:val="auto"/>
        </w:rPr>
      </w:pPr>
      <w:r>
        <w:rPr>
          <w:rFonts w:ascii="Arial" w:cs="Arial" w:eastAsia="Arial" w:hAnsi="Arial"/>
          <w:sz w:val="16"/>
          <w:szCs w:val="16"/>
          <w:color w:val="auto"/>
        </w:rPr>
        <w:t>Net cash used in financing activities was $2,800.3 million, $126.2 million and $1,554.7 million for the years ended December 31, 2013, 2012 and 2011, respectively. The increase in cash used in financing activities in 2013 compared to 2012 was primarily due to net repayments of debt in 2013, as compared to net borrowings in 2012, as well as an increase in net withdrawals of investment contracts. Additionally, cash used in financing activities increased in 2013 due to the transfer of certain Principal Bank deposits as part of the bank's transformation to a limited purpose trust institution. The decrease in cash used in financing activities in 2012 compared to 2011 was primarily due to the issuance of senior notes in 2012, net of principal repayments, with no corresponding activity in the prior year. Also contributing to the decrease in cash used in financing activities was a decrease in treasury stock repurchased in 2012.</w:t>
      </w:r>
    </w:p>
    <w:p>
      <w:pPr>
        <w:spacing w:after="0" w:line="174" w:lineRule="exact"/>
        <w:rPr>
          <w:sz w:val="20"/>
          <w:szCs w:val="20"/>
          <w:color w:val="auto"/>
        </w:rPr>
      </w:pPr>
    </w:p>
    <w:p>
      <w:pPr>
        <w:jc w:val="both"/>
        <w:ind w:firstLine="435"/>
        <w:spacing w:after="0" w:line="290" w:lineRule="auto"/>
        <w:rPr>
          <w:sz w:val="20"/>
          <w:szCs w:val="20"/>
          <w:color w:val="auto"/>
        </w:rPr>
      </w:pPr>
      <w:r>
        <w:rPr>
          <w:rFonts w:ascii="Arial" w:cs="Arial" w:eastAsia="Arial" w:hAnsi="Arial"/>
          <w:sz w:val="16"/>
          <w:szCs w:val="16"/>
          <w:b w:val="1"/>
          <w:bCs w:val="1"/>
          <w:i w:val="1"/>
          <w:iCs w:val="1"/>
          <w:color w:val="auto"/>
        </w:rPr>
        <w:t xml:space="preserve">Shelf Registration. </w:t>
      </w:r>
      <w:r>
        <w:rPr>
          <w:rFonts w:ascii="Arial" w:cs="Arial" w:eastAsia="Arial" w:hAnsi="Arial"/>
          <w:sz w:val="16"/>
          <w:szCs w:val="16"/>
          <w:color w:val="auto"/>
        </w:rPr>
        <w:t>On May 24, 2011, our shelf registration statement was filed with the SEC and became effective. The shelf registration replaces the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shelf registration that had been in effect since June 2008. Under our current shelf registration, we have the ability to issue in unlimited amounts, unsecured senior debt securities or subordinated debt securities, junior subordinated debt, preferred stock, common stock, warrants, depository shares, stock purchase contracts and stock purchase units of PFG, trust preferred securities of three subsidiary trusts and guarantees by PFG of these trust preferred securities. Our wholly owned subsidiary, PFS, may guarantee, fully and unconditionally or otherwise, our obligations with respect to any non-convertible securities, other than common stock, described in the shelf registration. For information on senior notes issued from our shelf registration, see Item 8. "Financial Statements and Supplementary Data, Notes to Consolidated Financial Statements, Note 10, Debt."</w:t>
      </w:r>
    </w:p>
    <w:p>
      <w:pPr>
        <w:spacing w:after="0" w:line="172" w:lineRule="exact"/>
        <w:rPr>
          <w:sz w:val="20"/>
          <w:szCs w:val="20"/>
          <w:color w:val="auto"/>
        </w:rPr>
      </w:pPr>
    </w:p>
    <w:p>
      <w:pPr>
        <w:jc w:val="both"/>
        <w:ind w:firstLine="351"/>
        <w:spacing w:after="0" w:line="268" w:lineRule="auto"/>
        <w:rPr>
          <w:sz w:val="20"/>
          <w:szCs w:val="20"/>
          <w:color w:val="auto"/>
        </w:rPr>
      </w:pPr>
      <w:r>
        <w:rPr>
          <w:rFonts w:ascii="Arial" w:cs="Arial" w:eastAsia="Arial" w:hAnsi="Arial"/>
          <w:sz w:val="18"/>
          <w:szCs w:val="18"/>
          <w:b w:val="1"/>
          <w:bCs w:val="1"/>
          <w:i w:val="1"/>
          <w:iCs w:val="1"/>
          <w:color w:val="auto"/>
        </w:rPr>
        <w:t xml:space="preserve">Preferred Stock Dividend Restrictions and Payments. </w:t>
      </w:r>
      <w:r>
        <w:rPr>
          <w:rFonts w:ascii="Arial" w:cs="Arial" w:eastAsia="Arial" w:hAnsi="Arial"/>
          <w:sz w:val="18"/>
          <w:szCs w:val="18"/>
          <w:color w:val="auto"/>
        </w:rPr>
        <w:t>For preferred stock dividend restriction and payment information, see Item 8. "Financial Statements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and Supplementary Data, Notes to Consolidated Financial Statements, Note 14, Stockholders' Equity."</w:t>
      </w:r>
    </w:p>
    <w:p>
      <w:pPr>
        <w:spacing w:after="0" w:line="186" w:lineRule="exact"/>
        <w:rPr>
          <w:sz w:val="20"/>
          <w:szCs w:val="20"/>
          <w:color w:val="auto"/>
        </w:rPr>
      </w:pPr>
    </w:p>
    <w:p>
      <w:pPr>
        <w:jc w:val="both"/>
        <w:ind w:firstLine="360"/>
        <w:spacing w:after="0" w:line="268" w:lineRule="auto"/>
        <w:rPr>
          <w:sz w:val="20"/>
          <w:szCs w:val="20"/>
          <w:color w:val="auto"/>
        </w:rPr>
      </w:pPr>
      <w:r>
        <w:rPr>
          <w:rFonts w:ascii="Arial" w:cs="Arial" w:eastAsia="Arial" w:hAnsi="Arial"/>
          <w:sz w:val="18"/>
          <w:szCs w:val="18"/>
          <w:b w:val="1"/>
          <w:bCs w:val="1"/>
          <w:i w:val="1"/>
          <w:iCs w:val="1"/>
          <w:color w:val="auto"/>
        </w:rPr>
        <w:t xml:space="preserve">Short-Term Debt and Long-Term Debt. </w:t>
      </w:r>
      <w:r>
        <w:rPr>
          <w:rFonts w:ascii="Arial" w:cs="Arial" w:eastAsia="Arial" w:hAnsi="Arial"/>
          <w:sz w:val="18"/>
          <w:szCs w:val="18"/>
          <w:color w:val="auto"/>
        </w:rPr>
        <w:t>For debt information, see Item 8. "Financial Statements and Supplementary Data, Notes to Consolidated Financial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Statements, Note 10, Debt."</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9" w:name="page60"/>
    <w:bookmarkEnd w:id="5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firstLine="435"/>
        <w:spacing w:after="0" w:line="268" w:lineRule="auto"/>
        <w:rPr>
          <w:sz w:val="20"/>
          <w:szCs w:val="20"/>
          <w:color w:val="auto"/>
        </w:rPr>
      </w:pPr>
      <w:r>
        <w:rPr>
          <w:rFonts w:ascii="Arial" w:cs="Arial" w:eastAsia="Arial" w:hAnsi="Arial"/>
          <w:sz w:val="18"/>
          <w:szCs w:val="18"/>
          <w:b w:val="1"/>
          <w:bCs w:val="1"/>
          <w:i w:val="1"/>
          <w:iCs w:val="1"/>
          <w:color w:val="auto"/>
        </w:rPr>
        <w:t xml:space="preserve">Stockholders' Equity. </w:t>
      </w:r>
      <w:r>
        <w:rPr>
          <w:rFonts w:ascii="Arial" w:cs="Arial" w:eastAsia="Arial" w:hAnsi="Arial"/>
          <w:sz w:val="18"/>
          <w:szCs w:val="18"/>
          <w:color w:val="auto"/>
        </w:rPr>
        <w:t>Proceeds from the issuance of our common stock were $125.8 million, $28.9 million and $25.9 million in 2013, 2012 and 2011,</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respectively.</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summarizes our return of capital to common stockholders.</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0" w:type="dxa"/>
            <w:vAlign w:val="bottom"/>
          </w:tcPr>
          <w:p>
            <w:pPr>
              <w:jc w:val="right"/>
              <w:ind w:right="32"/>
              <w:spacing w:after="0"/>
              <w:rPr>
                <w:sz w:val="20"/>
                <w:szCs w:val="20"/>
                <w:color w:val="auto"/>
              </w:rPr>
            </w:pPr>
            <w:r>
              <w:rPr>
                <w:rFonts w:ascii="Arial" w:cs="Arial" w:eastAsia="Arial" w:hAnsi="Arial"/>
                <w:sz w:val="14"/>
                <w:szCs w:val="14"/>
                <w:b w:val="1"/>
                <w:bCs w:val="1"/>
                <w:color w:val="auto"/>
                <w:w w:val="85"/>
              </w:rPr>
              <w:t>December 31, 2013</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0" w:type="dxa"/>
            <w:vAlign w:val="bottom"/>
          </w:tcPr>
          <w:p>
            <w:pPr>
              <w:jc w:val="right"/>
              <w:ind w:right="32"/>
              <w:spacing w:after="0"/>
              <w:rPr>
                <w:sz w:val="20"/>
                <w:szCs w:val="20"/>
                <w:color w:val="auto"/>
              </w:rPr>
            </w:pPr>
            <w:r>
              <w:rPr>
                <w:rFonts w:ascii="Arial" w:cs="Arial" w:eastAsia="Arial" w:hAnsi="Arial"/>
                <w:sz w:val="14"/>
                <w:szCs w:val="14"/>
                <w:b w:val="1"/>
                <w:bCs w:val="1"/>
                <w:color w:val="auto"/>
                <w:w w:val="85"/>
              </w:rPr>
              <w:t>December 31, 2012</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360" w:type="dxa"/>
            <w:vAlign w:val="bottom"/>
            <w:gridSpan w:val="2"/>
          </w:tcPr>
          <w:p>
            <w:pPr>
              <w:ind w:left="20"/>
              <w:spacing w:after="0"/>
              <w:rPr>
                <w:sz w:val="20"/>
                <w:szCs w:val="20"/>
                <w:color w:val="auto"/>
              </w:rPr>
            </w:pPr>
            <w:r>
              <w:rPr>
                <w:rFonts w:ascii="Arial" w:cs="Arial" w:eastAsia="Arial" w:hAnsi="Arial"/>
                <w:sz w:val="14"/>
                <w:szCs w:val="14"/>
                <w:b w:val="1"/>
                <w:bCs w:val="1"/>
                <w:color w:val="auto"/>
              </w:rPr>
              <w:t>December 31, 2011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42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tcPr>
          <w:p>
            <w:pPr>
              <w:jc w:val="right"/>
              <w:ind w:right="232"/>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1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Dividends to stockholders</w:t>
            </w:r>
          </w:p>
        </w:tc>
        <w:tc>
          <w:tcPr>
            <w:tcW w:w="14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288.4</w:t>
            </w:r>
          </w:p>
        </w:tc>
        <w:tc>
          <w:tcPr>
            <w:tcW w:w="24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231.3</w:t>
            </w:r>
          </w:p>
        </w:tc>
        <w:tc>
          <w:tcPr>
            <w:tcW w:w="2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213.7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20" w:type="dxa"/>
            <w:vAlign w:val="bottom"/>
          </w:tcPr>
          <w:p>
            <w:pPr>
              <w:spacing w:after="0" w:line="149" w:lineRule="exact"/>
              <w:rPr>
                <w:sz w:val="20"/>
                <w:szCs w:val="20"/>
                <w:color w:val="auto"/>
              </w:rPr>
            </w:pPr>
            <w:r>
              <w:rPr>
                <w:rFonts w:ascii="Arial" w:cs="Arial" w:eastAsia="Arial" w:hAnsi="Arial"/>
                <w:sz w:val="14"/>
                <w:szCs w:val="14"/>
                <w:color w:val="auto"/>
              </w:rPr>
              <w:t>Repurchase of common stock</w:t>
            </w:r>
          </w:p>
        </w:tc>
        <w:tc>
          <w:tcPr>
            <w:tcW w:w="142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153.6</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272.7</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556.4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42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cash returned to stockholders</w:t>
            </w:r>
          </w:p>
        </w:tc>
        <w:tc>
          <w:tcPr>
            <w:tcW w:w="148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442.0</w:t>
            </w:r>
          </w:p>
        </w:tc>
        <w:tc>
          <w:tcPr>
            <w:tcW w:w="24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504.0</w:t>
            </w:r>
          </w:p>
        </w:tc>
        <w:tc>
          <w:tcPr>
            <w:tcW w:w="2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770.1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440" w:type="dxa"/>
            <w:vAlign w:val="bottom"/>
            <w:gridSpan w:val="2"/>
            <w:vMerge w:val="restart"/>
          </w:tcPr>
          <w:p>
            <w:pPr>
              <w:spacing w:after="0"/>
              <w:rPr>
                <w:sz w:val="20"/>
                <w:szCs w:val="20"/>
                <w:color w:val="auto"/>
              </w:rPr>
            </w:pPr>
            <w:r>
              <w:rPr>
                <w:rFonts w:ascii="Arial" w:cs="Arial" w:eastAsia="Arial" w:hAnsi="Arial"/>
                <w:sz w:val="14"/>
                <w:szCs w:val="14"/>
                <w:color w:val="auto"/>
              </w:rPr>
              <w:t>Number of shares repurchased</w:t>
            </w:r>
          </w:p>
        </w:tc>
        <w:tc>
          <w:tcPr>
            <w:tcW w:w="14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3440" w:type="dxa"/>
            <w:vAlign w:val="bottom"/>
            <w:gridSpan w:val="2"/>
            <w:vMerge w:val="continue"/>
          </w:tcPr>
          <w:p>
            <w:pPr>
              <w:spacing w:after="0"/>
              <w:rPr>
                <w:sz w:val="13"/>
                <w:szCs w:val="13"/>
                <w:color w:val="auto"/>
              </w:rPr>
            </w:pPr>
          </w:p>
        </w:tc>
        <w:tc>
          <w:tcPr>
            <w:tcW w:w="14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0" w:type="dxa"/>
            <w:vAlign w:val="bottom"/>
          </w:tcPr>
          <w:p>
            <w:pPr>
              <w:jc w:val="right"/>
              <w:spacing w:after="0" w:line="155" w:lineRule="exact"/>
              <w:rPr>
                <w:sz w:val="20"/>
                <w:szCs w:val="20"/>
                <w:color w:val="auto"/>
              </w:rPr>
            </w:pPr>
            <w:r>
              <w:rPr>
                <w:rFonts w:ascii="Arial" w:cs="Arial" w:eastAsia="Arial" w:hAnsi="Arial"/>
                <w:sz w:val="14"/>
                <w:szCs w:val="14"/>
                <w:b w:val="1"/>
                <w:bCs w:val="1"/>
                <w:color w:val="auto"/>
              </w:rPr>
              <w:t>4.4</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0" w:type="dxa"/>
            <w:vAlign w:val="bottom"/>
          </w:tcPr>
          <w:p>
            <w:pPr>
              <w:jc w:val="right"/>
              <w:spacing w:after="0" w:line="155" w:lineRule="exact"/>
              <w:rPr>
                <w:sz w:val="20"/>
                <w:szCs w:val="20"/>
                <w:color w:val="auto"/>
              </w:rPr>
            </w:pPr>
            <w:r>
              <w:rPr>
                <w:rFonts w:ascii="Arial" w:cs="Arial" w:eastAsia="Arial" w:hAnsi="Arial"/>
                <w:sz w:val="14"/>
                <w:szCs w:val="14"/>
                <w:color w:val="auto"/>
              </w:rPr>
              <w:t>10.5</w:t>
            </w: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0" w:type="dxa"/>
            <w:vAlign w:val="bottom"/>
          </w:tcPr>
          <w:p>
            <w:pPr>
              <w:jc w:val="right"/>
              <w:spacing w:after="0" w:line="155" w:lineRule="exact"/>
              <w:rPr>
                <w:sz w:val="20"/>
                <w:szCs w:val="20"/>
                <w:color w:val="auto"/>
              </w:rPr>
            </w:pPr>
            <w:r>
              <w:rPr>
                <w:rFonts w:ascii="Arial" w:cs="Arial" w:eastAsia="Arial" w:hAnsi="Arial"/>
                <w:sz w:val="14"/>
                <w:szCs w:val="14"/>
                <w:color w:val="auto"/>
              </w:rPr>
              <w:t>21.1</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182" w:lineRule="exact"/>
        <w:rPr>
          <w:sz w:val="20"/>
          <w:szCs w:val="20"/>
          <w:color w:val="auto"/>
        </w:rPr>
      </w:pPr>
    </w:p>
    <w:p>
      <w:pPr>
        <w:jc w:val="both"/>
        <w:ind w:firstLine="455"/>
        <w:spacing w:after="0" w:line="268" w:lineRule="auto"/>
        <w:rPr>
          <w:sz w:val="20"/>
          <w:szCs w:val="20"/>
          <w:color w:val="auto"/>
        </w:rPr>
      </w:pPr>
      <w:r>
        <w:rPr>
          <w:rFonts w:ascii="Arial" w:cs="Arial" w:eastAsia="Arial" w:hAnsi="Arial"/>
          <w:sz w:val="18"/>
          <w:szCs w:val="18"/>
          <w:color w:val="auto"/>
        </w:rPr>
        <w:t>For additional stockholders' equity information, see Item 8. "Financial Statements and Supplementary Data, Notes to Consolidated Financial Statements, Note 14, Stockholders' Equity."</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Capitalization</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summarizes our capital structure:</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16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2013</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2012</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4160" w:type="dxa"/>
            <w:vAlign w:val="bottom"/>
          </w:tcPr>
          <w:p>
            <w:pPr>
              <w:spacing w:after="0"/>
              <w:rPr>
                <w:sz w:val="12"/>
                <w:szCs w:val="12"/>
                <w:color w:val="auto"/>
              </w:rPr>
            </w:pPr>
          </w:p>
        </w:tc>
        <w:tc>
          <w:tcPr>
            <w:tcW w:w="2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ind w:right="5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1420" w:type="dxa"/>
            <w:vAlign w:val="bottom"/>
            <w:gridSpan w:val="4"/>
          </w:tcPr>
          <w:p>
            <w:pPr>
              <w:jc w:val="right"/>
              <w:ind w:right="952"/>
              <w:spacing w:after="0"/>
              <w:rPr>
                <w:sz w:val="20"/>
                <w:szCs w:val="20"/>
                <w:color w:val="auto"/>
              </w:rPr>
            </w:pPr>
            <w:r>
              <w:rPr>
                <w:rFonts w:ascii="Arial" w:cs="Arial" w:eastAsia="Arial" w:hAnsi="Arial"/>
                <w:sz w:val="12"/>
                <w:szCs w:val="12"/>
                <w:b w:val="1"/>
                <w:bCs w:val="1"/>
                <w:i w:val="1"/>
                <w:iCs w:val="1"/>
                <w:color w:val="auto"/>
                <w:w w:val="76"/>
              </w:rPr>
              <w:t>millions)</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1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Debt:</w:t>
            </w:r>
          </w:p>
        </w:tc>
        <w:tc>
          <w:tcPr>
            <w:tcW w:w="2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160" w:type="dxa"/>
            <w:vAlign w:val="bottom"/>
          </w:tcPr>
          <w:p>
            <w:pPr>
              <w:ind w:left="140"/>
              <w:spacing w:after="0" w:line="149" w:lineRule="exact"/>
              <w:rPr>
                <w:sz w:val="20"/>
                <w:szCs w:val="20"/>
                <w:color w:val="auto"/>
              </w:rPr>
            </w:pPr>
            <w:r>
              <w:rPr>
                <w:rFonts w:ascii="Arial" w:cs="Arial" w:eastAsia="Arial" w:hAnsi="Arial"/>
                <w:sz w:val="14"/>
                <w:szCs w:val="14"/>
                <w:color w:val="auto"/>
              </w:rPr>
              <w:t>Short-term debt</w:t>
            </w:r>
          </w:p>
        </w:tc>
        <w:tc>
          <w:tcPr>
            <w:tcW w:w="21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150.6</w:t>
            </w:r>
          </w:p>
        </w:tc>
        <w:tc>
          <w:tcPr>
            <w:tcW w:w="140" w:type="dxa"/>
            <w:vAlign w:val="bottom"/>
          </w:tcPr>
          <w:p>
            <w:pPr>
              <w:spacing w:after="0"/>
              <w:rPr>
                <w:sz w:val="12"/>
                <w:szCs w:val="12"/>
                <w:color w:val="auto"/>
              </w:rPr>
            </w:pPr>
          </w:p>
        </w:tc>
        <w:tc>
          <w:tcPr>
            <w:tcW w:w="80" w:type="dxa"/>
            <w:vAlign w:val="bottom"/>
            <w:gridSpan w:val="2"/>
          </w:tcPr>
          <w:p>
            <w:pPr>
              <w:jc w:val="right"/>
              <w:spacing w:after="0" w:line="149" w:lineRule="exact"/>
              <w:rPr>
                <w:sz w:val="20"/>
                <w:szCs w:val="20"/>
                <w:color w:val="auto"/>
              </w:rPr>
            </w:pPr>
            <w:r>
              <w:rPr>
                <w:rFonts w:ascii="Arial" w:cs="Arial" w:eastAsia="Arial" w:hAnsi="Arial"/>
                <w:sz w:val="14"/>
                <w:szCs w:val="14"/>
                <w:color w:val="auto"/>
                <w:w w:val="76"/>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40.8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16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Long-term debt</w:t>
            </w:r>
          </w:p>
        </w:tc>
        <w:tc>
          <w:tcPr>
            <w:tcW w:w="210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2,601.4</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2,671.3</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4160" w:type="dxa"/>
            <w:vAlign w:val="bottom"/>
          </w:tcPr>
          <w:p>
            <w:pPr>
              <w:ind w:left="140"/>
              <w:spacing w:after="0" w:line="142" w:lineRule="exact"/>
              <w:rPr>
                <w:sz w:val="20"/>
                <w:szCs w:val="20"/>
                <w:color w:val="auto"/>
              </w:rPr>
            </w:pPr>
            <w:r>
              <w:rPr>
                <w:rFonts w:ascii="Arial" w:cs="Arial" w:eastAsia="Arial" w:hAnsi="Arial"/>
                <w:sz w:val="14"/>
                <w:szCs w:val="14"/>
                <w:color w:val="auto"/>
              </w:rPr>
              <w:t>Total debt</w:t>
            </w:r>
          </w:p>
        </w:tc>
        <w:tc>
          <w:tcPr>
            <w:tcW w:w="2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2,752.0</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2" w:lineRule="exact"/>
              <w:rPr>
                <w:sz w:val="20"/>
                <w:szCs w:val="20"/>
                <w:color w:val="auto"/>
              </w:rPr>
            </w:pPr>
            <w:r>
              <w:rPr>
                <w:rFonts w:ascii="Arial" w:cs="Arial" w:eastAsia="Arial" w:hAnsi="Arial"/>
                <w:sz w:val="14"/>
                <w:szCs w:val="14"/>
                <w:color w:val="auto"/>
              </w:rPr>
              <w:t>2,712.1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1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Equity excluding AOCI</w:t>
            </w:r>
          </w:p>
        </w:tc>
        <w:tc>
          <w:tcPr>
            <w:tcW w:w="210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9,501.0</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9,043.1</w:t>
            </w:r>
          </w:p>
        </w:tc>
        <w:tc>
          <w:tcPr>
            <w:tcW w:w="160" w:type="dxa"/>
            <w:vAlign w:val="bottom"/>
            <w:shd w:val="clear" w:color="auto" w:fill="CCEEFF"/>
          </w:tcPr>
          <w:p>
            <w:pPr>
              <w:spacing w:after="0"/>
              <w:rPr>
                <w:sz w:val="12"/>
                <w:szCs w:val="12"/>
                <w:color w:val="auto"/>
              </w:rPr>
            </w:pPr>
          </w:p>
        </w:tc>
      </w:tr>
      <w:tr>
        <w:trPr>
          <w:trHeight w:val="142"/>
        </w:trPr>
        <w:tc>
          <w:tcPr>
            <w:tcW w:w="4180" w:type="dxa"/>
            <w:vAlign w:val="bottom"/>
            <w:gridSpan w:val="2"/>
          </w:tcPr>
          <w:p>
            <w:pPr>
              <w:spacing w:after="0" w:line="142" w:lineRule="exact"/>
              <w:rPr>
                <w:sz w:val="20"/>
                <w:szCs w:val="20"/>
                <w:color w:val="auto"/>
              </w:rPr>
            </w:pPr>
            <w:r>
              <w:rPr>
                <w:rFonts w:ascii="Arial" w:cs="Arial" w:eastAsia="Arial" w:hAnsi="Arial"/>
                <w:sz w:val="14"/>
                <w:szCs w:val="14"/>
                <w:color w:val="auto"/>
              </w:rPr>
              <w:t>Total capitalization excluding AOCI</w:t>
            </w:r>
          </w:p>
        </w:tc>
        <w:tc>
          <w:tcPr>
            <w:tcW w:w="2100" w:type="dxa"/>
            <w:vAlign w:val="bottom"/>
          </w:tcPr>
          <w:p>
            <w:pPr>
              <w:spacing w:after="0"/>
              <w:rPr>
                <w:sz w:val="12"/>
                <w:szCs w:val="12"/>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12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12,253.0</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12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11,755.2</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416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4160" w:type="dxa"/>
            <w:vAlign w:val="bottom"/>
            <w:shd w:val="clear" w:color="auto" w:fill="CCEEFF"/>
          </w:tcPr>
          <w:p>
            <w:pPr>
              <w:spacing w:after="0" w:line="129" w:lineRule="exact"/>
              <w:rPr>
                <w:sz w:val="20"/>
                <w:szCs w:val="20"/>
                <w:color w:val="auto"/>
              </w:rPr>
            </w:pPr>
            <w:r>
              <w:rPr>
                <w:rFonts w:ascii="Arial" w:cs="Arial" w:eastAsia="Arial" w:hAnsi="Arial"/>
                <w:sz w:val="14"/>
                <w:szCs w:val="14"/>
                <w:color w:val="auto"/>
              </w:rPr>
              <w:t>Debt to equity excluding AOCI</w:t>
            </w:r>
          </w:p>
        </w:tc>
        <w:tc>
          <w:tcPr>
            <w:tcW w:w="2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340" w:type="dxa"/>
            <w:vAlign w:val="bottom"/>
            <w:gridSpan w:val="2"/>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29%</w:t>
            </w:r>
          </w:p>
        </w:tc>
        <w:tc>
          <w:tcPr>
            <w:tcW w:w="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360" w:type="dxa"/>
            <w:vAlign w:val="bottom"/>
            <w:gridSpan w:val="2"/>
            <w:shd w:val="clear" w:color="auto" w:fill="CCEEFF"/>
          </w:tcPr>
          <w:p>
            <w:pPr>
              <w:jc w:val="right"/>
              <w:ind w:right="60"/>
              <w:spacing w:after="0" w:line="129" w:lineRule="exact"/>
              <w:rPr>
                <w:sz w:val="20"/>
                <w:szCs w:val="20"/>
                <w:color w:val="auto"/>
              </w:rPr>
            </w:pPr>
            <w:r>
              <w:rPr>
                <w:rFonts w:ascii="Arial" w:cs="Arial" w:eastAsia="Arial" w:hAnsi="Arial"/>
                <w:sz w:val="14"/>
                <w:szCs w:val="14"/>
                <w:color w:val="auto"/>
              </w:rPr>
              <w:t>30%</w:t>
            </w:r>
          </w:p>
        </w:tc>
      </w:tr>
      <w:tr>
        <w:trPr>
          <w:trHeight w:val="174"/>
        </w:trPr>
        <w:tc>
          <w:tcPr>
            <w:tcW w:w="20" w:type="dxa"/>
            <w:vAlign w:val="bottom"/>
          </w:tcPr>
          <w:p>
            <w:pPr>
              <w:spacing w:after="0"/>
              <w:rPr>
                <w:sz w:val="15"/>
                <w:szCs w:val="15"/>
                <w:color w:val="auto"/>
              </w:rPr>
            </w:pPr>
          </w:p>
        </w:tc>
        <w:tc>
          <w:tcPr>
            <w:tcW w:w="4160" w:type="dxa"/>
            <w:vAlign w:val="bottom"/>
          </w:tcPr>
          <w:p>
            <w:pPr>
              <w:spacing w:after="0"/>
              <w:rPr>
                <w:sz w:val="20"/>
                <w:szCs w:val="20"/>
                <w:color w:val="auto"/>
              </w:rPr>
            </w:pPr>
            <w:r>
              <w:rPr>
                <w:rFonts w:ascii="Arial" w:cs="Arial" w:eastAsia="Arial" w:hAnsi="Arial"/>
                <w:sz w:val="14"/>
                <w:szCs w:val="14"/>
                <w:color w:val="auto"/>
              </w:rPr>
              <w:t>Debt to capitalization excluding AOCI</w:t>
            </w:r>
          </w:p>
        </w:tc>
        <w:tc>
          <w:tcPr>
            <w:tcW w:w="2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340" w:type="dxa"/>
            <w:vAlign w:val="bottom"/>
            <w:gridSpan w:val="2"/>
          </w:tcPr>
          <w:p>
            <w:pPr>
              <w:jc w:val="right"/>
              <w:spacing w:after="0"/>
              <w:rPr>
                <w:sz w:val="20"/>
                <w:szCs w:val="20"/>
                <w:color w:val="auto"/>
              </w:rPr>
            </w:pPr>
            <w:r>
              <w:rPr>
                <w:rFonts w:ascii="Arial" w:cs="Arial" w:eastAsia="Arial" w:hAnsi="Arial"/>
                <w:sz w:val="14"/>
                <w:szCs w:val="14"/>
                <w:b w:val="1"/>
                <w:bCs w:val="1"/>
                <w:color w:val="auto"/>
              </w:rPr>
              <w:t>22%</w:t>
            </w: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360" w:type="dxa"/>
            <w:vAlign w:val="bottom"/>
            <w:gridSpan w:val="2"/>
          </w:tcPr>
          <w:p>
            <w:pPr>
              <w:jc w:val="right"/>
              <w:ind w:right="60"/>
              <w:spacing w:after="0"/>
              <w:rPr>
                <w:sz w:val="20"/>
                <w:szCs w:val="20"/>
                <w:color w:val="auto"/>
              </w:rPr>
            </w:pPr>
            <w:r>
              <w:rPr>
                <w:rFonts w:ascii="Arial" w:cs="Arial" w:eastAsia="Arial" w:hAnsi="Arial"/>
                <w:sz w:val="14"/>
                <w:szCs w:val="14"/>
                <w:color w:val="auto"/>
              </w:rPr>
              <w:t>23%</w:t>
            </w:r>
          </w:p>
        </w:tc>
      </w:tr>
    </w:tbl>
    <w:p>
      <w:pPr>
        <w:spacing w:after="0" w:line="182" w:lineRule="exact"/>
        <w:rPr>
          <w:sz w:val="20"/>
          <w:szCs w:val="20"/>
          <w:color w:val="auto"/>
        </w:rPr>
      </w:pPr>
    </w:p>
    <w:p>
      <w:pPr>
        <w:jc w:val="both"/>
        <w:ind w:firstLine="369"/>
        <w:spacing w:after="0" w:line="259" w:lineRule="auto"/>
        <w:rPr>
          <w:sz w:val="20"/>
          <w:szCs w:val="20"/>
          <w:color w:val="auto"/>
        </w:rPr>
      </w:pPr>
      <w:r>
        <w:rPr>
          <w:rFonts w:ascii="Arial" w:cs="Arial" w:eastAsia="Arial" w:hAnsi="Arial"/>
          <w:sz w:val="18"/>
          <w:szCs w:val="18"/>
          <w:color w:val="auto"/>
        </w:rPr>
        <w:t>On January 21, 2014, the Commissioner approved Principal Life's election to redeem its surplus notes. On January 30, 2014, Principal Life provided surplus note holders with a notice of redemption and will redeem the $100.0 million surplus notes, due 2044, in whole on March 1, 2014, at a redemption price equal to 102.3% of par.</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Contractual Obligations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presents payments due by period for long-term contractual obligations as of December 31, 2013.</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80" w:type="dxa"/>
            <w:vAlign w:val="bottom"/>
            <w:vMerge w:val="restart"/>
          </w:tcPr>
          <w:p>
            <w:pPr>
              <w:jc w:val="right"/>
              <w:ind w:right="172"/>
              <w:spacing w:after="0"/>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740" w:type="dxa"/>
            <w:vAlign w:val="bottom"/>
            <w:tcBorders>
              <w:bottom w:val="single" w:sz="8" w:color="auto"/>
            </w:tcBorders>
            <w:gridSpan w:val="4"/>
          </w:tcPr>
          <w:p>
            <w:pPr>
              <w:ind w:left="20"/>
              <w:spacing w:after="0"/>
              <w:rPr>
                <w:sz w:val="20"/>
                <w:szCs w:val="20"/>
                <w:color w:val="auto"/>
              </w:rPr>
            </w:pPr>
            <w:r>
              <w:rPr>
                <w:rFonts w:ascii="Arial" w:cs="Arial" w:eastAsia="Arial" w:hAnsi="Arial"/>
                <w:sz w:val="14"/>
                <w:szCs w:val="14"/>
                <w:b w:val="1"/>
                <w:bCs w:val="1"/>
                <w:color w:val="auto"/>
                <w:w w:val="87"/>
              </w:rPr>
              <w:t>Payments due in year ending</w:t>
            </w:r>
          </w:p>
        </w:tc>
        <w:tc>
          <w:tcPr>
            <w:tcW w:w="1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vMerge w:val="continue"/>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6"/>
              </w:rPr>
              <w:t>2019 and</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4360" w:type="dxa"/>
            <w:vAlign w:val="bottom"/>
            <w:gridSpan w:val="3"/>
          </w:tcPr>
          <w:p>
            <w:pPr>
              <w:spacing w:after="0"/>
              <w:rPr>
                <w:sz w:val="20"/>
                <w:szCs w:val="20"/>
                <w:color w:val="auto"/>
              </w:rPr>
            </w:pPr>
            <w:r>
              <w:rPr>
                <w:rFonts w:ascii="Arial" w:cs="Arial" w:eastAsia="Arial" w:hAnsi="Arial"/>
                <w:sz w:val="14"/>
                <w:szCs w:val="14"/>
                <w:b w:val="1"/>
                <w:bCs w:val="1"/>
                <w:color w:val="auto"/>
              </w:rPr>
              <w:t>Contractual obligations (1)</w:t>
            </w: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80" w:type="dxa"/>
            <w:vAlign w:val="bottom"/>
          </w:tcPr>
          <w:p>
            <w:pPr>
              <w:jc w:val="right"/>
              <w:ind w:right="32"/>
              <w:spacing w:after="0"/>
              <w:rPr>
                <w:sz w:val="20"/>
                <w:szCs w:val="20"/>
                <w:color w:val="auto"/>
              </w:rPr>
            </w:pPr>
            <w:r>
              <w:rPr>
                <w:rFonts w:ascii="Arial" w:cs="Arial" w:eastAsia="Arial" w:hAnsi="Arial"/>
                <w:sz w:val="14"/>
                <w:szCs w:val="14"/>
                <w:b w:val="1"/>
                <w:bCs w:val="1"/>
                <w:color w:val="auto"/>
                <w:w w:val="85"/>
              </w:rPr>
              <w:t>payments</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jc w:val="right"/>
              <w:ind w:right="152"/>
              <w:spacing w:after="0"/>
              <w:rPr>
                <w:sz w:val="20"/>
                <w:szCs w:val="20"/>
                <w:color w:val="auto"/>
              </w:rPr>
            </w:pPr>
            <w:r>
              <w:rPr>
                <w:rFonts w:ascii="Arial" w:cs="Arial" w:eastAsia="Arial" w:hAnsi="Arial"/>
                <w:sz w:val="14"/>
                <w:szCs w:val="14"/>
                <w:b w:val="1"/>
                <w:bCs w:val="1"/>
                <w:color w:val="auto"/>
              </w:rPr>
              <w:t>2014</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ind w:left="20"/>
              <w:spacing w:after="0"/>
              <w:rPr>
                <w:sz w:val="20"/>
                <w:szCs w:val="20"/>
                <w:color w:val="auto"/>
              </w:rPr>
            </w:pPr>
            <w:r>
              <w:rPr>
                <w:rFonts w:ascii="Arial" w:cs="Arial" w:eastAsia="Arial" w:hAnsi="Arial"/>
                <w:sz w:val="14"/>
                <w:szCs w:val="14"/>
                <w:b w:val="1"/>
                <w:bCs w:val="1"/>
                <w:color w:val="auto"/>
                <w:w w:val="96"/>
              </w:rPr>
              <w:t>2015 - 2016</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jc w:val="right"/>
              <w:ind w:right="12"/>
              <w:spacing w:after="0"/>
              <w:rPr>
                <w:sz w:val="20"/>
                <w:szCs w:val="20"/>
                <w:color w:val="auto"/>
              </w:rPr>
            </w:pPr>
            <w:r>
              <w:rPr>
                <w:rFonts w:ascii="Arial" w:cs="Arial" w:eastAsia="Arial" w:hAnsi="Arial"/>
                <w:sz w:val="14"/>
                <w:szCs w:val="14"/>
                <w:b w:val="1"/>
                <w:bCs w:val="1"/>
                <w:color w:val="auto"/>
                <w:w w:val="85"/>
              </w:rPr>
              <w:t>2017 - 2018</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6"/>
              </w:rPr>
              <w:t>thereafter</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Borders>
              <w:top w:val="single" w:sz="8" w:color="auto"/>
            </w:tcBorders>
          </w:tcPr>
          <w:p>
            <w:pPr>
              <w:spacing w:after="0"/>
              <w:rPr>
                <w:sz w:val="12"/>
                <w:szCs w:val="12"/>
                <w:color w:val="auto"/>
              </w:rPr>
            </w:pPr>
          </w:p>
        </w:tc>
        <w:tc>
          <w:tcPr>
            <w:tcW w:w="32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i w:val="1"/>
                <w:iCs w:val="1"/>
                <w:color w:val="auto"/>
                <w:w w:val="91"/>
              </w:rPr>
              <w:t>(in millions)</w:t>
            </w: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Contractholder funds (2)</w:t>
            </w:r>
          </w:p>
        </w:tc>
        <w:tc>
          <w:tcPr>
            <w:tcW w:w="240" w:type="dxa"/>
            <w:vAlign w:val="bottom"/>
            <w:gridSpan w:val="3"/>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64,420.0</w:t>
            </w:r>
          </w:p>
        </w:tc>
        <w:tc>
          <w:tcPr>
            <w:tcW w:w="300" w:type="dxa"/>
            <w:vAlign w:val="bottom"/>
            <w:gridSpan w:val="2"/>
            <w:shd w:val="clear" w:color="auto" w:fill="CCEEFF"/>
          </w:tcPr>
          <w:p>
            <w:pPr>
              <w:jc w:val="right"/>
              <w:ind w:right="29"/>
              <w:spacing w:after="0" w:line="149"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6,805.1</w:t>
            </w:r>
          </w:p>
        </w:tc>
        <w:tc>
          <w:tcPr>
            <w:tcW w:w="2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11,098.8</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9,001.7</w:t>
            </w:r>
          </w:p>
        </w:tc>
        <w:tc>
          <w:tcPr>
            <w:tcW w:w="2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37,514.4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gridSpan w:val="2"/>
          </w:tcPr>
          <w:p>
            <w:pPr>
              <w:spacing w:after="0" w:line="149" w:lineRule="exact"/>
              <w:rPr>
                <w:sz w:val="20"/>
                <w:szCs w:val="20"/>
                <w:color w:val="auto"/>
              </w:rPr>
            </w:pPr>
            <w:r>
              <w:rPr>
                <w:rFonts w:ascii="Arial" w:cs="Arial" w:eastAsia="Arial" w:hAnsi="Arial"/>
                <w:sz w:val="14"/>
                <w:szCs w:val="14"/>
                <w:color w:val="auto"/>
              </w:rPr>
              <w:t>Future policy benefits and claims (3)</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38,911.3</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2,123.0</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3,419.4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3,289.8</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30,079.1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Long-term debt (4)</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2,601.4</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0.3</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299.8</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2,296.0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gridSpan w:val="2"/>
          </w:tcPr>
          <w:p>
            <w:pPr>
              <w:spacing w:after="0" w:line="149" w:lineRule="exact"/>
              <w:rPr>
                <w:sz w:val="20"/>
                <w:szCs w:val="20"/>
                <w:color w:val="auto"/>
              </w:rPr>
            </w:pPr>
            <w:r>
              <w:rPr>
                <w:rFonts w:ascii="Arial" w:cs="Arial" w:eastAsia="Arial" w:hAnsi="Arial"/>
                <w:sz w:val="14"/>
                <w:szCs w:val="14"/>
                <w:color w:val="auto"/>
              </w:rPr>
              <w:t>Certificates of deposit (5)</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703.9</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380.8</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208.5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113.6</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Other long-term liabilities (6)</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1,629.5</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1,328.3</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88.1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88.1</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125.0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gridSpan w:val="2"/>
          </w:tcPr>
          <w:p>
            <w:pPr>
              <w:spacing w:after="0" w:line="149" w:lineRule="exact"/>
              <w:rPr>
                <w:sz w:val="20"/>
                <w:szCs w:val="20"/>
                <w:color w:val="auto"/>
              </w:rPr>
            </w:pPr>
            <w:r>
              <w:rPr>
                <w:rFonts w:ascii="Arial" w:cs="Arial" w:eastAsia="Arial" w:hAnsi="Arial"/>
                <w:sz w:val="14"/>
                <w:szCs w:val="14"/>
                <w:color w:val="auto"/>
              </w:rPr>
              <w:t>Capital leases</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19.6</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7.2</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10.6</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1.8</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Long-term debt interest</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2,251.9</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134.8</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271.8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269.4</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1,575.9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gridSpan w:val="2"/>
          </w:tcPr>
          <w:p>
            <w:pPr>
              <w:spacing w:after="0" w:line="149" w:lineRule="exact"/>
              <w:rPr>
                <w:sz w:val="20"/>
                <w:szCs w:val="20"/>
                <w:color w:val="auto"/>
              </w:rPr>
            </w:pPr>
            <w:r>
              <w:rPr>
                <w:rFonts w:ascii="Arial" w:cs="Arial" w:eastAsia="Arial" w:hAnsi="Arial"/>
                <w:sz w:val="14"/>
                <w:szCs w:val="14"/>
                <w:color w:val="auto"/>
              </w:rPr>
              <w:t>Operating leases (7)</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198.1</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42.3</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67.9</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34.0</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53.9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Purchase obligations (8)</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727.5</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697.9</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23.6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6.0</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2"/>
        </w:trPr>
        <w:tc>
          <w:tcPr>
            <w:tcW w:w="4360" w:type="dxa"/>
            <w:vAlign w:val="bottom"/>
            <w:gridSpan w:val="3"/>
          </w:tcPr>
          <w:p>
            <w:pPr>
              <w:spacing w:after="0" w:line="142" w:lineRule="exact"/>
              <w:rPr>
                <w:sz w:val="20"/>
                <w:szCs w:val="20"/>
                <w:color w:val="auto"/>
              </w:rPr>
            </w:pPr>
            <w:r>
              <w:rPr>
                <w:rFonts w:ascii="Arial" w:cs="Arial" w:eastAsia="Arial" w:hAnsi="Arial"/>
                <w:sz w:val="14"/>
                <w:szCs w:val="14"/>
                <w:color w:val="auto"/>
              </w:rPr>
              <w:t>Total contractual obligations</w:t>
            </w:r>
          </w:p>
        </w:tc>
        <w:tc>
          <w:tcPr>
            <w:tcW w:w="160" w:type="dxa"/>
            <w:vAlign w:val="bottom"/>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5"/>
                <w:szCs w:val="5"/>
                <w:b w:val="1"/>
                <w:bCs w:val="1"/>
                <w:color w:val="auto"/>
                <w:w w:val="70"/>
              </w:rPr>
              <w:t>$</w:t>
            </w:r>
          </w:p>
        </w:tc>
        <w:tc>
          <w:tcPr>
            <w:tcW w:w="6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111,463.2</w:t>
            </w:r>
          </w:p>
        </w:tc>
        <w:tc>
          <w:tcPr>
            <w:tcW w:w="16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0"/>
                <w:szCs w:val="10"/>
                <w:b w:val="1"/>
                <w:bCs w:val="1"/>
                <w:color w:val="auto"/>
                <w:w w:val="71"/>
              </w:rPr>
              <w:t>$</w:t>
            </w:r>
          </w:p>
        </w:tc>
        <w:tc>
          <w:tcPr>
            <w:tcW w:w="5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5"/>
              </w:rPr>
              <w:t>11,519.7</w:t>
            </w:r>
          </w:p>
        </w:tc>
        <w:tc>
          <w:tcPr>
            <w:tcW w:w="1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7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15,194.0</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7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13,104.2</w:t>
            </w:r>
          </w:p>
        </w:tc>
        <w:tc>
          <w:tcPr>
            <w:tcW w:w="1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6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71,645.3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32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6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40" w:type="dxa"/>
            <w:vAlign w:val="bottom"/>
          </w:tcPr>
          <w:p>
            <w:pPr>
              <w:spacing w:after="0"/>
              <w:rPr>
                <w:sz w:val="7"/>
                <w:szCs w:val="7"/>
                <w:color w:val="auto"/>
              </w:rPr>
            </w:pPr>
          </w:p>
        </w:tc>
        <w:tc>
          <w:tcPr>
            <w:tcW w:w="560" w:type="dxa"/>
            <w:vAlign w:val="bottom"/>
          </w:tcPr>
          <w:p>
            <w:pPr>
              <w:spacing w:after="0"/>
              <w:rPr>
                <w:sz w:val="7"/>
                <w:szCs w:val="7"/>
                <w:color w:val="auto"/>
              </w:rPr>
            </w:pPr>
          </w:p>
        </w:tc>
        <w:tc>
          <w:tcPr>
            <w:tcW w:w="16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740" w:type="dxa"/>
            <w:vAlign w:val="bottom"/>
          </w:tcPr>
          <w:p>
            <w:pPr>
              <w:spacing w:after="0"/>
              <w:rPr>
                <w:sz w:val="7"/>
                <w:szCs w:val="7"/>
                <w:color w:val="auto"/>
              </w:rPr>
            </w:pPr>
          </w:p>
        </w:tc>
        <w:tc>
          <w:tcPr>
            <w:tcW w:w="160" w:type="dxa"/>
            <w:vAlign w:val="bottom"/>
          </w:tcPr>
          <w:p>
            <w:pPr>
              <w:spacing w:after="0"/>
              <w:rPr>
                <w:sz w:val="7"/>
                <w:szCs w:val="7"/>
                <w:color w:val="auto"/>
              </w:rPr>
            </w:pPr>
          </w:p>
        </w:tc>
        <w:tc>
          <w:tcPr>
            <w:tcW w:w="60" w:type="dxa"/>
            <w:vAlign w:val="bottom"/>
          </w:tcPr>
          <w:p>
            <w:pPr>
              <w:spacing w:after="0"/>
              <w:rPr>
                <w:sz w:val="7"/>
                <w:szCs w:val="7"/>
                <w:color w:val="auto"/>
              </w:rPr>
            </w:pPr>
          </w:p>
        </w:tc>
        <w:tc>
          <w:tcPr>
            <w:tcW w:w="66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jc w:val="both"/>
        <w:ind w:left="1680" w:hanging="531"/>
        <w:spacing w:after="0" w:line="270" w:lineRule="auto"/>
        <w:tabs>
          <w:tab w:leader="none" w:pos="1680" w:val="left"/>
        </w:tabs>
        <w:numPr>
          <w:ilvl w:val="0"/>
          <w:numId w:val="27"/>
        </w:numPr>
        <w:rPr>
          <w:rFonts w:ascii="Arial" w:cs="Arial" w:eastAsia="Arial" w:hAnsi="Arial"/>
          <w:sz w:val="12"/>
          <w:szCs w:val="12"/>
          <w:color w:val="auto"/>
        </w:rPr>
      </w:pPr>
      <w:r>
        <w:rPr>
          <w:rFonts w:ascii="Arial" w:cs="Arial" w:eastAsia="Arial" w:hAnsi="Arial"/>
          <w:sz w:val="12"/>
          <w:szCs w:val="12"/>
          <w:color w:val="auto"/>
        </w:rPr>
        <w:t>Excludes short-term liabilities, other policyholder funds, taxes and short-term debt as these are not long-term and/or not contractual in nature. Also excludes obligations under our pension and other postretirement benefit plans as we do not anticipate contributions will be needed to satisfy the minimum funding requirements of ERISA for our qualified pension plan. In addition, separate account liabilities are excluded. Separate account liabilities represent the fair market value of funds that are separately administered by us. Generally, the separate account contract owner, rather than us, bears the investment risk of these funds. The separate account liabilities are legally segregated and are not subject to claims that arise out of any other business of ours. Net deposits, net investment income and realized and unrealized capital gains and losses on the separate accounts are not reflected in the consolidated statements of operations. The separate account obligations will be fully funded by cash flows from the separate account assets.</w:t>
      </w:r>
    </w:p>
    <w:p>
      <w:pPr>
        <w:spacing w:after="0" w:line="94" w:lineRule="exact"/>
        <w:rPr>
          <w:rFonts w:ascii="Arial" w:cs="Arial" w:eastAsia="Arial" w:hAnsi="Arial"/>
          <w:sz w:val="12"/>
          <w:szCs w:val="12"/>
          <w:color w:val="auto"/>
        </w:rPr>
      </w:pPr>
    </w:p>
    <w:p>
      <w:pPr>
        <w:ind w:left="1680" w:hanging="531"/>
        <w:spacing w:after="0" w:line="239" w:lineRule="auto"/>
        <w:tabs>
          <w:tab w:leader="none" w:pos="1680" w:val="left"/>
        </w:tabs>
        <w:numPr>
          <w:ilvl w:val="0"/>
          <w:numId w:val="27"/>
        </w:numPr>
        <w:rPr>
          <w:rFonts w:ascii="Arial" w:cs="Arial" w:eastAsia="Arial" w:hAnsi="Arial"/>
          <w:sz w:val="14"/>
          <w:szCs w:val="14"/>
          <w:color w:val="auto"/>
        </w:rPr>
      </w:pPr>
      <w:r>
        <w:rPr>
          <w:rFonts w:ascii="Arial" w:cs="Arial" w:eastAsia="Arial" w:hAnsi="Arial"/>
          <w:sz w:val="14"/>
          <w:szCs w:val="14"/>
          <w:color w:val="auto"/>
        </w:rPr>
        <w:t>Includes GICs, funding agreements, individual fixed annuities, universal life insurance and other investment-type contracts. See Item 8. "Financial Statements and Supplementary Data, Notes to Consolidated Financial Statements, Note 9, Insurance Liabilities" for additional information.</w:t>
      </w:r>
    </w:p>
    <w:p>
      <w:pPr>
        <w:spacing w:after="0" w:line="200" w:lineRule="exact"/>
        <w:rPr>
          <w:sz w:val="20"/>
          <w:szCs w:val="20"/>
          <w:color w:val="auto"/>
        </w:rPr>
      </w:pPr>
    </w:p>
    <w:p>
      <w:pPr>
        <w:spacing w:after="0" w:line="236" w:lineRule="exact"/>
        <w:rPr>
          <w:sz w:val="20"/>
          <w:szCs w:val="20"/>
          <w:color w:val="auto"/>
        </w:rPr>
      </w:pPr>
    </w:p>
    <w:p>
      <w:pPr>
        <w:jc w:val="both"/>
        <w:ind w:left="1680" w:right="20"/>
        <w:spacing w:after="0" w:line="233" w:lineRule="auto"/>
        <w:rPr>
          <w:sz w:val="20"/>
          <w:szCs w:val="20"/>
          <w:color w:val="auto"/>
        </w:rPr>
      </w:pPr>
      <w:r>
        <w:rPr>
          <w:rFonts w:ascii="Arial" w:cs="Arial" w:eastAsia="Arial" w:hAnsi="Arial"/>
          <w:sz w:val="14"/>
          <w:szCs w:val="14"/>
          <w:color w:val="auto"/>
        </w:rPr>
        <w:t>Amounts included in the contractholder funds line item reflect estimated cash payments to be made to policyholders. The sum of the cash outflows shown for all years in the table exceeds the corresponding liability amount included in our consolidated statements of financial position as of December 31, 2013. The liability amount in our consolidated statements of financial position reflects either the account</w:t>
      </w:r>
    </w:p>
    <w:p>
      <w:pPr>
        <w:spacing w:after="0" w:line="1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0" w:name="page61"/>
    <w:bookmarkEnd w:id="6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3" w:lineRule="exact"/>
        <w:rPr>
          <w:sz w:val="20"/>
          <w:szCs w:val="20"/>
          <w:color w:val="auto"/>
        </w:rPr>
      </w:pPr>
    </w:p>
    <w:p>
      <w:pPr>
        <w:ind w:left="1680"/>
        <w:spacing w:after="0" w:line="239" w:lineRule="auto"/>
        <w:rPr>
          <w:sz w:val="20"/>
          <w:szCs w:val="20"/>
          <w:color w:val="auto"/>
        </w:rPr>
      </w:pPr>
      <w:r>
        <w:rPr>
          <w:rFonts w:ascii="Arial" w:cs="Arial" w:eastAsia="Arial" w:hAnsi="Arial"/>
          <w:sz w:val="14"/>
          <w:szCs w:val="14"/>
          <w:color w:val="auto"/>
        </w:rPr>
        <w:t>value (in the case of individual fixed annuities, universal life insurance and GICs) or the par value plus accrued interest and other adjustments (in the case of funding agreements and other investment contracts).</w:t>
      </w:r>
    </w:p>
    <w:p>
      <w:pPr>
        <w:spacing w:after="0" w:line="179" w:lineRule="exact"/>
        <w:rPr>
          <w:sz w:val="20"/>
          <w:szCs w:val="20"/>
          <w:color w:val="auto"/>
        </w:rPr>
      </w:pPr>
    </w:p>
    <w:p>
      <w:pPr>
        <w:jc w:val="both"/>
        <w:ind w:left="1680" w:hanging="531"/>
        <w:spacing w:after="0" w:line="230" w:lineRule="auto"/>
        <w:tabs>
          <w:tab w:leader="none" w:pos="1680" w:val="left"/>
        </w:tabs>
        <w:numPr>
          <w:ilvl w:val="0"/>
          <w:numId w:val="28"/>
        </w:numPr>
        <w:rPr>
          <w:rFonts w:ascii="Arial" w:cs="Arial" w:eastAsia="Arial" w:hAnsi="Arial"/>
          <w:sz w:val="14"/>
          <w:szCs w:val="14"/>
          <w:color w:val="auto"/>
        </w:rPr>
      </w:pPr>
      <w:r>
        <w:rPr>
          <w:rFonts w:ascii="Arial" w:cs="Arial" w:eastAsia="Arial" w:hAnsi="Arial"/>
          <w:sz w:val="14"/>
          <w:szCs w:val="14"/>
          <w:color w:val="auto"/>
        </w:rPr>
        <w:t>Amounts included in the future policy benefits and claims line item reflect estimated cash payments to be made to policyholders. The sum of the cash outflows shown for all years in the table exceeds the corresponding liability amount included in our consolidated statements of financial position as of December 31, 2013. The liability amount in our consolidated statements of financial position reflects estimated cash payments to policyholders, reductions for expected future premiums, assumptions with regard to the timing of cash payments and discounting for interest.</w:t>
      </w:r>
    </w:p>
    <w:p>
      <w:pPr>
        <w:spacing w:after="0" w:line="112" w:lineRule="exact"/>
        <w:rPr>
          <w:rFonts w:ascii="Arial" w:cs="Arial" w:eastAsia="Arial" w:hAnsi="Arial"/>
          <w:sz w:val="14"/>
          <w:szCs w:val="14"/>
          <w:color w:val="auto"/>
        </w:rPr>
      </w:pPr>
    </w:p>
    <w:p>
      <w:pPr>
        <w:ind w:left="1680" w:hanging="531"/>
        <w:spacing w:after="0"/>
        <w:tabs>
          <w:tab w:leader="none" w:pos="1680" w:val="left"/>
        </w:tabs>
        <w:numPr>
          <w:ilvl w:val="0"/>
          <w:numId w:val="28"/>
        </w:numPr>
        <w:rPr>
          <w:rFonts w:ascii="Arial" w:cs="Arial" w:eastAsia="Arial" w:hAnsi="Arial"/>
          <w:sz w:val="14"/>
          <w:szCs w:val="14"/>
          <w:color w:val="auto"/>
        </w:rPr>
      </w:pPr>
      <w:r>
        <w:rPr>
          <w:rFonts w:ascii="Arial" w:cs="Arial" w:eastAsia="Arial" w:hAnsi="Arial"/>
          <w:sz w:val="14"/>
          <w:szCs w:val="14"/>
          <w:color w:val="auto"/>
        </w:rPr>
        <w:t>For long-term debt information, see Item 8. "Financial Statements and Supplementary Data, Notes to Consolidated Financial Statements, Note 10, Debt."</w:t>
      </w:r>
    </w:p>
    <w:p>
      <w:pPr>
        <w:spacing w:after="0" w:line="122" w:lineRule="exact"/>
        <w:rPr>
          <w:rFonts w:ascii="Arial" w:cs="Arial" w:eastAsia="Arial" w:hAnsi="Arial"/>
          <w:sz w:val="14"/>
          <w:szCs w:val="14"/>
          <w:color w:val="auto"/>
        </w:rPr>
      </w:pPr>
    </w:p>
    <w:p>
      <w:pPr>
        <w:ind w:left="1680" w:hanging="531"/>
        <w:spacing w:after="0" w:line="239" w:lineRule="auto"/>
        <w:tabs>
          <w:tab w:leader="none" w:pos="1680" w:val="left"/>
        </w:tabs>
        <w:numPr>
          <w:ilvl w:val="0"/>
          <w:numId w:val="28"/>
        </w:numPr>
        <w:rPr>
          <w:rFonts w:ascii="Arial" w:cs="Arial" w:eastAsia="Arial" w:hAnsi="Arial"/>
          <w:sz w:val="14"/>
          <w:szCs w:val="14"/>
          <w:color w:val="auto"/>
        </w:rPr>
      </w:pPr>
      <w:r>
        <w:rPr>
          <w:rFonts w:ascii="Arial" w:cs="Arial" w:eastAsia="Arial" w:hAnsi="Arial"/>
          <w:sz w:val="14"/>
          <w:szCs w:val="14"/>
          <w:color w:val="auto"/>
        </w:rPr>
        <w:t>Amounts included in the certificates of deposit line item reflect estimated cash payments to be made, including expected interest payments. Certificates of deposit are reported as other liabilities on our consolidated statements of financial position.</w:t>
      </w:r>
    </w:p>
    <w:p>
      <w:pPr>
        <w:spacing w:after="0" w:line="111" w:lineRule="exact"/>
        <w:rPr>
          <w:rFonts w:ascii="Arial" w:cs="Arial" w:eastAsia="Arial" w:hAnsi="Arial"/>
          <w:sz w:val="14"/>
          <w:szCs w:val="14"/>
          <w:color w:val="auto"/>
        </w:rPr>
      </w:pPr>
    </w:p>
    <w:p>
      <w:pPr>
        <w:jc w:val="both"/>
        <w:ind w:left="1680" w:hanging="531"/>
        <w:spacing w:after="0" w:line="233" w:lineRule="auto"/>
        <w:tabs>
          <w:tab w:leader="none" w:pos="1680" w:val="left"/>
        </w:tabs>
        <w:numPr>
          <w:ilvl w:val="0"/>
          <w:numId w:val="28"/>
        </w:numPr>
        <w:rPr>
          <w:rFonts w:ascii="Arial" w:cs="Arial" w:eastAsia="Arial" w:hAnsi="Arial"/>
          <w:sz w:val="14"/>
          <w:szCs w:val="14"/>
          <w:color w:val="auto"/>
        </w:rPr>
      </w:pPr>
      <w:r>
        <w:rPr>
          <w:rFonts w:ascii="Arial" w:cs="Arial" w:eastAsia="Arial" w:hAnsi="Arial"/>
          <w:sz w:val="14"/>
          <w:szCs w:val="14"/>
          <w:color w:val="auto"/>
        </w:rPr>
        <w:t>Other long-term liabilities include other liabilities reflected in the consolidated statements of financial position that are contractual, non-cancelable and long-term in nature. The total payments primarily relate to checking and savings deposits as well as premium associated with purchased option contracts where payments are made over the life of the contract. This line item excludes accruals, short-term items and items not contractual in nature.</w:t>
      </w:r>
    </w:p>
    <w:p>
      <w:pPr>
        <w:spacing w:after="0" w:line="111" w:lineRule="exact"/>
        <w:rPr>
          <w:rFonts w:ascii="Arial" w:cs="Arial" w:eastAsia="Arial" w:hAnsi="Arial"/>
          <w:sz w:val="14"/>
          <w:szCs w:val="14"/>
          <w:color w:val="auto"/>
        </w:rPr>
      </w:pPr>
    </w:p>
    <w:p>
      <w:pPr>
        <w:ind w:left="1680" w:hanging="531"/>
        <w:spacing w:after="0"/>
        <w:tabs>
          <w:tab w:leader="none" w:pos="1680" w:val="left"/>
        </w:tabs>
        <w:numPr>
          <w:ilvl w:val="0"/>
          <w:numId w:val="28"/>
        </w:numPr>
        <w:rPr>
          <w:rFonts w:ascii="Arial" w:cs="Arial" w:eastAsia="Arial" w:hAnsi="Arial"/>
          <w:sz w:val="14"/>
          <w:szCs w:val="14"/>
          <w:color w:val="auto"/>
        </w:rPr>
      </w:pPr>
      <w:r>
        <w:rPr>
          <w:rFonts w:ascii="Arial" w:cs="Arial" w:eastAsia="Arial" w:hAnsi="Arial"/>
          <w:sz w:val="14"/>
          <w:szCs w:val="14"/>
          <w:color w:val="auto"/>
        </w:rPr>
        <w:t>As a lessee, we lease office space, data processing equipment and office furniture and equipment under various operating leases.</w:t>
      </w:r>
    </w:p>
    <w:p>
      <w:pPr>
        <w:spacing w:after="0" w:line="122" w:lineRule="exact"/>
        <w:rPr>
          <w:rFonts w:ascii="Arial" w:cs="Arial" w:eastAsia="Arial" w:hAnsi="Arial"/>
          <w:sz w:val="14"/>
          <w:szCs w:val="14"/>
          <w:color w:val="auto"/>
        </w:rPr>
      </w:pPr>
    </w:p>
    <w:p>
      <w:pPr>
        <w:ind w:left="1680" w:hanging="531"/>
        <w:spacing w:after="0" w:line="239" w:lineRule="auto"/>
        <w:tabs>
          <w:tab w:leader="none" w:pos="1680" w:val="left"/>
        </w:tabs>
        <w:numPr>
          <w:ilvl w:val="0"/>
          <w:numId w:val="28"/>
        </w:numPr>
        <w:rPr>
          <w:rFonts w:ascii="Arial" w:cs="Arial" w:eastAsia="Arial" w:hAnsi="Arial"/>
          <w:sz w:val="14"/>
          <w:szCs w:val="14"/>
          <w:color w:val="auto"/>
        </w:rPr>
      </w:pPr>
      <w:r>
        <w:rPr>
          <w:rFonts w:ascii="Arial" w:cs="Arial" w:eastAsia="Arial" w:hAnsi="Arial"/>
          <w:sz w:val="14"/>
          <w:szCs w:val="14"/>
          <w:color w:val="auto"/>
        </w:rPr>
        <w:t>Purchase obligations include material contracts where we have a non-cancelable commitment to purchase goods and services in addition to commitments to originate loans and purchase investments.</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Pension and Other Postretirement Plan Funding</w:t>
      </w:r>
    </w:p>
    <w:p>
      <w:pPr>
        <w:spacing w:after="0" w:line="225" w:lineRule="exact"/>
        <w:rPr>
          <w:sz w:val="20"/>
          <w:szCs w:val="20"/>
          <w:color w:val="auto"/>
        </w:rPr>
      </w:pPr>
    </w:p>
    <w:p>
      <w:pPr>
        <w:jc w:val="both"/>
        <w:ind w:firstLine="583"/>
        <w:spacing w:after="0" w:line="259" w:lineRule="auto"/>
        <w:rPr>
          <w:sz w:val="20"/>
          <w:szCs w:val="20"/>
          <w:color w:val="auto"/>
        </w:rPr>
      </w:pPr>
      <w:r>
        <w:rPr>
          <w:rFonts w:ascii="Arial" w:cs="Arial" w:eastAsia="Arial" w:hAnsi="Arial"/>
          <w:sz w:val="18"/>
          <w:szCs w:val="18"/>
          <w:color w:val="auto"/>
        </w:rPr>
        <w:t>We have defined benefit pension plans covering substantially all of our U.S. employees and certain agents. See Item 8. "Financial Statements and Supplementary Data, Notes to Consolidated Financial Statements, Note 11, Employee and Agent Benefits" for a complete discussion of these plans and their effect on the consolidated financial statements.</w:t>
      </w:r>
    </w:p>
    <w:p>
      <w:pPr>
        <w:spacing w:after="0" w:line="194" w:lineRule="exact"/>
        <w:rPr>
          <w:sz w:val="20"/>
          <w:szCs w:val="20"/>
          <w:color w:val="auto"/>
        </w:rPr>
      </w:pPr>
    </w:p>
    <w:p>
      <w:pPr>
        <w:jc w:val="both"/>
        <w:ind w:firstLine="460"/>
        <w:spacing w:after="0" w:line="288" w:lineRule="auto"/>
        <w:rPr>
          <w:sz w:val="20"/>
          <w:szCs w:val="20"/>
          <w:color w:val="auto"/>
        </w:rPr>
      </w:pPr>
      <w:r>
        <w:rPr>
          <w:rFonts w:ascii="Arial" w:cs="Arial" w:eastAsia="Arial" w:hAnsi="Arial"/>
          <w:sz w:val="16"/>
          <w:szCs w:val="16"/>
          <w:color w:val="auto"/>
        </w:rPr>
        <w:t>We report the net funded status of our pension and other postretirement plans in the consolidated statements of financial position. The net funded status represents the differences between the fair value of plan assets and the projected benefit obligation for pension plans and other postretirement plans. The measurement of the net funded status can vary based upon the fluctuations in the fair value of the plan assets and the actuarial assumptions used for the plans as discussed below. The net underfunded status of the pension and other postretirement benefit obligation was $42.2 million pre-tax and $584.0 million pre-tax as of December 31, 2013 and 2012, respectively. Nonqualified pension plan assets are not included as part of the funding status mentioned above. The nonqualified pension plan assets are held in Rabbi trusts for the benefit of all nonqualified plan participants. The assets held in a Rabbi trust are available to satisfy the claims of general creditors only in the event of bankruptcy. Therefore, these assets are fully consolidated in our consolidated statements of financial position and are not reflected in our funded status as they do not qualify as plan assets under U.S. GAAP. The market value of assets held in these trusts was $304.3 million and $300.8 million as of December 31, 2013 and 2012, respectively.</w:t>
      </w:r>
    </w:p>
    <w:p>
      <w:pPr>
        <w:spacing w:after="0" w:line="174" w:lineRule="exact"/>
        <w:rPr>
          <w:sz w:val="20"/>
          <w:szCs w:val="20"/>
          <w:color w:val="auto"/>
        </w:rPr>
      </w:pPr>
    </w:p>
    <w:p>
      <w:pPr>
        <w:jc w:val="both"/>
        <w:ind w:firstLine="351"/>
        <w:spacing w:after="0" w:line="294" w:lineRule="auto"/>
        <w:rPr>
          <w:sz w:val="20"/>
          <w:szCs w:val="20"/>
          <w:color w:val="auto"/>
        </w:rPr>
      </w:pPr>
      <w:r>
        <w:rPr>
          <w:rFonts w:ascii="Arial" w:cs="Arial" w:eastAsia="Arial" w:hAnsi="Arial"/>
          <w:sz w:val="16"/>
          <w:szCs w:val="16"/>
          <w:color w:val="auto"/>
        </w:rPr>
        <w:t>Our funding policy for the qualified pension plan is to fund the plan annually in an amount at least equal to the minimum annual contributions required under ERISA and, generally, not greater than the maximum amount that can be deducted for federal income tax purposes. We do not anticipate contributions will be needed to satisfy the minimum funding requirements of ERISA for our qualified pension plan. At this time, it is too early to estimate the amount that may be contributed, but it is possible that we may fund the plans in 2014 in the range of $125-$175 million. This includes funding for both our qualified and nonqualified pension plans. We may contribute to our other postretirement benefit plans in 2014 pending further analysis.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Contractual Commitments</w:t>
      </w:r>
    </w:p>
    <w:p>
      <w:pPr>
        <w:spacing w:after="0" w:line="225" w:lineRule="exact"/>
        <w:rPr>
          <w:sz w:val="20"/>
          <w:szCs w:val="20"/>
          <w:color w:val="auto"/>
        </w:rPr>
      </w:pPr>
    </w:p>
    <w:p>
      <w:pPr>
        <w:jc w:val="both"/>
        <w:ind w:firstLine="442"/>
        <w:spacing w:after="0" w:line="294" w:lineRule="auto"/>
        <w:rPr>
          <w:sz w:val="20"/>
          <w:szCs w:val="20"/>
          <w:color w:val="auto"/>
        </w:rPr>
      </w:pPr>
      <w:r>
        <w:rPr>
          <w:rFonts w:ascii="Arial" w:cs="Arial" w:eastAsia="Arial" w:hAnsi="Arial"/>
          <w:sz w:val="16"/>
          <w:szCs w:val="16"/>
          <w:color w:val="auto"/>
        </w:rPr>
        <w:t>In connection with our banking business, we have made additional commitments to extend credit, which are agreements to lend to a customer as long as there is no violation of any conditions established in the contract. Commitments generally have fixed expiration dates or other termination clauses and may require payment of a fee. A majority of these commitments are lines of credit and are expected to expire without being drawn upon. Therefore, the total commitment amounts do not necessarily represent future cash funding requirements. We evaluate each customer's creditworthiness on a case-by-case basis. The total commitments to fund loans were $34.7 million as of December 31, 2013.</w:t>
      </w:r>
    </w:p>
    <w:p>
      <w:pPr>
        <w:spacing w:after="0" w:line="170" w:lineRule="exact"/>
        <w:rPr>
          <w:sz w:val="20"/>
          <w:szCs w:val="20"/>
          <w:color w:val="auto"/>
        </w:rPr>
      </w:pPr>
    </w:p>
    <w:p>
      <w:pPr>
        <w:jc w:val="both"/>
        <w:ind w:firstLine="473"/>
        <w:spacing w:after="0" w:line="259" w:lineRule="auto"/>
        <w:rPr>
          <w:sz w:val="20"/>
          <w:szCs w:val="20"/>
          <w:color w:val="auto"/>
        </w:rPr>
      </w:pPr>
      <w:r>
        <w:rPr>
          <w:rFonts w:ascii="Arial" w:cs="Arial" w:eastAsia="Arial" w:hAnsi="Arial"/>
          <w:sz w:val="18"/>
          <w:szCs w:val="18"/>
          <w:color w:val="auto"/>
        </w:rPr>
        <w:t>We have made commitments to fund certain limited partnerships in which we are a limited partner. As of December 31, 2013, the amount of unfunded commitments was $92.5 million. We are only required to fund additional equity under these commitments when called upon to do so by the general partner; therefore, these commitments are not liabilities on our consolidated statements of financial position.</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Off-Balance Sheet Arrangements</w:t>
      </w:r>
    </w:p>
    <w:p>
      <w:pPr>
        <w:spacing w:after="0" w:line="225" w:lineRule="exact"/>
        <w:rPr>
          <w:sz w:val="20"/>
          <w:szCs w:val="20"/>
          <w:color w:val="auto"/>
        </w:rPr>
      </w:pPr>
    </w:p>
    <w:p>
      <w:pPr>
        <w:jc w:val="both"/>
        <w:ind w:firstLine="459"/>
        <w:spacing w:after="0" w:line="256" w:lineRule="auto"/>
        <w:rPr>
          <w:sz w:val="20"/>
          <w:szCs w:val="20"/>
          <w:color w:val="auto"/>
        </w:rPr>
      </w:pPr>
      <w:r>
        <w:rPr>
          <w:rFonts w:ascii="Arial" w:cs="Arial" w:eastAsia="Arial" w:hAnsi="Arial"/>
          <w:sz w:val="18"/>
          <w:szCs w:val="18"/>
          <w:b w:val="1"/>
          <w:bCs w:val="1"/>
          <w:i w:val="1"/>
          <w:iCs w:val="1"/>
          <w:color w:val="auto"/>
        </w:rPr>
        <w:t xml:space="preserve">Variable Interest Entities. </w:t>
      </w:r>
      <w:r>
        <w:rPr>
          <w:rFonts w:ascii="Arial" w:cs="Arial" w:eastAsia="Arial" w:hAnsi="Arial"/>
          <w:sz w:val="18"/>
          <w:szCs w:val="18"/>
          <w:color w:val="auto"/>
        </w:rPr>
        <w:t>We have relationships with various types of special purpose entities and other entities where we have a variable interest as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described in Item 8. "Financial Statements and Supplementary Data, Notes to Consolidated Financial Statements, Note 4, Variable Interest Entities." We have made commitments to fund certain limited partnerships, as previously discussed in "Contractual Commitments", some of which are classified as unconsolidated variable interest entities.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1" w:name="page62"/>
    <w:bookmarkEnd w:id="6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firstLine="589"/>
        <w:spacing w:after="0" w:line="306" w:lineRule="auto"/>
        <w:rPr>
          <w:sz w:val="20"/>
          <w:szCs w:val="20"/>
          <w:color w:val="auto"/>
        </w:rPr>
      </w:pPr>
      <w:r>
        <w:rPr>
          <w:rFonts w:ascii="Arial" w:cs="Arial" w:eastAsia="Arial" w:hAnsi="Arial"/>
          <w:sz w:val="16"/>
          <w:szCs w:val="16"/>
          <w:b w:val="1"/>
          <w:bCs w:val="1"/>
          <w:i w:val="1"/>
          <w:iCs w:val="1"/>
          <w:color w:val="auto"/>
        </w:rPr>
        <w:t xml:space="preserve">Guarantees and Indemnifications. </w:t>
      </w:r>
      <w:r>
        <w:rPr>
          <w:rFonts w:ascii="Arial" w:cs="Arial" w:eastAsia="Arial" w:hAnsi="Arial"/>
          <w:sz w:val="16"/>
          <w:szCs w:val="16"/>
          <w:color w:val="auto"/>
        </w:rPr>
        <w:t>As of December 31, 2013, there have been no significant changes to guarantees and indemnifications since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December 31, 2012. For guarantee and indemnification information, see Item 8. "Financial Statements and Supplementary Data, Notes to Consolidated Financial Statements, Note 13, Contingencies, Guarantees and Indemnifications" under the caption, "Guarantees and Indemnifications."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Strength Rating and Credit Ratings</w:t>
      </w:r>
    </w:p>
    <w:p>
      <w:pPr>
        <w:spacing w:after="0" w:line="225" w:lineRule="exact"/>
        <w:rPr>
          <w:sz w:val="20"/>
          <w:szCs w:val="20"/>
          <w:color w:val="auto"/>
        </w:rPr>
      </w:pPr>
    </w:p>
    <w:p>
      <w:pPr>
        <w:jc w:val="both"/>
        <w:ind w:firstLine="398"/>
        <w:spacing w:after="0" w:line="259" w:lineRule="auto"/>
        <w:rPr>
          <w:sz w:val="20"/>
          <w:szCs w:val="20"/>
          <w:color w:val="auto"/>
        </w:rPr>
      </w:pPr>
      <w:r>
        <w:rPr>
          <w:rFonts w:ascii="Arial" w:cs="Arial" w:eastAsia="Arial" w:hAnsi="Arial"/>
          <w:sz w:val="18"/>
          <w:szCs w:val="18"/>
          <w:color w:val="auto"/>
        </w:rPr>
        <w:t>Our ratings are influenced by the relative ratings of our peers/competitors as well as many other factors including our operating and financial performance, asset quality, liquidity, asset/liability management, overall portfolio mix, financial leverage (i.e., debt), risk exposures, operating leverage, ratings and other factors.</w:t>
      </w:r>
    </w:p>
    <w:p>
      <w:pPr>
        <w:spacing w:after="0" w:line="194" w:lineRule="exact"/>
        <w:rPr>
          <w:sz w:val="20"/>
          <w:szCs w:val="20"/>
          <w:color w:val="auto"/>
        </w:rPr>
      </w:pPr>
    </w:p>
    <w:p>
      <w:pPr>
        <w:jc w:val="both"/>
        <w:ind w:firstLine="358"/>
        <w:spacing w:after="0" w:line="255" w:lineRule="auto"/>
        <w:rPr>
          <w:sz w:val="20"/>
          <w:szCs w:val="20"/>
          <w:color w:val="auto"/>
        </w:rPr>
      </w:pPr>
      <w:r>
        <w:rPr>
          <w:rFonts w:ascii="Arial" w:cs="Arial" w:eastAsia="Arial" w:hAnsi="Arial"/>
          <w:sz w:val="18"/>
          <w:szCs w:val="18"/>
          <w:color w:val="auto"/>
        </w:rPr>
        <w:t>In December 2013, AM Best completed its annual review, and affirmed the ratings of Principal Financial Group and its subsidiaries. Principal Life Insurance Company financial strength rating was affirmed at 'A+'. The outlook remains 'stable' for all ratings. Principal Life's ratings reflect its diversified operating earnings, record assets under management and positive net cash flows. The ratings also reflect the continued performance improvement in its investment portfolio. PFG continues to report favorable operating earnings across its key product lines through its diversified business segments, ongoing expense management and controlled distribution strategy.</w:t>
      </w:r>
    </w:p>
    <w:p>
      <w:pPr>
        <w:spacing w:after="0" w:line="197" w:lineRule="exact"/>
        <w:rPr>
          <w:sz w:val="20"/>
          <w:szCs w:val="20"/>
          <w:color w:val="auto"/>
        </w:rPr>
      </w:pPr>
    </w:p>
    <w:p>
      <w:pPr>
        <w:jc w:val="both"/>
        <w:ind w:right="20" w:firstLine="374"/>
        <w:spacing w:after="0" w:line="294" w:lineRule="auto"/>
        <w:rPr>
          <w:sz w:val="20"/>
          <w:szCs w:val="20"/>
          <w:color w:val="auto"/>
        </w:rPr>
      </w:pPr>
      <w:r>
        <w:rPr>
          <w:rFonts w:ascii="Arial" w:cs="Arial" w:eastAsia="Arial" w:hAnsi="Arial"/>
          <w:sz w:val="16"/>
          <w:szCs w:val="16"/>
          <w:color w:val="auto"/>
        </w:rPr>
        <w:t>In November 2013, following a review of Principal Financial Group and its subsidiaries, Moody's downgraded the financial strength rating of Principal Life Insurance Company and Principal National Life Insurance Company to A1. The outlook was revised to 'stable' from 'negative'. Moody's said that the downgrade was driven by the combined impact of the growth of PFG's weaker (i.e., relative to the insurance operations) non-insurance operations, and by profitability measures on Principal Life. In its assessment, Moody's cited Principal Life as a premier U.S. pension provider, and highlighted the diversified earnings streams from Principal International and Principal Global Investors as growing sources of consolidated cash and debt service coverage.</w:t>
      </w:r>
    </w:p>
    <w:p>
      <w:pPr>
        <w:spacing w:after="0" w:line="170" w:lineRule="exact"/>
        <w:rPr>
          <w:sz w:val="20"/>
          <w:szCs w:val="20"/>
          <w:color w:val="auto"/>
        </w:rPr>
      </w:pPr>
    </w:p>
    <w:p>
      <w:pPr>
        <w:jc w:val="both"/>
        <w:ind w:firstLine="593"/>
        <w:spacing w:after="0" w:line="259" w:lineRule="auto"/>
        <w:rPr>
          <w:sz w:val="20"/>
          <w:szCs w:val="20"/>
          <w:color w:val="auto"/>
        </w:rPr>
      </w:pPr>
      <w:r>
        <w:rPr>
          <w:rFonts w:ascii="Arial" w:cs="Arial" w:eastAsia="Arial" w:hAnsi="Arial"/>
          <w:sz w:val="18"/>
          <w:szCs w:val="18"/>
          <w:color w:val="auto"/>
        </w:rPr>
        <w:t>In a semi-annual review completed in October 2013, Fitch affirmed the financial strength ratings of PFG and its subsidiaries noting PFG's strong capitalization and stable, balanced operating profitability. The outlook remains as 'negative' which reflects concerns related to execution risk associated with our ongoing integration of Cuprum, combined with financial leverage at the high end of rating expectations.</w:t>
      </w:r>
    </w:p>
    <w:p>
      <w:pPr>
        <w:spacing w:after="0" w:line="194" w:lineRule="exact"/>
        <w:rPr>
          <w:sz w:val="20"/>
          <w:szCs w:val="20"/>
          <w:color w:val="auto"/>
        </w:rPr>
      </w:pPr>
    </w:p>
    <w:p>
      <w:pPr>
        <w:jc w:val="both"/>
        <w:ind w:firstLine="476"/>
        <w:spacing w:after="0" w:line="256" w:lineRule="auto"/>
        <w:rPr>
          <w:sz w:val="20"/>
          <w:szCs w:val="20"/>
          <w:color w:val="auto"/>
        </w:rPr>
      </w:pPr>
      <w:r>
        <w:rPr>
          <w:rFonts w:ascii="Arial" w:cs="Arial" w:eastAsia="Arial" w:hAnsi="Arial"/>
          <w:sz w:val="18"/>
          <w:szCs w:val="18"/>
          <w:color w:val="auto"/>
        </w:rPr>
        <w:t>In early July 2013, following a review of PFG and its subsidiaries under its revised criteria, Standard &amp; Poor's affirmed the financial strength rating of Principal Life and Principal National Life Insurance Company at 'A+'. The outlook was revised to 'stable' from 'negative'. The change in outlook reflects Standard &amp; Poor's positive view of our solid operating performance, diversification by product line and geography, as well as financial leverage, fixed charge coverage and capital adequacy supportive of the ratings.</w:t>
      </w:r>
    </w:p>
    <w:p>
      <w:pPr>
        <w:spacing w:after="0" w:line="197" w:lineRule="exact"/>
        <w:rPr>
          <w:sz w:val="20"/>
          <w:szCs w:val="20"/>
          <w:color w:val="auto"/>
        </w:rPr>
      </w:pPr>
    </w:p>
    <w:p>
      <w:pPr>
        <w:jc w:val="both"/>
        <w:ind w:firstLine="524"/>
        <w:spacing w:after="0" w:line="256" w:lineRule="auto"/>
        <w:rPr>
          <w:sz w:val="20"/>
          <w:szCs w:val="20"/>
          <w:color w:val="auto"/>
        </w:rPr>
      </w:pPr>
      <w:r>
        <w:rPr>
          <w:rFonts w:ascii="Arial" w:cs="Arial" w:eastAsia="Arial" w:hAnsi="Arial"/>
          <w:sz w:val="18"/>
          <w:szCs w:val="18"/>
          <w:color w:val="auto"/>
        </w:rPr>
        <w:t>All of the four ratings agencies maintain a 'stable' outlook on the U.S. life insurance sector. Moody's revised its outlook to 'stable' from 'negative' in December 2013. The rating agencies have indicated they expect gradually increasing interest rates to take some of the earnings pressure off insurers, and rising equity markets will improve performance on variable products and assets under management. They expect some stabilization of life insurers' revenues and earnings over the next 12-18 months.</w:t>
      </w:r>
    </w:p>
    <w:p>
      <w:pPr>
        <w:spacing w:after="0" w:line="197" w:lineRule="exact"/>
        <w:rPr>
          <w:sz w:val="20"/>
          <w:szCs w:val="20"/>
          <w:color w:val="auto"/>
        </w:rPr>
      </w:pPr>
    </w:p>
    <w:p>
      <w:pPr>
        <w:jc w:val="both"/>
        <w:ind w:firstLine="383"/>
        <w:spacing w:after="0" w:line="259" w:lineRule="auto"/>
        <w:rPr>
          <w:sz w:val="20"/>
          <w:szCs w:val="20"/>
          <w:color w:val="auto"/>
        </w:rPr>
      </w:pPr>
      <w:r>
        <w:rPr>
          <w:rFonts w:ascii="Arial" w:cs="Arial" w:eastAsia="Arial" w:hAnsi="Arial"/>
          <w:sz w:val="18"/>
          <w:szCs w:val="18"/>
          <w:color w:val="auto"/>
        </w:rPr>
        <w:t>The following table summarizes our significant financial strength and debt ratings from the major independent rating organizations. The debt ratings shown are indicative ratings. Outstanding issuances are rated the same as indicative ratings unless otherwise noted. Actual ratings can differ from indicative ratings based on contractual terms.</w:t>
      </w:r>
    </w:p>
    <w:p>
      <w:pPr>
        <w:spacing w:after="0" w:line="190"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720" w:type="dxa"/>
            <w:vAlign w:val="bottom"/>
          </w:tcPr>
          <w:p>
            <w:pPr>
              <w:spacing w:after="0"/>
              <w:rPr>
                <w:sz w:val="14"/>
                <w:szCs w:val="14"/>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A.M. Best</w:t>
            </w:r>
          </w:p>
        </w:tc>
        <w:tc>
          <w:tcPr>
            <w:tcW w:w="160" w:type="dxa"/>
            <w:vAlign w:val="bottom"/>
          </w:tcPr>
          <w:p>
            <w:pPr>
              <w:spacing w:after="0"/>
              <w:rPr>
                <w:sz w:val="14"/>
                <w:szCs w:val="14"/>
                <w:color w:val="auto"/>
              </w:rPr>
            </w:pPr>
          </w:p>
        </w:tc>
        <w:tc>
          <w:tcPr>
            <w:tcW w:w="4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Fitch</w:t>
            </w:r>
          </w:p>
        </w:tc>
        <w:tc>
          <w:tcPr>
            <w:tcW w:w="160" w:type="dxa"/>
            <w:vAlign w:val="bottom"/>
          </w:tcPr>
          <w:p>
            <w:pPr>
              <w:spacing w:after="0"/>
              <w:rPr>
                <w:sz w:val="14"/>
                <w:szCs w:val="14"/>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Standard &amp; Poor's</w:t>
            </w:r>
          </w:p>
        </w:tc>
        <w:tc>
          <w:tcPr>
            <w:tcW w:w="160" w:type="dxa"/>
            <w:vAlign w:val="bottom"/>
          </w:tcPr>
          <w:p>
            <w:pPr>
              <w:spacing w:after="0"/>
              <w:rPr>
                <w:sz w:val="14"/>
                <w:szCs w:val="14"/>
                <w:color w:val="auto"/>
              </w:rPr>
            </w:pPr>
          </w:p>
        </w:tc>
        <w:tc>
          <w:tcPr>
            <w:tcW w:w="5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Moody's</w:t>
            </w:r>
          </w:p>
        </w:tc>
      </w:tr>
      <w:tr>
        <w:trPr>
          <w:trHeight w:val="142"/>
        </w:trPr>
        <w:tc>
          <w:tcPr>
            <w:tcW w:w="20" w:type="dxa"/>
            <w:vAlign w:val="bottom"/>
          </w:tcPr>
          <w:p>
            <w:pPr>
              <w:spacing w:after="0"/>
              <w:rPr>
                <w:sz w:val="12"/>
                <w:szCs w:val="12"/>
                <w:color w:val="auto"/>
              </w:rPr>
            </w:pPr>
          </w:p>
        </w:tc>
        <w:tc>
          <w:tcPr>
            <w:tcW w:w="5840" w:type="dxa"/>
            <w:vAlign w:val="bottom"/>
            <w:gridSpan w:val="3"/>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Principal Financial Group</w:t>
            </w:r>
          </w:p>
        </w:tc>
        <w:tc>
          <w:tcPr>
            <w:tcW w:w="6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40" w:type="dxa"/>
            <w:vAlign w:val="bottom"/>
            <w:gridSpan w:val="3"/>
          </w:tcPr>
          <w:p>
            <w:pPr>
              <w:spacing w:after="0" w:line="149" w:lineRule="exact"/>
              <w:rPr>
                <w:sz w:val="20"/>
                <w:szCs w:val="20"/>
                <w:color w:val="auto"/>
              </w:rPr>
            </w:pPr>
            <w:r>
              <w:rPr>
                <w:rFonts w:ascii="Arial" w:cs="Arial" w:eastAsia="Arial" w:hAnsi="Arial"/>
                <w:sz w:val="14"/>
                <w:szCs w:val="14"/>
                <w:color w:val="auto"/>
              </w:rPr>
              <w:t>Senior Unsecured Debt (1)</w:t>
            </w:r>
          </w:p>
        </w:tc>
        <w:tc>
          <w:tcPr>
            <w:tcW w:w="680" w:type="dxa"/>
            <w:vAlign w:val="bottom"/>
          </w:tcPr>
          <w:p>
            <w:pPr>
              <w:jc w:val="center"/>
              <w:spacing w:after="0" w:line="149" w:lineRule="exact"/>
              <w:rPr>
                <w:sz w:val="20"/>
                <w:szCs w:val="20"/>
                <w:color w:val="auto"/>
              </w:rPr>
            </w:pPr>
            <w:r>
              <w:rPr>
                <w:rFonts w:ascii="Arial" w:cs="Arial" w:eastAsia="Arial" w:hAnsi="Arial"/>
                <w:sz w:val="14"/>
                <w:szCs w:val="14"/>
                <w:color w:val="auto"/>
                <w:w w:val="79"/>
              </w:rPr>
              <w:t>a-</w:t>
            </w:r>
          </w:p>
        </w:tc>
        <w:tc>
          <w:tcPr>
            <w:tcW w:w="1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tcPr>
          <w:p>
            <w:pPr>
              <w:jc w:val="center"/>
              <w:spacing w:after="0" w:line="149" w:lineRule="exact"/>
              <w:rPr>
                <w:sz w:val="20"/>
                <w:szCs w:val="20"/>
                <w:color w:val="auto"/>
              </w:rPr>
            </w:pPr>
            <w:r>
              <w:rPr>
                <w:rFonts w:ascii="Arial" w:cs="Arial" w:eastAsia="Arial" w:hAnsi="Arial"/>
                <w:sz w:val="14"/>
                <w:szCs w:val="14"/>
                <w:color w:val="auto"/>
                <w:w w:val="93"/>
              </w:rPr>
              <w:t>BBB+</w:t>
            </w:r>
          </w:p>
        </w:tc>
        <w:tc>
          <w:tcPr>
            <w:tcW w:w="160" w:type="dxa"/>
            <w:vAlign w:val="bottom"/>
          </w:tcPr>
          <w:p>
            <w:pPr>
              <w:spacing w:after="0"/>
              <w:rPr>
                <w:sz w:val="12"/>
                <w:szCs w:val="12"/>
                <w:color w:val="auto"/>
              </w:rPr>
            </w:pPr>
          </w:p>
        </w:tc>
        <w:tc>
          <w:tcPr>
            <w:tcW w:w="540" w:type="dxa"/>
            <w:vAlign w:val="bottom"/>
          </w:tcPr>
          <w:p>
            <w:pPr>
              <w:jc w:val="center"/>
              <w:spacing w:after="0" w:line="149" w:lineRule="exact"/>
              <w:rPr>
                <w:sz w:val="20"/>
                <w:szCs w:val="20"/>
                <w:color w:val="auto"/>
              </w:rPr>
            </w:pPr>
            <w:r>
              <w:rPr>
                <w:rFonts w:ascii="Arial" w:cs="Arial" w:eastAsia="Arial" w:hAnsi="Arial"/>
                <w:sz w:val="14"/>
                <w:szCs w:val="14"/>
                <w:color w:val="auto"/>
                <w:w w:val="85"/>
              </w:rPr>
              <w:t>Baa2</w:t>
            </w:r>
          </w:p>
        </w:tc>
      </w:tr>
      <w:tr>
        <w:trPr>
          <w:trHeight w:val="149"/>
        </w:trPr>
        <w:tc>
          <w:tcPr>
            <w:tcW w:w="20" w:type="dxa"/>
            <w:vAlign w:val="bottom"/>
          </w:tcPr>
          <w:p>
            <w:pPr>
              <w:spacing w:after="0"/>
              <w:rPr>
                <w:sz w:val="12"/>
                <w:szCs w:val="12"/>
                <w:color w:val="auto"/>
              </w:rPr>
            </w:pPr>
          </w:p>
        </w:tc>
        <w:tc>
          <w:tcPr>
            <w:tcW w:w="584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Preferred Stock (2)</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5"/>
              </w:rPr>
              <w:t>bbb</w:t>
            </w:r>
          </w:p>
        </w:tc>
        <w:tc>
          <w:tcPr>
            <w:tcW w:w="16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1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91"/>
              </w:rPr>
              <w:t>BBB-</w:t>
            </w: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8"/>
              </w:rPr>
              <w:t>Ba1</w:t>
            </w:r>
          </w:p>
        </w:tc>
      </w:tr>
      <w:tr>
        <w:trPr>
          <w:trHeight w:val="149"/>
        </w:trPr>
        <w:tc>
          <w:tcPr>
            <w:tcW w:w="20" w:type="dxa"/>
            <w:vAlign w:val="bottom"/>
          </w:tcPr>
          <w:p>
            <w:pPr>
              <w:spacing w:after="0"/>
              <w:rPr>
                <w:sz w:val="12"/>
                <w:szCs w:val="12"/>
                <w:color w:val="auto"/>
              </w:rPr>
            </w:pPr>
          </w:p>
        </w:tc>
        <w:tc>
          <w:tcPr>
            <w:tcW w:w="584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Principal Financial Services</w:t>
            </w: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4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Senior Unsecured Debt</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79"/>
              </w:rPr>
              <w:t>a-</w:t>
            </w:r>
          </w:p>
        </w:tc>
        <w:tc>
          <w:tcPr>
            <w:tcW w:w="16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1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93"/>
              </w:rPr>
              <w:t>BBB+</w:t>
            </w: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5"/>
              </w:rPr>
              <w:t>Baa1</w:t>
            </w:r>
          </w:p>
        </w:tc>
      </w:tr>
      <w:tr>
        <w:trPr>
          <w:trHeight w:val="149"/>
        </w:trPr>
        <w:tc>
          <w:tcPr>
            <w:tcW w:w="20" w:type="dxa"/>
            <w:vAlign w:val="bottom"/>
          </w:tcPr>
          <w:p>
            <w:pPr>
              <w:spacing w:after="0"/>
              <w:rPr>
                <w:sz w:val="12"/>
                <w:szCs w:val="12"/>
                <w:color w:val="auto"/>
              </w:rPr>
            </w:pPr>
          </w:p>
        </w:tc>
        <w:tc>
          <w:tcPr>
            <w:tcW w:w="5840" w:type="dxa"/>
            <w:vAlign w:val="bottom"/>
            <w:gridSpan w:val="3"/>
          </w:tcPr>
          <w:p>
            <w:pPr>
              <w:spacing w:after="0" w:line="149" w:lineRule="exact"/>
              <w:rPr>
                <w:sz w:val="20"/>
                <w:szCs w:val="20"/>
                <w:color w:val="auto"/>
              </w:rPr>
            </w:pPr>
            <w:r>
              <w:rPr>
                <w:rFonts w:ascii="Arial" w:cs="Arial" w:eastAsia="Arial" w:hAnsi="Arial"/>
                <w:sz w:val="14"/>
                <w:szCs w:val="14"/>
                <w:color w:val="auto"/>
              </w:rPr>
              <w:t>Commercial Paper</w:t>
            </w:r>
          </w:p>
        </w:tc>
        <w:tc>
          <w:tcPr>
            <w:tcW w:w="680" w:type="dxa"/>
            <w:vAlign w:val="bottom"/>
          </w:tcPr>
          <w:p>
            <w:pPr>
              <w:jc w:val="center"/>
              <w:spacing w:after="0" w:line="149" w:lineRule="exact"/>
              <w:rPr>
                <w:sz w:val="20"/>
                <w:szCs w:val="20"/>
                <w:color w:val="auto"/>
              </w:rPr>
            </w:pPr>
            <w:r>
              <w:rPr>
                <w:rFonts w:ascii="Arial" w:cs="Arial" w:eastAsia="Arial" w:hAnsi="Arial"/>
                <w:sz w:val="14"/>
                <w:szCs w:val="14"/>
                <w:color w:val="auto"/>
                <w:w w:val="98"/>
              </w:rPr>
              <w:t>AMB-1</w:t>
            </w:r>
          </w:p>
        </w:tc>
        <w:tc>
          <w:tcPr>
            <w:tcW w:w="1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tcPr>
          <w:p>
            <w:pPr>
              <w:jc w:val="center"/>
              <w:spacing w:after="0" w:line="149" w:lineRule="exact"/>
              <w:rPr>
                <w:sz w:val="20"/>
                <w:szCs w:val="20"/>
                <w:color w:val="auto"/>
              </w:rPr>
            </w:pPr>
            <w:r>
              <w:rPr>
                <w:rFonts w:ascii="Arial" w:cs="Arial" w:eastAsia="Arial" w:hAnsi="Arial"/>
                <w:sz w:val="14"/>
                <w:szCs w:val="14"/>
                <w:color w:val="auto"/>
              </w:rPr>
              <w:t>A-2</w:t>
            </w:r>
          </w:p>
        </w:tc>
        <w:tc>
          <w:tcPr>
            <w:tcW w:w="160" w:type="dxa"/>
            <w:vAlign w:val="bottom"/>
          </w:tcPr>
          <w:p>
            <w:pPr>
              <w:spacing w:after="0"/>
              <w:rPr>
                <w:sz w:val="12"/>
                <w:szCs w:val="12"/>
                <w:color w:val="auto"/>
              </w:rPr>
            </w:pPr>
          </w:p>
        </w:tc>
        <w:tc>
          <w:tcPr>
            <w:tcW w:w="540" w:type="dxa"/>
            <w:vAlign w:val="bottom"/>
          </w:tcPr>
          <w:p>
            <w:pPr>
              <w:jc w:val="center"/>
              <w:spacing w:after="0" w:line="149" w:lineRule="exact"/>
              <w:rPr>
                <w:sz w:val="20"/>
                <w:szCs w:val="20"/>
                <w:color w:val="auto"/>
              </w:rPr>
            </w:pPr>
            <w:r>
              <w:rPr>
                <w:rFonts w:ascii="Arial" w:cs="Arial" w:eastAsia="Arial" w:hAnsi="Arial"/>
                <w:sz w:val="14"/>
                <w:szCs w:val="14"/>
                <w:color w:val="auto"/>
                <w:w w:val="82"/>
              </w:rPr>
              <w:t>P-2</w:t>
            </w:r>
          </w:p>
        </w:tc>
      </w:tr>
      <w:tr>
        <w:trPr>
          <w:trHeight w:val="149"/>
        </w:trPr>
        <w:tc>
          <w:tcPr>
            <w:tcW w:w="20" w:type="dxa"/>
            <w:vAlign w:val="bottom"/>
          </w:tcPr>
          <w:p>
            <w:pPr>
              <w:spacing w:after="0"/>
              <w:rPr>
                <w:sz w:val="12"/>
                <w:szCs w:val="12"/>
                <w:color w:val="auto"/>
              </w:rPr>
            </w:pPr>
          </w:p>
        </w:tc>
        <w:tc>
          <w:tcPr>
            <w:tcW w:w="584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Principal Life Insurance Company</w:t>
            </w:r>
          </w:p>
        </w:tc>
        <w:tc>
          <w:tcPr>
            <w:tcW w:w="6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40" w:type="dxa"/>
            <w:vAlign w:val="bottom"/>
            <w:gridSpan w:val="3"/>
          </w:tcPr>
          <w:p>
            <w:pPr>
              <w:spacing w:after="0" w:line="149" w:lineRule="exact"/>
              <w:rPr>
                <w:sz w:val="20"/>
                <w:szCs w:val="20"/>
                <w:color w:val="auto"/>
              </w:rPr>
            </w:pPr>
            <w:r>
              <w:rPr>
                <w:rFonts w:ascii="Arial" w:cs="Arial" w:eastAsia="Arial" w:hAnsi="Arial"/>
                <w:sz w:val="14"/>
                <w:szCs w:val="14"/>
                <w:color w:val="auto"/>
              </w:rPr>
              <w:t>Insurer Financial Strength</w:t>
            </w:r>
          </w:p>
        </w:tc>
        <w:tc>
          <w:tcPr>
            <w:tcW w:w="680" w:type="dxa"/>
            <w:vAlign w:val="bottom"/>
          </w:tcPr>
          <w:p>
            <w:pPr>
              <w:jc w:val="center"/>
              <w:spacing w:after="0" w:line="149" w:lineRule="exact"/>
              <w:rPr>
                <w:sz w:val="20"/>
                <w:szCs w:val="20"/>
                <w:color w:val="auto"/>
              </w:rPr>
            </w:pPr>
            <w:r>
              <w:rPr>
                <w:rFonts w:ascii="Arial" w:cs="Arial" w:eastAsia="Arial" w:hAnsi="Arial"/>
                <w:sz w:val="14"/>
                <w:szCs w:val="14"/>
                <w:color w:val="auto"/>
              </w:rPr>
              <w:t>A+</w:t>
            </w:r>
          </w:p>
        </w:tc>
        <w:tc>
          <w:tcPr>
            <w:tcW w:w="160" w:type="dxa"/>
            <w:vAlign w:val="bottom"/>
          </w:tcPr>
          <w:p>
            <w:pPr>
              <w:spacing w:after="0"/>
              <w:rPr>
                <w:sz w:val="12"/>
                <w:szCs w:val="12"/>
                <w:color w:val="auto"/>
              </w:rPr>
            </w:pPr>
          </w:p>
        </w:tc>
        <w:tc>
          <w:tcPr>
            <w:tcW w:w="400" w:type="dxa"/>
            <w:vAlign w:val="bottom"/>
          </w:tcPr>
          <w:p>
            <w:pPr>
              <w:jc w:val="center"/>
              <w:spacing w:after="0" w:line="149" w:lineRule="exact"/>
              <w:rPr>
                <w:sz w:val="20"/>
                <w:szCs w:val="20"/>
                <w:color w:val="auto"/>
              </w:rPr>
            </w:pPr>
            <w:r>
              <w:rPr>
                <w:rFonts w:ascii="Arial" w:cs="Arial" w:eastAsia="Arial" w:hAnsi="Arial"/>
                <w:sz w:val="14"/>
                <w:szCs w:val="14"/>
                <w:color w:val="auto"/>
              </w:rPr>
              <w:t>AA-</w:t>
            </w:r>
          </w:p>
        </w:tc>
        <w:tc>
          <w:tcPr>
            <w:tcW w:w="160" w:type="dxa"/>
            <w:vAlign w:val="bottom"/>
          </w:tcPr>
          <w:p>
            <w:pPr>
              <w:spacing w:after="0"/>
              <w:rPr>
                <w:sz w:val="12"/>
                <w:szCs w:val="12"/>
                <w:color w:val="auto"/>
              </w:rPr>
            </w:pPr>
          </w:p>
        </w:tc>
        <w:tc>
          <w:tcPr>
            <w:tcW w:w="1180" w:type="dxa"/>
            <w:vAlign w:val="bottom"/>
          </w:tcPr>
          <w:p>
            <w:pPr>
              <w:jc w:val="center"/>
              <w:spacing w:after="0" w:line="149" w:lineRule="exact"/>
              <w:rPr>
                <w:sz w:val="20"/>
                <w:szCs w:val="20"/>
                <w:color w:val="auto"/>
              </w:rPr>
            </w:pPr>
            <w:r>
              <w:rPr>
                <w:rFonts w:ascii="Arial" w:cs="Arial" w:eastAsia="Arial" w:hAnsi="Arial"/>
                <w:sz w:val="14"/>
                <w:szCs w:val="14"/>
                <w:color w:val="auto"/>
              </w:rPr>
              <w:t>A+</w:t>
            </w:r>
          </w:p>
        </w:tc>
        <w:tc>
          <w:tcPr>
            <w:tcW w:w="160" w:type="dxa"/>
            <w:vAlign w:val="bottom"/>
          </w:tcPr>
          <w:p>
            <w:pPr>
              <w:spacing w:after="0"/>
              <w:rPr>
                <w:sz w:val="12"/>
                <w:szCs w:val="12"/>
                <w:color w:val="auto"/>
              </w:rPr>
            </w:pPr>
          </w:p>
        </w:tc>
        <w:tc>
          <w:tcPr>
            <w:tcW w:w="540" w:type="dxa"/>
            <w:vAlign w:val="bottom"/>
          </w:tcPr>
          <w:p>
            <w:pPr>
              <w:jc w:val="center"/>
              <w:spacing w:after="0" w:line="149" w:lineRule="exact"/>
              <w:rPr>
                <w:sz w:val="20"/>
                <w:szCs w:val="20"/>
                <w:color w:val="auto"/>
              </w:rPr>
            </w:pPr>
            <w:r>
              <w:rPr>
                <w:rFonts w:ascii="Arial" w:cs="Arial" w:eastAsia="Arial" w:hAnsi="Arial"/>
                <w:sz w:val="14"/>
                <w:szCs w:val="14"/>
                <w:color w:val="auto"/>
              </w:rPr>
              <w:t>A1</w:t>
            </w:r>
          </w:p>
        </w:tc>
      </w:tr>
      <w:tr>
        <w:trPr>
          <w:trHeight w:val="149"/>
        </w:trPr>
        <w:tc>
          <w:tcPr>
            <w:tcW w:w="20" w:type="dxa"/>
            <w:vAlign w:val="bottom"/>
          </w:tcPr>
          <w:p>
            <w:pPr>
              <w:spacing w:after="0"/>
              <w:rPr>
                <w:sz w:val="12"/>
                <w:szCs w:val="12"/>
                <w:color w:val="auto"/>
              </w:rPr>
            </w:pPr>
          </w:p>
        </w:tc>
        <w:tc>
          <w:tcPr>
            <w:tcW w:w="584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Issuer Credit Rating</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8"/>
              </w:rPr>
              <w:t>aa-</w:t>
            </w:r>
          </w:p>
        </w:tc>
        <w:tc>
          <w:tcPr>
            <w:tcW w:w="16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40" w:type="dxa"/>
            <w:vAlign w:val="bottom"/>
            <w:gridSpan w:val="3"/>
          </w:tcPr>
          <w:p>
            <w:pPr>
              <w:spacing w:after="0" w:line="149" w:lineRule="exact"/>
              <w:rPr>
                <w:sz w:val="20"/>
                <w:szCs w:val="20"/>
                <w:color w:val="auto"/>
              </w:rPr>
            </w:pPr>
            <w:r>
              <w:rPr>
                <w:rFonts w:ascii="Arial" w:cs="Arial" w:eastAsia="Arial" w:hAnsi="Arial"/>
                <w:sz w:val="14"/>
                <w:szCs w:val="14"/>
                <w:color w:val="auto"/>
              </w:rPr>
              <w:t>Commercial Paper</w:t>
            </w:r>
          </w:p>
        </w:tc>
        <w:tc>
          <w:tcPr>
            <w:tcW w:w="680" w:type="dxa"/>
            <w:vAlign w:val="bottom"/>
          </w:tcPr>
          <w:p>
            <w:pPr>
              <w:jc w:val="center"/>
              <w:spacing w:after="0" w:line="149" w:lineRule="exact"/>
              <w:rPr>
                <w:sz w:val="20"/>
                <w:szCs w:val="20"/>
                <w:color w:val="auto"/>
              </w:rPr>
            </w:pPr>
            <w:r>
              <w:rPr>
                <w:rFonts w:ascii="Arial" w:cs="Arial" w:eastAsia="Arial" w:hAnsi="Arial"/>
                <w:sz w:val="14"/>
                <w:szCs w:val="14"/>
                <w:color w:val="auto"/>
                <w:w w:val="98"/>
              </w:rPr>
              <w:t>AMB-1+</w:t>
            </w:r>
          </w:p>
        </w:tc>
        <w:tc>
          <w:tcPr>
            <w:tcW w:w="1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tcPr>
          <w:p>
            <w:pPr>
              <w:jc w:val="center"/>
              <w:spacing w:after="0" w:line="149" w:lineRule="exact"/>
              <w:rPr>
                <w:sz w:val="20"/>
                <w:szCs w:val="20"/>
                <w:color w:val="auto"/>
              </w:rPr>
            </w:pPr>
            <w:r>
              <w:rPr>
                <w:rFonts w:ascii="Arial" w:cs="Arial" w:eastAsia="Arial" w:hAnsi="Arial"/>
                <w:sz w:val="14"/>
                <w:szCs w:val="14"/>
                <w:color w:val="auto"/>
                <w:w w:val="99"/>
              </w:rPr>
              <w:t>A-1+</w:t>
            </w:r>
          </w:p>
        </w:tc>
        <w:tc>
          <w:tcPr>
            <w:tcW w:w="160" w:type="dxa"/>
            <w:vAlign w:val="bottom"/>
          </w:tcPr>
          <w:p>
            <w:pPr>
              <w:spacing w:after="0"/>
              <w:rPr>
                <w:sz w:val="12"/>
                <w:szCs w:val="12"/>
                <w:color w:val="auto"/>
              </w:rPr>
            </w:pPr>
          </w:p>
        </w:tc>
        <w:tc>
          <w:tcPr>
            <w:tcW w:w="540" w:type="dxa"/>
            <w:vAlign w:val="bottom"/>
          </w:tcPr>
          <w:p>
            <w:pPr>
              <w:jc w:val="center"/>
              <w:spacing w:after="0" w:line="149" w:lineRule="exact"/>
              <w:rPr>
                <w:sz w:val="20"/>
                <w:szCs w:val="20"/>
                <w:color w:val="auto"/>
              </w:rPr>
            </w:pPr>
            <w:r>
              <w:rPr>
                <w:rFonts w:ascii="Arial" w:cs="Arial" w:eastAsia="Arial" w:hAnsi="Arial"/>
                <w:sz w:val="14"/>
                <w:szCs w:val="14"/>
                <w:color w:val="auto"/>
                <w:w w:val="82"/>
              </w:rPr>
              <w:t>P-1</w:t>
            </w:r>
          </w:p>
        </w:tc>
      </w:tr>
      <w:tr>
        <w:trPr>
          <w:trHeight w:val="149"/>
        </w:trPr>
        <w:tc>
          <w:tcPr>
            <w:tcW w:w="20" w:type="dxa"/>
            <w:vAlign w:val="bottom"/>
          </w:tcPr>
          <w:p>
            <w:pPr>
              <w:spacing w:after="0"/>
              <w:rPr>
                <w:sz w:val="12"/>
                <w:szCs w:val="12"/>
                <w:color w:val="auto"/>
              </w:rPr>
            </w:pPr>
          </w:p>
        </w:tc>
        <w:tc>
          <w:tcPr>
            <w:tcW w:w="584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Surplus Notes</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76"/>
              </w:rPr>
              <w:t>a</w:t>
            </w:r>
          </w:p>
        </w:tc>
        <w:tc>
          <w:tcPr>
            <w:tcW w:w="16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1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99"/>
              </w:rPr>
              <w:t>A-</w:t>
            </w: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rPr>
              <w:t>A3</w:t>
            </w:r>
          </w:p>
        </w:tc>
      </w:tr>
      <w:tr>
        <w:trPr>
          <w:trHeight w:val="149"/>
        </w:trPr>
        <w:tc>
          <w:tcPr>
            <w:tcW w:w="20" w:type="dxa"/>
            <w:vAlign w:val="bottom"/>
          </w:tcPr>
          <w:p>
            <w:pPr>
              <w:spacing w:after="0"/>
              <w:rPr>
                <w:sz w:val="12"/>
                <w:szCs w:val="12"/>
                <w:color w:val="auto"/>
              </w:rPr>
            </w:pPr>
          </w:p>
        </w:tc>
        <w:tc>
          <w:tcPr>
            <w:tcW w:w="5840" w:type="dxa"/>
            <w:vAlign w:val="bottom"/>
            <w:gridSpan w:val="3"/>
          </w:tcPr>
          <w:p>
            <w:pPr>
              <w:spacing w:after="0" w:line="149" w:lineRule="exact"/>
              <w:rPr>
                <w:sz w:val="20"/>
                <w:szCs w:val="20"/>
                <w:color w:val="auto"/>
              </w:rPr>
            </w:pPr>
            <w:r>
              <w:rPr>
                <w:rFonts w:ascii="Arial" w:cs="Arial" w:eastAsia="Arial" w:hAnsi="Arial"/>
                <w:sz w:val="14"/>
                <w:szCs w:val="14"/>
                <w:color w:val="auto"/>
              </w:rPr>
              <w:t>Enterprise Risk Management Rating</w:t>
            </w: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tcPr>
          <w:p>
            <w:pPr>
              <w:jc w:val="center"/>
              <w:spacing w:after="0" w:line="149" w:lineRule="exact"/>
              <w:rPr>
                <w:sz w:val="20"/>
                <w:szCs w:val="20"/>
                <w:color w:val="auto"/>
              </w:rPr>
            </w:pPr>
            <w:r>
              <w:rPr>
                <w:rFonts w:ascii="Arial" w:cs="Arial" w:eastAsia="Arial" w:hAnsi="Arial"/>
                <w:sz w:val="14"/>
                <w:szCs w:val="14"/>
                <w:color w:val="auto"/>
                <w:w w:val="87"/>
              </w:rPr>
              <w:t>Strong</w:t>
            </w: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4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Principal National Life Insurance Company</w:t>
            </w:r>
          </w:p>
        </w:tc>
        <w:tc>
          <w:tcPr>
            <w:tcW w:w="6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r>
      <w:tr>
        <w:trPr>
          <w:trHeight w:val="172"/>
        </w:trPr>
        <w:tc>
          <w:tcPr>
            <w:tcW w:w="20" w:type="dxa"/>
            <w:vAlign w:val="bottom"/>
          </w:tcPr>
          <w:p>
            <w:pPr>
              <w:spacing w:after="0"/>
              <w:rPr>
                <w:sz w:val="14"/>
                <w:szCs w:val="14"/>
                <w:color w:val="auto"/>
              </w:rPr>
            </w:pPr>
          </w:p>
        </w:tc>
        <w:tc>
          <w:tcPr>
            <w:tcW w:w="5840" w:type="dxa"/>
            <w:vAlign w:val="bottom"/>
            <w:gridSpan w:val="3"/>
          </w:tcPr>
          <w:p>
            <w:pPr>
              <w:spacing w:after="0"/>
              <w:rPr>
                <w:sz w:val="20"/>
                <w:szCs w:val="20"/>
                <w:color w:val="auto"/>
              </w:rPr>
            </w:pPr>
            <w:r>
              <w:rPr>
                <w:rFonts w:ascii="Arial" w:cs="Arial" w:eastAsia="Arial" w:hAnsi="Arial"/>
                <w:sz w:val="14"/>
                <w:szCs w:val="14"/>
                <w:color w:val="auto"/>
              </w:rPr>
              <w:t>Insurer Financial Strength</w:t>
            </w:r>
          </w:p>
        </w:tc>
        <w:tc>
          <w:tcPr>
            <w:tcW w:w="680" w:type="dxa"/>
            <w:vAlign w:val="bottom"/>
          </w:tcPr>
          <w:p>
            <w:pPr>
              <w:jc w:val="center"/>
              <w:spacing w:after="0"/>
              <w:rPr>
                <w:sz w:val="20"/>
                <w:szCs w:val="20"/>
                <w:color w:val="auto"/>
              </w:rPr>
            </w:pPr>
            <w:r>
              <w:rPr>
                <w:rFonts w:ascii="Arial" w:cs="Arial" w:eastAsia="Arial" w:hAnsi="Arial"/>
                <w:sz w:val="14"/>
                <w:szCs w:val="14"/>
                <w:color w:val="auto"/>
              </w:rPr>
              <w:t>A+</w:t>
            </w:r>
          </w:p>
        </w:tc>
        <w:tc>
          <w:tcPr>
            <w:tcW w:w="16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Arial" w:cs="Arial" w:eastAsia="Arial" w:hAnsi="Arial"/>
                <w:sz w:val="14"/>
                <w:szCs w:val="14"/>
                <w:color w:val="auto"/>
              </w:rPr>
              <w:t>AA-</w:t>
            </w:r>
          </w:p>
        </w:tc>
        <w:tc>
          <w:tcPr>
            <w:tcW w:w="160" w:type="dxa"/>
            <w:vAlign w:val="bottom"/>
          </w:tcPr>
          <w:p>
            <w:pPr>
              <w:spacing w:after="0"/>
              <w:rPr>
                <w:sz w:val="14"/>
                <w:szCs w:val="14"/>
                <w:color w:val="auto"/>
              </w:rPr>
            </w:pPr>
          </w:p>
        </w:tc>
        <w:tc>
          <w:tcPr>
            <w:tcW w:w="1180" w:type="dxa"/>
            <w:vAlign w:val="bottom"/>
          </w:tcPr>
          <w:p>
            <w:pPr>
              <w:jc w:val="center"/>
              <w:spacing w:after="0"/>
              <w:rPr>
                <w:sz w:val="20"/>
                <w:szCs w:val="20"/>
                <w:color w:val="auto"/>
              </w:rPr>
            </w:pPr>
            <w:r>
              <w:rPr>
                <w:rFonts w:ascii="Arial" w:cs="Arial" w:eastAsia="Arial" w:hAnsi="Arial"/>
                <w:sz w:val="14"/>
                <w:szCs w:val="14"/>
                <w:color w:val="auto"/>
              </w:rPr>
              <w:t>A+</w:t>
            </w:r>
          </w:p>
        </w:tc>
        <w:tc>
          <w:tcPr>
            <w:tcW w:w="160" w:type="dxa"/>
            <w:vAlign w:val="bottom"/>
          </w:tcPr>
          <w:p>
            <w:pPr>
              <w:spacing w:after="0"/>
              <w:rPr>
                <w:sz w:val="14"/>
                <w:szCs w:val="14"/>
                <w:color w:val="auto"/>
              </w:rPr>
            </w:pPr>
          </w:p>
        </w:tc>
        <w:tc>
          <w:tcPr>
            <w:tcW w:w="540" w:type="dxa"/>
            <w:vAlign w:val="bottom"/>
          </w:tcPr>
          <w:p>
            <w:pPr>
              <w:jc w:val="center"/>
              <w:spacing w:after="0"/>
              <w:rPr>
                <w:sz w:val="20"/>
                <w:szCs w:val="20"/>
                <w:color w:val="auto"/>
              </w:rPr>
            </w:pPr>
            <w:r>
              <w:rPr>
                <w:rFonts w:ascii="Arial" w:cs="Arial" w:eastAsia="Arial" w:hAnsi="Arial"/>
                <w:sz w:val="14"/>
                <w:szCs w:val="14"/>
                <w:color w:val="auto"/>
              </w:rPr>
              <w:t>A1</w:t>
            </w:r>
          </w:p>
        </w:tc>
      </w:tr>
      <w:tr>
        <w:trPr>
          <w:trHeight w:val="84"/>
        </w:trPr>
        <w:tc>
          <w:tcPr>
            <w:tcW w:w="360" w:type="dxa"/>
            <w:vAlign w:val="bottom"/>
            <w:tcBorders>
              <w:bottom w:val="single" w:sz="8" w:color="auto"/>
            </w:tcBorders>
            <w:gridSpan w:val="2"/>
          </w:tcPr>
          <w:p>
            <w:pPr>
              <w:spacing w:after="0"/>
              <w:rPr>
                <w:sz w:val="7"/>
                <w:szCs w:val="7"/>
                <w:color w:val="auto"/>
              </w:rPr>
            </w:pPr>
          </w:p>
        </w:tc>
        <w:tc>
          <w:tcPr>
            <w:tcW w:w="780" w:type="dxa"/>
            <w:vAlign w:val="bottom"/>
            <w:tcBorders>
              <w:bottom w:val="single" w:sz="8" w:color="auto"/>
            </w:tcBorders>
          </w:tcPr>
          <w:p>
            <w:pPr>
              <w:spacing w:after="0"/>
              <w:rPr>
                <w:sz w:val="7"/>
                <w:szCs w:val="7"/>
                <w:color w:val="auto"/>
              </w:rPr>
            </w:pPr>
          </w:p>
        </w:tc>
        <w:tc>
          <w:tcPr>
            <w:tcW w:w="4720" w:type="dxa"/>
            <w:vAlign w:val="bottom"/>
          </w:tcPr>
          <w:p>
            <w:pPr>
              <w:spacing w:after="0"/>
              <w:rPr>
                <w:sz w:val="7"/>
                <w:szCs w:val="7"/>
                <w:color w:val="auto"/>
              </w:rPr>
            </w:pPr>
          </w:p>
        </w:tc>
        <w:tc>
          <w:tcPr>
            <w:tcW w:w="680" w:type="dxa"/>
            <w:vAlign w:val="bottom"/>
          </w:tcPr>
          <w:p>
            <w:pPr>
              <w:spacing w:after="0"/>
              <w:rPr>
                <w:sz w:val="7"/>
                <w:szCs w:val="7"/>
                <w:color w:val="auto"/>
              </w:rPr>
            </w:pPr>
          </w:p>
        </w:tc>
        <w:tc>
          <w:tcPr>
            <w:tcW w:w="160" w:type="dxa"/>
            <w:vAlign w:val="bottom"/>
          </w:tcPr>
          <w:p>
            <w:pPr>
              <w:spacing w:after="0"/>
              <w:rPr>
                <w:sz w:val="7"/>
                <w:szCs w:val="7"/>
                <w:color w:val="auto"/>
              </w:rPr>
            </w:pPr>
          </w:p>
        </w:tc>
        <w:tc>
          <w:tcPr>
            <w:tcW w:w="400" w:type="dxa"/>
            <w:vAlign w:val="bottom"/>
          </w:tcPr>
          <w:p>
            <w:pPr>
              <w:spacing w:after="0"/>
              <w:rPr>
                <w:sz w:val="7"/>
                <w:szCs w:val="7"/>
                <w:color w:val="auto"/>
              </w:rPr>
            </w:pPr>
          </w:p>
        </w:tc>
        <w:tc>
          <w:tcPr>
            <w:tcW w:w="16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tcPr>
          <w:p>
            <w:pPr>
              <w:spacing w:after="0"/>
              <w:rPr>
                <w:sz w:val="7"/>
                <w:szCs w:val="7"/>
                <w:color w:val="auto"/>
              </w:rPr>
            </w:pPr>
          </w:p>
        </w:tc>
      </w:tr>
      <w:tr>
        <w:trPr>
          <w:trHeight w:val="371"/>
        </w:trPr>
        <w:tc>
          <w:tcPr>
            <w:tcW w:w="360" w:type="dxa"/>
            <w:vAlign w:val="bottom"/>
            <w:gridSpan w:val="2"/>
          </w:tcPr>
          <w:p>
            <w:pPr>
              <w:spacing w:after="0"/>
              <w:rPr>
                <w:sz w:val="20"/>
                <w:szCs w:val="20"/>
                <w:color w:val="auto"/>
              </w:rPr>
            </w:pPr>
            <w:r>
              <w:rPr>
                <w:rFonts w:ascii="Arial" w:cs="Arial" w:eastAsia="Arial" w:hAnsi="Arial"/>
                <w:sz w:val="14"/>
                <w:szCs w:val="14"/>
                <w:color w:val="auto"/>
              </w:rPr>
              <w:t>(1)</w:t>
            </w:r>
          </w:p>
        </w:tc>
        <w:tc>
          <w:tcPr>
            <w:tcW w:w="5500" w:type="dxa"/>
            <w:vAlign w:val="bottom"/>
            <w:gridSpan w:val="2"/>
          </w:tcPr>
          <w:p>
            <w:pPr>
              <w:ind w:left="180"/>
              <w:spacing w:after="0"/>
              <w:rPr>
                <w:sz w:val="20"/>
                <w:szCs w:val="20"/>
                <w:color w:val="auto"/>
              </w:rPr>
            </w:pPr>
            <w:r>
              <w:rPr>
                <w:rFonts w:ascii="Arial" w:cs="Arial" w:eastAsia="Arial" w:hAnsi="Arial"/>
                <w:sz w:val="14"/>
                <w:szCs w:val="14"/>
                <w:color w:val="auto"/>
              </w:rPr>
              <w:t>Moody's has rated Principal Financial Group's senior debt issuance "Baa1"</w:t>
            </w:r>
          </w:p>
        </w:tc>
        <w:tc>
          <w:tcPr>
            <w:tcW w:w="6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r>
      <w:tr>
        <w:trPr>
          <w:trHeight w:val="284"/>
        </w:trPr>
        <w:tc>
          <w:tcPr>
            <w:tcW w:w="360" w:type="dxa"/>
            <w:vAlign w:val="bottom"/>
            <w:gridSpan w:val="2"/>
          </w:tcPr>
          <w:p>
            <w:pPr>
              <w:spacing w:after="0"/>
              <w:rPr>
                <w:sz w:val="20"/>
                <w:szCs w:val="20"/>
                <w:color w:val="auto"/>
              </w:rPr>
            </w:pPr>
            <w:r>
              <w:rPr>
                <w:rFonts w:ascii="Arial" w:cs="Arial" w:eastAsia="Arial" w:hAnsi="Arial"/>
                <w:sz w:val="14"/>
                <w:szCs w:val="14"/>
                <w:color w:val="auto"/>
              </w:rPr>
              <w:t>(2)</w:t>
            </w:r>
          </w:p>
        </w:tc>
        <w:tc>
          <w:tcPr>
            <w:tcW w:w="5500" w:type="dxa"/>
            <w:vAlign w:val="bottom"/>
            <w:gridSpan w:val="2"/>
          </w:tcPr>
          <w:p>
            <w:pPr>
              <w:ind w:left="180"/>
              <w:spacing w:after="0"/>
              <w:rPr>
                <w:sz w:val="20"/>
                <w:szCs w:val="20"/>
                <w:color w:val="auto"/>
              </w:rPr>
            </w:pPr>
            <w:r>
              <w:rPr>
                <w:rFonts w:ascii="Arial" w:cs="Arial" w:eastAsia="Arial" w:hAnsi="Arial"/>
                <w:sz w:val="14"/>
                <w:szCs w:val="14"/>
                <w:color w:val="auto"/>
              </w:rPr>
              <w:t>S&amp;P has rated Principal Financial Group's preferred stock issuance "BB+"</w:t>
            </w:r>
          </w:p>
        </w:tc>
        <w:tc>
          <w:tcPr>
            <w:tcW w:w="6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r>
    </w:tbl>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Impacts of Income Taxes</w:t>
      </w:r>
    </w:p>
    <w:p>
      <w:pPr>
        <w:spacing w:after="0" w:line="225" w:lineRule="exact"/>
        <w:rPr>
          <w:sz w:val="20"/>
          <w:szCs w:val="20"/>
          <w:color w:val="auto"/>
        </w:rPr>
      </w:pPr>
    </w:p>
    <w:p>
      <w:pPr>
        <w:ind w:firstLine="495"/>
        <w:spacing w:after="0" w:line="268" w:lineRule="auto"/>
        <w:rPr>
          <w:sz w:val="20"/>
          <w:szCs w:val="20"/>
          <w:color w:val="auto"/>
        </w:rPr>
      </w:pPr>
      <w:r>
        <w:rPr>
          <w:rFonts w:ascii="Arial" w:cs="Arial" w:eastAsia="Arial" w:hAnsi="Arial"/>
          <w:sz w:val="18"/>
          <w:szCs w:val="18"/>
          <w:color w:val="auto"/>
        </w:rPr>
        <w:t>For income tax information, see Item 8. "Financial Statements and Supplementary Data, Notes to Consolidated Financial Statements, Note 11, Income Taxes."</w:t>
      </w:r>
    </w:p>
    <w:p>
      <w:pPr>
        <w:sectPr>
          <w:pgSz w:w="11900" w:h="16838" w:orient="portrait"/>
          <w:cols w:equalWidth="0" w:num="1">
            <w:col w:w="11420"/>
          </w:cols>
          <w:pgMar w:left="240" w:top="131" w:right="239" w:bottom="1440" w:gutter="0" w:footer="0" w:header="0"/>
        </w:sectPr>
      </w:pP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62" w:name="page63"/>
    <w:bookmarkEnd w:id="6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Fair Value Measurement</w:t>
      </w:r>
    </w:p>
    <w:p>
      <w:pPr>
        <w:spacing w:after="0" w:line="231" w:lineRule="exact"/>
        <w:rPr>
          <w:sz w:val="20"/>
          <w:szCs w:val="20"/>
          <w:color w:val="auto"/>
        </w:rPr>
      </w:pPr>
    </w:p>
    <w:p>
      <w:pPr>
        <w:jc w:val="both"/>
        <w:ind w:firstLine="493"/>
        <w:spacing w:after="0" w:line="291" w:lineRule="auto"/>
        <w:rPr>
          <w:sz w:val="20"/>
          <w:szCs w:val="20"/>
          <w:color w:val="auto"/>
        </w:rPr>
      </w:pPr>
      <w:r>
        <w:rPr>
          <w:rFonts w:ascii="Arial" w:cs="Arial" w:eastAsia="Arial" w:hAnsi="Arial"/>
          <w:sz w:val="16"/>
          <w:szCs w:val="16"/>
          <w:color w:val="auto"/>
        </w:rPr>
        <w:t>Fair value is the price that would be received to sell an asset or paid to transfer a liability in an orderly transaction between market participants at the measurement date (an exit price). The fair value hierarchy prioritizes the inputs to valuation techniques used to measure fair value into three levels for disclosure purposes. The fair value hierarchy gives the highest priority (Level 1) to quoted prices in active markets for identical assets or liabilities and gives the lowest priority (Level 3) to unobservable inputs. An asset or liability's classification within the fair value hierarchy is based on the lowest level of significant input to its valuation. See Item 8. "Financial Statements and Supplementary Data, Notes to Consolidated Financial Statements, Note 15, Fair Value Measurements" for further details, including a reconciliation of changes in Level 3 fair value measurements.</w:t>
      </w:r>
    </w:p>
    <w:p>
      <w:pPr>
        <w:spacing w:after="0" w:line="174" w:lineRule="exact"/>
        <w:rPr>
          <w:sz w:val="20"/>
          <w:szCs w:val="20"/>
          <w:color w:val="auto"/>
        </w:rPr>
      </w:pPr>
    </w:p>
    <w:p>
      <w:pPr>
        <w:jc w:val="both"/>
        <w:ind w:firstLine="372"/>
        <w:spacing w:after="0" w:line="268" w:lineRule="auto"/>
        <w:rPr>
          <w:sz w:val="20"/>
          <w:szCs w:val="20"/>
          <w:color w:val="auto"/>
        </w:rPr>
      </w:pPr>
      <w:r>
        <w:rPr>
          <w:rFonts w:ascii="Arial" w:cs="Arial" w:eastAsia="Arial" w:hAnsi="Arial"/>
          <w:sz w:val="18"/>
          <w:szCs w:val="18"/>
          <w:color w:val="auto"/>
        </w:rPr>
        <w:t>As of December 31, 2013, 37% of our net assets (liabilities) were Level 1, 60% were Level 2 and 3% were Level 3. Excluding separate account assets as of December 31, 2013, 1% of our net assets (liabilities) were Level 1, 98% were Level 2 and 1% were Level 3.</w:t>
      </w:r>
    </w:p>
    <w:p>
      <w:pPr>
        <w:spacing w:after="0" w:line="186" w:lineRule="exact"/>
        <w:rPr>
          <w:sz w:val="20"/>
          <w:szCs w:val="20"/>
          <w:color w:val="auto"/>
        </w:rPr>
      </w:pPr>
    </w:p>
    <w:p>
      <w:pPr>
        <w:jc w:val="both"/>
        <w:ind w:firstLine="372"/>
        <w:spacing w:after="0" w:line="268" w:lineRule="auto"/>
        <w:rPr>
          <w:sz w:val="20"/>
          <w:szCs w:val="20"/>
          <w:color w:val="auto"/>
        </w:rPr>
      </w:pPr>
      <w:r>
        <w:rPr>
          <w:rFonts w:ascii="Arial" w:cs="Arial" w:eastAsia="Arial" w:hAnsi="Arial"/>
          <w:sz w:val="18"/>
          <w:szCs w:val="18"/>
          <w:color w:val="auto"/>
        </w:rPr>
        <w:t>As of December 31, 2012, 41% of our net assets (liabilities) were Level 1, 55% were Level 2 and 4% were Level 3. Excluding separate account assets as of December 31, 2012, 2% of our net assets (liabilities) were Level 1, 97% were Level 2 and 1% were Level 3.</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Level 3 Fair Value Measurements</w:t>
      </w:r>
    </w:p>
    <w:p>
      <w:pPr>
        <w:spacing w:after="0" w:line="225" w:lineRule="exact"/>
        <w:rPr>
          <w:sz w:val="20"/>
          <w:szCs w:val="20"/>
          <w:color w:val="auto"/>
        </w:rPr>
      </w:pPr>
    </w:p>
    <w:p>
      <w:pPr>
        <w:jc w:val="both"/>
        <w:ind w:firstLine="596"/>
        <w:spacing w:after="0" w:line="306" w:lineRule="auto"/>
        <w:rPr>
          <w:sz w:val="20"/>
          <w:szCs w:val="20"/>
          <w:color w:val="auto"/>
        </w:rPr>
      </w:pPr>
      <w:r>
        <w:rPr>
          <w:rFonts w:ascii="Arial" w:cs="Arial" w:eastAsia="Arial" w:hAnsi="Arial"/>
          <w:sz w:val="16"/>
          <w:szCs w:val="16"/>
          <w:color w:val="auto"/>
        </w:rPr>
        <w:t>Net assets (liabilities) measured at fair value on a recurring basis using significant unobservable inputs (Level 3) as of December 31, 2013, were $5,885.5 million as compared to $4,987.4 million as of December 31, 2012. The increase was primarily related to gains on other invested assets and real estate included in our separate account assets, as well as gains on bifurcated embedded derivatives in investment-type insurance contracts and derivative liabilities.</w:t>
      </w:r>
    </w:p>
    <w:p>
      <w:pPr>
        <w:spacing w:after="0" w:line="161" w:lineRule="exact"/>
        <w:rPr>
          <w:sz w:val="20"/>
          <w:szCs w:val="20"/>
          <w:color w:val="auto"/>
        </w:rPr>
      </w:pPr>
    </w:p>
    <w:p>
      <w:pPr>
        <w:jc w:val="both"/>
        <w:ind w:firstLine="596"/>
        <w:spacing w:after="0" w:line="294" w:lineRule="auto"/>
        <w:rPr>
          <w:sz w:val="20"/>
          <w:szCs w:val="20"/>
          <w:color w:val="auto"/>
        </w:rPr>
      </w:pPr>
      <w:r>
        <w:rPr>
          <w:rFonts w:ascii="Arial" w:cs="Arial" w:eastAsia="Arial" w:hAnsi="Arial"/>
          <w:sz w:val="16"/>
          <w:szCs w:val="16"/>
          <w:color w:val="auto"/>
        </w:rPr>
        <w:t>Net assets (liabilities) measured at fair value on a recurring basis using significant unobservable inputs (Level 3) as of December 31, 2012, were $4,987.4 million as compared to $4,647.3 million as of December 31, 2011. The increase was primarily related to gains on other invested assets and real estate included in our separate account assets. This increase was partially offset by sales and net transfers out of Level 3 into Level 2 for certain fixed maturities, available-for-sale. The transfers out of Level 3 were due to our obtaining prices from third party pricing vendors or using internal models based on substantially observable market information versus relying on broker quotes or utilizing significant unobservable inputs.</w:t>
      </w:r>
    </w:p>
    <w:p>
      <w:pPr>
        <w:spacing w:after="0" w:line="3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Investments</w:t>
      </w:r>
    </w:p>
    <w:p>
      <w:pPr>
        <w:spacing w:after="0" w:line="231" w:lineRule="exact"/>
        <w:rPr>
          <w:sz w:val="20"/>
          <w:szCs w:val="20"/>
          <w:color w:val="auto"/>
        </w:rPr>
      </w:pPr>
    </w:p>
    <w:p>
      <w:pPr>
        <w:jc w:val="both"/>
        <w:ind w:firstLine="453"/>
        <w:spacing w:after="0" w:line="306" w:lineRule="auto"/>
        <w:rPr>
          <w:sz w:val="20"/>
          <w:szCs w:val="20"/>
          <w:color w:val="auto"/>
        </w:rPr>
      </w:pPr>
      <w:r>
        <w:rPr>
          <w:rFonts w:ascii="Arial" w:cs="Arial" w:eastAsia="Arial" w:hAnsi="Arial"/>
          <w:sz w:val="16"/>
          <w:szCs w:val="16"/>
          <w:color w:val="auto"/>
        </w:rPr>
        <w:t>We had total consolidated assets as of December 31, 2013, of $208,191.4 million, of which $66,756.9 million were invested assets. The rest of our total consolidated assets are comprised primarily of separate account assets for which we do not bear investment risk. Because we generally do not bear any investment risk on assets held in separate accounts, the discussion and financial information below does not include such assets.</w:t>
      </w: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Overall Composition of Invested Assets</w:t>
      </w:r>
    </w:p>
    <w:p>
      <w:pPr>
        <w:spacing w:after="0" w:line="231" w:lineRule="exact"/>
        <w:rPr>
          <w:sz w:val="20"/>
          <w:szCs w:val="20"/>
          <w:color w:val="auto"/>
        </w:rPr>
      </w:pPr>
    </w:p>
    <w:p>
      <w:pPr>
        <w:jc w:val="both"/>
        <w:ind w:firstLine="548"/>
        <w:spacing w:after="0" w:line="256" w:lineRule="auto"/>
        <w:rPr>
          <w:sz w:val="20"/>
          <w:szCs w:val="20"/>
          <w:color w:val="auto"/>
        </w:rPr>
      </w:pPr>
      <w:r>
        <w:rPr>
          <w:rFonts w:ascii="Arial" w:cs="Arial" w:eastAsia="Arial" w:hAnsi="Arial"/>
          <w:sz w:val="18"/>
          <w:szCs w:val="18"/>
          <w:color w:val="auto"/>
        </w:rPr>
        <w:t>Invested assets as of December 31, 2013, were predominantly high quality and broadly diversified across asset class, individual credit, industry and geographic location. Asset allocation is determined based on cash flow and the risk/return requirements of our products. As shown in the following table, the major categories of invested assets are fixed maturities and commercial mortgage loans. The remainder is invested in other investments, residential mortgage loans, real estate and equity securities. In addition, policy loans are included in our invested assets.</w:t>
      </w:r>
    </w:p>
    <w:p>
      <w:pPr>
        <w:spacing w:after="0" w:line="193"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6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20" w:type="dxa"/>
            <w:vAlign w:val="bottom"/>
            <w:gridSpan w:val="5"/>
          </w:tcPr>
          <w:p>
            <w:pPr>
              <w:jc w:val="right"/>
              <w:ind w:right="669"/>
              <w:spacing w:after="0"/>
              <w:rPr>
                <w:sz w:val="20"/>
                <w:szCs w:val="20"/>
                <w:color w:val="auto"/>
              </w:rPr>
            </w:pPr>
            <w:r>
              <w:rPr>
                <w:rFonts w:ascii="Arial" w:cs="Arial" w:eastAsia="Arial" w:hAnsi="Arial"/>
                <w:sz w:val="14"/>
                <w:szCs w:val="14"/>
                <w:b w:val="1"/>
                <w:bCs w:val="1"/>
                <w:color w:val="auto"/>
              </w:rPr>
              <w:t>December 31, 2013</w:t>
            </w:r>
          </w:p>
        </w:tc>
        <w:tc>
          <w:tcPr>
            <w:tcW w:w="2140" w:type="dxa"/>
            <w:vAlign w:val="bottom"/>
            <w:gridSpan w:val="4"/>
          </w:tcPr>
          <w:p>
            <w:pPr>
              <w:jc w:val="right"/>
              <w:ind w:right="640"/>
              <w:spacing w:after="0"/>
              <w:rPr>
                <w:sz w:val="20"/>
                <w:szCs w:val="20"/>
                <w:color w:val="auto"/>
              </w:rPr>
            </w:pPr>
            <w:r>
              <w:rPr>
                <w:rFonts w:ascii="Arial" w:cs="Arial" w:eastAsia="Arial" w:hAnsi="Arial"/>
                <w:sz w:val="14"/>
                <w:szCs w:val="14"/>
                <w:b w:val="1"/>
                <w:bCs w:val="1"/>
                <w:color w:val="auto"/>
              </w:rPr>
              <w:t>December 31, 2012</w:t>
            </w:r>
          </w:p>
        </w:tc>
      </w:tr>
      <w:tr>
        <w:trPr>
          <w:trHeight w:val="142"/>
        </w:trPr>
        <w:tc>
          <w:tcPr>
            <w:tcW w:w="20" w:type="dxa"/>
            <w:vAlign w:val="bottom"/>
          </w:tcPr>
          <w:p>
            <w:pPr>
              <w:spacing w:after="0"/>
              <w:rPr>
                <w:sz w:val="12"/>
                <w:szCs w:val="12"/>
                <w:color w:val="auto"/>
              </w:rPr>
            </w:pPr>
          </w:p>
        </w:tc>
        <w:tc>
          <w:tcPr>
            <w:tcW w:w="46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1120" w:type="dxa"/>
            <w:vAlign w:val="bottom"/>
            <w:tcBorders>
              <w:top w:val="single" w:sz="8" w:color="auto"/>
              <w:bottom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w w:val="89"/>
              </w:rPr>
              <w:t>Carrying amount</w:t>
            </w:r>
          </w:p>
        </w:tc>
        <w:tc>
          <w:tcPr>
            <w:tcW w:w="160" w:type="dxa"/>
            <w:vAlign w:val="bottom"/>
            <w:tcBorders>
              <w:top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8"/>
              </w:rPr>
              <w:t>% of total</w:t>
            </w:r>
          </w:p>
        </w:tc>
        <w:tc>
          <w:tcPr>
            <w:tcW w:w="18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110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w w:val="89"/>
              </w:rPr>
              <w:t>Carrying amount</w:t>
            </w:r>
          </w:p>
        </w:tc>
        <w:tc>
          <w:tcPr>
            <w:tcW w:w="160" w:type="dxa"/>
            <w:vAlign w:val="bottom"/>
            <w:tcBorders>
              <w:top w:val="single" w:sz="8" w:color="auto"/>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w w:val="98"/>
              </w:rPr>
              <w:t>% of total</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46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jc w:val="right"/>
              <w:spacing w:after="0" w:line="142" w:lineRule="exact"/>
              <w:rPr>
                <w:sz w:val="20"/>
                <w:szCs w:val="20"/>
                <w:color w:val="auto"/>
              </w:rPr>
            </w:pPr>
            <w:r>
              <w:rPr>
                <w:rFonts w:ascii="Arial" w:cs="Arial" w:eastAsia="Arial" w:hAnsi="Arial"/>
                <w:sz w:val="14"/>
                <w:szCs w:val="14"/>
                <w:b w:val="1"/>
                <w:bCs w:val="1"/>
                <w:i w:val="1"/>
                <w:iCs w:val="1"/>
                <w:color w:val="auto"/>
              </w:rPr>
              <w:t>($ in</w:t>
            </w:r>
          </w:p>
        </w:tc>
        <w:tc>
          <w:tcPr>
            <w:tcW w:w="1340" w:type="dxa"/>
            <w:vAlign w:val="bottom"/>
            <w:gridSpan w:val="3"/>
          </w:tcPr>
          <w:p>
            <w:pPr>
              <w:jc w:val="right"/>
              <w:ind w:right="792"/>
              <w:spacing w:after="0" w:line="142" w:lineRule="exact"/>
              <w:rPr>
                <w:sz w:val="20"/>
                <w:szCs w:val="20"/>
                <w:color w:val="auto"/>
              </w:rPr>
            </w:pPr>
            <w:r>
              <w:rPr>
                <w:rFonts w:ascii="Arial" w:cs="Arial" w:eastAsia="Arial" w:hAnsi="Arial"/>
                <w:sz w:val="14"/>
                <w:szCs w:val="14"/>
                <w:b w:val="1"/>
                <w:bCs w:val="1"/>
                <w:i w:val="1"/>
                <w:iCs w:val="1"/>
                <w:color w:val="auto"/>
                <w:w w:val="79"/>
              </w:rPr>
              <w:t>millions)</w:t>
            </w: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maturities: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tcPr>
          <w:p>
            <w:pPr>
              <w:ind w:left="140"/>
              <w:spacing w:after="0" w:line="149" w:lineRule="exact"/>
              <w:rPr>
                <w:sz w:val="20"/>
                <w:szCs w:val="20"/>
                <w:color w:val="auto"/>
              </w:rPr>
            </w:pPr>
            <w:r>
              <w:rPr>
                <w:rFonts w:ascii="Arial" w:cs="Arial" w:eastAsia="Arial" w:hAnsi="Arial"/>
                <w:sz w:val="14"/>
                <w:szCs w:val="14"/>
                <w:color w:val="auto"/>
              </w:rPr>
              <w:t>Public</w:t>
            </w:r>
          </w:p>
        </w:tc>
        <w:tc>
          <w:tcPr>
            <w:tcW w:w="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33,999.7</w:t>
            </w:r>
          </w:p>
        </w:tc>
        <w:tc>
          <w:tcPr>
            <w:tcW w:w="1100" w:type="dxa"/>
            <w:vAlign w:val="bottom"/>
            <w:gridSpan w:val="4"/>
          </w:tcPr>
          <w:p>
            <w:pPr>
              <w:jc w:val="right"/>
              <w:spacing w:after="0" w:line="149" w:lineRule="exact"/>
              <w:rPr>
                <w:sz w:val="20"/>
                <w:szCs w:val="20"/>
                <w:color w:val="auto"/>
              </w:rPr>
            </w:pPr>
            <w:r>
              <w:rPr>
                <w:rFonts w:ascii="Arial" w:cs="Arial" w:eastAsia="Arial" w:hAnsi="Arial"/>
                <w:sz w:val="14"/>
                <w:szCs w:val="14"/>
                <w:b w:val="1"/>
                <w:bCs w:val="1"/>
                <w:color w:val="auto"/>
              </w:rPr>
              <w:t xml:space="preserve">51% </w:t>
            </w:r>
            <w:r>
              <w:rPr>
                <w:rFonts w:ascii="Arial" w:cs="Arial" w:eastAsia="Arial" w:hAnsi="Arial"/>
                <w:sz w:val="14"/>
                <w:szCs w:val="14"/>
                <w:color w:val="auto"/>
              </w:rPr>
              <w:t>$</w:t>
            </w: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36,136.2</w:t>
            </w:r>
          </w:p>
        </w:tc>
        <w:tc>
          <w:tcPr>
            <w:tcW w:w="104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52%</w:t>
            </w:r>
          </w:p>
        </w:tc>
      </w:tr>
      <w:tr>
        <w:trPr>
          <w:trHeight w:val="149"/>
        </w:trPr>
        <w:tc>
          <w:tcPr>
            <w:tcW w:w="20" w:type="dxa"/>
            <w:vAlign w:val="bottom"/>
          </w:tcPr>
          <w:p>
            <w:pPr>
              <w:spacing w:after="0"/>
              <w:rPr>
                <w:sz w:val="12"/>
                <w:szCs w:val="12"/>
                <w:color w:val="auto"/>
              </w:rPr>
            </w:pPr>
          </w:p>
        </w:tc>
        <w:tc>
          <w:tcPr>
            <w:tcW w:w="46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Private</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15,320.5</w:t>
            </w: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23</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15,429.8</w:t>
            </w: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tcPr>
          <w:p>
            <w:pPr>
              <w:spacing w:after="0" w:line="149" w:lineRule="exact"/>
              <w:rPr>
                <w:sz w:val="20"/>
                <w:szCs w:val="20"/>
                <w:color w:val="auto"/>
              </w:rPr>
            </w:pPr>
            <w:r>
              <w:rPr>
                <w:rFonts w:ascii="Arial" w:cs="Arial" w:eastAsia="Arial" w:hAnsi="Arial"/>
                <w:sz w:val="14"/>
                <w:szCs w:val="14"/>
                <w:color w:val="auto"/>
              </w:rPr>
              <w:t>Equity securities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827.4</w:t>
            </w:r>
          </w:p>
        </w:tc>
        <w:tc>
          <w:tcPr>
            <w:tcW w:w="8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389.3</w:t>
            </w: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Mortgage loans: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tcPr>
          <w:p>
            <w:pPr>
              <w:ind w:left="140"/>
              <w:spacing w:after="0" w:line="149" w:lineRule="exact"/>
              <w:rPr>
                <w:sz w:val="20"/>
                <w:szCs w:val="20"/>
                <w:color w:val="auto"/>
              </w:rPr>
            </w:pPr>
            <w:r>
              <w:rPr>
                <w:rFonts w:ascii="Arial" w:cs="Arial" w:eastAsia="Arial" w:hAnsi="Arial"/>
                <w:sz w:val="14"/>
                <w:szCs w:val="14"/>
                <w:color w:val="auto"/>
              </w:rPr>
              <w:t>Commercial</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10,299.0</w:t>
            </w:r>
          </w:p>
        </w:tc>
        <w:tc>
          <w:tcPr>
            <w:tcW w:w="8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15</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10,183.3</w:t>
            </w: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Residential</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1,234.6</w:t>
            </w: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1,336.4</w:t>
            </w: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tcPr>
          <w:p>
            <w:pPr>
              <w:spacing w:after="0" w:line="149" w:lineRule="exact"/>
              <w:rPr>
                <w:sz w:val="20"/>
                <w:szCs w:val="20"/>
                <w:color w:val="auto"/>
              </w:rPr>
            </w:pPr>
            <w:r>
              <w:rPr>
                <w:rFonts w:ascii="Arial" w:cs="Arial" w:eastAsia="Arial" w:hAnsi="Arial"/>
                <w:sz w:val="14"/>
                <w:szCs w:val="14"/>
                <w:color w:val="auto"/>
              </w:rPr>
              <w:t>Real estate held for sale</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182.3</w:t>
            </w:r>
          </w:p>
        </w:tc>
        <w:tc>
          <w:tcPr>
            <w:tcW w:w="160" w:type="dxa"/>
            <w:vAlign w:val="bottom"/>
          </w:tcPr>
          <w:p>
            <w:pPr>
              <w:spacing w:after="0"/>
              <w:rPr>
                <w:sz w:val="12"/>
                <w:szCs w:val="12"/>
                <w:color w:val="auto"/>
              </w:rPr>
            </w:pPr>
          </w:p>
        </w:tc>
        <w:tc>
          <w:tcPr>
            <w:tcW w:w="940" w:type="dxa"/>
            <w:vAlign w:val="bottom"/>
            <w:gridSpan w:val="3"/>
          </w:tcPr>
          <w:p>
            <w:pPr>
              <w:jc w:val="right"/>
              <w:ind w:right="189"/>
              <w:spacing w:after="0" w:line="149" w:lineRule="exact"/>
              <w:rPr>
                <w:sz w:val="20"/>
                <w:szCs w:val="20"/>
                <w:color w:val="auto"/>
              </w:rPr>
            </w:pPr>
            <w:r>
              <w:rPr>
                <w:rFonts w:ascii="Arial" w:cs="Arial" w:eastAsia="Arial" w:hAnsi="Arial"/>
                <w:sz w:val="14"/>
                <w:szCs w:val="14"/>
                <w:b w:val="1"/>
                <w:bCs w:val="1"/>
                <w:color w:val="auto"/>
              </w:rPr>
              <w:t>—</w:t>
            </w: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87.0</w:t>
            </w:r>
          </w:p>
        </w:tc>
        <w:tc>
          <w:tcPr>
            <w:tcW w:w="160" w:type="dxa"/>
            <w:vAlign w:val="bottom"/>
          </w:tcPr>
          <w:p>
            <w:pPr>
              <w:spacing w:after="0"/>
              <w:rPr>
                <w:sz w:val="12"/>
                <w:szCs w:val="12"/>
                <w:color w:val="auto"/>
              </w:rPr>
            </w:pPr>
          </w:p>
        </w:tc>
        <w:tc>
          <w:tcPr>
            <w:tcW w:w="8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r>
      <w:tr>
        <w:trPr>
          <w:trHeight w:val="149"/>
        </w:trPr>
        <w:tc>
          <w:tcPr>
            <w:tcW w:w="20" w:type="dxa"/>
            <w:vAlign w:val="bottom"/>
          </w:tcPr>
          <w:p>
            <w:pPr>
              <w:spacing w:after="0"/>
              <w:rPr>
                <w:sz w:val="12"/>
                <w:szCs w:val="12"/>
                <w:color w:val="auto"/>
              </w:rPr>
            </w:pPr>
          </w:p>
        </w:tc>
        <w:tc>
          <w:tcPr>
            <w:tcW w:w="46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Real estate held for investment</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1,089.3</w:t>
            </w: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1,093.3</w:t>
            </w: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tcPr>
          <w:p>
            <w:pPr>
              <w:spacing w:after="0" w:line="149" w:lineRule="exact"/>
              <w:rPr>
                <w:sz w:val="20"/>
                <w:szCs w:val="20"/>
                <w:color w:val="auto"/>
              </w:rPr>
            </w:pPr>
            <w:r>
              <w:rPr>
                <w:rFonts w:ascii="Arial" w:cs="Arial" w:eastAsia="Arial" w:hAnsi="Arial"/>
                <w:sz w:val="14"/>
                <w:szCs w:val="14"/>
                <w:color w:val="auto"/>
              </w:rPr>
              <w:t>Policy loans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859.7</w:t>
            </w:r>
          </w:p>
        </w:tc>
        <w:tc>
          <w:tcPr>
            <w:tcW w:w="8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864.9</w:t>
            </w: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investments</w:t>
            </w:r>
          </w:p>
        </w:tc>
        <w:tc>
          <w:tcPr>
            <w:tcW w:w="2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11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2,944.4</w:t>
            </w:r>
          </w:p>
        </w:tc>
        <w:tc>
          <w:tcPr>
            <w:tcW w:w="160" w:type="dxa"/>
            <w:vAlign w:val="bottom"/>
            <w:shd w:val="clear" w:color="auto" w:fill="CCEEFF"/>
          </w:tcPr>
          <w:p>
            <w:pPr>
              <w:spacing w:after="0"/>
              <w:rPr>
                <w:sz w:val="12"/>
                <w:szCs w:val="12"/>
                <w:color w:val="auto"/>
              </w:rPr>
            </w:pPr>
          </w:p>
        </w:tc>
        <w:tc>
          <w:tcPr>
            <w:tcW w:w="7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w:t>
            </w:r>
          </w:p>
        </w:tc>
        <w:tc>
          <w:tcPr>
            <w:tcW w:w="18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11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3,291.1</w:t>
            </w:r>
          </w:p>
        </w:tc>
        <w:tc>
          <w:tcPr>
            <w:tcW w:w="160" w:type="dxa"/>
            <w:vAlign w:val="bottom"/>
            <w:shd w:val="clear" w:color="auto" w:fill="CCEEFF"/>
          </w:tcPr>
          <w:p>
            <w:pPr>
              <w:spacing w:after="0"/>
              <w:rPr>
                <w:sz w:val="12"/>
                <w:szCs w:val="12"/>
                <w:color w:val="auto"/>
              </w:rPr>
            </w:pPr>
          </w:p>
        </w:tc>
        <w:tc>
          <w:tcPr>
            <w:tcW w:w="7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5</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4680" w:type="dxa"/>
            <w:vAlign w:val="bottom"/>
          </w:tcPr>
          <w:p>
            <w:pPr>
              <w:ind w:left="140"/>
              <w:spacing w:after="0" w:line="142" w:lineRule="exact"/>
              <w:rPr>
                <w:sz w:val="20"/>
                <w:szCs w:val="20"/>
                <w:color w:val="auto"/>
              </w:rPr>
            </w:pPr>
            <w:r>
              <w:rPr>
                <w:rFonts w:ascii="Arial" w:cs="Arial" w:eastAsia="Arial" w:hAnsi="Arial"/>
                <w:sz w:val="14"/>
                <w:szCs w:val="14"/>
                <w:color w:val="auto"/>
              </w:rPr>
              <w:t>Total invested assets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66,756.9</w:t>
            </w:r>
          </w:p>
        </w:tc>
        <w:tc>
          <w:tcPr>
            <w:tcW w:w="160" w:type="dxa"/>
            <w:vAlign w:val="bottom"/>
          </w:tcPr>
          <w:p>
            <w:pPr>
              <w:spacing w:after="0"/>
              <w:rPr>
                <w:sz w:val="12"/>
                <w:szCs w:val="12"/>
                <w:color w:val="auto"/>
              </w:rPr>
            </w:pPr>
          </w:p>
        </w:tc>
        <w:tc>
          <w:tcPr>
            <w:tcW w:w="88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rPr>
              <w:t>100%</w:t>
            </w:r>
          </w:p>
        </w:tc>
        <w:tc>
          <w:tcPr>
            <w:tcW w:w="60" w:type="dxa"/>
            <w:vAlign w:val="bottom"/>
          </w:tcPr>
          <w:p>
            <w:pPr>
              <w:spacing w:after="0"/>
              <w:rPr>
                <w:sz w:val="12"/>
                <w:szCs w:val="12"/>
                <w:color w:val="auto"/>
              </w:rPr>
            </w:pPr>
          </w:p>
        </w:tc>
        <w:tc>
          <w:tcPr>
            <w:tcW w:w="1100" w:type="dxa"/>
            <w:vAlign w:val="bottom"/>
          </w:tcPr>
          <w:p>
            <w:pPr>
              <w:jc w:val="right"/>
              <w:spacing w:after="0" w:line="142" w:lineRule="exact"/>
              <w:rPr>
                <w:sz w:val="20"/>
                <w:szCs w:val="20"/>
                <w:color w:val="auto"/>
              </w:rPr>
            </w:pPr>
            <w:r>
              <w:rPr>
                <w:rFonts w:ascii="Arial" w:cs="Arial" w:eastAsia="Arial" w:hAnsi="Arial"/>
                <w:sz w:val="14"/>
                <w:szCs w:val="14"/>
                <w:color w:val="auto"/>
              </w:rPr>
              <w:t>68,811.3</w:t>
            </w:r>
          </w:p>
        </w:tc>
        <w:tc>
          <w:tcPr>
            <w:tcW w:w="160" w:type="dxa"/>
            <w:vAlign w:val="bottom"/>
          </w:tcPr>
          <w:p>
            <w:pPr>
              <w:spacing w:after="0"/>
              <w:rPr>
                <w:sz w:val="12"/>
                <w:szCs w:val="12"/>
                <w:color w:val="auto"/>
              </w:rPr>
            </w:pPr>
          </w:p>
        </w:tc>
        <w:tc>
          <w:tcPr>
            <w:tcW w:w="880" w:type="dxa"/>
            <w:vAlign w:val="bottom"/>
            <w:gridSpan w:val="2"/>
          </w:tcPr>
          <w:p>
            <w:pPr>
              <w:jc w:val="right"/>
              <w:ind w:right="60"/>
              <w:spacing w:after="0" w:line="142" w:lineRule="exact"/>
              <w:rPr>
                <w:sz w:val="20"/>
                <w:szCs w:val="20"/>
                <w:color w:val="auto"/>
              </w:rPr>
            </w:pPr>
            <w:r>
              <w:rPr>
                <w:rFonts w:ascii="Arial" w:cs="Arial" w:eastAsia="Arial" w:hAnsi="Arial"/>
                <w:sz w:val="14"/>
                <w:szCs w:val="14"/>
                <w:color w:val="auto"/>
              </w:rPr>
              <w:t>100%</w:t>
            </w:r>
          </w:p>
        </w:tc>
      </w:tr>
      <w:tr>
        <w:trPr>
          <w:trHeight w:val="20"/>
        </w:trPr>
        <w:tc>
          <w:tcPr>
            <w:tcW w:w="2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4680" w:type="dxa"/>
            <w:vAlign w:val="bottom"/>
            <w:shd w:val="clear" w:color="auto" w:fill="CCEEFF"/>
          </w:tcPr>
          <w:p>
            <w:pPr>
              <w:spacing w:after="0" w:line="129" w:lineRule="exact"/>
              <w:rPr>
                <w:sz w:val="20"/>
                <w:szCs w:val="20"/>
                <w:color w:val="auto"/>
              </w:rPr>
            </w:pPr>
            <w:r>
              <w:rPr>
                <w:rFonts w:ascii="Arial" w:cs="Arial" w:eastAsia="Arial" w:hAnsi="Arial"/>
                <w:sz w:val="14"/>
                <w:szCs w:val="14"/>
                <w:color w:val="auto"/>
              </w:rPr>
              <w:t>Cash and cash equivalents</w:t>
            </w:r>
          </w:p>
        </w:tc>
        <w:tc>
          <w:tcPr>
            <w:tcW w:w="20" w:type="dxa"/>
            <w:vAlign w:val="bottom"/>
            <w:shd w:val="clear" w:color="auto" w:fill="CCEEFF"/>
          </w:tcPr>
          <w:p>
            <w:pPr>
              <w:spacing w:after="0"/>
              <w:rPr>
                <w:sz w:val="11"/>
                <w:szCs w:val="11"/>
                <w:color w:val="auto"/>
              </w:rPr>
            </w:pPr>
          </w:p>
        </w:tc>
        <w:tc>
          <w:tcPr>
            <w:tcW w:w="60" w:type="dxa"/>
            <w:vAlign w:val="bottom"/>
            <w:tcBorders>
              <w:bottom w:val="single" w:sz="8" w:color="auto"/>
            </w:tcBorders>
            <w:shd w:val="clear" w:color="auto" w:fill="CCEEFF"/>
          </w:tcPr>
          <w:p>
            <w:pPr>
              <w:spacing w:after="0"/>
              <w:rPr>
                <w:sz w:val="11"/>
                <w:szCs w:val="11"/>
                <w:color w:val="auto"/>
              </w:rPr>
            </w:pPr>
          </w:p>
        </w:tc>
        <w:tc>
          <w:tcPr>
            <w:tcW w:w="1120" w:type="dxa"/>
            <w:vAlign w:val="bottom"/>
            <w:tcBorders>
              <w:bottom w:val="single" w:sz="8" w:color="auto"/>
            </w:tcBorders>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2,371.8</w:t>
            </w: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60" w:type="dxa"/>
            <w:vAlign w:val="bottom"/>
            <w:tcBorders>
              <w:bottom w:val="single" w:sz="8" w:color="auto"/>
            </w:tcBorders>
            <w:shd w:val="clear" w:color="auto" w:fill="CCEEFF"/>
          </w:tcPr>
          <w:p>
            <w:pPr>
              <w:spacing w:after="0"/>
              <w:rPr>
                <w:sz w:val="11"/>
                <w:szCs w:val="11"/>
                <w:color w:val="auto"/>
              </w:rPr>
            </w:pPr>
          </w:p>
        </w:tc>
        <w:tc>
          <w:tcPr>
            <w:tcW w:w="1100" w:type="dxa"/>
            <w:vAlign w:val="bottom"/>
            <w:tcBorders>
              <w:bottom w:val="single" w:sz="8" w:color="auto"/>
            </w:tcBorders>
            <w:shd w:val="clear" w:color="auto" w:fill="CCEEFF"/>
          </w:tcPr>
          <w:p>
            <w:pPr>
              <w:jc w:val="right"/>
              <w:spacing w:after="0" w:line="129" w:lineRule="exact"/>
              <w:rPr>
                <w:sz w:val="20"/>
                <w:szCs w:val="20"/>
                <w:color w:val="auto"/>
              </w:rPr>
            </w:pPr>
            <w:r>
              <w:rPr>
                <w:rFonts w:ascii="Arial" w:cs="Arial" w:eastAsia="Arial" w:hAnsi="Arial"/>
                <w:sz w:val="14"/>
                <w:szCs w:val="14"/>
                <w:color w:val="auto"/>
              </w:rPr>
              <w:t>4,177.2</w:t>
            </w:r>
          </w:p>
        </w:tc>
        <w:tc>
          <w:tcPr>
            <w:tcW w:w="16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r>
      <w:tr>
        <w:trPr>
          <w:trHeight w:val="142"/>
        </w:trPr>
        <w:tc>
          <w:tcPr>
            <w:tcW w:w="20" w:type="dxa"/>
            <w:vAlign w:val="bottom"/>
          </w:tcPr>
          <w:p>
            <w:pPr>
              <w:spacing w:after="0"/>
              <w:rPr>
                <w:sz w:val="12"/>
                <w:szCs w:val="12"/>
                <w:color w:val="auto"/>
              </w:rPr>
            </w:pPr>
          </w:p>
        </w:tc>
        <w:tc>
          <w:tcPr>
            <w:tcW w:w="4680" w:type="dxa"/>
            <w:vAlign w:val="bottom"/>
          </w:tcPr>
          <w:p>
            <w:pPr>
              <w:ind w:left="140"/>
              <w:spacing w:after="0" w:line="142" w:lineRule="exact"/>
              <w:rPr>
                <w:sz w:val="20"/>
                <w:szCs w:val="20"/>
                <w:color w:val="auto"/>
              </w:rPr>
            </w:pPr>
            <w:r>
              <w:rPr>
                <w:rFonts w:ascii="Arial" w:cs="Arial" w:eastAsia="Arial" w:hAnsi="Arial"/>
                <w:sz w:val="14"/>
                <w:szCs w:val="14"/>
                <w:color w:val="auto"/>
              </w:rPr>
              <w:t>Total invested assets and cash</w:t>
            </w:r>
          </w:p>
        </w:tc>
        <w:tc>
          <w:tcPr>
            <w:tcW w:w="2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11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69,128.7</w:t>
            </w:r>
          </w:p>
        </w:tc>
        <w:tc>
          <w:tcPr>
            <w:tcW w:w="1040" w:type="dxa"/>
            <w:vAlign w:val="bottom"/>
            <w:gridSpan w:val="3"/>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11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72,988.5</w:t>
            </w: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3" w:name="page64"/>
    <w:bookmarkEnd w:id="6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 Results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Investment Income</w:t>
      </w:r>
    </w:p>
    <w:p>
      <w:pPr>
        <w:spacing w:after="0" w:line="225" w:lineRule="exact"/>
        <w:rPr>
          <w:sz w:val="20"/>
          <w:szCs w:val="20"/>
          <w:color w:val="auto"/>
        </w:rPr>
      </w:pPr>
    </w:p>
    <w:p>
      <w:pPr>
        <w:jc w:val="both"/>
        <w:ind w:firstLine="532"/>
        <w:spacing w:after="0" w:line="256" w:lineRule="auto"/>
        <w:rPr>
          <w:sz w:val="20"/>
          <w:szCs w:val="20"/>
          <w:color w:val="auto"/>
        </w:rPr>
      </w:pPr>
      <w:r>
        <w:rPr>
          <w:rFonts w:ascii="Arial" w:cs="Arial" w:eastAsia="Arial" w:hAnsi="Arial"/>
          <w:sz w:val="18"/>
          <w:szCs w:val="18"/>
          <w:color w:val="auto"/>
        </w:rPr>
        <w:t>The following table presents the yield and investment income, excluding net realized capital gains and losses, for our invested assets for the periods indicated. We calculate annualized yields using a simple average of asset classes at the beginning and end of the reporting period. The yields for available-for-sale fixed maturities and available-for-sale equity securities are calculated using amortized cost and cost, respectively. All other yields are calculated using carrying amounts.</w:t>
      </w:r>
    </w:p>
    <w:p>
      <w:pPr>
        <w:spacing w:after="0" w:line="193"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580" w:type="dxa"/>
            <w:vAlign w:val="bottom"/>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2580" w:type="dxa"/>
            <w:vAlign w:val="bottom"/>
            <w:tcBorders>
              <w:bottom w:val="single" w:sz="8" w:color="auto"/>
            </w:tcBorders>
            <w:gridSpan w:val="8"/>
          </w:tcPr>
          <w:p>
            <w:pPr>
              <w:jc w:val="right"/>
              <w:ind w:right="400"/>
              <w:spacing w:after="0"/>
              <w:rPr>
                <w:sz w:val="20"/>
                <w:szCs w:val="20"/>
                <w:color w:val="auto"/>
              </w:rPr>
            </w:pPr>
            <w:r>
              <w:rPr>
                <w:rFonts w:ascii="Arial" w:cs="Arial" w:eastAsia="Arial" w:hAnsi="Arial"/>
                <w:sz w:val="14"/>
                <w:szCs w:val="14"/>
                <w:b w:val="1"/>
                <w:bCs w:val="1"/>
                <w:color w:val="auto"/>
                <w:w w:val="98"/>
              </w:rPr>
              <w:t>For the year ended December 31,</w:t>
            </w:r>
          </w:p>
        </w:tc>
        <w:tc>
          <w:tcPr>
            <w:tcW w:w="56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340" w:type="dxa"/>
            <w:vAlign w:val="bottom"/>
            <w:tcBorders>
              <w:bottom w:val="single" w:sz="8" w:color="auto"/>
            </w:tcBorders>
            <w:gridSpan w:val="4"/>
          </w:tcPr>
          <w:p>
            <w:pPr>
              <w:jc w:val="right"/>
              <w:ind w:right="200"/>
              <w:spacing w:after="0"/>
              <w:rPr>
                <w:sz w:val="20"/>
                <w:szCs w:val="20"/>
                <w:color w:val="auto"/>
              </w:rPr>
            </w:pPr>
            <w:r>
              <w:rPr>
                <w:rFonts w:ascii="Arial" w:cs="Arial" w:eastAsia="Arial" w:hAnsi="Arial"/>
                <w:sz w:val="14"/>
                <w:szCs w:val="14"/>
                <w:b w:val="1"/>
                <w:bCs w:val="1"/>
                <w:color w:val="auto"/>
                <w:w w:val="85"/>
              </w:rPr>
              <w:t>Increase (decrease)</w:t>
            </w:r>
          </w:p>
        </w:tc>
        <w:tc>
          <w:tcPr>
            <w:tcW w:w="5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1240" w:type="dxa"/>
            <w:vAlign w:val="bottom"/>
            <w:gridSpan w:val="3"/>
          </w:tcPr>
          <w:p>
            <w:pPr>
              <w:jc w:val="right"/>
              <w:ind w:right="412"/>
              <w:spacing w:after="0" w:line="142" w:lineRule="exact"/>
              <w:rPr>
                <w:sz w:val="20"/>
                <w:szCs w:val="20"/>
                <w:color w:val="auto"/>
              </w:rPr>
            </w:pPr>
            <w:r>
              <w:rPr>
                <w:rFonts w:ascii="Arial" w:cs="Arial" w:eastAsia="Arial" w:hAnsi="Arial"/>
                <w:sz w:val="14"/>
                <w:szCs w:val="14"/>
                <w:b w:val="1"/>
                <w:bCs w:val="1"/>
                <w:color w:val="auto"/>
              </w:rPr>
              <w:t>2013</w:t>
            </w:r>
          </w:p>
        </w:tc>
        <w:tc>
          <w:tcPr>
            <w:tcW w:w="80" w:type="dxa"/>
            <w:vAlign w:val="bottom"/>
          </w:tcPr>
          <w:p>
            <w:pPr>
              <w:spacing w:after="0"/>
              <w:rPr>
                <w:sz w:val="12"/>
                <w:szCs w:val="12"/>
                <w:color w:val="auto"/>
              </w:rPr>
            </w:pPr>
          </w:p>
        </w:tc>
        <w:tc>
          <w:tcPr>
            <w:tcW w:w="1200" w:type="dxa"/>
            <w:vAlign w:val="bottom"/>
            <w:gridSpan w:val="3"/>
          </w:tcPr>
          <w:p>
            <w:pPr>
              <w:jc w:val="right"/>
              <w:ind w:right="412"/>
              <w:spacing w:after="0" w:line="142" w:lineRule="exact"/>
              <w:rPr>
                <w:sz w:val="20"/>
                <w:szCs w:val="20"/>
                <w:color w:val="auto"/>
              </w:rPr>
            </w:pPr>
            <w:r>
              <w:rPr>
                <w:rFonts w:ascii="Arial" w:cs="Arial" w:eastAsia="Arial" w:hAnsi="Arial"/>
                <w:sz w:val="14"/>
                <w:szCs w:val="14"/>
                <w:b w:val="1"/>
                <w:bCs w:val="1"/>
                <w:color w:val="auto"/>
              </w:rPr>
              <w:t>2012</w:t>
            </w:r>
          </w:p>
        </w:tc>
        <w:tc>
          <w:tcPr>
            <w:tcW w:w="80" w:type="dxa"/>
            <w:vAlign w:val="bottom"/>
          </w:tcPr>
          <w:p>
            <w:pPr>
              <w:spacing w:after="0"/>
              <w:rPr>
                <w:sz w:val="12"/>
                <w:szCs w:val="12"/>
                <w:color w:val="auto"/>
              </w:rPr>
            </w:pPr>
          </w:p>
        </w:tc>
        <w:tc>
          <w:tcPr>
            <w:tcW w:w="1220" w:type="dxa"/>
            <w:vAlign w:val="bottom"/>
            <w:gridSpan w:val="3"/>
          </w:tcPr>
          <w:p>
            <w:pPr>
              <w:jc w:val="right"/>
              <w:ind w:right="412"/>
              <w:spacing w:after="0" w:line="142" w:lineRule="exact"/>
              <w:rPr>
                <w:sz w:val="20"/>
                <w:szCs w:val="20"/>
                <w:color w:val="auto"/>
              </w:rPr>
            </w:pPr>
            <w:r>
              <w:rPr>
                <w:rFonts w:ascii="Arial" w:cs="Arial" w:eastAsia="Arial" w:hAnsi="Arial"/>
                <w:sz w:val="14"/>
                <w:szCs w:val="14"/>
                <w:b w:val="1"/>
                <w:bCs w:val="1"/>
                <w:color w:val="auto"/>
              </w:rPr>
              <w:t>2011</w:t>
            </w:r>
          </w:p>
        </w:tc>
        <w:tc>
          <w:tcPr>
            <w:tcW w:w="80" w:type="dxa"/>
            <w:vAlign w:val="bottom"/>
          </w:tcPr>
          <w:p>
            <w:pPr>
              <w:spacing w:after="0"/>
              <w:rPr>
                <w:sz w:val="12"/>
                <w:szCs w:val="12"/>
                <w:color w:val="auto"/>
              </w:rPr>
            </w:pPr>
          </w:p>
        </w:tc>
        <w:tc>
          <w:tcPr>
            <w:tcW w:w="1340" w:type="dxa"/>
            <w:vAlign w:val="bottom"/>
            <w:gridSpan w:val="4"/>
          </w:tcPr>
          <w:p>
            <w:pPr>
              <w:jc w:val="right"/>
              <w:ind w:right="340"/>
              <w:spacing w:after="0" w:line="142" w:lineRule="exact"/>
              <w:rPr>
                <w:sz w:val="20"/>
                <w:szCs w:val="20"/>
                <w:color w:val="auto"/>
              </w:rPr>
            </w:pPr>
            <w:r>
              <w:rPr>
                <w:rFonts w:ascii="Arial" w:cs="Arial" w:eastAsia="Arial" w:hAnsi="Arial"/>
                <w:sz w:val="14"/>
                <w:szCs w:val="14"/>
                <w:b w:val="1"/>
                <w:bCs w:val="1"/>
                <w:color w:val="auto"/>
              </w:rPr>
              <w:t>2013 vs. 2012</w:t>
            </w:r>
          </w:p>
        </w:tc>
        <w:tc>
          <w:tcPr>
            <w:tcW w:w="1260" w:type="dxa"/>
            <w:vAlign w:val="bottom"/>
            <w:gridSpan w:val="3"/>
          </w:tcPr>
          <w:p>
            <w:pPr>
              <w:jc w:val="right"/>
              <w:ind w:right="192"/>
              <w:spacing w:after="0" w:line="142" w:lineRule="exact"/>
              <w:rPr>
                <w:sz w:val="20"/>
                <w:szCs w:val="20"/>
                <w:color w:val="auto"/>
              </w:rPr>
            </w:pPr>
            <w:r>
              <w:rPr>
                <w:rFonts w:ascii="Arial" w:cs="Arial" w:eastAsia="Arial" w:hAnsi="Arial"/>
                <w:sz w:val="14"/>
                <w:szCs w:val="14"/>
                <w:b w:val="1"/>
                <w:bCs w:val="1"/>
                <w:color w:val="auto"/>
              </w:rPr>
              <w:t>2012 vs. 2011</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44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rPr>
              <w:t>Yield</w:t>
            </w:r>
          </w:p>
        </w:tc>
        <w:tc>
          <w:tcPr>
            <w:tcW w:w="240" w:type="dxa"/>
            <w:vAlign w:val="bottom"/>
            <w:tcBorders>
              <w:top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w w:val="86"/>
              </w:rPr>
              <w:t>Amount</w:t>
            </w:r>
          </w:p>
        </w:tc>
        <w:tc>
          <w:tcPr>
            <w:tcW w:w="80" w:type="dxa"/>
            <w:vAlign w:val="bottom"/>
          </w:tcPr>
          <w:p>
            <w:pPr>
              <w:spacing w:after="0"/>
              <w:rPr>
                <w:sz w:val="12"/>
                <w:szCs w:val="12"/>
                <w:color w:val="auto"/>
              </w:rPr>
            </w:pPr>
          </w:p>
        </w:tc>
        <w:tc>
          <w:tcPr>
            <w:tcW w:w="44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rPr>
              <w:t>Yield</w:t>
            </w:r>
          </w:p>
        </w:tc>
        <w:tc>
          <w:tcPr>
            <w:tcW w:w="200" w:type="dxa"/>
            <w:vAlign w:val="bottom"/>
            <w:tcBorders>
              <w:top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w w:val="86"/>
              </w:rPr>
              <w:t>Amount</w:t>
            </w:r>
          </w:p>
        </w:tc>
        <w:tc>
          <w:tcPr>
            <w:tcW w:w="80" w:type="dxa"/>
            <w:vAlign w:val="bottom"/>
          </w:tcPr>
          <w:p>
            <w:pPr>
              <w:spacing w:after="0"/>
              <w:rPr>
                <w:sz w:val="12"/>
                <w:szCs w:val="12"/>
                <w:color w:val="auto"/>
              </w:rPr>
            </w:pPr>
          </w:p>
        </w:tc>
        <w:tc>
          <w:tcPr>
            <w:tcW w:w="44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rPr>
              <w:t>Yield</w:t>
            </w:r>
          </w:p>
        </w:tc>
        <w:tc>
          <w:tcPr>
            <w:tcW w:w="220" w:type="dxa"/>
            <w:vAlign w:val="bottom"/>
            <w:tcBorders>
              <w:top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w w:val="86"/>
              </w:rPr>
              <w:t>Amount</w:t>
            </w:r>
          </w:p>
        </w:tc>
        <w:tc>
          <w:tcPr>
            <w:tcW w:w="80" w:type="dxa"/>
            <w:vAlign w:val="bottom"/>
          </w:tcPr>
          <w:p>
            <w:pPr>
              <w:spacing w:after="0"/>
              <w:rPr>
                <w:sz w:val="12"/>
                <w:szCs w:val="12"/>
                <w:color w:val="auto"/>
              </w:rPr>
            </w:pPr>
          </w:p>
        </w:tc>
        <w:tc>
          <w:tcPr>
            <w:tcW w:w="44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rPr>
              <w:t>Yield</w:t>
            </w:r>
          </w:p>
        </w:tc>
        <w:tc>
          <w:tcPr>
            <w:tcW w:w="260" w:type="dxa"/>
            <w:vAlign w:val="bottom"/>
            <w:tcBorders>
              <w:top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w w:val="86"/>
              </w:rPr>
              <w:t>Amount</w:t>
            </w:r>
          </w:p>
        </w:tc>
        <w:tc>
          <w:tcPr>
            <w:tcW w:w="80" w:type="dxa"/>
            <w:vAlign w:val="bottom"/>
          </w:tcPr>
          <w:p>
            <w:pPr>
              <w:spacing w:after="0"/>
              <w:rPr>
                <w:sz w:val="12"/>
                <w:szCs w:val="12"/>
                <w:color w:val="auto"/>
              </w:rPr>
            </w:pPr>
          </w:p>
        </w:tc>
        <w:tc>
          <w:tcPr>
            <w:tcW w:w="4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Yield</w:t>
            </w:r>
          </w:p>
        </w:tc>
        <w:tc>
          <w:tcPr>
            <w:tcW w:w="280" w:type="dxa"/>
            <w:vAlign w:val="bottom"/>
            <w:tcBorders>
              <w:top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w w:val="86"/>
              </w:rPr>
              <w:t>Amount</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00" w:type="dxa"/>
            <w:vAlign w:val="bottom"/>
            <w:gridSpan w:val="4"/>
          </w:tcPr>
          <w:p>
            <w:pPr>
              <w:jc w:val="right"/>
              <w:ind w:right="260"/>
              <w:spacing w:after="0" w:line="142" w:lineRule="exact"/>
              <w:rPr>
                <w:sz w:val="20"/>
                <w:szCs w:val="20"/>
                <w:color w:val="auto"/>
              </w:rPr>
            </w:pPr>
            <w:r>
              <w:rPr>
                <w:rFonts w:ascii="Arial" w:cs="Arial" w:eastAsia="Arial" w:hAnsi="Arial"/>
                <w:sz w:val="14"/>
                <w:szCs w:val="14"/>
                <w:b w:val="1"/>
                <w:bCs w:val="1"/>
                <w:i w:val="1"/>
                <w:iCs w:val="1"/>
                <w:color w:val="auto"/>
              </w:rPr>
              <w:t>($ in millions)</w:t>
            </w:r>
          </w:p>
        </w:tc>
        <w:tc>
          <w:tcPr>
            <w:tcW w:w="4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2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maturities</w:t>
            </w:r>
          </w:p>
        </w:tc>
        <w:tc>
          <w:tcPr>
            <w:tcW w:w="680" w:type="dxa"/>
            <w:vAlign w:val="bottom"/>
            <w:tcBorders>
              <w:right w:val="single" w:sz="8" w:color="CCEEFF"/>
            </w:tcBorders>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4.9% $</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2,343.8</w:t>
            </w:r>
          </w:p>
        </w:tc>
        <w:tc>
          <w:tcPr>
            <w:tcW w:w="80" w:type="dxa"/>
            <w:vAlign w:val="bottom"/>
            <w:shd w:val="clear" w:color="auto" w:fill="CCEEFF"/>
          </w:tcPr>
          <w:p>
            <w:pPr>
              <w:spacing w:after="0"/>
              <w:rPr>
                <w:sz w:val="12"/>
                <w:szCs w:val="12"/>
                <w:color w:val="auto"/>
              </w:rPr>
            </w:pPr>
          </w:p>
        </w:tc>
        <w:tc>
          <w:tcPr>
            <w:tcW w:w="640" w:type="dxa"/>
            <w:vAlign w:val="bottom"/>
            <w:tcBorders>
              <w:right w:val="single" w:sz="8" w:color="CCEEFF"/>
            </w:tcBorders>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5.1% $</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2,485.0</w:t>
            </w:r>
          </w:p>
        </w:tc>
        <w:tc>
          <w:tcPr>
            <w:tcW w:w="80" w:type="dxa"/>
            <w:vAlign w:val="bottom"/>
            <w:shd w:val="clear" w:color="auto" w:fill="CCEEFF"/>
          </w:tcPr>
          <w:p>
            <w:pPr>
              <w:spacing w:after="0"/>
              <w:rPr>
                <w:sz w:val="12"/>
                <w:szCs w:val="12"/>
                <w:color w:val="auto"/>
              </w:rPr>
            </w:pPr>
          </w:p>
        </w:tc>
        <w:tc>
          <w:tcPr>
            <w:tcW w:w="660" w:type="dxa"/>
            <w:vAlign w:val="bottom"/>
            <w:tcBorders>
              <w:right w:val="single" w:sz="8" w:color="CCEEFF"/>
            </w:tcBorders>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5.5% $</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2,660.9</w:t>
            </w:r>
          </w:p>
        </w:tc>
        <w:tc>
          <w:tcPr>
            <w:tcW w:w="80" w:type="dxa"/>
            <w:vAlign w:val="bottom"/>
            <w:shd w:val="clear" w:color="auto" w:fill="CCEEFF"/>
          </w:tcPr>
          <w:p>
            <w:pPr>
              <w:spacing w:after="0"/>
              <w:rPr>
                <w:sz w:val="12"/>
                <w:szCs w:val="12"/>
                <w:color w:val="auto"/>
              </w:rPr>
            </w:pPr>
          </w:p>
        </w:tc>
        <w:tc>
          <w:tcPr>
            <w:tcW w:w="700" w:type="dxa"/>
            <w:vAlign w:val="bottom"/>
            <w:tcBorders>
              <w:right w:val="single" w:sz="8" w:color="CCEEFF"/>
            </w:tcBorders>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(0.2)% $</w:t>
            </w:r>
          </w:p>
        </w:tc>
        <w:tc>
          <w:tcPr>
            <w:tcW w:w="64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(141.2)</w:t>
            </w:r>
          </w:p>
        </w:tc>
        <w:tc>
          <w:tcPr>
            <w:tcW w:w="700" w:type="dxa"/>
            <w:vAlign w:val="bottom"/>
            <w:tcBorders>
              <w:right w:val="single" w:sz="8" w:color="CCEEFF"/>
            </w:tcBorders>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(0.4)% $</w:t>
            </w:r>
          </w:p>
        </w:tc>
        <w:tc>
          <w:tcPr>
            <w:tcW w:w="7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(175.9)</w:t>
            </w:r>
          </w:p>
        </w:tc>
      </w:tr>
      <w:tr>
        <w:trPr>
          <w:trHeight w:val="149"/>
        </w:trPr>
        <w:tc>
          <w:tcPr>
            <w:tcW w:w="20" w:type="dxa"/>
            <w:vAlign w:val="bottom"/>
          </w:tcPr>
          <w:p>
            <w:pPr>
              <w:spacing w:after="0"/>
              <w:rPr>
                <w:sz w:val="12"/>
                <w:szCs w:val="12"/>
                <w:color w:val="auto"/>
              </w:rPr>
            </w:pPr>
          </w:p>
        </w:tc>
        <w:tc>
          <w:tcPr>
            <w:tcW w:w="2580" w:type="dxa"/>
            <w:vAlign w:val="bottom"/>
          </w:tcPr>
          <w:p>
            <w:pPr>
              <w:spacing w:after="0" w:line="149" w:lineRule="exact"/>
              <w:rPr>
                <w:sz w:val="20"/>
                <w:szCs w:val="20"/>
                <w:color w:val="auto"/>
              </w:rPr>
            </w:pPr>
            <w:r>
              <w:rPr>
                <w:rFonts w:ascii="Arial" w:cs="Arial" w:eastAsia="Arial" w:hAnsi="Arial"/>
                <w:sz w:val="14"/>
                <w:szCs w:val="14"/>
                <w:color w:val="auto"/>
              </w:rPr>
              <w:t>Equity securities</w:t>
            </w:r>
          </w:p>
        </w:tc>
        <w:tc>
          <w:tcPr>
            <w:tcW w:w="4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4.5</w:t>
            </w:r>
          </w:p>
        </w:tc>
        <w:tc>
          <w:tcPr>
            <w:tcW w:w="2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27.4</w:t>
            </w:r>
          </w:p>
        </w:tc>
        <w:tc>
          <w:tcPr>
            <w:tcW w:w="80" w:type="dxa"/>
            <w:vAlign w:val="bottom"/>
          </w:tcPr>
          <w:p>
            <w:pPr>
              <w:spacing w:after="0"/>
              <w:rPr>
                <w:sz w:val="12"/>
                <w:szCs w:val="12"/>
                <w:color w:val="auto"/>
              </w:rPr>
            </w:pPr>
          </w:p>
        </w:tc>
        <w:tc>
          <w:tcPr>
            <w:tcW w:w="440" w:type="dxa"/>
            <w:vAlign w:val="bottom"/>
          </w:tcPr>
          <w:p>
            <w:pPr>
              <w:jc w:val="right"/>
              <w:spacing w:after="0" w:line="149" w:lineRule="exact"/>
              <w:rPr>
                <w:sz w:val="20"/>
                <w:szCs w:val="20"/>
                <w:color w:val="auto"/>
              </w:rPr>
            </w:pPr>
            <w:r>
              <w:rPr>
                <w:rFonts w:ascii="Arial" w:cs="Arial" w:eastAsia="Arial" w:hAnsi="Arial"/>
                <w:sz w:val="14"/>
                <w:szCs w:val="14"/>
                <w:color w:val="auto"/>
              </w:rPr>
              <w:t>3.5</w:t>
            </w:r>
          </w:p>
        </w:tc>
        <w:tc>
          <w:tcPr>
            <w:tcW w:w="20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15.2</w:t>
            </w:r>
          </w:p>
        </w:tc>
        <w:tc>
          <w:tcPr>
            <w:tcW w:w="80" w:type="dxa"/>
            <w:vAlign w:val="bottom"/>
          </w:tcPr>
          <w:p>
            <w:pPr>
              <w:spacing w:after="0"/>
              <w:rPr>
                <w:sz w:val="12"/>
                <w:szCs w:val="12"/>
                <w:color w:val="auto"/>
              </w:rPr>
            </w:pPr>
          </w:p>
        </w:tc>
        <w:tc>
          <w:tcPr>
            <w:tcW w:w="440" w:type="dxa"/>
            <w:vAlign w:val="bottom"/>
          </w:tcPr>
          <w:p>
            <w:pPr>
              <w:jc w:val="right"/>
              <w:spacing w:after="0" w:line="149" w:lineRule="exact"/>
              <w:rPr>
                <w:sz w:val="20"/>
                <w:szCs w:val="20"/>
                <w:color w:val="auto"/>
              </w:rPr>
            </w:pPr>
            <w:r>
              <w:rPr>
                <w:rFonts w:ascii="Arial" w:cs="Arial" w:eastAsia="Arial" w:hAnsi="Arial"/>
                <w:sz w:val="14"/>
                <w:szCs w:val="14"/>
                <w:color w:val="auto"/>
              </w:rPr>
              <w:t>3.1</w:t>
            </w:r>
          </w:p>
        </w:tc>
        <w:tc>
          <w:tcPr>
            <w:tcW w:w="2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14.9</w:t>
            </w:r>
          </w:p>
        </w:tc>
        <w:tc>
          <w:tcPr>
            <w:tcW w:w="80" w:type="dxa"/>
            <w:vAlign w:val="bottom"/>
          </w:tcPr>
          <w:p>
            <w:pPr>
              <w:spacing w:after="0"/>
              <w:rPr>
                <w:sz w:val="12"/>
                <w:szCs w:val="12"/>
                <w:color w:val="auto"/>
              </w:rPr>
            </w:pPr>
          </w:p>
        </w:tc>
        <w:tc>
          <w:tcPr>
            <w:tcW w:w="440" w:type="dxa"/>
            <w:vAlign w:val="bottom"/>
          </w:tcPr>
          <w:p>
            <w:pPr>
              <w:jc w:val="right"/>
              <w:spacing w:after="0" w:line="149" w:lineRule="exact"/>
              <w:rPr>
                <w:sz w:val="20"/>
                <w:szCs w:val="20"/>
                <w:color w:val="auto"/>
              </w:rPr>
            </w:pPr>
            <w:r>
              <w:rPr>
                <w:rFonts w:ascii="Arial" w:cs="Arial" w:eastAsia="Arial" w:hAnsi="Arial"/>
                <w:sz w:val="14"/>
                <w:szCs w:val="14"/>
                <w:color w:val="auto"/>
              </w:rPr>
              <w:t>1.0</w:t>
            </w:r>
          </w:p>
        </w:tc>
        <w:tc>
          <w:tcPr>
            <w:tcW w:w="26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12.2</w:t>
            </w:r>
          </w:p>
        </w:tc>
        <w:tc>
          <w:tcPr>
            <w:tcW w:w="8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0.4</w:t>
            </w:r>
          </w:p>
        </w:tc>
        <w:tc>
          <w:tcPr>
            <w:tcW w:w="2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0.3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2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Mortgage loans — commercial</w:t>
            </w: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5.3</w:t>
            </w:r>
          </w:p>
        </w:tc>
        <w:tc>
          <w:tcPr>
            <w:tcW w:w="240" w:type="dxa"/>
            <w:vAlign w:val="bottom"/>
            <w:tcBorders>
              <w:right w:val="single" w:sz="8" w:color="CCEEFF"/>
            </w:tcBorders>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541.2</w:t>
            </w:r>
          </w:p>
        </w:tc>
        <w:tc>
          <w:tcPr>
            <w:tcW w:w="8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5.7</w:t>
            </w:r>
          </w:p>
        </w:tc>
        <w:tc>
          <w:tcPr>
            <w:tcW w:w="200" w:type="dxa"/>
            <w:vAlign w:val="bottom"/>
            <w:tcBorders>
              <w:right w:val="single" w:sz="8" w:color="CCEEFF"/>
            </w:tcBorders>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559.6</w:t>
            </w:r>
          </w:p>
        </w:tc>
        <w:tc>
          <w:tcPr>
            <w:tcW w:w="8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5.9</w:t>
            </w:r>
          </w:p>
        </w:tc>
        <w:tc>
          <w:tcPr>
            <w:tcW w:w="220" w:type="dxa"/>
            <w:vAlign w:val="bottom"/>
            <w:tcBorders>
              <w:right w:val="single" w:sz="8" w:color="CCEEFF"/>
            </w:tcBorders>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558.7</w:t>
            </w:r>
          </w:p>
        </w:tc>
        <w:tc>
          <w:tcPr>
            <w:tcW w:w="80" w:type="dxa"/>
            <w:vAlign w:val="bottom"/>
            <w:shd w:val="clear" w:color="auto" w:fill="CCEEFF"/>
          </w:tcPr>
          <w:p>
            <w:pPr>
              <w:spacing w:after="0"/>
              <w:rPr>
                <w:sz w:val="12"/>
                <w:szCs w:val="12"/>
                <w:color w:val="auto"/>
              </w:rPr>
            </w:pPr>
          </w:p>
        </w:tc>
        <w:tc>
          <w:tcPr>
            <w:tcW w:w="700" w:type="dxa"/>
            <w:vAlign w:val="bottom"/>
            <w:tcBorders>
              <w:right w:val="single" w:sz="8" w:color="CCEEFF"/>
            </w:tcBorders>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(0.4)</w:t>
            </w:r>
          </w:p>
        </w:tc>
        <w:tc>
          <w:tcPr>
            <w:tcW w:w="64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(18.4)</w:t>
            </w:r>
          </w:p>
        </w:tc>
        <w:tc>
          <w:tcPr>
            <w:tcW w:w="700" w:type="dxa"/>
            <w:vAlign w:val="bottom"/>
            <w:tcBorders>
              <w:right w:val="single" w:sz="8" w:color="CCEEFF"/>
            </w:tcBorders>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(0.2)</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2580" w:type="dxa"/>
            <w:vAlign w:val="bottom"/>
          </w:tcPr>
          <w:p>
            <w:pPr>
              <w:spacing w:after="0" w:line="149" w:lineRule="exact"/>
              <w:rPr>
                <w:sz w:val="20"/>
                <w:szCs w:val="20"/>
                <w:color w:val="auto"/>
              </w:rPr>
            </w:pPr>
            <w:r>
              <w:rPr>
                <w:rFonts w:ascii="Arial" w:cs="Arial" w:eastAsia="Arial" w:hAnsi="Arial"/>
                <w:sz w:val="14"/>
                <w:szCs w:val="14"/>
                <w:color w:val="auto"/>
              </w:rPr>
              <w:t>Mortgage loans — residential</w:t>
            </w:r>
          </w:p>
        </w:tc>
        <w:tc>
          <w:tcPr>
            <w:tcW w:w="4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5.5</w:t>
            </w:r>
          </w:p>
        </w:tc>
        <w:tc>
          <w:tcPr>
            <w:tcW w:w="2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70.3</w:t>
            </w:r>
          </w:p>
        </w:tc>
        <w:tc>
          <w:tcPr>
            <w:tcW w:w="80" w:type="dxa"/>
            <w:vAlign w:val="bottom"/>
          </w:tcPr>
          <w:p>
            <w:pPr>
              <w:spacing w:after="0"/>
              <w:rPr>
                <w:sz w:val="12"/>
                <w:szCs w:val="12"/>
                <w:color w:val="auto"/>
              </w:rPr>
            </w:pPr>
          </w:p>
        </w:tc>
        <w:tc>
          <w:tcPr>
            <w:tcW w:w="440" w:type="dxa"/>
            <w:vAlign w:val="bottom"/>
          </w:tcPr>
          <w:p>
            <w:pPr>
              <w:jc w:val="right"/>
              <w:spacing w:after="0" w:line="149" w:lineRule="exact"/>
              <w:rPr>
                <w:sz w:val="20"/>
                <w:szCs w:val="20"/>
                <w:color w:val="auto"/>
              </w:rPr>
            </w:pPr>
            <w:r>
              <w:rPr>
                <w:rFonts w:ascii="Arial" w:cs="Arial" w:eastAsia="Arial" w:hAnsi="Arial"/>
                <w:sz w:val="14"/>
                <w:szCs w:val="14"/>
                <w:color w:val="auto"/>
              </w:rPr>
              <w:t>5.7</w:t>
            </w:r>
          </w:p>
        </w:tc>
        <w:tc>
          <w:tcPr>
            <w:tcW w:w="20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76.2</w:t>
            </w:r>
          </w:p>
        </w:tc>
        <w:tc>
          <w:tcPr>
            <w:tcW w:w="80" w:type="dxa"/>
            <w:vAlign w:val="bottom"/>
          </w:tcPr>
          <w:p>
            <w:pPr>
              <w:spacing w:after="0"/>
              <w:rPr>
                <w:sz w:val="12"/>
                <w:szCs w:val="12"/>
                <w:color w:val="auto"/>
              </w:rPr>
            </w:pPr>
          </w:p>
        </w:tc>
        <w:tc>
          <w:tcPr>
            <w:tcW w:w="440" w:type="dxa"/>
            <w:vAlign w:val="bottom"/>
          </w:tcPr>
          <w:p>
            <w:pPr>
              <w:jc w:val="right"/>
              <w:spacing w:after="0" w:line="149" w:lineRule="exact"/>
              <w:rPr>
                <w:sz w:val="20"/>
                <w:szCs w:val="20"/>
                <w:color w:val="auto"/>
              </w:rPr>
            </w:pPr>
            <w:r>
              <w:rPr>
                <w:rFonts w:ascii="Arial" w:cs="Arial" w:eastAsia="Arial" w:hAnsi="Arial"/>
                <w:sz w:val="14"/>
                <w:szCs w:val="14"/>
                <w:color w:val="auto"/>
              </w:rPr>
              <w:t>6.4</w:t>
            </w:r>
          </w:p>
        </w:tc>
        <w:tc>
          <w:tcPr>
            <w:tcW w:w="2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90.5</w:t>
            </w:r>
          </w:p>
        </w:tc>
        <w:tc>
          <w:tcPr>
            <w:tcW w:w="80" w:type="dxa"/>
            <w:vAlign w:val="bottom"/>
          </w:tcPr>
          <w:p>
            <w:pPr>
              <w:spacing w:after="0"/>
              <w:rPr>
                <w:sz w:val="12"/>
                <w:szCs w:val="12"/>
                <w:color w:val="auto"/>
              </w:rPr>
            </w:pPr>
          </w:p>
        </w:tc>
        <w:tc>
          <w:tcPr>
            <w:tcW w:w="70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(0.2)</w:t>
            </w:r>
          </w:p>
        </w:tc>
        <w:tc>
          <w:tcPr>
            <w:tcW w:w="64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(5.9)</w:t>
            </w:r>
          </w:p>
        </w:tc>
        <w:tc>
          <w:tcPr>
            <w:tcW w:w="70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(0.7)</w:t>
            </w:r>
          </w:p>
        </w:tc>
        <w:tc>
          <w:tcPr>
            <w:tcW w:w="7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(14.3)</w:t>
            </w:r>
          </w:p>
        </w:tc>
      </w:tr>
      <w:tr>
        <w:trPr>
          <w:trHeight w:val="149"/>
        </w:trPr>
        <w:tc>
          <w:tcPr>
            <w:tcW w:w="20" w:type="dxa"/>
            <w:vAlign w:val="bottom"/>
          </w:tcPr>
          <w:p>
            <w:pPr>
              <w:spacing w:after="0"/>
              <w:rPr>
                <w:sz w:val="12"/>
                <w:szCs w:val="12"/>
                <w:color w:val="auto"/>
              </w:rPr>
            </w:pPr>
          </w:p>
        </w:tc>
        <w:tc>
          <w:tcPr>
            <w:tcW w:w="2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Real estate</w:t>
            </w: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5.0</w:t>
            </w:r>
          </w:p>
        </w:tc>
        <w:tc>
          <w:tcPr>
            <w:tcW w:w="240" w:type="dxa"/>
            <w:vAlign w:val="bottom"/>
            <w:tcBorders>
              <w:right w:val="single" w:sz="8" w:color="CCEEFF"/>
            </w:tcBorders>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61.2</w:t>
            </w:r>
          </w:p>
        </w:tc>
        <w:tc>
          <w:tcPr>
            <w:tcW w:w="8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w:t>
            </w:r>
          </w:p>
        </w:tc>
        <w:tc>
          <w:tcPr>
            <w:tcW w:w="200" w:type="dxa"/>
            <w:vAlign w:val="bottom"/>
            <w:tcBorders>
              <w:right w:val="single" w:sz="8" w:color="CCEEFF"/>
            </w:tcBorders>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71.4</w:t>
            </w:r>
          </w:p>
        </w:tc>
        <w:tc>
          <w:tcPr>
            <w:tcW w:w="8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6.9</w:t>
            </w:r>
          </w:p>
        </w:tc>
        <w:tc>
          <w:tcPr>
            <w:tcW w:w="220" w:type="dxa"/>
            <w:vAlign w:val="bottom"/>
            <w:tcBorders>
              <w:right w:val="single" w:sz="8" w:color="CCEEFF"/>
            </w:tcBorders>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74.2</w:t>
            </w:r>
          </w:p>
        </w:tc>
        <w:tc>
          <w:tcPr>
            <w:tcW w:w="80" w:type="dxa"/>
            <w:vAlign w:val="bottom"/>
            <w:shd w:val="clear" w:color="auto" w:fill="CCEEFF"/>
          </w:tcPr>
          <w:p>
            <w:pPr>
              <w:spacing w:after="0"/>
              <w:rPr>
                <w:sz w:val="12"/>
                <w:szCs w:val="12"/>
                <w:color w:val="auto"/>
              </w:rPr>
            </w:pPr>
          </w:p>
        </w:tc>
        <w:tc>
          <w:tcPr>
            <w:tcW w:w="700" w:type="dxa"/>
            <w:vAlign w:val="bottom"/>
            <w:tcBorders>
              <w:right w:val="single" w:sz="8" w:color="CCEEFF"/>
            </w:tcBorders>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(1.3)</w:t>
            </w:r>
          </w:p>
        </w:tc>
        <w:tc>
          <w:tcPr>
            <w:tcW w:w="64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(10.2)</w:t>
            </w:r>
          </w:p>
        </w:tc>
        <w:tc>
          <w:tcPr>
            <w:tcW w:w="700" w:type="dxa"/>
            <w:vAlign w:val="bottom"/>
            <w:tcBorders>
              <w:right w:val="single" w:sz="8" w:color="CCEEFF"/>
            </w:tcBorders>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(0.6)</w:t>
            </w:r>
          </w:p>
        </w:tc>
        <w:tc>
          <w:tcPr>
            <w:tcW w:w="7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(2.8)</w:t>
            </w:r>
          </w:p>
        </w:tc>
      </w:tr>
      <w:tr>
        <w:trPr>
          <w:trHeight w:val="149"/>
        </w:trPr>
        <w:tc>
          <w:tcPr>
            <w:tcW w:w="20" w:type="dxa"/>
            <w:vAlign w:val="bottom"/>
          </w:tcPr>
          <w:p>
            <w:pPr>
              <w:spacing w:after="0"/>
              <w:rPr>
                <w:sz w:val="12"/>
                <w:szCs w:val="12"/>
                <w:color w:val="auto"/>
              </w:rPr>
            </w:pPr>
          </w:p>
        </w:tc>
        <w:tc>
          <w:tcPr>
            <w:tcW w:w="2580" w:type="dxa"/>
            <w:vAlign w:val="bottom"/>
          </w:tcPr>
          <w:p>
            <w:pPr>
              <w:spacing w:after="0" w:line="149" w:lineRule="exact"/>
              <w:rPr>
                <w:sz w:val="20"/>
                <w:szCs w:val="20"/>
                <w:color w:val="auto"/>
              </w:rPr>
            </w:pPr>
            <w:r>
              <w:rPr>
                <w:rFonts w:ascii="Arial" w:cs="Arial" w:eastAsia="Arial" w:hAnsi="Arial"/>
                <w:sz w:val="14"/>
                <w:szCs w:val="14"/>
                <w:color w:val="auto"/>
              </w:rPr>
              <w:t>Policy loans</w:t>
            </w:r>
          </w:p>
        </w:tc>
        <w:tc>
          <w:tcPr>
            <w:tcW w:w="4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5.8</w:t>
            </w:r>
          </w:p>
        </w:tc>
        <w:tc>
          <w:tcPr>
            <w:tcW w:w="2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49.9</w:t>
            </w:r>
          </w:p>
        </w:tc>
        <w:tc>
          <w:tcPr>
            <w:tcW w:w="80" w:type="dxa"/>
            <w:vAlign w:val="bottom"/>
          </w:tcPr>
          <w:p>
            <w:pPr>
              <w:spacing w:after="0"/>
              <w:rPr>
                <w:sz w:val="12"/>
                <w:szCs w:val="12"/>
                <w:color w:val="auto"/>
              </w:rPr>
            </w:pPr>
          </w:p>
        </w:tc>
        <w:tc>
          <w:tcPr>
            <w:tcW w:w="440" w:type="dxa"/>
            <w:vAlign w:val="bottom"/>
          </w:tcPr>
          <w:p>
            <w:pPr>
              <w:jc w:val="right"/>
              <w:spacing w:after="0" w:line="149" w:lineRule="exact"/>
              <w:rPr>
                <w:sz w:val="20"/>
                <w:szCs w:val="20"/>
                <w:color w:val="auto"/>
              </w:rPr>
            </w:pPr>
            <w:r>
              <w:rPr>
                <w:rFonts w:ascii="Arial" w:cs="Arial" w:eastAsia="Arial" w:hAnsi="Arial"/>
                <w:sz w:val="14"/>
                <w:szCs w:val="14"/>
                <w:color w:val="auto"/>
              </w:rPr>
              <w:t>6.1</w:t>
            </w:r>
          </w:p>
        </w:tc>
        <w:tc>
          <w:tcPr>
            <w:tcW w:w="20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53.7</w:t>
            </w:r>
          </w:p>
        </w:tc>
        <w:tc>
          <w:tcPr>
            <w:tcW w:w="80" w:type="dxa"/>
            <w:vAlign w:val="bottom"/>
          </w:tcPr>
          <w:p>
            <w:pPr>
              <w:spacing w:after="0"/>
              <w:rPr>
                <w:sz w:val="12"/>
                <w:szCs w:val="12"/>
                <w:color w:val="auto"/>
              </w:rPr>
            </w:pPr>
          </w:p>
        </w:tc>
        <w:tc>
          <w:tcPr>
            <w:tcW w:w="440" w:type="dxa"/>
            <w:vAlign w:val="bottom"/>
          </w:tcPr>
          <w:p>
            <w:pPr>
              <w:jc w:val="right"/>
              <w:spacing w:after="0" w:line="149" w:lineRule="exact"/>
              <w:rPr>
                <w:sz w:val="20"/>
                <w:szCs w:val="20"/>
                <w:color w:val="auto"/>
              </w:rPr>
            </w:pPr>
            <w:r>
              <w:rPr>
                <w:rFonts w:ascii="Arial" w:cs="Arial" w:eastAsia="Arial" w:hAnsi="Arial"/>
                <w:sz w:val="14"/>
                <w:szCs w:val="14"/>
                <w:color w:val="auto"/>
              </w:rPr>
              <w:t>6.5</w:t>
            </w:r>
          </w:p>
        </w:tc>
        <w:tc>
          <w:tcPr>
            <w:tcW w:w="2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58.2</w:t>
            </w:r>
          </w:p>
        </w:tc>
        <w:tc>
          <w:tcPr>
            <w:tcW w:w="80" w:type="dxa"/>
            <w:vAlign w:val="bottom"/>
          </w:tcPr>
          <w:p>
            <w:pPr>
              <w:spacing w:after="0"/>
              <w:rPr>
                <w:sz w:val="12"/>
                <w:szCs w:val="12"/>
                <w:color w:val="auto"/>
              </w:rPr>
            </w:pPr>
          </w:p>
        </w:tc>
        <w:tc>
          <w:tcPr>
            <w:tcW w:w="70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(0.3)</w:t>
            </w:r>
          </w:p>
        </w:tc>
        <w:tc>
          <w:tcPr>
            <w:tcW w:w="64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(3.8)</w:t>
            </w:r>
          </w:p>
        </w:tc>
        <w:tc>
          <w:tcPr>
            <w:tcW w:w="70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(0.4)</w:t>
            </w:r>
          </w:p>
        </w:tc>
        <w:tc>
          <w:tcPr>
            <w:tcW w:w="7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(4.5)</w:t>
            </w:r>
          </w:p>
        </w:tc>
      </w:tr>
      <w:tr>
        <w:trPr>
          <w:trHeight w:val="149"/>
        </w:trPr>
        <w:tc>
          <w:tcPr>
            <w:tcW w:w="20" w:type="dxa"/>
            <w:vAlign w:val="bottom"/>
          </w:tcPr>
          <w:p>
            <w:pPr>
              <w:spacing w:after="0"/>
              <w:rPr>
                <w:sz w:val="12"/>
                <w:szCs w:val="12"/>
                <w:color w:val="auto"/>
              </w:rPr>
            </w:pPr>
          </w:p>
        </w:tc>
        <w:tc>
          <w:tcPr>
            <w:tcW w:w="2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and cash equivalents</w:t>
            </w: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0.4</w:t>
            </w:r>
          </w:p>
        </w:tc>
        <w:tc>
          <w:tcPr>
            <w:tcW w:w="240" w:type="dxa"/>
            <w:vAlign w:val="bottom"/>
            <w:tcBorders>
              <w:right w:val="single" w:sz="8" w:color="CCEEFF"/>
            </w:tcBorders>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14.0</w:t>
            </w:r>
          </w:p>
        </w:tc>
        <w:tc>
          <w:tcPr>
            <w:tcW w:w="8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0.3</w:t>
            </w:r>
          </w:p>
        </w:tc>
        <w:tc>
          <w:tcPr>
            <w:tcW w:w="200" w:type="dxa"/>
            <w:vAlign w:val="bottom"/>
            <w:tcBorders>
              <w:right w:val="single" w:sz="8" w:color="CCEEFF"/>
            </w:tcBorders>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9.6</w:t>
            </w:r>
          </w:p>
        </w:tc>
        <w:tc>
          <w:tcPr>
            <w:tcW w:w="8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0.4</w:t>
            </w:r>
          </w:p>
        </w:tc>
        <w:tc>
          <w:tcPr>
            <w:tcW w:w="220" w:type="dxa"/>
            <w:vAlign w:val="bottom"/>
            <w:tcBorders>
              <w:right w:val="single" w:sz="8" w:color="CCEEFF"/>
            </w:tcBorders>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8.5</w:t>
            </w:r>
          </w:p>
        </w:tc>
        <w:tc>
          <w:tcPr>
            <w:tcW w:w="8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0.1</w:t>
            </w:r>
          </w:p>
        </w:tc>
        <w:tc>
          <w:tcPr>
            <w:tcW w:w="260" w:type="dxa"/>
            <w:vAlign w:val="bottom"/>
            <w:tcBorders>
              <w:right w:val="single" w:sz="8" w:color="CCEEFF"/>
            </w:tcBorders>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4.4</w:t>
            </w:r>
          </w:p>
        </w:tc>
        <w:tc>
          <w:tcPr>
            <w:tcW w:w="80" w:type="dxa"/>
            <w:vAlign w:val="bottom"/>
            <w:shd w:val="clear" w:color="auto" w:fill="CCEEFF"/>
          </w:tcPr>
          <w:p>
            <w:pPr>
              <w:spacing w:after="0"/>
              <w:rPr>
                <w:sz w:val="12"/>
                <w:szCs w:val="12"/>
                <w:color w:val="auto"/>
              </w:rPr>
            </w:pPr>
          </w:p>
        </w:tc>
        <w:tc>
          <w:tcPr>
            <w:tcW w:w="700" w:type="dxa"/>
            <w:vAlign w:val="bottom"/>
            <w:tcBorders>
              <w:right w:val="single" w:sz="8" w:color="CCEEFF"/>
            </w:tcBorders>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(0.1)</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2580" w:type="dxa"/>
            <w:vAlign w:val="bottom"/>
          </w:tcPr>
          <w:p>
            <w:pPr>
              <w:spacing w:after="0" w:line="149" w:lineRule="exact"/>
              <w:rPr>
                <w:sz w:val="20"/>
                <w:szCs w:val="20"/>
                <w:color w:val="auto"/>
              </w:rPr>
            </w:pPr>
            <w:r>
              <w:rPr>
                <w:rFonts w:ascii="Arial" w:cs="Arial" w:eastAsia="Arial" w:hAnsi="Arial"/>
                <w:sz w:val="14"/>
                <w:szCs w:val="14"/>
                <w:color w:val="auto"/>
              </w:rPr>
              <w:t>Other investments</w:t>
            </w:r>
          </w:p>
        </w:tc>
        <w:tc>
          <w:tcPr>
            <w:tcW w:w="4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3.4</w:t>
            </w:r>
          </w:p>
        </w:tc>
        <w:tc>
          <w:tcPr>
            <w:tcW w:w="2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106.8</w:t>
            </w:r>
          </w:p>
        </w:tc>
        <w:tc>
          <w:tcPr>
            <w:tcW w:w="80" w:type="dxa"/>
            <w:vAlign w:val="bottom"/>
          </w:tcPr>
          <w:p>
            <w:pPr>
              <w:spacing w:after="0"/>
              <w:rPr>
                <w:sz w:val="12"/>
                <w:szCs w:val="12"/>
                <w:color w:val="auto"/>
              </w:rPr>
            </w:pPr>
          </w:p>
        </w:tc>
        <w:tc>
          <w:tcPr>
            <w:tcW w:w="440" w:type="dxa"/>
            <w:vAlign w:val="bottom"/>
          </w:tcPr>
          <w:p>
            <w:pPr>
              <w:jc w:val="right"/>
              <w:spacing w:after="0" w:line="149" w:lineRule="exact"/>
              <w:rPr>
                <w:sz w:val="20"/>
                <w:szCs w:val="20"/>
                <w:color w:val="auto"/>
              </w:rPr>
            </w:pPr>
            <w:r>
              <w:rPr>
                <w:rFonts w:ascii="Arial" w:cs="Arial" w:eastAsia="Arial" w:hAnsi="Arial"/>
                <w:sz w:val="14"/>
                <w:szCs w:val="14"/>
                <w:color w:val="auto"/>
              </w:rPr>
              <w:t>2.1</w:t>
            </w:r>
          </w:p>
        </w:tc>
        <w:tc>
          <w:tcPr>
            <w:tcW w:w="20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65.4</w:t>
            </w:r>
          </w:p>
        </w:tc>
        <w:tc>
          <w:tcPr>
            <w:tcW w:w="80" w:type="dxa"/>
            <w:vAlign w:val="bottom"/>
          </w:tcPr>
          <w:p>
            <w:pPr>
              <w:spacing w:after="0"/>
              <w:rPr>
                <w:sz w:val="12"/>
                <w:szCs w:val="12"/>
                <w:color w:val="auto"/>
              </w:rPr>
            </w:pPr>
          </w:p>
        </w:tc>
        <w:tc>
          <w:tcPr>
            <w:tcW w:w="66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(0.3)</w:t>
            </w:r>
          </w:p>
        </w:tc>
        <w:tc>
          <w:tcPr>
            <w:tcW w:w="64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(7.6)</w:t>
            </w:r>
          </w:p>
        </w:tc>
        <w:tc>
          <w:tcPr>
            <w:tcW w:w="440" w:type="dxa"/>
            <w:vAlign w:val="bottom"/>
          </w:tcPr>
          <w:p>
            <w:pPr>
              <w:jc w:val="right"/>
              <w:spacing w:after="0" w:line="149" w:lineRule="exact"/>
              <w:rPr>
                <w:sz w:val="20"/>
                <w:szCs w:val="20"/>
                <w:color w:val="auto"/>
              </w:rPr>
            </w:pPr>
            <w:r>
              <w:rPr>
                <w:rFonts w:ascii="Arial" w:cs="Arial" w:eastAsia="Arial" w:hAnsi="Arial"/>
                <w:sz w:val="14"/>
                <w:szCs w:val="14"/>
                <w:color w:val="auto"/>
              </w:rPr>
              <w:t>1.3</w:t>
            </w:r>
          </w:p>
        </w:tc>
        <w:tc>
          <w:tcPr>
            <w:tcW w:w="26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41.4</w:t>
            </w:r>
          </w:p>
        </w:tc>
        <w:tc>
          <w:tcPr>
            <w:tcW w:w="8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2.4</w:t>
            </w:r>
          </w:p>
        </w:tc>
        <w:tc>
          <w:tcPr>
            <w:tcW w:w="2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73.0</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60" w:type="dxa"/>
            <w:vAlign w:val="bottom"/>
            <w:tcBorders>
              <w:right w:val="single" w:sz="8" w:color="auto"/>
            </w:tcBorders>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80" w:type="dxa"/>
            <w:vAlign w:val="bottom"/>
            <w:tcBorders>
              <w:right w:val="single" w:sz="8" w:color="auto"/>
            </w:tcBorders>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258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before investment expenses</w:t>
            </w:r>
          </w:p>
        </w:tc>
        <w:tc>
          <w:tcPr>
            <w:tcW w:w="4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4.7</w:t>
            </w:r>
          </w:p>
        </w:tc>
        <w:tc>
          <w:tcPr>
            <w:tcW w:w="240" w:type="dxa"/>
            <w:vAlign w:val="bottom"/>
            <w:tcBorders>
              <w:right w:val="single" w:sz="8" w:color="CCEEFF"/>
            </w:tcBorders>
            <w:shd w:val="clear" w:color="auto" w:fill="CCEEFF"/>
          </w:tcPr>
          <w:p>
            <w:pPr>
              <w:spacing w:after="0"/>
              <w:rPr>
                <w:sz w:val="12"/>
                <w:szCs w:val="12"/>
                <w:color w:val="auto"/>
              </w:rPr>
            </w:pP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3,214.6</w:t>
            </w:r>
          </w:p>
        </w:tc>
        <w:tc>
          <w:tcPr>
            <w:tcW w:w="8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4.9</w:t>
            </w:r>
          </w:p>
        </w:tc>
        <w:tc>
          <w:tcPr>
            <w:tcW w:w="200" w:type="dxa"/>
            <w:vAlign w:val="bottom"/>
            <w:tcBorders>
              <w:right w:val="single" w:sz="8" w:color="CCEEFF"/>
            </w:tcBorders>
            <w:shd w:val="clear" w:color="auto" w:fill="CCEEFF"/>
          </w:tcPr>
          <w:p>
            <w:pPr>
              <w:spacing w:after="0"/>
              <w:rPr>
                <w:sz w:val="12"/>
                <w:szCs w:val="12"/>
                <w:color w:val="auto"/>
              </w:rPr>
            </w:pP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3,336.1</w:t>
            </w:r>
          </w:p>
        </w:tc>
        <w:tc>
          <w:tcPr>
            <w:tcW w:w="8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5.1</w:t>
            </w:r>
          </w:p>
        </w:tc>
        <w:tc>
          <w:tcPr>
            <w:tcW w:w="220" w:type="dxa"/>
            <w:vAlign w:val="bottom"/>
            <w:tcBorders>
              <w:right w:val="single" w:sz="8" w:color="CCEEFF"/>
            </w:tcBorders>
            <w:shd w:val="clear" w:color="auto" w:fill="CCEEFF"/>
          </w:tcPr>
          <w:p>
            <w:pPr>
              <w:spacing w:after="0"/>
              <w:rPr>
                <w:sz w:val="12"/>
                <w:szCs w:val="12"/>
                <w:color w:val="auto"/>
              </w:rPr>
            </w:pP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3,458.3</w:t>
            </w:r>
          </w:p>
        </w:tc>
        <w:tc>
          <w:tcPr>
            <w:tcW w:w="80" w:type="dxa"/>
            <w:vAlign w:val="bottom"/>
            <w:shd w:val="clear" w:color="auto" w:fill="CCEEFF"/>
          </w:tcPr>
          <w:p>
            <w:pPr>
              <w:spacing w:after="0"/>
              <w:rPr>
                <w:sz w:val="12"/>
                <w:szCs w:val="12"/>
                <w:color w:val="auto"/>
              </w:rPr>
            </w:pPr>
          </w:p>
        </w:tc>
        <w:tc>
          <w:tcPr>
            <w:tcW w:w="700" w:type="dxa"/>
            <w:vAlign w:val="bottom"/>
            <w:tcBorders>
              <w:right w:val="single" w:sz="8" w:color="CCEEFF"/>
            </w:tcBorders>
            <w:gridSpan w:val="2"/>
            <w:shd w:val="clear" w:color="auto" w:fill="CCEEFF"/>
          </w:tcPr>
          <w:p>
            <w:pPr>
              <w:jc w:val="right"/>
              <w:ind w:right="240"/>
              <w:spacing w:after="0" w:line="142" w:lineRule="exact"/>
              <w:rPr>
                <w:sz w:val="20"/>
                <w:szCs w:val="20"/>
                <w:color w:val="auto"/>
              </w:rPr>
            </w:pPr>
            <w:r>
              <w:rPr>
                <w:rFonts w:ascii="Arial" w:cs="Arial" w:eastAsia="Arial" w:hAnsi="Arial"/>
                <w:sz w:val="14"/>
                <w:szCs w:val="14"/>
                <w:color w:val="auto"/>
              </w:rPr>
              <w:t>(0.2)</w:t>
            </w:r>
          </w:p>
        </w:tc>
        <w:tc>
          <w:tcPr>
            <w:tcW w:w="64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(121.5)</w:t>
            </w:r>
          </w:p>
        </w:tc>
        <w:tc>
          <w:tcPr>
            <w:tcW w:w="700" w:type="dxa"/>
            <w:vAlign w:val="bottom"/>
            <w:tcBorders>
              <w:right w:val="single" w:sz="8" w:color="CCEEFF"/>
            </w:tcBorders>
            <w:gridSpan w:val="2"/>
            <w:shd w:val="clear" w:color="auto" w:fill="CCEEFF"/>
          </w:tcPr>
          <w:p>
            <w:pPr>
              <w:jc w:val="right"/>
              <w:ind w:right="240"/>
              <w:spacing w:after="0" w:line="142" w:lineRule="exact"/>
              <w:rPr>
                <w:sz w:val="20"/>
                <w:szCs w:val="20"/>
                <w:color w:val="auto"/>
              </w:rPr>
            </w:pPr>
            <w:r>
              <w:rPr>
                <w:rFonts w:ascii="Arial" w:cs="Arial" w:eastAsia="Arial" w:hAnsi="Arial"/>
                <w:sz w:val="14"/>
                <w:szCs w:val="14"/>
                <w:color w:val="auto"/>
              </w:rPr>
              <w:t>(0.2)</w:t>
            </w:r>
          </w:p>
        </w:tc>
        <w:tc>
          <w:tcPr>
            <w:tcW w:w="72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color w:val="auto"/>
              </w:rPr>
              <w:t>(122.2)</w:t>
            </w:r>
          </w:p>
        </w:tc>
      </w:tr>
      <w:tr>
        <w:trPr>
          <w:trHeight w:val="149"/>
        </w:trPr>
        <w:tc>
          <w:tcPr>
            <w:tcW w:w="20" w:type="dxa"/>
            <w:vAlign w:val="bottom"/>
          </w:tcPr>
          <w:p>
            <w:pPr>
              <w:spacing w:after="0"/>
              <w:rPr>
                <w:sz w:val="12"/>
                <w:szCs w:val="12"/>
                <w:color w:val="auto"/>
              </w:rPr>
            </w:pPr>
          </w:p>
        </w:tc>
        <w:tc>
          <w:tcPr>
            <w:tcW w:w="2580" w:type="dxa"/>
            <w:vAlign w:val="bottom"/>
          </w:tcPr>
          <w:p>
            <w:pPr>
              <w:spacing w:after="0" w:line="149" w:lineRule="exact"/>
              <w:rPr>
                <w:sz w:val="20"/>
                <w:szCs w:val="20"/>
                <w:color w:val="auto"/>
              </w:rPr>
            </w:pPr>
            <w:r>
              <w:rPr>
                <w:rFonts w:ascii="Arial" w:cs="Arial" w:eastAsia="Arial" w:hAnsi="Arial"/>
                <w:sz w:val="14"/>
                <w:szCs w:val="14"/>
                <w:color w:val="auto"/>
              </w:rPr>
              <w:t>Investment expenses</w:t>
            </w:r>
          </w:p>
        </w:tc>
        <w:tc>
          <w:tcPr>
            <w:tcW w:w="68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(0.1)</w:t>
            </w:r>
          </w:p>
        </w:tc>
        <w:tc>
          <w:tcPr>
            <w:tcW w:w="640" w:type="dxa"/>
            <w:vAlign w:val="bottom"/>
            <w:gridSpan w:val="2"/>
          </w:tcPr>
          <w:p>
            <w:pPr>
              <w:jc w:val="right"/>
              <w:ind w:right="40"/>
              <w:spacing w:after="0" w:line="149" w:lineRule="exact"/>
              <w:rPr>
                <w:sz w:val="20"/>
                <w:szCs w:val="20"/>
                <w:color w:val="auto"/>
              </w:rPr>
            </w:pPr>
            <w:r>
              <w:rPr>
                <w:rFonts w:ascii="Arial" w:cs="Arial" w:eastAsia="Arial" w:hAnsi="Arial"/>
                <w:sz w:val="14"/>
                <w:szCs w:val="14"/>
                <w:b w:val="1"/>
                <w:bCs w:val="1"/>
                <w:color w:val="auto"/>
              </w:rPr>
              <w:t>(76.2)</w:t>
            </w:r>
          </w:p>
        </w:tc>
        <w:tc>
          <w:tcPr>
            <w:tcW w:w="64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(0.1)</w:t>
            </w:r>
          </w:p>
        </w:tc>
        <w:tc>
          <w:tcPr>
            <w:tcW w:w="64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(81.2)</w:t>
            </w:r>
          </w:p>
        </w:tc>
        <w:tc>
          <w:tcPr>
            <w:tcW w:w="66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(0.1)</w:t>
            </w:r>
          </w:p>
        </w:tc>
        <w:tc>
          <w:tcPr>
            <w:tcW w:w="64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(83.0)</w:t>
            </w:r>
          </w:p>
        </w:tc>
        <w:tc>
          <w:tcPr>
            <w:tcW w:w="700" w:type="dxa"/>
            <w:vAlign w:val="bottom"/>
            <w:gridSpan w:val="2"/>
          </w:tcPr>
          <w:p>
            <w:pPr>
              <w:jc w:val="right"/>
              <w:ind w:right="280"/>
              <w:spacing w:after="0" w:line="149" w:lineRule="exact"/>
              <w:rPr>
                <w:sz w:val="20"/>
                <w:szCs w:val="20"/>
                <w:color w:val="auto"/>
              </w:rPr>
            </w:pPr>
            <w:r>
              <w:rPr>
                <w:rFonts w:ascii="Arial" w:cs="Arial" w:eastAsia="Arial" w:hAnsi="Arial"/>
                <w:sz w:val="14"/>
                <w:szCs w:val="14"/>
                <w:color w:val="auto"/>
              </w:rPr>
              <w:t>—</w:t>
            </w: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5.0</w:t>
            </w:r>
          </w:p>
        </w:tc>
        <w:tc>
          <w:tcPr>
            <w:tcW w:w="80" w:type="dxa"/>
            <w:vAlign w:val="bottom"/>
          </w:tcPr>
          <w:p>
            <w:pPr>
              <w:spacing w:after="0"/>
              <w:rPr>
                <w:sz w:val="12"/>
                <w:szCs w:val="12"/>
                <w:color w:val="auto"/>
              </w:rPr>
            </w:pPr>
          </w:p>
        </w:tc>
        <w:tc>
          <w:tcPr>
            <w:tcW w:w="700" w:type="dxa"/>
            <w:vAlign w:val="bottom"/>
            <w:gridSpan w:val="2"/>
          </w:tcPr>
          <w:p>
            <w:pPr>
              <w:jc w:val="right"/>
              <w:ind w:right="280"/>
              <w:spacing w:after="0" w:line="149" w:lineRule="exact"/>
              <w:rPr>
                <w:sz w:val="20"/>
                <w:szCs w:val="20"/>
                <w:color w:val="auto"/>
              </w:rPr>
            </w:pPr>
            <w:r>
              <w:rPr>
                <w:rFonts w:ascii="Arial" w:cs="Arial" w:eastAsia="Arial" w:hAnsi="Arial"/>
                <w:sz w:val="14"/>
                <w:szCs w:val="14"/>
                <w:color w:val="auto"/>
              </w:rPr>
              <w:t>—</w:t>
            </w: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1.8</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60" w:type="dxa"/>
            <w:vAlign w:val="bottom"/>
            <w:tcBorders>
              <w:right w:val="single" w:sz="8" w:color="auto"/>
            </w:tcBorders>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80" w:type="dxa"/>
            <w:vAlign w:val="bottom"/>
            <w:tcBorders>
              <w:right w:val="single" w:sz="8" w:color="auto"/>
            </w:tcBorders>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258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Net investment income</w:t>
            </w:r>
          </w:p>
        </w:tc>
        <w:tc>
          <w:tcPr>
            <w:tcW w:w="680" w:type="dxa"/>
            <w:vAlign w:val="bottom"/>
            <w:tcBorders>
              <w:right w:val="single" w:sz="8" w:color="CCEEFF"/>
            </w:tcBorders>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4.6% $</w:t>
            </w: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3,138.4</w:t>
            </w:r>
          </w:p>
        </w:tc>
        <w:tc>
          <w:tcPr>
            <w:tcW w:w="80" w:type="dxa"/>
            <w:vAlign w:val="bottom"/>
            <w:shd w:val="clear" w:color="auto" w:fill="CCEEFF"/>
          </w:tcPr>
          <w:p>
            <w:pPr>
              <w:spacing w:after="0"/>
              <w:rPr>
                <w:sz w:val="12"/>
                <w:szCs w:val="12"/>
                <w:color w:val="auto"/>
              </w:rPr>
            </w:pPr>
          </w:p>
        </w:tc>
        <w:tc>
          <w:tcPr>
            <w:tcW w:w="640" w:type="dxa"/>
            <w:vAlign w:val="bottom"/>
            <w:tcBorders>
              <w:right w:val="single" w:sz="8" w:color="CCEEFF"/>
            </w:tcBorders>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4.8% $</w:t>
            </w: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3,254.9</w:t>
            </w:r>
          </w:p>
        </w:tc>
        <w:tc>
          <w:tcPr>
            <w:tcW w:w="80" w:type="dxa"/>
            <w:vAlign w:val="bottom"/>
            <w:shd w:val="clear" w:color="auto" w:fill="CCEEFF"/>
          </w:tcPr>
          <w:p>
            <w:pPr>
              <w:spacing w:after="0"/>
              <w:rPr>
                <w:sz w:val="12"/>
                <w:szCs w:val="12"/>
                <w:color w:val="auto"/>
              </w:rPr>
            </w:pPr>
          </w:p>
        </w:tc>
        <w:tc>
          <w:tcPr>
            <w:tcW w:w="660" w:type="dxa"/>
            <w:vAlign w:val="bottom"/>
            <w:tcBorders>
              <w:right w:val="single" w:sz="8" w:color="CCEEFF"/>
            </w:tcBorders>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5.0% $</w:t>
            </w: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3,375.3</w:t>
            </w:r>
          </w:p>
        </w:tc>
        <w:tc>
          <w:tcPr>
            <w:tcW w:w="80" w:type="dxa"/>
            <w:vAlign w:val="bottom"/>
            <w:shd w:val="clear" w:color="auto" w:fill="CCEEFF"/>
          </w:tcPr>
          <w:p>
            <w:pPr>
              <w:spacing w:after="0"/>
              <w:rPr>
                <w:sz w:val="12"/>
                <w:szCs w:val="12"/>
                <w:color w:val="auto"/>
              </w:rPr>
            </w:pPr>
          </w:p>
        </w:tc>
        <w:tc>
          <w:tcPr>
            <w:tcW w:w="700" w:type="dxa"/>
            <w:vAlign w:val="bottom"/>
            <w:tcBorders>
              <w:right w:val="single" w:sz="8" w:color="CCEEFF"/>
            </w:tcBorders>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(0.2)% $</w:t>
            </w:r>
          </w:p>
        </w:tc>
        <w:tc>
          <w:tcPr>
            <w:tcW w:w="64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(116.5)</w:t>
            </w:r>
          </w:p>
        </w:tc>
        <w:tc>
          <w:tcPr>
            <w:tcW w:w="700" w:type="dxa"/>
            <w:vAlign w:val="bottom"/>
            <w:tcBorders>
              <w:right w:val="single" w:sz="8" w:color="CCEEFF"/>
            </w:tcBorders>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(0.2)% $</w:t>
            </w:r>
          </w:p>
        </w:tc>
        <w:tc>
          <w:tcPr>
            <w:tcW w:w="72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color w:val="auto"/>
              </w:rPr>
              <w:t>(120.4)</w:t>
            </w:r>
          </w:p>
        </w:tc>
      </w:tr>
      <w:tr>
        <w:trPr>
          <w:trHeight w:val="20"/>
        </w:trPr>
        <w:tc>
          <w:tcPr>
            <w:tcW w:w="2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Year Ended December 31, 2013 Compared to Year Ended December 31, 2012</w:t>
      </w:r>
    </w:p>
    <w:p>
      <w:pPr>
        <w:spacing w:after="0" w:line="225" w:lineRule="exact"/>
        <w:rPr>
          <w:sz w:val="20"/>
          <w:szCs w:val="20"/>
          <w:color w:val="auto"/>
        </w:rPr>
      </w:pPr>
    </w:p>
    <w:p>
      <w:pPr>
        <w:jc w:val="both"/>
        <w:ind w:firstLine="355"/>
        <w:spacing w:after="0" w:line="259" w:lineRule="auto"/>
        <w:rPr>
          <w:sz w:val="20"/>
          <w:szCs w:val="20"/>
          <w:color w:val="auto"/>
        </w:rPr>
      </w:pPr>
      <w:r>
        <w:rPr>
          <w:rFonts w:ascii="Arial" w:cs="Arial" w:eastAsia="Arial" w:hAnsi="Arial"/>
          <w:sz w:val="18"/>
          <w:szCs w:val="18"/>
          <w:color w:val="auto"/>
        </w:rPr>
        <w:t>Net investment income decreased due to lower investment yields on our invested assets and cash in our U.S. operations and lower inflation-based investment returns on average invested assets and cash as a result of the weakening of the Latin American currencies against the U.S. dollar. These decreases were partially offset by the Cuprum acquisition and higher average invested assets in Chile.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Year Ended December 31, 2012 Compared to Year Ended December 31, 2011</w:t>
      </w:r>
    </w:p>
    <w:p>
      <w:pPr>
        <w:spacing w:after="0" w:line="225" w:lineRule="exact"/>
        <w:rPr>
          <w:sz w:val="20"/>
          <w:szCs w:val="20"/>
          <w:color w:val="auto"/>
        </w:rPr>
      </w:pPr>
    </w:p>
    <w:p>
      <w:pPr>
        <w:jc w:val="both"/>
        <w:ind w:firstLine="388"/>
        <w:spacing w:after="0" w:line="259" w:lineRule="auto"/>
        <w:rPr>
          <w:sz w:val="20"/>
          <w:szCs w:val="20"/>
          <w:color w:val="auto"/>
        </w:rPr>
      </w:pPr>
      <w:r>
        <w:rPr>
          <w:rFonts w:ascii="Arial" w:cs="Arial" w:eastAsia="Arial" w:hAnsi="Arial"/>
          <w:sz w:val="18"/>
          <w:szCs w:val="18"/>
          <w:color w:val="auto"/>
        </w:rPr>
        <w:t>Net investment income decreased due to lower reinvestment yields on our invested assets and cash and lower inflation-based investment returns on average invested assets and cash as a result of lower inflation in Chile and the weakening of Latin American currencies against the U.S. dollar. These decreases were partially offset by an increase in average invested assets and cash.</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Realized Capital Gains (Losses)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presents the contributors to net realized capital gains and losses for our invested assets for the years indicated.</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9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60" w:type="dxa"/>
            <w:vAlign w:val="bottom"/>
            <w:gridSpan w:val="8"/>
          </w:tcPr>
          <w:p>
            <w:pPr>
              <w:jc w:val="center"/>
              <w:ind w:left="272"/>
              <w:spacing w:after="0"/>
              <w:rPr>
                <w:sz w:val="20"/>
                <w:szCs w:val="20"/>
                <w:color w:val="auto"/>
              </w:rPr>
            </w:pPr>
            <w:r>
              <w:rPr>
                <w:rFonts w:ascii="Arial" w:cs="Arial" w:eastAsia="Arial" w:hAnsi="Arial"/>
                <w:sz w:val="14"/>
                <w:szCs w:val="14"/>
                <w:b w:val="1"/>
                <w:bCs w:val="1"/>
                <w:color w:val="auto"/>
                <w:w w:val="86"/>
              </w:rPr>
              <w:t>For the year ended</w:t>
            </w:r>
          </w:p>
        </w:tc>
        <w:tc>
          <w:tcPr>
            <w:tcW w:w="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960" w:type="dxa"/>
            <w:vAlign w:val="bottom"/>
            <w:tcBorders>
              <w:bottom w:val="single" w:sz="8" w:color="auto"/>
            </w:tcBorders>
            <w:gridSpan w:val="4"/>
          </w:tcPr>
          <w:p>
            <w:pPr>
              <w:jc w:val="right"/>
              <w:ind w:right="392"/>
              <w:spacing w:after="0"/>
              <w:rPr>
                <w:sz w:val="20"/>
                <w:szCs w:val="20"/>
                <w:color w:val="auto"/>
              </w:rPr>
            </w:pPr>
            <w:r>
              <w:rPr>
                <w:rFonts w:ascii="Arial" w:cs="Arial" w:eastAsia="Arial" w:hAnsi="Arial"/>
                <w:sz w:val="14"/>
                <w:szCs w:val="14"/>
                <w:b w:val="1"/>
                <w:bCs w:val="1"/>
                <w:color w:val="auto"/>
              </w:rPr>
              <w:t>Increase (decrease)</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9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46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gridSpan w:val="4"/>
          </w:tcPr>
          <w:p>
            <w:pPr>
              <w:jc w:val="center"/>
              <w:ind w:right="40"/>
              <w:spacing w:after="0" w:line="129" w:lineRule="exact"/>
              <w:rPr>
                <w:sz w:val="20"/>
                <w:szCs w:val="20"/>
                <w:color w:val="auto"/>
              </w:rPr>
            </w:pPr>
            <w:r>
              <w:rPr>
                <w:rFonts w:ascii="Arial" w:cs="Arial" w:eastAsia="Arial" w:hAnsi="Arial"/>
                <w:sz w:val="14"/>
                <w:szCs w:val="14"/>
                <w:b w:val="1"/>
                <w:bCs w:val="1"/>
                <w:color w:val="auto"/>
                <w:w w:val="85"/>
              </w:rPr>
              <w:t>December 31,</w:t>
            </w:r>
          </w:p>
        </w:tc>
        <w:tc>
          <w:tcPr>
            <w:tcW w:w="2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460" w:type="dxa"/>
            <w:vAlign w:val="bottom"/>
            <w:tcBorders>
              <w:bottom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vMerge w:val="restart"/>
          </w:tcPr>
          <w:p>
            <w:pPr>
              <w:jc w:val="right"/>
              <w:ind w:right="12"/>
              <w:spacing w:after="0"/>
              <w:rPr>
                <w:sz w:val="20"/>
                <w:szCs w:val="20"/>
                <w:color w:val="auto"/>
              </w:rPr>
            </w:pPr>
            <w:r>
              <w:rPr>
                <w:rFonts w:ascii="Arial" w:cs="Arial" w:eastAsia="Arial" w:hAnsi="Arial"/>
                <w:sz w:val="14"/>
                <w:szCs w:val="14"/>
                <w:b w:val="1"/>
                <w:bCs w:val="1"/>
                <w:color w:val="auto"/>
                <w:w w:val="84"/>
              </w:rPr>
              <w:t>2013 vs. 2012</w:t>
            </w:r>
          </w:p>
        </w:tc>
        <w:tc>
          <w:tcPr>
            <w:tcW w:w="100" w:type="dxa"/>
            <w:vAlign w:val="bottom"/>
            <w:vMerge w:val="restart"/>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vMerge w:val="restart"/>
          </w:tcPr>
          <w:p>
            <w:pPr>
              <w:jc w:val="right"/>
              <w:ind w:right="32"/>
              <w:spacing w:after="0"/>
              <w:rPr>
                <w:sz w:val="20"/>
                <w:szCs w:val="20"/>
                <w:color w:val="auto"/>
              </w:rPr>
            </w:pPr>
            <w:r>
              <w:rPr>
                <w:rFonts w:ascii="Arial" w:cs="Arial" w:eastAsia="Arial" w:hAnsi="Arial"/>
                <w:sz w:val="14"/>
                <w:szCs w:val="14"/>
                <w:b w:val="1"/>
                <w:bCs w:val="1"/>
                <w:color w:val="auto"/>
                <w:w w:val="82"/>
              </w:rPr>
              <w:t>2012 vs. 2011</w:t>
            </w:r>
          </w:p>
        </w:tc>
        <w:tc>
          <w:tcPr>
            <w:tcW w:w="160" w:type="dxa"/>
            <w:vAlign w:val="bottom"/>
            <w:vMerge w:val="restart"/>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9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89"/>
              </w:rPr>
              <w:t>2013</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center"/>
              <w:ind w:right="32"/>
              <w:spacing w:after="0" w:line="142" w:lineRule="exact"/>
              <w:rPr>
                <w:sz w:val="20"/>
                <w:szCs w:val="20"/>
                <w:color w:val="auto"/>
              </w:rPr>
            </w:pPr>
            <w:r>
              <w:rPr>
                <w:rFonts w:ascii="Arial" w:cs="Arial" w:eastAsia="Arial" w:hAnsi="Arial"/>
                <w:sz w:val="14"/>
                <w:szCs w:val="14"/>
                <w:b w:val="1"/>
                <w:bCs w:val="1"/>
                <w:color w:val="auto"/>
                <w:w w:val="89"/>
              </w:rPr>
              <w:t>2012</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89"/>
              </w:rPr>
              <w:t>2011</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Borders>
              <w:bottom w:val="single" w:sz="8" w:color="auto"/>
            </w:tcBorders>
            <w:vMerge w:val="continue"/>
          </w:tcPr>
          <w:p>
            <w:pPr>
              <w:spacing w:after="0"/>
              <w:rPr>
                <w:sz w:val="12"/>
                <w:szCs w:val="12"/>
                <w:color w:val="auto"/>
              </w:rPr>
            </w:pPr>
          </w:p>
        </w:tc>
        <w:tc>
          <w:tcPr>
            <w:tcW w:w="10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tcBorders>
              <w:bottom w:val="single" w:sz="8" w:color="auto"/>
            </w:tcBorders>
            <w:vMerge w:val="continue"/>
          </w:tcPr>
          <w:p>
            <w:pPr>
              <w:spacing w:after="0"/>
              <w:rPr>
                <w:sz w:val="12"/>
                <w:szCs w:val="12"/>
                <w:color w:val="auto"/>
              </w:rPr>
            </w:pPr>
          </w:p>
        </w:tc>
        <w:tc>
          <w:tcPr>
            <w:tcW w:w="1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9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40" w:type="dxa"/>
            <w:vAlign w:val="bottom"/>
            <w:gridSpan w:val="4"/>
          </w:tcPr>
          <w:p>
            <w:pPr>
              <w:jc w:val="right"/>
              <w:ind w:right="592"/>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Fixed maturities, available-for-sale — credit impairments (1)</w:t>
            </w:r>
          </w:p>
        </w:tc>
        <w:tc>
          <w:tcPr>
            <w:tcW w:w="8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(113.8)</w:t>
            </w:r>
          </w:p>
        </w:tc>
        <w:tc>
          <w:tcPr>
            <w:tcW w:w="22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(118.2)</w:t>
            </w:r>
          </w:p>
        </w:tc>
        <w:tc>
          <w:tcPr>
            <w:tcW w:w="1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w w:val="76"/>
              </w:rPr>
              <w:t>$</w:t>
            </w:r>
          </w:p>
        </w:tc>
        <w:tc>
          <w:tcPr>
            <w:tcW w:w="5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(184.0)</w:t>
            </w:r>
          </w:p>
        </w:tc>
        <w:tc>
          <w:tcPr>
            <w:tcW w:w="12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4.4</w:t>
            </w: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65.8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tcPr>
          <w:p>
            <w:pPr>
              <w:spacing w:after="0" w:line="149" w:lineRule="exact"/>
              <w:rPr>
                <w:sz w:val="20"/>
                <w:szCs w:val="20"/>
                <w:color w:val="auto"/>
              </w:rPr>
            </w:pPr>
            <w:r>
              <w:rPr>
                <w:rFonts w:ascii="Arial" w:cs="Arial" w:eastAsia="Arial" w:hAnsi="Arial"/>
                <w:sz w:val="14"/>
                <w:szCs w:val="14"/>
                <w:color w:val="auto"/>
              </w:rPr>
              <w:t>Commercial mortgages — credit impairments</w:t>
            </w: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(3.7)</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(11.0)</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(18.7)</w:t>
            </w:r>
          </w:p>
        </w:tc>
        <w:tc>
          <w:tcPr>
            <w:tcW w:w="12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7.3</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7.7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Other — credit impairments</w:t>
            </w:r>
          </w:p>
        </w:tc>
        <w:tc>
          <w:tcPr>
            <w:tcW w:w="7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(12.4)</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(40.8)</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(23.1)</w:t>
            </w:r>
          </w:p>
        </w:tc>
        <w:tc>
          <w:tcPr>
            <w:tcW w:w="12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28.4</w:t>
            </w: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10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(17.7)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tcPr>
          <w:p>
            <w:pPr>
              <w:spacing w:after="0" w:line="149" w:lineRule="exact"/>
              <w:rPr>
                <w:sz w:val="20"/>
                <w:szCs w:val="20"/>
                <w:color w:val="auto"/>
              </w:rPr>
            </w:pPr>
            <w:r>
              <w:rPr>
                <w:rFonts w:ascii="Arial" w:cs="Arial" w:eastAsia="Arial" w:hAnsi="Arial"/>
                <w:sz w:val="14"/>
                <w:szCs w:val="14"/>
                <w:color w:val="auto"/>
              </w:rPr>
              <w:t>Fixed maturities, available-for-sale and trading — non-credit</w:t>
            </w: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5.6</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23.8</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(4.8)</w:t>
            </w:r>
          </w:p>
        </w:tc>
        <w:tc>
          <w:tcPr>
            <w:tcW w:w="120" w:type="dxa"/>
            <w:vAlign w:val="bottom"/>
          </w:tcPr>
          <w:p>
            <w:pPr>
              <w:spacing w:after="0"/>
              <w:rPr>
                <w:sz w:val="12"/>
                <w:szCs w:val="12"/>
                <w:color w:val="auto"/>
              </w:rPr>
            </w:pPr>
          </w:p>
        </w:tc>
        <w:tc>
          <w:tcPr>
            <w:tcW w:w="9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(18.2)</w:t>
            </w:r>
          </w:p>
        </w:tc>
        <w:tc>
          <w:tcPr>
            <w:tcW w:w="14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28.6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Derivatives and related hedge activities (2)</w:t>
            </w:r>
          </w:p>
        </w:tc>
        <w:tc>
          <w:tcPr>
            <w:tcW w:w="7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(124.4)</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(38.0)</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(22.4)</w:t>
            </w:r>
          </w:p>
        </w:tc>
        <w:tc>
          <w:tcPr>
            <w:tcW w:w="120" w:type="dxa"/>
            <w:vAlign w:val="bottom"/>
            <w:tcBorders>
              <w:right w:val="single" w:sz="8" w:color="CCEEFF"/>
            </w:tcBorders>
            <w:shd w:val="clear" w:color="auto" w:fill="CCEEFF"/>
          </w:tcPr>
          <w:p>
            <w:pPr>
              <w:spacing w:after="0"/>
              <w:rPr>
                <w:sz w:val="12"/>
                <w:szCs w:val="12"/>
                <w:color w:val="auto"/>
              </w:rPr>
            </w:pPr>
          </w:p>
        </w:tc>
        <w:tc>
          <w:tcPr>
            <w:tcW w:w="9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(86.4)</w:t>
            </w:r>
          </w:p>
        </w:tc>
        <w:tc>
          <w:tcPr>
            <w:tcW w:w="140" w:type="dxa"/>
            <w:vAlign w:val="bottom"/>
            <w:tcBorders>
              <w:right w:val="single" w:sz="8" w:color="CCEEFF"/>
            </w:tcBorders>
            <w:shd w:val="clear" w:color="auto" w:fill="CCEEFF"/>
          </w:tcPr>
          <w:p>
            <w:pPr>
              <w:spacing w:after="0"/>
              <w:rPr>
                <w:sz w:val="12"/>
                <w:szCs w:val="12"/>
                <w:color w:val="auto"/>
              </w:rPr>
            </w:pPr>
          </w:p>
        </w:tc>
        <w:tc>
          <w:tcPr>
            <w:tcW w:w="10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(15.6)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tcPr>
          <w:p>
            <w:pPr>
              <w:spacing w:after="0" w:line="149" w:lineRule="exact"/>
              <w:rPr>
                <w:sz w:val="20"/>
                <w:szCs w:val="20"/>
                <w:color w:val="auto"/>
              </w:rPr>
            </w:pPr>
            <w:r>
              <w:rPr>
                <w:rFonts w:ascii="Arial" w:cs="Arial" w:eastAsia="Arial" w:hAnsi="Arial"/>
                <w:sz w:val="14"/>
                <w:szCs w:val="14"/>
                <w:color w:val="auto"/>
              </w:rPr>
              <w:t>Other gains (losses)</w:t>
            </w: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23.5</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298.3</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130.7</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(274.8)</w:t>
            </w:r>
          </w:p>
        </w:tc>
        <w:tc>
          <w:tcPr>
            <w:tcW w:w="14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167.6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4020" w:type="dxa"/>
            <w:vAlign w:val="bottom"/>
            <w:gridSpan w:val="2"/>
            <w:shd w:val="clear" w:color="auto" w:fill="CCEEFF"/>
          </w:tcPr>
          <w:p>
            <w:pPr>
              <w:ind w:left="140"/>
              <w:spacing w:after="0" w:line="142" w:lineRule="exact"/>
              <w:rPr>
                <w:sz w:val="20"/>
                <w:szCs w:val="20"/>
                <w:color w:val="auto"/>
              </w:rPr>
            </w:pPr>
            <w:r>
              <w:rPr>
                <w:rFonts w:ascii="Arial" w:cs="Arial" w:eastAsia="Arial" w:hAnsi="Arial"/>
                <w:sz w:val="14"/>
                <w:szCs w:val="14"/>
                <w:color w:val="auto"/>
              </w:rPr>
              <w:t>Net realized capital gains (losses)</w:t>
            </w:r>
          </w:p>
        </w:tc>
        <w:tc>
          <w:tcPr>
            <w:tcW w:w="720" w:type="dxa"/>
            <w:vAlign w:val="bottom"/>
            <w:shd w:val="clear" w:color="auto" w:fill="CCEEFF"/>
          </w:tcPr>
          <w:p>
            <w:pPr>
              <w:spacing w:after="0"/>
              <w:rPr>
                <w:sz w:val="12"/>
                <w:szCs w:val="12"/>
                <w:color w:val="auto"/>
              </w:rPr>
            </w:pPr>
          </w:p>
        </w:tc>
        <w:tc>
          <w:tcPr>
            <w:tcW w:w="1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50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(225.2)</w:t>
            </w:r>
          </w:p>
        </w:tc>
        <w:tc>
          <w:tcPr>
            <w:tcW w:w="22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114.</w:t>
            </w:r>
            <w:r>
              <w:rPr>
                <w:rFonts w:ascii="Arial" w:cs="Arial" w:eastAsia="Arial" w:hAnsi="Arial"/>
                <w:sz w:val="14"/>
                <w:szCs w:val="14"/>
                <w:u w:val="single" w:color="auto"/>
                <w:color w:val="auto"/>
              </w:rPr>
              <w:t>1</w:t>
            </w:r>
          </w:p>
        </w:tc>
        <w:tc>
          <w:tcPr>
            <w:tcW w:w="14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w w:val="76"/>
              </w:rPr>
              <w:t>$</w:t>
            </w:r>
          </w:p>
        </w:tc>
        <w:tc>
          <w:tcPr>
            <w:tcW w:w="56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(122.3)</w:t>
            </w:r>
          </w:p>
        </w:tc>
        <w:tc>
          <w:tcPr>
            <w:tcW w:w="120" w:type="dxa"/>
            <w:vAlign w:val="bottom"/>
            <w:tcBorders>
              <w:right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96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(339.3)</w:t>
            </w:r>
          </w:p>
        </w:tc>
        <w:tc>
          <w:tcPr>
            <w:tcW w:w="140" w:type="dxa"/>
            <w:vAlign w:val="bottom"/>
            <w:tcBorders>
              <w:right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236.4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290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460" w:type="dxa"/>
            <w:vAlign w:val="bottom"/>
          </w:tcPr>
          <w:p>
            <w:pPr>
              <w:spacing w:after="0"/>
              <w:rPr>
                <w:sz w:val="7"/>
                <w:szCs w:val="7"/>
                <w:color w:val="auto"/>
              </w:rPr>
            </w:pPr>
          </w:p>
        </w:tc>
        <w:tc>
          <w:tcPr>
            <w:tcW w:w="140" w:type="dxa"/>
            <w:vAlign w:val="bottom"/>
          </w:tcPr>
          <w:p>
            <w:pPr>
              <w:spacing w:after="0"/>
              <w:rPr>
                <w:sz w:val="7"/>
                <w:szCs w:val="7"/>
                <w:color w:val="auto"/>
              </w:rPr>
            </w:pPr>
          </w:p>
        </w:tc>
        <w:tc>
          <w:tcPr>
            <w:tcW w:w="20" w:type="dxa"/>
            <w:vAlign w:val="bottom"/>
          </w:tcPr>
          <w:p>
            <w:pPr>
              <w:spacing w:after="0"/>
              <w:rPr>
                <w:sz w:val="7"/>
                <w:szCs w:val="7"/>
                <w:color w:val="auto"/>
              </w:rPr>
            </w:pPr>
          </w:p>
        </w:tc>
        <w:tc>
          <w:tcPr>
            <w:tcW w:w="120" w:type="dxa"/>
            <w:vAlign w:val="bottom"/>
          </w:tcPr>
          <w:p>
            <w:pPr>
              <w:spacing w:after="0"/>
              <w:rPr>
                <w:sz w:val="7"/>
                <w:szCs w:val="7"/>
                <w:color w:val="auto"/>
              </w:rPr>
            </w:pPr>
          </w:p>
        </w:tc>
        <w:tc>
          <w:tcPr>
            <w:tcW w:w="4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8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40" w:type="dxa"/>
            <w:vAlign w:val="bottom"/>
          </w:tcPr>
          <w:p>
            <w:pPr>
              <w:spacing w:after="0"/>
              <w:rPr>
                <w:sz w:val="7"/>
                <w:szCs w:val="7"/>
                <w:color w:val="auto"/>
              </w:rPr>
            </w:pPr>
          </w:p>
        </w:tc>
        <w:tc>
          <w:tcPr>
            <w:tcW w:w="86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jc w:val="both"/>
        <w:ind w:left="1680" w:right="20" w:hanging="531"/>
        <w:spacing w:after="0" w:line="233" w:lineRule="auto"/>
        <w:tabs>
          <w:tab w:leader="none" w:pos="1680" w:val="left"/>
        </w:tabs>
        <w:numPr>
          <w:ilvl w:val="0"/>
          <w:numId w:val="29"/>
        </w:numPr>
        <w:rPr>
          <w:rFonts w:ascii="Arial" w:cs="Arial" w:eastAsia="Arial" w:hAnsi="Arial"/>
          <w:sz w:val="14"/>
          <w:szCs w:val="14"/>
          <w:color w:val="auto"/>
        </w:rPr>
      </w:pPr>
      <w:r>
        <w:rPr>
          <w:rFonts w:ascii="Arial" w:cs="Arial" w:eastAsia="Arial" w:hAnsi="Arial"/>
          <w:sz w:val="14"/>
          <w:szCs w:val="14"/>
          <w:color w:val="auto"/>
        </w:rPr>
        <w:t>Includes credit impairments as well as losses on sales of fixed maturities to reduce credit risk, net of realized credit recoveries on the sale of previously impaired securities. Credit gains on sales, excluding associated foreign currency fluctuations that are included in derivatives and related hedging activities, were a net gain of $2.1 million, $0.0 million and $9.5 million for the years ended December 31, 2013, 2012 and 2011, respectively.</w:t>
      </w:r>
    </w:p>
    <w:p>
      <w:pPr>
        <w:spacing w:after="0" w:line="111" w:lineRule="exact"/>
        <w:rPr>
          <w:rFonts w:ascii="Arial" w:cs="Arial" w:eastAsia="Arial" w:hAnsi="Arial"/>
          <w:sz w:val="14"/>
          <w:szCs w:val="14"/>
          <w:color w:val="auto"/>
        </w:rPr>
      </w:pPr>
    </w:p>
    <w:p>
      <w:pPr>
        <w:ind w:left="1680" w:right="20" w:hanging="531"/>
        <w:spacing w:after="0" w:line="239" w:lineRule="auto"/>
        <w:tabs>
          <w:tab w:leader="none" w:pos="1680" w:val="left"/>
        </w:tabs>
        <w:numPr>
          <w:ilvl w:val="0"/>
          <w:numId w:val="29"/>
        </w:numPr>
        <w:rPr>
          <w:rFonts w:ascii="Arial" w:cs="Arial" w:eastAsia="Arial" w:hAnsi="Arial"/>
          <w:sz w:val="14"/>
          <w:szCs w:val="14"/>
          <w:color w:val="auto"/>
        </w:rPr>
      </w:pPr>
      <w:r>
        <w:rPr>
          <w:rFonts w:ascii="Arial" w:cs="Arial" w:eastAsia="Arial" w:hAnsi="Arial"/>
          <w:sz w:val="14"/>
          <w:szCs w:val="14"/>
          <w:color w:val="auto"/>
        </w:rPr>
        <w:t>Includes fixed maturities, available-for-sale impairment-related net gains of $0.2 million, $0.0 million and $0.0 million for the years ended December 31, 2013, 2012 and 2011, respectively, which were hedged by derivatives reflected in this line.</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Year Ended December 31, 2013 Compared to Year Ended December 31, 2012</w:t>
      </w:r>
    </w:p>
    <w:p>
      <w:pPr>
        <w:spacing w:after="0" w:line="225" w:lineRule="exact"/>
        <w:rPr>
          <w:sz w:val="20"/>
          <w:szCs w:val="20"/>
          <w:color w:val="auto"/>
        </w:rPr>
      </w:pPr>
    </w:p>
    <w:p>
      <w:pPr>
        <w:ind w:firstLine="505"/>
        <w:spacing w:after="0" w:line="268" w:lineRule="auto"/>
        <w:rPr>
          <w:sz w:val="20"/>
          <w:szCs w:val="20"/>
          <w:color w:val="auto"/>
        </w:rPr>
      </w:pPr>
      <w:r>
        <w:rPr>
          <w:rFonts w:ascii="Arial" w:cs="Arial" w:eastAsia="Arial" w:hAnsi="Arial"/>
          <w:sz w:val="18"/>
          <w:szCs w:val="18"/>
          <w:color w:val="auto"/>
        </w:rPr>
        <w:t>Net realized capital losses on other — credit impairments decreased due to lower losses on residential mortgage loans as a result of improved market conditions.</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4" w:name="page65"/>
    <w:bookmarkEnd w:id="6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firstLine="482"/>
        <w:spacing w:after="0" w:line="306" w:lineRule="auto"/>
        <w:rPr>
          <w:sz w:val="20"/>
          <w:szCs w:val="20"/>
          <w:color w:val="auto"/>
        </w:rPr>
      </w:pPr>
      <w:r>
        <w:rPr>
          <w:rFonts w:ascii="Arial" w:cs="Arial" w:eastAsia="Arial" w:hAnsi="Arial"/>
          <w:sz w:val="16"/>
          <w:szCs w:val="16"/>
          <w:color w:val="auto"/>
        </w:rPr>
        <w:t>Net realized capital losses on derivatives and related hedge activities increased due to increased losses on GMWB embedded derivatives, including the spread reflecting our own creditworthiness, and related hedging instruments and losses versus gains on derivatives not designated as hedging instruments including interest rate swaps due to changes in interest rates and currency forwards and currency swaps due to changes in exchange rates.</w:t>
      </w:r>
    </w:p>
    <w:p>
      <w:pPr>
        <w:spacing w:after="0" w:line="161" w:lineRule="exact"/>
        <w:rPr>
          <w:sz w:val="20"/>
          <w:szCs w:val="20"/>
          <w:color w:val="auto"/>
        </w:rPr>
      </w:pPr>
    </w:p>
    <w:p>
      <w:pPr>
        <w:jc w:val="both"/>
        <w:ind w:firstLine="434"/>
        <w:spacing w:after="0" w:line="255" w:lineRule="auto"/>
        <w:rPr>
          <w:sz w:val="20"/>
          <w:szCs w:val="20"/>
          <w:color w:val="auto"/>
        </w:rPr>
      </w:pPr>
      <w:r>
        <w:rPr>
          <w:rFonts w:ascii="Arial" w:cs="Arial" w:eastAsia="Arial" w:hAnsi="Arial"/>
          <w:sz w:val="18"/>
          <w:szCs w:val="18"/>
          <w:color w:val="auto"/>
        </w:rPr>
        <w:t>Other net realized capital gains decreased due to $184.3 million of net gains realized in the third quarter of 2012 related to the merger of Catalyst Health Solutions, Inc. and the subsequent disposition of our remaining interest in the surviving corporation. In addition, other net realized capital gains decreased due to increased foreign currency translation losses on cash held for the Cuprum acquisition that was completed in the first quarter 2013 and a 2013 realized loss resulting from the write-off of impaired corporate owned real estate. Additionally, gains on the sale of real estate and joint ventures in real estate decreased in 2013 versus 2012.</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Year Ended December 31, 2012 Compared to Year Ended December 31, 2011</w:t>
      </w:r>
    </w:p>
    <w:p>
      <w:pPr>
        <w:spacing w:after="0" w:line="225" w:lineRule="exact"/>
        <w:rPr>
          <w:sz w:val="20"/>
          <w:szCs w:val="20"/>
          <w:color w:val="auto"/>
        </w:rPr>
      </w:pPr>
    </w:p>
    <w:p>
      <w:pPr>
        <w:jc w:val="both"/>
        <w:ind w:firstLine="534"/>
        <w:spacing w:after="0" w:line="268" w:lineRule="auto"/>
        <w:rPr>
          <w:sz w:val="20"/>
          <w:szCs w:val="20"/>
          <w:color w:val="auto"/>
        </w:rPr>
      </w:pPr>
      <w:r>
        <w:rPr>
          <w:rFonts w:ascii="Arial" w:cs="Arial" w:eastAsia="Arial" w:hAnsi="Arial"/>
          <w:sz w:val="18"/>
          <w:szCs w:val="18"/>
          <w:color w:val="auto"/>
        </w:rPr>
        <w:t>Net realized capital losses on fixed maturities, available-for-sale — credit impairments decreased primarily due to lower impairments on commercial mortgage-backed and other asset-backed securities as a result of improved market conditions.</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Net realized capital gains on fixed maturities, available-for-sale and trading non-credit increased as a result of higher gains on sales in 2012 versus 2011.</w:t>
      </w:r>
    </w:p>
    <w:p>
      <w:pPr>
        <w:spacing w:after="0" w:line="248" w:lineRule="exact"/>
        <w:rPr>
          <w:sz w:val="20"/>
          <w:szCs w:val="20"/>
          <w:color w:val="auto"/>
        </w:rPr>
      </w:pPr>
    </w:p>
    <w:p>
      <w:pPr>
        <w:jc w:val="both"/>
        <w:ind w:firstLine="530"/>
        <w:spacing w:after="0" w:line="256" w:lineRule="auto"/>
        <w:rPr>
          <w:sz w:val="20"/>
          <w:szCs w:val="20"/>
          <w:color w:val="auto"/>
        </w:rPr>
      </w:pPr>
      <w:r>
        <w:rPr>
          <w:rFonts w:ascii="Arial" w:cs="Arial" w:eastAsia="Arial" w:hAnsi="Arial"/>
          <w:sz w:val="18"/>
          <w:szCs w:val="18"/>
          <w:color w:val="auto"/>
        </w:rPr>
        <w:t>Net realized capital losses on derivatives and related hedge activities increased due to increased losses on interest rate swaps and GMWB embedded derivatives, including the spread reflecting our own creditworthiness, and related hedging instruments. These losses were partially offset by gains versus losses on derivatives not designated as hedging instruments, including credit default swaps due to changes in credit spreads and currency forwards and currency swaps due to changes in exchange rates.</w:t>
      </w:r>
    </w:p>
    <w:p>
      <w:pPr>
        <w:spacing w:after="0" w:line="197" w:lineRule="exact"/>
        <w:rPr>
          <w:sz w:val="20"/>
          <w:szCs w:val="20"/>
          <w:color w:val="auto"/>
        </w:rPr>
      </w:pPr>
    </w:p>
    <w:p>
      <w:pPr>
        <w:jc w:val="both"/>
        <w:ind w:firstLine="528"/>
        <w:spacing w:after="0" w:line="256" w:lineRule="auto"/>
        <w:rPr>
          <w:sz w:val="20"/>
          <w:szCs w:val="20"/>
          <w:color w:val="auto"/>
        </w:rPr>
      </w:pPr>
      <w:r>
        <w:rPr>
          <w:rFonts w:ascii="Arial" w:cs="Arial" w:eastAsia="Arial" w:hAnsi="Arial"/>
          <w:sz w:val="18"/>
          <w:szCs w:val="18"/>
          <w:color w:val="auto"/>
        </w:rPr>
        <w:t>Other net realized capital gains increased in 2012 due to $184.3 million of net gains related to the merger of Catalyst Health Solutions, Inc. and the subsequent disposition of our remaining interest in the surviving corporation. 2011 included a net realized capital gain of $70.9 million resulting from the sale of a portion of our interest in Catalyst Health Solutions, Inc. Additionally, gains on the sale of real estate and joint ventures in real estate increased in 2012 versus 2011.</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 Investment Operations</w:t>
      </w:r>
    </w:p>
    <w:p>
      <w:pPr>
        <w:spacing w:after="0" w:line="231" w:lineRule="exact"/>
        <w:rPr>
          <w:sz w:val="20"/>
          <w:szCs w:val="20"/>
          <w:color w:val="auto"/>
        </w:rPr>
      </w:pPr>
    </w:p>
    <w:p>
      <w:pPr>
        <w:jc w:val="both"/>
        <w:ind w:firstLine="368"/>
        <w:spacing w:after="0" w:line="294" w:lineRule="auto"/>
        <w:rPr>
          <w:sz w:val="20"/>
          <w:szCs w:val="20"/>
          <w:color w:val="auto"/>
        </w:rPr>
      </w:pPr>
      <w:r>
        <w:rPr>
          <w:rFonts w:ascii="Arial" w:cs="Arial" w:eastAsia="Arial" w:hAnsi="Arial"/>
          <w:sz w:val="16"/>
          <w:szCs w:val="16"/>
          <w:color w:val="auto"/>
        </w:rPr>
        <w:t>Of our invested assets, $60,646.0 million were held by our U.S. operations as of December 31, 2013. Our U.S. invested assets are managed primarily by our Principal Global Investors segment. Our primary investment objective is to maximize after-tax returns consistent with acceptable risk parameters. We seek to protect policyholders' benefits by optimizing the risk/return relationship on an ongoing basis, through asset/liability matching, reducing the credit risk, avoiding high levels of investments that may be redeemed by the issuer, maintaining sufficiently liquid investments and avoiding undue asset concentrations through diversification. We are exposed to two primary sources of investment risk:</w:t>
      </w:r>
    </w:p>
    <w:p>
      <w:pPr>
        <w:spacing w:after="0" w:line="183" w:lineRule="exact"/>
        <w:rPr>
          <w:sz w:val="20"/>
          <w:szCs w:val="20"/>
          <w:color w:val="auto"/>
        </w:rPr>
      </w:pPr>
    </w:p>
    <w:p>
      <w:pPr>
        <w:ind w:left="1080" w:hanging="532"/>
        <w:spacing w:after="0"/>
        <w:tabs>
          <w:tab w:leader="none" w:pos="1080" w:val="left"/>
        </w:tabs>
        <w:numPr>
          <w:ilvl w:val="0"/>
          <w:numId w:val="30"/>
        </w:numPr>
        <w:rPr>
          <w:rFonts w:ascii="Arial" w:cs="Arial" w:eastAsia="Arial" w:hAnsi="Arial"/>
          <w:sz w:val="16"/>
          <w:szCs w:val="16"/>
          <w:color w:val="auto"/>
        </w:rPr>
      </w:pPr>
      <w:r>
        <w:rPr>
          <w:rFonts w:ascii="Arial" w:cs="Arial" w:eastAsia="Arial" w:hAnsi="Arial"/>
          <w:sz w:val="16"/>
          <w:szCs w:val="16"/>
          <w:color w:val="auto"/>
        </w:rPr>
        <w:t>credit risk, relating to the uncertainty associated with the continued ability of an obligor to make timely payments of principal and interest and</w:t>
      </w:r>
    </w:p>
    <w:p>
      <w:pPr>
        <w:spacing w:after="0" w:line="275" w:lineRule="exact"/>
        <w:rPr>
          <w:rFonts w:ascii="Arial" w:cs="Arial" w:eastAsia="Arial" w:hAnsi="Arial"/>
          <w:sz w:val="16"/>
          <w:szCs w:val="16"/>
          <w:color w:val="auto"/>
        </w:rPr>
      </w:pPr>
    </w:p>
    <w:p>
      <w:pPr>
        <w:ind w:left="1080" w:hanging="532"/>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interest rate risk, relating to the market price and/or cash flow variability associated with changes in market yield curves.</w:t>
      </w:r>
    </w:p>
    <w:p>
      <w:pPr>
        <w:spacing w:after="0" w:line="225" w:lineRule="exact"/>
        <w:rPr>
          <w:sz w:val="20"/>
          <w:szCs w:val="20"/>
          <w:color w:val="auto"/>
        </w:rPr>
      </w:pPr>
    </w:p>
    <w:p>
      <w:pPr>
        <w:jc w:val="both"/>
        <w:ind w:firstLine="493"/>
        <w:spacing w:after="0" w:line="294" w:lineRule="auto"/>
        <w:rPr>
          <w:sz w:val="20"/>
          <w:szCs w:val="20"/>
          <w:color w:val="auto"/>
        </w:rPr>
      </w:pPr>
      <w:r>
        <w:rPr>
          <w:rFonts w:ascii="Arial" w:cs="Arial" w:eastAsia="Arial" w:hAnsi="Arial"/>
          <w:sz w:val="16"/>
          <w:szCs w:val="16"/>
          <w:color w:val="auto"/>
        </w:rPr>
        <w:t>Our ability to manage credit risk is essential to our business and our profitability. We devote considerable resources to the credit analysis of each new investment. We manage credit risk through industry, issuer and asset class diversification. Our Investment Committee, appointed by our Board of Directors, is responsible for establishing all investment policies and approving or authorizing all investments, except the Executive Committee of the Board must approve any investment transaction exceeding $500.0 million. As of December 31, 2013, there are thirteen members on the Investment Committee, one of whom is a member of our Board of Directors. The remaining members are senior management members representing various areas of our company.</w:t>
      </w:r>
    </w:p>
    <w:p>
      <w:pPr>
        <w:spacing w:after="0" w:line="170" w:lineRule="exact"/>
        <w:rPr>
          <w:sz w:val="20"/>
          <w:szCs w:val="20"/>
          <w:color w:val="auto"/>
        </w:rPr>
      </w:pPr>
    </w:p>
    <w:p>
      <w:pPr>
        <w:jc w:val="both"/>
        <w:ind w:firstLine="518"/>
        <w:spacing w:after="0" w:line="268" w:lineRule="auto"/>
        <w:rPr>
          <w:sz w:val="20"/>
          <w:szCs w:val="20"/>
          <w:color w:val="auto"/>
        </w:rPr>
      </w:pPr>
      <w:r>
        <w:rPr>
          <w:rFonts w:ascii="Arial" w:cs="Arial" w:eastAsia="Arial" w:hAnsi="Arial"/>
          <w:sz w:val="18"/>
          <w:szCs w:val="18"/>
          <w:color w:val="auto"/>
        </w:rPr>
        <w:t>We also seek to manage call or prepayment risk arising from changes in interest rates. We assess and price for call or prepayment risks in all of our investments and monitor these risks in accordance with asset/liability management policies.</w:t>
      </w:r>
    </w:p>
    <w:p>
      <w:pPr>
        <w:spacing w:after="0" w:line="186" w:lineRule="exact"/>
        <w:rPr>
          <w:sz w:val="20"/>
          <w:szCs w:val="20"/>
          <w:color w:val="auto"/>
        </w:rPr>
      </w:pPr>
    </w:p>
    <w:p>
      <w:pPr>
        <w:jc w:val="both"/>
        <w:ind w:firstLine="362"/>
        <w:spacing w:after="0" w:line="298" w:lineRule="auto"/>
        <w:rPr>
          <w:sz w:val="20"/>
          <w:szCs w:val="20"/>
          <w:color w:val="auto"/>
        </w:rPr>
      </w:pPr>
      <w:r>
        <w:rPr>
          <w:rFonts w:ascii="Arial" w:cs="Arial" w:eastAsia="Arial" w:hAnsi="Arial"/>
          <w:sz w:val="16"/>
          <w:szCs w:val="16"/>
          <w:color w:val="auto"/>
        </w:rPr>
        <w:t>The amortized cost and weighted average yield, calculated using amortized cost, of non-structured fixed maturity securities that will be callable at the option of the issuer, excluding securities with a make-whole provision, was $768.0 million and 4.5%, respectively, as of December 31, 2013. In addition, the amortized cost and weighted average yield of residential mortgage-backed pass-through securities, residential collateralized mortgage obligations, and asset-backed securities — home equity with material prepayment risk was $4,155.1 million and 3.6%, respectively, as of December 31, 2013.</w:t>
      </w:r>
    </w:p>
    <w:p>
      <w:pPr>
        <w:spacing w:after="0" w:line="167" w:lineRule="exact"/>
        <w:rPr>
          <w:sz w:val="20"/>
          <w:szCs w:val="20"/>
          <w:color w:val="auto"/>
        </w:rPr>
      </w:pPr>
    </w:p>
    <w:p>
      <w:pPr>
        <w:jc w:val="both"/>
        <w:ind w:firstLine="543"/>
        <w:spacing w:after="0" w:line="294" w:lineRule="auto"/>
        <w:rPr>
          <w:sz w:val="20"/>
          <w:szCs w:val="20"/>
          <w:color w:val="auto"/>
        </w:rPr>
      </w:pPr>
      <w:r>
        <w:rPr>
          <w:rFonts w:ascii="Arial" w:cs="Arial" w:eastAsia="Arial" w:hAnsi="Arial"/>
          <w:sz w:val="16"/>
          <w:szCs w:val="16"/>
          <w:color w:val="auto"/>
        </w:rPr>
        <w:t>Our Fixed Income Securities Committee, consisting of fixed income securities senior management members, approves the credit rating for the fixed maturities we purchase. Teams of security analysts, organized by industry, analyze and monitor these investments. In addition, we have teams who specialize in RMBS, CMBS, ABS, municipals and below investment grade securities. Our analysts monitor issuers held in the portfolio on a continuous basis with a formal review documented annually or more frequently if material events affect the issuer. The analysis includes both fundamental and technical factors. The fundamental analysis encompasses both quantitative and qualitative analysis of the issuer. The</w:t>
      </w:r>
    </w:p>
    <w:p>
      <w:pPr>
        <w:sectPr>
          <w:pgSz w:w="11900" w:h="16838" w:orient="portrait"/>
          <w:cols w:equalWidth="0" w:num="1">
            <w:col w:w="11420"/>
          </w:cols>
          <w:pgMar w:left="240" w:top="131" w:right="239" w:bottom="1440" w:gutter="0" w:footer="0" w:header="0"/>
        </w:sectPr>
      </w:pP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65" w:name="page66"/>
    <w:bookmarkEnd w:id="6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qualitative analysis includes an assessment of both accounting and management aggressiveness of the issuer. In addition, technical indicators such as stock price volatility and credit default swap levels are monitored.</w:t>
      </w:r>
    </w:p>
    <w:p>
      <w:pPr>
        <w:spacing w:after="0" w:line="186" w:lineRule="exact"/>
        <w:rPr>
          <w:sz w:val="20"/>
          <w:szCs w:val="20"/>
          <w:color w:val="auto"/>
        </w:rPr>
      </w:pPr>
    </w:p>
    <w:p>
      <w:pPr>
        <w:ind w:firstLine="552"/>
        <w:spacing w:after="0" w:line="332" w:lineRule="auto"/>
        <w:rPr>
          <w:sz w:val="20"/>
          <w:szCs w:val="20"/>
          <w:color w:val="auto"/>
        </w:rPr>
      </w:pPr>
      <w:r>
        <w:rPr>
          <w:rFonts w:ascii="Arial" w:cs="Arial" w:eastAsia="Arial" w:hAnsi="Arial"/>
          <w:sz w:val="16"/>
          <w:szCs w:val="16"/>
          <w:color w:val="auto"/>
        </w:rPr>
        <w:t>Our Fixed Income Securities Committee also reviews private transactions on a continuous basis to assess the quality ratings of our privately placed investments. We regularly review our investments to determine whether we should re-rate them, employing the following criteria:</w:t>
      </w:r>
    </w:p>
    <w:p>
      <w:pPr>
        <w:spacing w:after="0" w:line="153" w:lineRule="exact"/>
        <w:rPr>
          <w:sz w:val="20"/>
          <w:szCs w:val="20"/>
          <w:color w:val="auto"/>
        </w:rPr>
      </w:pPr>
    </w:p>
    <w:p>
      <w:pPr>
        <w:ind w:left="1080" w:hanging="532"/>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material changes in the issuer's revenues or margins;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significant management or organizational changes;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significant changes regarding the issuer's industry;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debt service coverage or cash flow ratios that fall below industry-specific thresholds;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violation of financial covenants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other business factors that relate to the issuer.</w:t>
      </w:r>
    </w:p>
    <w:p>
      <w:pPr>
        <w:spacing w:after="0" w:line="225" w:lineRule="exact"/>
        <w:rPr>
          <w:sz w:val="20"/>
          <w:szCs w:val="20"/>
          <w:color w:val="auto"/>
        </w:rPr>
      </w:pPr>
    </w:p>
    <w:p>
      <w:pPr>
        <w:jc w:val="both"/>
        <w:ind w:firstLine="388"/>
        <w:spacing w:after="0" w:line="312" w:lineRule="auto"/>
        <w:rPr>
          <w:sz w:val="20"/>
          <w:szCs w:val="20"/>
          <w:color w:val="auto"/>
        </w:rPr>
      </w:pPr>
      <w:r>
        <w:rPr>
          <w:rFonts w:ascii="Arial" w:cs="Arial" w:eastAsia="Arial" w:hAnsi="Arial"/>
          <w:sz w:val="15"/>
          <w:szCs w:val="15"/>
          <w:color w:val="auto"/>
        </w:rPr>
        <w:t>A dedicated risk management team is responsible for centralized monitoring of the commercial mortgage loan portfolio. We apply a variety of strategies to minimize credit risk in our commercial mortgage loan portfolio. When considering new commercial mortgage loans, we review the cash flow fundamentals of the property, make a physical assessment of the underlying security, conduct a comprehensive market analysis and compare against industry lending practices. We use a proprietary risk rating model to evaluate all new and substantially all existing loans within the portfolio. The proprietary risk model is designed to stress projected cash flows under simulated economic and market downturns. Our lending guidelines are typically 75% or less loan-to-value ratio and a debt service coverage ratio of at least 1.2 times. We analyze investments outside of these guidelines based on cash flow quality, tenancy and other factors. The following table presents loan-to-value and debt service coverage ratios for our brick and mortar commercial mortgages, excluding Principal Global Investors segment mortgages:</w:t>
      </w:r>
    </w:p>
    <w:p>
      <w:pPr>
        <w:spacing w:after="0" w:line="155"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60" w:type="dxa"/>
            <w:vAlign w:val="bottom"/>
          </w:tcPr>
          <w:p>
            <w:pPr>
              <w:spacing w:after="0"/>
              <w:rPr>
                <w:sz w:val="14"/>
                <w:szCs w:val="14"/>
                <w:color w:val="auto"/>
              </w:rPr>
            </w:pPr>
          </w:p>
        </w:tc>
        <w:tc>
          <w:tcPr>
            <w:tcW w:w="2860" w:type="dxa"/>
            <w:vAlign w:val="bottom"/>
            <w:gridSpan w:val="4"/>
          </w:tcPr>
          <w:p>
            <w:pPr>
              <w:jc w:val="right"/>
              <w:ind w:right="440"/>
              <w:spacing w:after="0"/>
              <w:rPr>
                <w:sz w:val="20"/>
                <w:szCs w:val="20"/>
                <w:color w:val="auto"/>
              </w:rPr>
            </w:pPr>
            <w:r>
              <w:rPr>
                <w:rFonts w:ascii="Arial" w:cs="Arial" w:eastAsia="Arial" w:hAnsi="Arial"/>
                <w:sz w:val="14"/>
                <w:szCs w:val="14"/>
                <w:b w:val="1"/>
                <w:bCs w:val="1"/>
                <w:color w:val="auto"/>
                <w:w w:val="97"/>
              </w:rPr>
              <w:t>Weighted average loan-to-value ratio</w:t>
            </w:r>
          </w:p>
        </w:tc>
        <w:tc>
          <w:tcPr>
            <w:tcW w:w="2880" w:type="dxa"/>
            <w:vAlign w:val="bottom"/>
            <w:gridSpan w:val="4"/>
          </w:tcPr>
          <w:p>
            <w:pPr>
              <w:ind w:left="580"/>
              <w:spacing w:after="0"/>
              <w:rPr>
                <w:sz w:val="20"/>
                <w:szCs w:val="20"/>
                <w:color w:val="auto"/>
              </w:rPr>
            </w:pPr>
            <w:r>
              <w:rPr>
                <w:rFonts w:ascii="Arial" w:cs="Arial" w:eastAsia="Arial" w:hAnsi="Arial"/>
                <w:sz w:val="14"/>
                <w:szCs w:val="14"/>
                <w:b w:val="1"/>
                <w:bCs w:val="1"/>
                <w:color w:val="auto"/>
              </w:rPr>
              <w:t>Debt service coverage ratio</w:t>
            </w:r>
          </w:p>
        </w:tc>
      </w:tr>
      <w:tr>
        <w:trPr>
          <w:trHeight w:val="142"/>
        </w:trPr>
        <w:tc>
          <w:tcPr>
            <w:tcW w:w="20" w:type="dxa"/>
            <w:vAlign w:val="bottom"/>
          </w:tcPr>
          <w:p>
            <w:pPr>
              <w:spacing w:after="0"/>
              <w:rPr>
                <w:sz w:val="12"/>
                <w:szCs w:val="12"/>
                <w:color w:val="auto"/>
              </w:rPr>
            </w:pPr>
          </w:p>
        </w:tc>
        <w:tc>
          <w:tcPr>
            <w:tcW w:w="3460" w:type="dxa"/>
            <w:vAlign w:val="bottom"/>
          </w:tcPr>
          <w:p>
            <w:pPr>
              <w:spacing w:after="0"/>
              <w:rPr>
                <w:sz w:val="12"/>
                <w:szCs w:val="12"/>
                <w:color w:val="auto"/>
              </w:rPr>
            </w:pPr>
          </w:p>
        </w:tc>
        <w:tc>
          <w:tcPr>
            <w:tcW w:w="1280" w:type="dxa"/>
            <w:vAlign w:val="bottom"/>
            <w:tcBorders>
              <w:top w:val="single" w:sz="8" w:color="auto"/>
              <w:bottom w:val="single" w:sz="8" w:color="auto"/>
            </w:tcBorders>
          </w:tcPr>
          <w:p>
            <w:pPr>
              <w:ind w:left="100"/>
              <w:spacing w:after="0" w:line="142" w:lineRule="exact"/>
              <w:rPr>
                <w:sz w:val="20"/>
                <w:szCs w:val="20"/>
                <w:color w:val="auto"/>
              </w:rPr>
            </w:pPr>
            <w:r>
              <w:rPr>
                <w:rFonts w:ascii="Arial" w:cs="Arial" w:eastAsia="Arial" w:hAnsi="Arial"/>
                <w:sz w:val="14"/>
                <w:szCs w:val="14"/>
                <w:b w:val="1"/>
                <w:bCs w:val="1"/>
                <w:color w:val="auto"/>
                <w:w w:val="91"/>
              </w:rPr>
              <w:t>December 31, 2013</w:t>
            </w:r>
          </w:p>
        </w:tc>
        <w:tc>
          <w:tcPr>
            <w:tcW w:w="160" w:type="dxa"/>
            <w:vAlign w:val="bottom"/>
            <w:tcBorders>
              <w:top w:val="single" w:sz="8" w:color="auto"/>
            </w:tcBorders>
          </w:tcPr>
          <w:p>
            <w:pPr>
              <w:spacing w:after="0"/>
              <w:rPr>
                <w:sz w:val="12"/>
                <w:szCs w:val="12"/>
                <w:color w:val="auto"/>
              </w:rPr>
            </w:pPr>
          </w:p>
        </w:tc>
        <w:tc>
          <w:tcPr>
            <w:tcW w:w="126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w w:val="91"/>
              </w:rPr>
              <w:t>December 31, 2012</w:t>
            </w:r>
          </w:p>
        </w:tc>
        <w:tc>
          <w:tcPr>
            <w:tcW w:w="160" w:type="dxa"/>
            <w:vAlign w:val="bottom"/>
          </w:tcPr>
          <w:p>
            <w:pPr>
              <w:spacing w:after="0"/>
              <w:rPr>
                <w:sz w:val="12"/>
                <w:szCs w:val="12"/>
                <w:color w:val="auto"/>
              </w:rPr>
            </w:pPr>
          </w:p>
        </w:tc>
        <w:tc>
          <w:tcPr>
            <w:tcW w:w="1280" w:type="dxa"/>
            <w:vAlign w:val="bottom"/>
            <w:tcBorders>
              <w:top w:val="single" w:sz="8" w:color="auto"/>
              <w:bottom w:val="single" w:sz="8" w:color="auto"/>
            </w:tcBorders>
          </w:tcPr>
          <w:p>
            <w:pPr>
              <w:ind w:left="100"/>
              <w:spacing w:after="0" w:line="142" w:lineRule="exact"/>
              <w:rPr>
                <w:sz w:val="20"/>
                <w:szCs w:val="20"/>
                <w:color w:val="auto"/>
              </w:rPr>
            </w:pPr>
            <w:r>
              <w:rPr>
                <w:rFonts w:ascii="Arial" w:cs="Arial" w:eastAsia="Arial" w:hAnsi="Arial"/>
                <w:sz w:val="14"/>
                <w:szCs w:val="14"/>
                <w:b w:val="1"/>
                <w:bCs w:val="1"/>
                <w:color w:val="auto"/>
                <w:w w:val="91"/>
              </w:rPr>
              <w:t>December 31, 2013</w:t>
            </w:r>
          </w:p>
        </w:tc>
        <w:tc>
          <w:tcPr>
            <w:tcW w:w="160" w:type="dxa"/>
            <w:vAlign w:val="bottom"/>
            <w:tcBorders>
              <w:top w:val="single" w:sz="8" w:color="auto"/>
            </w:tcBorders>
          </w:tcPr>
          <w:p>
            <w:pPr>
              <w:spacing w:after="0"/>
              <w:rPr>
                <w:sz w:val="12"/>
                <w:szCs w:val="12"/>
                <w:color w:val="auto"/>
              </w:rPr>
            </w:pPr>
          </w:p>
        </w:tc>
        <w:tc>
          <w:tcPr>
            <w:tcW w:w="1280" w:type="dxa"/>
            <w:vAlign w:val="bottom"/>
            <w:tcBorders>
              <w:top w:val="single" w:sz="8" w:color="auto"/>
              <w:bottom w:val="single" w:sz="8" w:color="auto"/>
            </w:tcBorders>
          </w:tcPr>
          <w:p>
            <w:pPr>
              <w:ind w:left="80"/>
              <w:spacing w:after="0" w:line="142" w:lineRule="exact"/>
              <w:rPr>
                <w:sz w:val="20"/>
                <w:szCs w:val="20"/>
                <w:color w:val="auto"/>
              </w:rPr>
            </w:pPr>
            <w:r>
              <w:rPr>
                <w:rFonts w:ascii="Arial" w:cs="Arial" w:eastAsia="Arial" w:hAnsi="Arial"/>
                <w:sz w:val="14"/>
                <w:szCs w:val="14"/>
                <w:b w:val="1"/>
                <w:bCs w:val="1"/>
                <w:color w:val="auto"/>
                <w:w w:val="93"/>
              </w:rPr>
              <w:t>December 31, 2012</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46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New mortgages</w:t>
            </w:r>
          </w:p>
        </w:tc>
        <w:tc>
          <w:tcPr>
            <w:tcW w:w="144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b w:val="1"/>
                <w:bCs w:val="1"/>
                <w:color w:val="auto"/>
              </w:rPr>
              <w:t>49%</w:t>
            </w:r>
          </w:p>
        </w:tc>
        <w:tc>
          <w:tcPr>
            <w:tcW w:w="142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48%</w:t>
            </w:r>
          </w:p>
        </w:tc>
        <w:tc>
          <w:tcPr>
            <w:tcW w:w="1280" w:type="dxa"/>
            <w:vAlign w:val="bottom"/>
            <w:shd w:val="clear" w:color="auto" w:fill="CCEEFF"/>
          </w:tcPr>
          <w:p>
            <w:pPr>
              <w:ind w:left="1040"/>
              <w:spacing w:after="0" w:line="142" w:lineRule="exact"/>
              <w:rPr>
                <w:sz w:val="20"/>
                <w:szCs w:val="20"/>
                <w:color w:val="auto"/>
              </w:rPr>
            </w:pPr>
            <w:r>
              <w:rPr>
                <w:rFonts w:ascii="Arial" w:cs="Arial" w:eastAsia="Arial" w:hAnsi="Arial"/>
                <w:sz w:val="14"/>
                <w:szCs w:val="14"/>
                <w:b w:val="1"/>
                <w:bCs w:val="1"/>
                <w:color w:val="auto"/>
                <w:w w:val="80"/>
              </w:rPr>
              <w:t>2.8x</w:t>
            </w:r>
          </w:p>
        </w:tc>
        <w:tc>
          <w:tcPr>
            <w:tcW w:w="160" w:type="dxa"/>
            <w:vAlign w:val="bottom"/>
            <w:shd w:val="clear" w:color="auto" w:fill="CCEEFF"/>
          </w:tcPr>
          <w:p>
            <w:pPr>
              <w:spacing w:after="0"/>
              <w:rPr>
                <w:sz w:val="12"/>
                <w:szCs w:val="12"/>
                <w:color w:val="auto"/>
              </w:rPr>
            </w:pPr>
          </w:p>
        </w:tc>
        <w:tc>
          <w:tcPr>
            <w:tcW w:w="1440" w:type="dxa"/>
            <w:vAlign w:val="bottom"/>
            <w:gridSpan w:val="2"/>
            <w:shd w:val="clear" w:color="auto" w:fill="CCEEFF"/>
          </w:tcPr>
          <w:p>
            <w:pPr>
              <w:ind w:left="1020"/>
              <w:spacing w:after="0" w:line="142" w:lineRule="exact"/>
              <w:rPr>
                <w:sz w:val="20"/>
                <w:szCs w:val="20"/>
                <w:color w:val="auto"/>
              </w:rPr>
            </w:pPr>
            <w:r>
              <w:rPr>
                <w:rFonts w:ascii="Arial" w:cs="Arial" w:eastAsia="Arial" w:hAnsi="Arial"/>
                <w:sz w:val="14"/>
                <w:szCs w:val="14"/>
                <w:color w:val="auto"/>
              </w:rPr>
              <w:t>3.2x</w:t>
            </w:r>
          </w:p>
        </w:tc>
      </w:tr>
      <w:tr>
        <w:trPr>
          <w:trHeight w:val="174"/>
        </w:trPr>
        <w:tc>
          <w:tcPr>
            <w:tcW w:w="20" w:type="dxa"/>
            <w:vAlign w:val="bottom"/>
          </w:tcPr>
          <w:p>
            <w:pPr>
              <w:spacing w:after="0"/>
              <w:rPr>
                <w:sz w:val="15"/>
                <w:szCs w:val="15"/>
                <w:color w:val="auto"/>
              </w:rPr>
            </w:pPr>
          </w:p>
        </w:tc>
        <w:tc>
          <w:tcPr>
            <w:tcW w:w="3460" w:type="dxa"/>
            <w:vAlign w:val="bottom"/>
          </w:tcPr>
          <w:p>
            <w:pPr>
              <w:spacing w:after="0"/>
              <w:rPr>
                <w:sz w:val="20"/>
                <w:szCs w:val="20"/>
                <w:color w:val="auto"/>
              </w:rPr>
            </w:pPr>
            <w:r>
              <w:rPr>
                <w:rFonts w:ascii="Arial" w:cs="Arial" w:eastAsia="Arial" w:hAnsi="Arial"/>
                <w:sz w:val="14"/>
                <w:szCs w:val="14"/>
                <w:color w:val="auto"/>
              </w:rPr>
              <w:t>Entire mortgage portfolio</w:t>
            </w:r>
          </w:p>
        </w:tc>
        <w:tc>
          <w:tcPr>
            <w:tcW w:w="1440" w:type="dxa"/>
            <w:vAlign w:val="bottom"/>
            <w:gridSpan w:val="2"/>
          </w:tcPr>
          <w:p>
            <w:pPr>
              <w:jc w:val="right"/>
              <w:ind w:right="40"/>
              <w:spacing w:after="0"/>
              <w:rPr>
                <w:sz w:val="20"/>
                <w:szCs w:val="20"/>
                <w:color w:val="auto"/>
              </w:rPr>
            </w:pPr>
            <w:r>
              <w:rPr>
                <w:rFonts w:ascii="Arial" w:cs="Arial" w:eastAsia="Arial" w:hAnsi="Arial"/>
                <w:sz w:val="14"/>
                <w:szCs w:val="14"/>
                <w:b w:val="1"/>
                <w:bCs w:val="1"/>
                <w:color w:val="auto"/>
              </w:rPr>
              <w:t>50%</w:t>
            </w:r>
          </w:p>
        </w:tc>
        <w:tc>
          <w:tcPr>
            <w:tcW w:w="1420" w:type="dxa"/>
            <w:vAlign w:val="bottom"/>
            <w:gridSpan w:val="2"/>
          </w:tcPr>
          <w:p>
            <w:pPr>
              <w:jc w:val="right"/>
              <w:ind w:right="40"/>
              <w:spacing w:after="0"/>
              <w:rPr>
                <w:sz w:val="20"/>
                <w:szCs w:val="20"/>
                <w:color w:val="auto"/>
              </w:rPr>
            </w:pPr>
            <w:r>
              <w:rPr>
                <w:rFonts w:ascii="Arial" w:cs="Arial" w:eastAsia="Arial" w:hAnsi="Arial"/>
                <w:sz w:val="14"/>
                <w:szCs w:val="14"/>
                <w:color w:val="auto"/>
              </w:rPr>
              <w:t>54%</w:t>
            </w:r>
          </w:p>
        </w:tc>
        <w:tc>
          <w:tcPr>
            <w:tcW w:w="1280" w:type="dxa"/>
            <w:vAlign w:val="bottom"/>
          </w:tcPr>
          <w:p>
            <w:pPr>
              <w:ind w:left="1040"/>
              <w:spacing w:after="0"/>
              <w:rPr>
                <w:sz w:val="20"/>
                <w:szCs w:val="20"/>
                <w:color w:val="auto"/>
              </w:rPr>
            </w:pPr>
            <w:r>
              <w:rPr>
                <w:rFonts w:ascii="Arial" w:cs="Arial" w:eastAsia="Arial" w:hAnsi="Arial"/>
                <w:sz w:val="14"/>
                <w:szCs w:val="14"/>
                <w:b w:val="1"/>
                <w:bCs w:val="1"/>
                <w:color w:val="auto"/>
                <w:w w:val="80"/>
              </w:rPr>
              <w:t>2.5x</w:t>
            </w:r>
          </w:p>
        </w:tc>
        <w:tc>
          <w:tcPr>
            <w:tcW w:w="160" w:type="dxa"/>
            <w:vAlign w:val="bottom"/>
          </w:tcPr>
          <w:p>
            <w:pPr>
              <w:spacing w:after="0"/>
              <w:rPr>
                <w:sz w:val="15"/>
                <w:szCs w:val="15"/>
                <w:color w:val="auto"/>
              </w:rPr>
            </w:pPr>
          </w:p>
        </w:tc>
        <w:tc>
          <w:tcPr>
            <w:tcW w:w="1440" w:type="dxa"/>
            <w:vAlign w:val="bottom"/>
            <w:gridSpan w:val="2"/>
          </w:tcPr>
          <w:p>
            <w:pPr>
              <w:ind w:left="1020"/>
              <w:spacing w:after="0"/>
              <w:rPr>
                <w:sz w:val="20"/>
                <w:szCs w:val="20"/>
                <w:color w:val="auto"/>
              </w:rPr>
            </w:pPr>
            <w:r>
              <w:rPr>
                <w:rFonts w:ascii="Arial" w:cs="Arial" w:eastAsia="Arial" w:hAnsi="Arial"/>
                <w:sz w:val="14"/>
                <w:szCs w:val="14"/>
                <w:color w:val="auto"/>
              </w:rPr>
              <w:t>2.2x</w:t>
            </w:r>
          </w:p>
        </w:tc>
      </w:tr>
    </w:tbl>
    <w:p>
      <w:pPr>
        <w:spacing w:after="0" w:line="182" w:lineRule="exact"/>
        <w:rPr>
          <w:sz w:val="20"/>
          <w:szCs w:val="20"/>
          <w:color w:val="auto"/>
        </w:rPr>
      </w:pPr>
    </w:p>
    <w:p>
      <w:pPr>
        <w:jc w:val="both"/>
        <w:ind w:firstLine="477"/>
        <w:spacing w:after="0" w:line="298" w:lineRule="auto"/>
        <w:rPr>
          <w:sz w:val="20"/>
          <w:szCs w:val="20"/>
          <w:color w:val="auto"/>
        </w:rPr>
      </w:pPr>
      <w:r>
        <w:rPr>
          <w:rFonts w:ascii="Arial" w:cs="Arial" w:eastAsia="Arial" w:hAnsi="Arial"/>
          <w:sz w:val="16"/>
          <w:szCs w:val="16"/>
          <w:color w:val="auto"/>
        </w:rPr>
        <w:t>Our investment decisions and objectives are a function of the underlying risks and product profiles of each primary business operation. In addition, we diversify our product portfolio offerings to include products that contain features that will protect us against fluctuations in interest rates. Those features include adjustable crediting rates, policy surrender charges and market value adjustments on liquidations. For further information on our management of interest rate risk, see Item 7A. "Quantitative and Qualitative Disclosures About Market Risk — Interest Rate Risk."</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Overall Composition of U.S. Invested Assets</w:t>
      </w:r>
    </w:p>
    <w:p>
      <w:pPr>
        <w:spacing w:after="0" w:line="225" w:lineRule="exact"/>
        <w:rPr>
          <w:sz w:val="20"/>
          <w:szCs w:val="20"/>
          <w:color w:val="auto"/>
        </w:rPr>
      </w:pPr>
    </w:p>
    <w:p>
      <w:pPr>
        <w:jc w:val="both"/>
        <w:ind w:firstLine="359"/>
        <w:spacing w:after="0" w:line="306" w:lineRule="auto"/>
        <w:rPr>
          <w:sz w:val="20"/>
          <w:szCs w:val="20"/>
          <w:color w:val="auto"/>
        </w:rPr>
      </w:pPr>
      <w:r>
        <w:rPr>
          <w:rFonts w:ascii="Arial" w:cs="Arial" w:eastAsia="Arial" w:hAnsi="Arial"/>
          <w:sz w:val="16"/>
          <w:szCs w:val="16"/>
          <w:color w:val="auto"/>
        </w:rPr>
        <w:t>As shown in the following table, the major categories of U.S. invested assets are fixed maturities and commercial mortgage loans. The remainder is invested in other investments, real estate, residential mortgage loans and equity securities. In addition, policy loans are included in our invested assets. The following discussion analyzes the composition of U.S. invested assets, but excludes invested assets of the separate accounts.</w:t>
      </w:r>
    </w:p>
    <w:p>
      <w:pPr>
        <w:spacing w:after="0" w:line="156"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6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20" w:type="dxa"/>
            <w:vAlign w:val="bottom"/>
            <w:gridSpan w:val="5"/>
          </w:tcPr>
          <w:p>
            <w:pPr>
              <w:jc w:val="right"/>
              <w:ind w:right="669"/>
              <w:spacing w:after="0"/>
              <w:rPr>
                <w:sz w:val="20"/>
                <w:szCs w:val="20"/>
                <w:color w:val="auto"/>
              </w:rPr>
            </w:pPr>
            <w:r>
              <w:rPr>
                <w:rFonts w:ascii="Arial" w:cs="Arial" w:eastAsia="Arial" w:hAnsi="Arial"/>
                <w:sz w:val="14"/>
                <w:szCs w:val="14"/>
                <w:b w:val="1"/>
                <w:bCs w:val="1"/>
                <w:color w:val="auto"/>
              </w:rPr>
              <w:t>December 31, 2013</w:t>
            </w:r>
          </w:p>
        </w:tc>
        <w:tc>
          <w:tcPr>
            <w:tcW w:w="2140" w:type="dxa"/>
            <w:vAlign w:val="bottom"/>
            <w:gridSpan w:val="4"/>
          </w:tcPr>
          <w:p>
            <w:pPr>
              <w:jc w:val="right"/>
              <w:ind w:right="640"/>
              <w:spacing w:after="0"/>
              <w:rPr>
                <w:sz w:val="20"/>
                <w:szCs w:val="20"/>
                <w:color w:val="auto"/>
              </w:rPr>
            </w:pPr>
            <w:r>
              <w:rPr>
                <w:rFonts w:ascii="Arial" w:cs="Arial" w:eastAsia="Arial" w:hAnsi="Arial"/>
                <w:sz w:val="14"/>
                <w:szCs w:val="14"/>
                <w:b w:val="1"/>
                <w:bCs w:val="1"/>
                <w:color w:val="auto"/>
              </w:rPr>
              <w:t>December 31, 2012</w:t>
            </w:r>
          </w:p>
        </w:tc>
      </w:tr>
      <w:tr>
        <w:trPr>
          <w:trHeight w:val="142"/>
        </w:trPr>
        <w:tc>
          <w:tcPr>
            <w:tcW w:w="20" w:type="dxa"/>
            <w:vAlign w:val="bottom"/>
          </w:tcPr>
          <w:p>
            <w:pPr>
              <w:spacing w:after="0"/>
              <w:rPr>
                <w:sz w:val="12"/>
                <w:szCs w:val="12"/>
                <w:color w:val="auto"/>
              </w:rPr>
            </w:pPr>
          </w:p>
        </w:tc>
        <w:tc>
          <w:tcPr>
            <w:tcW w:w="46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1120" w:type="dxa"/>
            <w:vAlign w:val="bottom"/>
            <w:tcBorders>
              <w:top w:val="single" w:sz="8" w:color="auto"/>
              <w:bottom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w w:val="89"/>
              </w:rPr>
              <w:t>Carrying amount</w:t>
            </w:r>
          </w:p>
        </w:tc>
        <w:tc>
          <w:tcPr>
            <w:tcW w:w="160" w:type="dxa"/>
            <w:vAlign w:val="bottom"/>
            <w:tcBorders>
              <w:top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8"/>
              </w:rPr>
              <w:t>% of total</w:t>
            </w:r>
          </w:p>
        </w:tc>
        <w:tc>
          <w:tcPr>
            <w:tcW w:w="18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110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w w:val="89"/>
              </w:rPr>
              <w:t>Carrying amount</w:t>
            </w:r>
          </w:p>
        </w:tc>
        <w:tc>
          <w:tcPr>
            <w:tcW w:w="160" w:type="dxa"/>
            <w:vAlign w:val="bottom"/>
            <w:tcBorders>
              <w:top w:val="single" w:sz="8" w:color="auto"/>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w w:val="98"/>
              </w:rPr>
              <w:t>% of total</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46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jc w:val="right"/>
              <w:spacing w:after="0" w:line="142" w:lineRule="exact"/>
              <w:rPr>
                <w:sz w:val="20"/>
                <w:szCs w:val="20"/>
                <w:color w:val="auto"/>
              </w:rPr>
            </w:pPr>
            <w:r>
              <w:rPr>
                <w:rFonts w:ascii="Arial" w:cs="Arial" w:eastAsia="Arial" w:hAnsi="Arial"/>
                <w:sz w:val="14"/>
                <w:szCs w:val="14"/>
                <w:b w:val="1"/>
                <w:bCs w:val="1"/>
                <w:i w:val="1"/>
                <w:iCs w:val="1"/>
                <w:color w:val="auto"/>
              </w:rPr>
              <w:t>($ in</w:t>
            </w:r>
          </w:p>
        </w:tc>
        <w:tc>
          <w:tcPr>
            <w:tcW w:w="1340" w:type="dxa"/>
            <w:vAlign w:val="bottom"/>
            <w:gridSpan w:val="3"/>
          </w:tcPr>
          <w:p>
            <w:pPr>
              <w:jc w:val="right"/>
              <w:ind w:right="792"/>
              <w:spacing w:after="0" w:line="142" w:lineRule="exact"/>
              <w:rPr>
                <w:sz w:val="20"/>
                <w:szCs w:val="20"/>
                <w:color w:val="auto"/>
              </w:rPr>
            </w:pPr>
            <w:r>
              <w:rPr>
                <w:rFonts w:ascii="Arial" w:cs="Arial" w:eastAsia="Arial" w:hAnsi="Arial"/>
                <w:sz w:val="14"/>
                <w:szCs w:val="14"/>
                <w:b w:val="1"/>
                <w:bCs w:val="1"/>
                <w:i w:val="1"/>
                <w:iCs w:val="1"/>
                <w:color w:val="auto"/>
                <w:w w:val="79"/>
              </w:rPr>
              <w:t>millions)</w:t>
            </w: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maturities: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tcPr>
          <w:p>
            <w:pPr>
              <w:ind w:left="140"/>
              <w:spacing w:after="0" w:line="149" w:lineRule="exact"/>
              <w:rPr>
                <w:sz w:val="20"/>
                <w:szCs w:val="20"/>
                <w:color w:val="auto"/>
              </w:rPr>
            </w:pPr>
            <w:r>
              <w:rPr>
                <w:rFonts w:ascii="Arial" w:cs="Arial" w:eastAsia="Arial" w:hAnsi="Arial"/>
                <w:sz w:val="14"/>
                <w:szCs w:val="14"/>
                <w:color w:val="auto"/>
              </w:rPr>
              <w:t>Public</w:t>
            </w:r>
          </w:p>
        </w:tc>
        <w:tc>
          <w:tcPr>
            <w:tcW w:w="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30,638.2</w:t>
            </w:r>
          </w:p>
        </w:tc>
        <w:tc>
          <w:tcPr>
            <w:tcW w:w="1100" w:type="dxa"/>
            <w:vAlign w:val="bottom"/>
            <w:gridSpan w:val="4"/>
          </w:tcPr>
          <w:p>
            <w:pPr>
              <w:jc w:val="right"/>
              <w:spacing w:after="0" w:line="149" w:lineRule="exact"/>
              <w:rPr>
                <w:sz w:val="20"/>
                <w:szCs w:val="20"/>
                <w:color w:val="auto"/>
              </w:rPr>
            </w:pPr>
            <w:r>
              <w:rPr>
                <w:rFonts w:ascii="Arial" w:cs="Arial" w:eastAsia="Arial" w:hAnsi="Arial"/>
                <w:sz w:val="14"/>
                <w:szCs w:val="14"/>
                <w:b w:val="1"/>
                <w:bCs w:val="1"/>
                <w:color w:val="auto"/>
              </w:rPr>
              <w:t xml:space="preserve">51% </w:t>
            </w:r>
            <w:r>
              <w:rPr>
                <w:rFonts w:ascii="Arial" w:cs="Arial" w:eastAsia="Arial" w:hAnsi="Arial"/>
                <w:sz w:val="14"/>
                <w:szCs w:val="14"/>
                <w:color w:val="auto"/>
              </w:rPr>
              <w:t>$</w:t>
            </w: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32,437.5</w:t>
            </w:r>
          </w:p>
        </w:tc>
        <w:tc>
          <w:tcPr>
            <w:tcW w:w="104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52%</w:t>
            </w:r>
          </w:p>
        </w:tc>
      </w:tr>
      <w:tr>
        <w:trPr>
          <w:trHeight w:val="149"/>
        </w:trPr>
        <w:tc>
          <w:tcPr>
            <w:tcW w:w="20" w:type="dxa"/>
            <w:vAlign w:val="bottom"/>
          </w:tcPr>
          <w:p>
            <w:pPr>
              <w:spacing w:after="0"/>
              <w:rPr>
                <w:sz w:val="12"/>
                <w:szCs w:val="12"/>
                <w:color w:val="auto"/>
              </w:rPr>
            </w:pPr>
          </w:p>
        </w:tc>
        <w:tc>
          <w:tcPr>
            <w:tcW w:w="46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Private</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15,319.3</w:t>
            </w: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25</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15,429.8</w:t>
            </w: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25</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tcPr>
          <w:p>
            <w:pPr>
              <w:spacing w:after="0" w:line="149" w:lineRule="exact"/>
              <w:rPr>
                <w:sz w:val="20"/>
                <w:szCs w:val="20"/>
                <w:color w:val="auto"/>
              </w:rPr>
            </w:pPr>
            <w:r>
              <w:rPr>
                <w:rFonts w:ascii="Arial" w:cs="Arial" w:eastAsia="Arial" w:hAnsi="Arial"/>
                <w:sz w:val="14"/>
                <w:szCs w:val="14"/>
                <w:color w:val="auto"/>
              </w:rPr>
              <w:t>Equity securities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272.3</w:t>
            </w:r>
          </w:p>
        </w:tc>
        <w:tc>
          <w:tcPr>
            <w:tcW w:w="160" w:type="dxa"/>
            <w:vAlign w:val="bottom"/>
          </w:tcPr>
          <w:p>
            <w:pPr>
              <w:spacing w:after="0"/>
              <w:rPr>
                <w:sz w:val="12"/>
                <w:szCs w:val="12"/>
                <w:color w:val="auto"/>
              </w:rPr>
            </w:pPr>
          </w:p>
        </w:tc>
        <w:tc>
          <w:tcPr>
            <w:tcW w:w="940" w:type="dxa"/>
            <w:vAlign w:val="bottom"/>
            <w:gridSpan w:val="3"/>
          </w:tcPr>
          <w:p>
            <w:pPr>
              <w:jc w:val="right"/>
              <w:ind w:right="189"/>
              <w:spacing w:after="0" w:line="149" w:lineRule="exact"/>
              <w:rPr>
                <w:sz w:val="20"/>
                <w:szCs w:val="20"/>
                <w:color w:val="auto"/>
              </w:rPr>
            </w:pPr>
            <w:r>
              <w:rPr>
                <w:rFonts w:ascii="Arial" w:cs="Arial" w:eastAsia="Arial" w:hAnsi="Arial"/>
                <w:sz w:val="14"/>
                <w:szCs w:val="14"/>
                <w:b w:val="1"/>
                <w:bCs w:val="1"/>
                <w:color w:val="auto"/>
              </w:rPr>
              <w:t>—</w:t>
            </w: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263.2</w:t>
            </w:r>
          </w:p>
        </w:tc>
        <w:tc>
          <w:tcPr>
            <w:tcW w:w="160" w:type="dxa"/>
            <w:vAlign w:val="bottom"/>
          </w:tcPr>
          <w:p>
            <w:pPr>
              <w:spacing w:after="0"/>
              <w:rPr>
                <w:sz w:val="12"/>
                <w:szCs w:val="12"/>
                <w:color w:val="auto"/>
              </w:rPr>
            </w:pPr>
          </w:p>
        </w:tc>
        <w:tc>
          <w:tcPr>
            <w:tcW w:w="8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r>
      <w:tr>
        <w:trPr>
          <w:trHeight w:val="149"/>
        </w:trPr>
        <w:tc>
          <w:tcPr>
            <w:tcW w:w="20" w:type="dxa"/>
            <w:vAlign w:val="bottom"/>
          </w:tcPr>
          <w:p>
            <w:pPr>
              <w:spacing w:after="0"/>
              <w:rPr>
                <w:sz w:val="12"/>
                <w:szCs w:val="12"/>
                <w:color w:val="auto"/>
              </w:rPr>
            </w:pPr>
          </w:p>
        </w:tc>
        <w:tc>
          <w:tcPr>
            <w:tcW w:w="46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Mortgage loans: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tcPr>
          <w:p>
            <w:pPr>
              <w:ind w:left="140"/>
              <w:spacing w:after="0" w:line="149" w:lineRule="exact"/>
              <w:rPr>
                <w:sz w:val="20"/>
                <w:szCs w:val="20"/>
                <w:color w:val="auto"/>
              </w:rPr>
            </w:pPr>
            <w:r>
              <w:rPr>
                <w:rFonts w:ascii="Arial" w:cs="Arial" w:eastAsia="Arial" w:hAnsi="Arial"/>
                <w:sz w:val="14"/>
                <w:szCs w:val="14"/>
                <w:color w:val="auto"/>
              </w:rPr>
              <w:t>Commercial</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10,253.8</w:t>
            </w:r>
          </w:p>
        </w:tc>
        <w:tc>
          <w:tcPr>
            <w:tcW w:w="8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17</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10,167.7</w:t>
            </w: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16</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Residential</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565.4</w:t>
            </w: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657.7</w:t>
            </w: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tcPr>
          <w:p>
            <w:pPr>
              <w:spacing w:after="0" w:line="149" w:lineRule="exact"/>
              <w:rPr>
                <w:sz w:val="20"/>
                <w:szCs w:val="20"/>
                <w:color w:val="auto"/>
              </w:rPr>
            </w:pPr>
            <w:r>
              <w:rPr>
                <w:rFonts w:ascii="Arial" w:cs="Arial" w:eastAsia="Arial" w:hAnsi="Arial"/>
                <w:sz w:val="14"/>
                <w:szCs w:val="14"/>
                <w:color w:val="auto"/>
              </w:rPr>
              <w:t>Real estate held for sale</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179.5</w:t>
            </w:r>
          </w:p>
        </w:tc>
        <w:tc>
          <w:tcPr>
            <w:tcW w:w="160" w:type="dxa"/>
            <w:vAlign w:val="bottom"/>
          </w:tcPr>
          <w:p>
            <w:pPr>
              <w:spacing w:after="0"/>
              <w:rPr>
                <w:sz w:val="12"/>
                <w:szCs w:val="12"/>
                <w:color w:val="auto"/>
              </w:rPr>
            </w:pPr>
          </w:p>
        </w:tc>
        <w:tc>
          <w:tcPr>
            <w:tcW w:w="940" w:type="dxa"/>
            <w:vAlign w:val="bottom"/>
            <w:gridSpan w:val="3"/>
          </w:tcPr>
          <w:p>
            <w:pPr>
              <w:jc w:val="right"/>
              <w:ind w:right="189"/>
              <w:spacing w:after="0" w:line="149" w:lineRule="exact"/>
              <w:rPr>
                <w:sz w:val="20"/>
                <w:szCs w:val="20"/>
                <w:color w:val="auto"/>
              </w:rPr>
            </w:pPr>
            <w:r>
              <w:rPr>
                <w:rFonts w:ascii="Arial" w:cs="Arial" w:eastAsia="Arial" w:hAnsi="Arial"/>
                <w:sz w:val="14"/>
                <w:szCs w:val="14"/>
                <w:b w:val="1"/>
                <w:bCs w:val="1"/>
                <w:color w:val="auto"/>
              </w:rPr>
              <w:t>—</w:t>
            </w: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80.0</w:t>
            </w:r>
          </w:p>
        </w:tc>
        <w:tc>
          <w:tcPr>
            <w:tcW w:w="160" w:type="dxa"/>
            <w:vAlign w:val="bottom"/>
          </w:tcPr>
          <w:p>
            <w:pPr>
              <w:spacing w:after="0"/>
              <w:rPr>
                <w:sz w:val="12"/>
                <w:szCs w:val="12"/>
                <w:color w:val="auto"/>
              </w:rPr>
            </w:pPr>
          </w:p>
        </w:tc>
        <w:tc>
          <w:tcPr>
            <w:tcW w:w="8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r>
      <w:tr>
        <w:trPr>
          <w:trHeight w:val="149"/>
        </w:trPr>
        <w:tc>
          <w:tcPr>
            <w:tcW w:w="20" w:type="dxa"/>
            <w:vAlign w:val="bottom"/>
          </w:tcPr>
          <w:p>
            <w:pPr>
              <w:spacing w:after="0"/>
              <w:rPr>
                <w:sz w:val="12"/>
                <w:szCs w:val="12"/>
                <w:color w:val="auto"/>
              </w:rPr>
            </w:pPr>
          </w:p>
        </w:tc>
        <w:tc>
          <w:tcPr>
            <w:tcW w:w="46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Real estate held for investment</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1,086.9</w:t>
            </w: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1,092.5</w:t>
            </w: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tcPr>
          <w:p>
            <w:pPr>
              <w:spacing w:after="0" w:line="149" w:lineRule="exact"/>
              <w:rPr>
                <w:sz w:val="20"/>
                <w:szCs w:val="20"/>
                <w:color w:val="auto"/>
              </w:rPr>
            </w:pPr>
            <w:r>
              <w:rPr>
                <w:rFonts w:ascii="Arial" w:cs="Arial" w:eastAsia="Arial" w:hAnsi="Arial"/>
                <w:sz w:val="14"/>
                <w:szCs w:val="14"/>
                <w:color w:val="auto"/>
              </w:rPr>
              <w:t>Policy loans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834.9</w:t>
            </w:r>
          </w:p>
        </w:tc>
        <w:tc>
          <w:tcPr>
            <w:tcW w:w="8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838.2</w:t>
            </w: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investments</w:t>
            </w:r>
          </w:p>
        </w:tc>
        <w:tc>
          <w:tcPr>
            <w:tcW w:w="2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11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1,495.7</w:t>
            </w:r>
          </w:p>
        </w:tc>
        <w:tc>
          <w:tcPr>
            <w:tcW w:w="160" w:type="dxa"/>
            <w:vAlign w:val="bottom"/>
            <w:shd w:val="clear" w:color="auto" w:fill="CCEEFF"/>
          </w:tcPr>
          <w:p>
            <w:pPr>
              <w:spacing w:after="0"/>
              <w:rPr>
                <w:sz w:val="12"/>
                <w:szCs w:val="12"/>
                <w:color w:val="auto"/>
              </w:rPr>
            </w:pPr>
          </w:p>
        </w:tc>
        <w:tc>
          <w:tcPr>
            <w:tcW w:w="7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w:t>
            </w:r>
          </w:p>
        </w:tc>
        <w:tc>
          <w:tcPr>
            <w:tcW w:w="18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11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1,847.4</w:t>
            </w:r>
          </w:p>
        </w:tc>
        <w:tc>
          <w:tcPr>
            <w:tcW w:w="160" w:type="dxa"/>
            <w:vAlign w:val="bottom"/>
            <w:shd w:val="clear" w:color="auto" w:fill="CCEEFF"/>
          </w:tcPr>
          <w:p>
            <w:pPr>
              <w:spacing w:after="0"/>
              <w:rPr>
                <w:sz w:val="12"/>
                <w:szCs w:val="12"/>
                <w:color w:val="auto"/>
              </w:rPr>
            </w:pPr>
          </w:p>
        </w:tc>
        <w:tc>
          <w:tcPr>
            <w:tcW w:w="7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4680" w:type="dxa"/>
            <w:vAlign w:val="bottom"/>
          </w:tcPr>
          <w:p>
            <w:pPr>
              <w:ind w:left="140"/>
              <w:spacing w:after="0" w:line="142" w:lineRule="exact"/>
              <w:rPr>
                <w:sz w:val="20"/>
                <w:szCs w:val="20"/>
                <w:color w:val="auto"/>
              </w:rPr>
            </w:pPr>
            <w:r>
              <w:rPr>
                <w:rFonts w:ascii="Arial" w:cs="Arial" w:eastAsia="Arial" w:hAnsi="Arial"/>
                <w:sz w:val="14"/>
                <w:szCs w:val="14"/>
                <w:color w:val="auto"/>
              </w:rPr>
              <w:t>Total invested assets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60,646.0</w:t>
            </w:r>
          </w:p>
        </w:tc>
        <w:tc>
          <w:tcPr>
            <w:tcW w:w="160" w:type="dxa"/>
            <w:vAlign w:val="bottom"/>
          </w:tcPr>
          <w:p>
            <w:pPr>
              <w:spacing w:after="0"/>
              <w:rPr>
                <w:sz w:val="12"/>
                <w:szCs w:val="12"/>
                <w:color w:val="auto"/>
              </w:rPr>
            </w:pPr>
          </w:p>
        </w:tc>
        <w:tc>
          <w:tcPr>
            <w:tcW w:w="88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rPr>
              <w:t>100%</w:t>
            </w:r>
          </w:p>
        </w:tc>
        <w:tc>
          <w:tcPr>
            <w:tcW w:w="60" w:type="dxa"/>
            <w:vAlign w:val="bottom"/>
          </w:tcPr>
          <w:p>
            <w:pPr>
              <w:spacing w:after="0"/>
              <w:rPr>
                <w:sz w:val="12"/>
                <w:szCs w:val="12"/>
                <w:color w:val="auto"/>
              </w:rPr>
            </w:pPr>
          </w:p>
        </w:tc>
        <w:tc>
          <w:tcPr>
            <w:tcW w:w="1100" w:type="dxa"/>
            <w:vAlign w:val="bottom"/>
          </w:tcPr>
          <w:p>
            <w:pPr>
              <w:jc w:val="right"/>
              <w:spacing w:after="0" w:line="142" w:lineRule="exact"/>
              <w:rPr>
                <w:sz w:val="20"/>
                <w:szCs w:val="20"/>
                <w:color w:val="auto"/>
              </w:rPr>
            </w:pPr>
            <w:r>
              <w:rPr>
                <w:rFonts w:ascii="Arial" w:cs="Arial" w:eastAsia="Arial" w:hAnsi="Arial"/>
                <w:sz w:val="14"/>
                <w:szCs w:val="14"/>
                <w:color w:val="auto"/>
              </w:rPr>
              <w:t>62,814.0</w:t>
            </w:r>
          </w:p>
        </w:tc>
        <w:tc>
          <w:tcPr>
            <w:tcW w:w="160" w:type="dxa"/>
            <w:vAlign w:val="bottom"/>
          </w:tcPr>
          <w:p>
            <w:pPr>
              <w:spacing w:after="0"/>
              <w:rPr>
                <w:sz w:val="12"/>
                <w:szCs w:val="12"/>
                <w:color w:val="auto"/>
              </w:rPr>
            </w:pPr>
          </w:p>
        </w:tc>
        <w:tc>
          <w:tcPr>
            <w:tcW w:w="880" w:type="dxa"/>
            <w:vAlign w:val="bottom"/>
            <w:gridSpan w:val="2"/>
          </w:tcPr>
          <w:p>
            <w:pPr>
              <w:jc w:val="right"/>
              <w:ind w:right="60"/>
              <w:spacing w:after="0" w:line="142" w:lineRule="exact"/>
              <w:rPr>
                <w:sz w:val="20"/>
                <w:szCs w:val="20"/>
                <w:color w:val="auto"/>
              </w:rPr>
            </w:pPr>
            <w:r>
              <w:rPr>
                <w:rFonts w:ascii="Arial" w:cs="Arial" w:eastAsia="Arial" w:hAnsi="Arial"/>
                <w:sz w:val="14"/>
                <w:szCs w:val="14"/>
                <w:color w:val="auto"/>
              </w:rPr>
              <w:t>100%</w:t>
            </w:r>
          </w:p>
        </w:tc>
      </w:tr>
      <w:tr>
        <w:trPr>
          <w:trHeight w:val="20"/>
        </w:trPr>
        <w:tc>
          <w:tcPr>
            <w:tcW w:w="2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4680" w:type="dxa"/>
            <w:vAlign w:val="bottom"/>
            <w:shd w:val="clear" w:color="auto" w:fill="CCEEFF"/>
          </w:tcPr>
          <w:p>
            <w:pPr>
              <w:spacing w:after="0" w:line="129" w:lineRule="exact"/>
              <w:rPr>
                <w:sz w:val="20"/>
                <w:szCs w:val="20"/>
                <w:color w:val="auto"/>
              </w:rPr>
            </w:pPr>
            <w:r>
              <w:rPr>
                <w:rFonts w:ascii="Arial" w:cs="Arial" w:eastAsia="Arial" w:hAnsi="Arial"/>
                <w:sz w:val="14"/>
                <w:szCs w:val="14"/>
                <w:color w:val="auto"/>
              </w:rPr>
              <w:t>Cash and cash equivalents</w:t>
            </w:r>
          </w:p>
        </w:tc>
        <w:tc>
          <w:tcPr>
            <w:tcW w:w="20" w:type="dxa"/>
            <w:vAlign w:val="bottom"/>
            <w:shd w:val="clear" w:color="auto" w:fill="CCEEFF"/>
          </w:tcPr>
          <w:p>
            <w:pPr>
              <w:spacing w:after="0"/>
              <w:rPr>
                <w:sz w:val="11"/>
                <w:szCs w:val="11"/>
                <w:color w:val="auto"/>
              </w:rPr>
            </w:pPr>
          </w:p>
        </w:tc>
        <w:tc>
          <w:tcPr>
            <w:tcW w:w="60" w:type="dxa"/>
            <w:vAlign w:val="bottom"/>
            <w:tcBorders>
              <w:bottom w:val="single" w:sz="8" w:color="auto"/>
            </w:tcBorders>
            <w:shd w:val="clear" w:color="auto" w:fill="CCEEFF"/>
          </w:tcPr>
          <w:p>
            <w:pPr>
              <w:spacing w:after="0"/>
              <w:rPr>
                <w:sz w:val="11"/>
                <w:szCs w:val="11"/>
                <w:color w:val="auto"/>
              </w:rPr>
            </w:pPr>
          </w:p>
        </w:tc>
        <w:tc>
          <w:tcPr>
            <w:tcW w:w="1120" w:type="dxa"/>
            <w:vAlign w:val="bottom"/>
            <w:tcBorders>
              <w:bottom w:val="single" w:sz="8" w:color="auto"/>
            </w:tcBorders>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2,266.8</w:t>
            </w: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60" w:type="dxa"/>
            <w:vAlign w:val="bottom"/>
            <w:tcBorders>
              <w:bottom w:val="single" w:sz="8" w:color="auto"/>
            </w:tcBorders>
            <w:shd w:val="clear" w:color="auto" w:fill="CCEEFF"/>
          </w:tcPr>
          <w:p>
            <w:pPr>
              <w:spacing w:after="0"/>
              <w:rPr>
                <w:sz w:val="11"/>
                <w:szCs w:val="11"/>
                <w:color w:val="auto"/>
              </w:rPr>
            </w:pPr>
          </w:p>
        </w:tc>
        <w:tc>
          <w:tcPr>
            <w:tcW w:w="1100" w:type="dxa"/>
            <w:vAlign w:val="bottom"/>
            <w:tcBorders>
              <w:bottom w:val="single" w:sz="8" w:color="auto"/>
            </w:tcBorders>
            <w:shd w:val="clear" w:color="auto" w:fill="CCEEFF"/>
          </w:tcPr>
          <w:p>
            <w:pPr>
              <w:jc w:val="right"/>
              <w:spacing w:after="0" w:line="129" w:lineRule="exact"/>
              <w:rPr>
                <w:sz w:val="20"/>
                <w:szCs w:val="20"/>
                <w:color w:val="auto"/>
              </w:rPr>
            </w:pPr>
            <w:r>
              <w:rPr>
                <w:rFonts w:ascii="Arial" w:cs="Arial" w:eastAsia="Arial" w:hAnsi="Arial"/>
                <w:sz w:val="14"/>
                <w:szCs w:val="14"/>
                <w:color w:val="auto"/>
              </w:rPr>
              <w:t>4,071.8</w:t>
            </w:r>
          </w:p>
        </w:tc>
        <w:tc>
          <w:tcPr>
            <w:tcW w:w="16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r>
      <w:tr>
        <w:trPr>
          <w:trHeight w:val="142"/>
        </w:trPr>
        <w:tc>
          <w:tcPr>
            <w:tcW w:w="20" w:type="dxa"/>
            <w:vAlign w:val="bottom"/>
          </w:tcPr>
          <w:p>
            <w:pPr>
              <w:spacing w:after="0"/>
              <w:rPr>
                <w:sz w:val="12"/>
                <w:szCs w:val="12"/>
                <w:color w:val="auto"/>
              </w:rPr>
            </w:pPr>
          </w:p>
        </w:tc>
        <w:tc>
          <w:tcPr>
            <w:tcW w:w="4680" w:type="dxa"/>
            <w:vAlign w:val="bottom"/>
          </w:tcPr>
          <w:p>
            <w:pPr>
              <w:ind w:left="140"/>
              <w:spacing w:after="0" w:line="142" w:lineRule="exact"/>
              <w:rPr>
                <w:sz w:val="20"/>
                <w:szCs w:val="20"/>
                <w:color w:val="auto"/>
              </w:rPr>
            </w:pPr>
            <w:r>
              <w:rPr>
                <w:rFonts w:ascii="Arial" w:cs="Arial" w:eastAsia="Arial" w:hAnsi="Arial"/>
                <w:sz w:val="14"/>
                <w:szCs w:val="14"/>
                <w:color w:val="auto"/>
              </w:rPr>
              <w:t>Total invested assets and cash</w:t>
            </w:r>
          </w:p>
        </w:tc>
        <w:tc>
          <w:tcPr>
            <w:tcW w:w="2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11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62,912.8</w:t>
            </w:r>
          </w:p>
        </w:tc>
        <w:tc>
          <w:tcPr>
            <w:tcW w:w="1040" w:type="dxa"/>
            <w:vAlign w:val="bottom"/>
            <w:gridSpan w:val="3"/>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11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66,885.8</w:t>
            </w: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Fixed Maturities</w:t>
      </w:r>
    </w:p>
    <w:p>
      <w:pPr>
        <w:spacing w:after="0" w:line="225" w:lineRule="exact"/>
        <w:rPr>
          <w:sz w:val="20"/>
          <w:szCs w:val="20"/>
          <w:color w:val="auto"/>
        </w:rPr>
      </w:pPr>
    </w:p>
    <w:p>
      <w:pPr>
        <w:jc w:val="both"/>
        <w:ind w:firstLine="401"/>
        <w:spacing w:after="0" w:line="259" w:lineRule="auto"/>
        <w:rPr>
          <w:sz w:val="20"/>
          <w:szCs w:val="20"/>
          <w:color w:val="auto"/>
        </w:rPr>
      </w:pPr>
      <w:r>
        <w:rPr>
          <w:rFonts w:ascii="Arial" w:cs="Arial" w:eastAsia="Arial" w:hAnsi="Arial"/>
          <w:sz w:val="18"/>
          <w:szCs w:val="18"/>
          <w:color w:val="auto"/>
        </w:rPr>
        <w:t>Fixed maturities include bonds, ABS, redeemable preferred stock and certain nonredeemable preferred securities. Included in the privately placed category as of December 31, 2013 and December 31, 2012, were $10.3 billion and $9.9 billion, respectively, of securities subject to certain holding periods and resale restrictions pursuant to Rule 144A of the Securities Act of 1933.</w:t>
      </w:r>
    </w:p>
    <w:p>
      <w:pPr>
        <w:sectPr>
          <w:pgSz w:w="11900" w:h="16838" w:orient="portrait"/>
          <w:cols w:equalWidth="0" w:num="1">
            <w:col w:w="11420"/>
          </w:cols>
          <w:pgMar w:left="240" w:top="131" w:right="239" w:bottom="1440" w:gutter="0" w:footer="0" w:header="0"/>
        </w:sectPr>
      </w:pP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66" w:name="page67"/>
    <w:bookmarkEnd w:id="6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Fixed maturities were diversified by category of issuer, as shown in the following table for the periods indicated.</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6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20" w:type="dxa"/>
            <w:vAlign w:val="bottom"/>
            <w:gridSpan w:val="5"/>
          </w:tcPr>
          <w:p>
            <w:pPr>
              <w:jc w:val="right"/>
              <w:ind w:right="720"/>
              <w:spacing w:after="0"/>
              <w:rPr>
                <w:sz w:val="20"/>
                <w:szCs w:val="20"/>
                <w:color w:val="auto"/>
              </w:rPr>
            </w:pPr>
            <w:r>
              <w:rPr>
                <w:rFonts w:ascii="Arial" w:cs="Arial" w:eastAsia="Arial" w:hAnsi="Arial"/>
                <w:sz w:val="14"/>
                <w:szCs w:val="14"/>
                <w:b w:val="1"/>
                <w:bCs w:val="1"/>
                <w:color w:val="auto"/>
              </w:rPr>
              <w:t>December 31, 2013</w:t>
            </w:r>
          </w:p>
        </w:tc>
        <w:tc>
          <w:tcPr>
            <w:tcW w:w="2140" w:type="dxa"/>
            <w:vAlign w:val="bottom"/>
            <w:gridSpan w:val="4"/>
          </w:tcPr>
          <w:p>
            <w:pPr>
              <w:jc w:val="right"/>
              <w:ind w:right="640"/>
              <w:spacing w:after="0"/>
              <w:rPr>
                <w:sz w:val="20"/>
                <w:szCs w:val="20"/>
                <w:color w:val="auto"/>
              </w:rPr>
            </w:pPr>
            <w:r>
              <w:rPr>
                <w:rFonts w:ascii="Arial" w:cs="Arial" w:eastAsia="Arial" w:hAnsi="Arial"/>
                <w:sz w:val="14"/>
                <w:szCs w:val="14"/>
                <w:b w:val="1"/>
                <w:bCs w:val="1"/>
                <w:color w:val="auto"/>
              </w:rPr>
              <w:t>December 31, 2012</w:t>
            </w:r>
          </w:p>
        </w:tc>
      </w:tr>
      <w:tr>
        <w:trPr>
          <w:trHeight w:val="142"/>
        </w:trPr>
        <w:tc>
          <w:tcPr>
            <w:tcW w:w="20" w:type="dxa"/>
            <w:vAlign w:val="bottom"/>
          </w:tcPr>
          <w:p>
            <w:pPr>
              <w:spacing w:after="0"/>
              <w:rPr>
                <w:sz w:val="12"/>
                <w:szCs w:val="12"/>
                <w:color w:val="auto"/>
              </w:rPr>
            </w:pPr>
          </w:p>
        </w:tc>
        <w:tc>
          <w:tcPr>
            <w:tcW w:w="46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1120" w:type="dxa"/>
            <w:vAlign w:val="bottom"/>
            <w:tcBorders>
              <w:top w:val="single" w:sz="8" w:color="auto"/>
              <w:bottom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w w:val="89"/>
              </w:rPr>
              <w:t>Carrying amount</w:t>
            </w:r>
          </w:p>
        </w:tc>
        <w:tc>
          <w:tcPr>
            <w:tcW w:w="160" w:type="dxa"/>
            <w:vAlign w:val="bottom"/>
            <w:tcBorders>
              <w:top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8"/>
              </w:rPr>
              <w:t>% of total</w:t>
            </w:r>
          </w:p>
        </w:tc>
        <w:tc>
          <w:tcPr>
            <w:tcW w:w="18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110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w w:val="89"/>
              </w:rPr>
              <w:t>Carrying amount</w:t>
            </w:r>
          </w:p>
        </w:tc>
        <w:tc>
          <w:tcPr>
            <w:tcW w:w="160" w:type="dxa"/>
            <w:vAlign w:val="bottom"/>
            <w:tcBorders>
              <w:top w:val="single" w:sz="8" w:color="auto"/>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w w:val="98"/>
              </w:rPr>
              <w:t>% of total</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46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jc w:val="right"/>
              <w:spacing w:after="0" w:line="142" w:lineRule="exact"/>
              <w:rPr>
                <w:sz w:val="20"/>
                <w:szCs w:val="20"/>
                <w:color w:val="auto"/>
              </w:rPr>
            </w:pPr>
            <w:r>
              <w:rPr>
                <w:rFonts w:ascii="Arial" w:cs="Arial" w:eastAsia="Arial" w:hAnsi="Arial"/>
                <w:sz w:val="14"/>
                <w:szCs w:val="14"/>
                <w:b w:val="1"/>
                <w:bCs w:val="1"/>
                <w:i w:val="1"/>
                <w:iCs w:val="1"/>
                <w:color w:val="auto"/>
              </w:rPr>
              <w:t>($ in</w:t>
            </w:r>
          </w:p>
        </w:tc>
        <w:tc>
          <w:tcPr>
            <w:tcW w:w="1340" w:type="dxa"/>
            <w:vAlign w:val="bottom"/>
            <w:gridSpan w:val="3"/>
          </w:tcPr>
          <w:p>
            <w:pPr>
              <w:jc w:val="right"/>
              <w:ind w:right="792"/>
              <w:spacing w:after="0" w:line="142" w:lineRule="exact"/>
              <w:rPr>
                <w:sz w:val="20"/>
                <w:szCs w:val="20"/>
                <w:color w:val="auto"/>
              </w:rPr>
            </w:pPr>
            <w:r>
              <w:rPr>
                <w:rFonts w:ascii="Arial" w:cs="Arial" w:eastAsia="Arial" w:hAnsi="Arial"/>
                <w:sz w:val="14"/>
                <w:szCs w:val="14"/>
                <w:b w:val="1"/>
                <w:bCs w:val="1"/>
                <w:i w:val="1"/>
                <w:iCs w:val="1"/>
                <w:color w:val="auto"/>
                <w:w w:val="79"/>
              </w:rPr>
              <w:t>millions)</w:t>
            </w: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U.S. government and agencies</w:t>
            </w:r>
          </w:p>
        </w:tc>
        <w:tc>
          <w:tcPr>
            <w:tcW w:w="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1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780.5</w:t>
            </w:r>
          </w:p>
        </w:tc>
        <w:tc>
          <w:tcPr>
            <w:tcW w:w="1100" w:type="dxa"/>
            <w:vAlign w:val="bottom"/>
            <w:gridSpan w:val="4"/>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 xml:space="preserve">2% </w:t>
            </w:r>
            <w:r>
              <w:rPr>
                <w:rFonts w:ascii="Arial" w:cs="Arial" w:eastAsia="Arial" w:hAnsi="Arial"/>
                <w:sz w:val="14"/>
                <w:szCs w:val="14"/>
                <w:color w:val="auto"/>
              </w:rPr>
              <w:t>$</w:t>
            </w: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953.7</w:t>
            </w:r>
          </w:p>
        </w:tc>
        <w:tc>
          <w:tcPr>
            <w:tcW w:w="1040" w:type="dxa"/>
            <w:vAlign w:val="bottom"/>
            <w:gridSpan w:val="3"/>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w:t>
            </w:r>
          </w:p>
        </w:tc>
      </w:tr>
      <w:tr>
        <w:trPr>
          <w:trHeight w:val="149"/>
        </w:trPr>
        <w:tc>
          <w:tcPr>
            <w:tcW w:w="20" w:type="dxa"/>
            <w:vAlign w:val="bottom"/>
          </w:tcPr>
          <w:p>
            <w:pPr>
              <w:spacing w:after="0"/>
              <w:rPr>
                <w:sz w:val="12"/>
                <w:szCs w:val="12"/>
                <w:color w:val="auto"/>
              </w:rPr>
            </w:pPr>
          </w:p>
        </w:tc>
        <w:tc>
          <w:tcPr>
            <w:tcW w:w="4680" w:type="dxa"/>
            <w:vAlign w:val="bottom"/>
          </w:tcPr>
          <w:p>
            <w:pPr>
              <w:spacing w:after="0" w:line="149" w:lineRule="exact"/>
              <w:rPr>
                <w:sz w:val="20"/>
                <w:szCs w:val="20"/>
                <w:color w:val="auto"/>
              </w:rPr>
            </w:pPr>
            <w:r>
              <w:rPr>
                <w:rFonts w:ascii="Arial" w:cs="Arial" w:eastAsia="Arial" w:hAnsi="Arial"/>
                <w:sz w:val="14"/>
                <w:szCs w:val="14"/>
                <w:color w:val="auto"/>
              </w:rPr>
              <w:t>States and political subdivisions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3,796.0</w:t>
            </w:r>
          </w:p>
        </w:tc>
        <w:tc>
          <w:tcPr>
            <w:tcW w:w="8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8</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3,327.8</w:t>
            </w: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7</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Non-U.S. governments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523.6</w:t>
            </w: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663.4</w:t>
            </w: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tcPr>
          <w:p>
            <w:pPr>
              <w:spacing w:after="0" w:line="149" w:lineRule="exact"/>
              <w:rPr>
                <w:sz w:val="20"/>
                <w:szCs w:val="20"/>
                <w:color w:val="auto"/>
              </w:rPr>
            </w:pPr>
            <w:r>
              <w:rPr>
                <w:rFonts w:ascii="Arial" w:cs="Arial" w:eastAsia="Arial" w:hAnsi="Arial"/>
                <w:sz w:val="14"/>
                <w:szCs w:val="14"/>
                <w:color w:val="auto"/>
              </w:rPr>
              <w:t>Corporate — public</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16,882.6</w:t>
            </w:r>
          </w:p>
        </w:tc>
        <w:tc>
          <w:tcPr>
            <w:tcW w:w="8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37</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18,718.2</w:t>
            </w: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39</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Corporate — private</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12,483.5</w:t>
            </w: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27</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12,808.6</w:t>
            </w: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27</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tcPr>
          <w:p>
            <w:pPr>
              <w:spacing w:after="0" w:line="149" w:lineRule="exact"/>
              <w:rPr>
                <w:sz w:val="20"/>
                <w:szCs w:val="20"/>
                <w:color w:val="auto"/>
              </w:rPr>
            </w:pPr>
            <w:r>
              <w:rPr>
                <w:rFonts w:ascii="Arial" w:cs="Arial" w:eastAsia="Arial" w:hAnsi="Arial"/>
                <w:sz w:val="14"/>
                <w:szCs w:val="14"/>
                <w:color w:val="auto"/>
              </w:rPr>
              <w:t>Residential mortgage-backed pass-through securities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2,871.1</w:t>
            </w:r>
          </w:p>
        </w:tc>
        <w:tc>
          <w:tcPr>
            <w:tcW w:w="8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6</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3,277.4</w:t>
            </w: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7</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Commercial mortgage-backed securities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4,028.2</w:t>
            </w: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3,900.2</w:t>
            </w: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tcPr>
          <w:p>
            <w:pPr>
              <w:spacing w:after="0" w:line="149" w:lineRule="exact"/>
              <w:rPr>
                <w:sz w:val="20"/>
                <w:szCs w:val="20"/>
                <w:color w:val="auto"/>
              </w:rPr>
            </w:pPr>
            <w:r>
              <w:rPr>
                <w:rFonts w:ascii="Arial" w:cs="Arial" w:eastAsia="Arial" w:hAnsi="Arial"/>
                <w:sz w:val="14"/>
                <w:szCs w:val="14"/>
                <w:color w:val="auto"/>
              </w:rPr>
              <w:t>Residential collateralized mortgage obligations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992.1</w:t>
            </w:r>
          </w:p>
        </w:tc>
        <w:tc>
          <w:tcPr>
            <w:tcW w:w="8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2</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1,115.3</w:t>
            </w: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Asset-backed securities</w:t>
            </w:r>
          </w:p>
        </w:tc>
        <w:tc>
          <w:tcPr>
            <w:tcW w:w="2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11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3,599.9</w:t>
            </w:r>
          </w:p>
        </w:tc>
        <w:tc>
          <w:tcPr>
            <w:tcW w:w="160" w:type="dxa"/>
            <w:vAlign w:val="bottom"/>
            <w:shd w:val="clear" w:color="auto" w:fill="CCEEFF"/>
          </w:tcPr>
          <w:p>
            <w:pPr>
              <w:spacing w:after="0"/>
              <w:rPr>
                <w:sz w:val="12"/>
                <w:szCs w:val="12"/>
                <w:color w:val="auto"/>
              </w:rPr>
            </w:pPr>
          </w:p>
        </w:tc>
        <w:tc>
          <w:tcPr>
            <w:tcW w:w="7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w:t>
            </w:r>
          </w:p>
        </w:tc>
        <w:tc>
          <w:tcPr>
            <w:tcW w:w="18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11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3,102.7</w:t>
            </w:r>
          </w:p>
        </w:tc>
        <w:tc>
          <w:tcPr>
            <w:tcW w:w="160" w:type="dxa"/>
            <w:vAlign w:val="bottom"/>
            <w:shd w:val="clear" w:color="auto" w:fill="CCEEFF"/>
          </w:tcPr>
          <w:p>
            <w:pPr>
              <w:spacing w:after="0"/>
              <w:rPr>
                <w:sz w:val="12"/>
                <w:szCs w:val="12"/>
                <w:color w:val="auto"/>
              </w:rPr>
            </w:pPr>
          </w:p>
        </w:tc>
        <w:tc>
          <w:tcPr>
            <w:tcW w:w="7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7</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4680" w:type="dxa"/>
            <w:vAlign w:val="bottom"/>
          </w:tcPr>
          <w:p>
            <w:pPr>
              <w:ind w:left="140"/>
              <w:spacing w:after="0" w:line="142" w:lineRule="exact"/>
              <w:rPr>
                <w:sz w:val="20"/>
                <w:szCs w:val="20"/>
                <w:color w:val="auto"/>
              </w:rPr>
            </w:pPr>
            <w:r>
              <w:rPr>
                <w:rFonts w:ascii="Arial" w:cs="Arial" w:eastAsia="Arial" w:hAnsi="Arial"/>
                <w:sz w:val="14"/>
                <w:szCs w:val="14"/>
                <w:color w:val="auto"/>
              </w:rPr>
              <w:t>Total fixed maturities</w:t>
            </w:r>
          </w:p>
        </w:tc>
        <w:tc>
          <w:tcPr>
            <w:tcW w:w="20" w:type="dxa"/>
            <w:vAlign w:val="bottom"/>
          </w:tcPr>
          <w:p>
            <w:pPr>
              <w:spacing w:after="0"/>
              <w:rPr>
                <w:sz w:val="12"/>
                <w:szCs w:val="12"/>
                <w:color w:val="auto"/>
              </w:rPr>
            </w:pPr>
          </w:p>
        </w:tc>
        <w:tc>
          <w:tcPr>
            <w:tcW w:w="60" w:type="dxa"/>
            <w:vAlign w:val="bottom"/>
          </w:tcPr>
          <w:p>
            <w:pPr>
              <w:jc w:val="right"/>
              <w:spacing w:after="0"/>
              <w:rPr>
                <w:sz w:val="20"/>
                <w:szCs w:val="20"/>
                <w:color w:val="auto"/>
              </w:rPr>
            </w:pPr>
            <w:r>
              <w:rPr>
                <w:rFonts w:ascii="Arial" w:cs="Arial" w:eastAsia="Arial" w:hAnsi="Arial"/>
                <w:sz w:val="10"/>
                <w:szCs w:val="10"/>
                <w:b w:val="1"/>
                <w:bCs w:val="1"/>
                <w:color w:val="auto"/>
                <w:w w:val="71"/>
              </w:rPr>
              <w:t>$</w:t>
            </w:r>
          </w:p>
        </w:tc>
        <w:tc>
          <w:tcPr>
            <w:tcW w:w="112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45,957.5</w:t>
            </w:r>
          </w:p>
        </w:tc>
        <w:tc>
          <w:tcPr>
            <w:tcW w:w="160" w:type="dxa"/>
            <w:vAlign w:val="bottom"/>
          </w:tcPr>
          <w:p>
            <w:pPr>
              <w:spacing w:after="0"/>
              <w:rPr>
                <w:sz w:val="12"/>
                <w:szCs w:val="12"/>
                <w:color w:val="auto"/>
              </w:rPr>
            </w:pPr>
          </w:p>
        </w:tc>
        <w:tc>
          <w:tcPr>
            <w:tcW w:w="940" w:type="dxa"/>
            <w:vAlign w:val="bottom"/>
            <w:gridSpan w:val="3"/>
          </w:tcPr>
          <w:p>
            <w:pPr>
              <w:jc w:val="right"/>
              <w:spacing w:after="0" w:line="142" w:lineRule="exact"/>
              <w:rPr>
                <w:sz w:val="20"/>
                <w:szCs w:val="20"/>
                <w:color w:val="auto"/>
              </w:rPr>
            </w:pPr>
            <w:r>
              <w:rPr>
                <w:rFonts w:ascii="Arial" w:cs="Arial" w:eastAsia="Arial" w:hAnsi="Arial"/>
                <w:sz w:val="14"/>
                <w:szCs w:val="14"/>
                <w:b w:val="1"/>
                <w:bCs w:val="1"/>
                <w:color w:val="auto"/>
              </w:rPr>
              <w:t xml:space="preserve">100% </w:t>
            </w:r>
            <w:r>
              <w:rPr>
                <w:rFonts w:ascii="Arial" w:cs="Arial" w:eastAsia="Arial" w:hAnsi="Arial"/>
                <w:sz w:val="14"/>
                <w:szCs w:val="14"/>
                <w:color w:val="auto"/>
              </w:rPr>
              <w:t>$</w:t>
            </w:r>
          </w:p>
        </w:tc>
        <w:tc>
          <w:tcPr>
            <w:tcW w:w="1100" w:type="dxa"/>
            <w:vAlign w:val="bottom"/>
          </w:tcPr>
          <w:p>
            <w:pPr>
              <w:jc w:val="right"/>
              <w:spacing w:after="0" w:line="142" w:lineRule="exact"/>
              <w:rPr>
                <w:sz w:val="20"/>
                <w:szCs w:val="20"/>
                <w:color w:val="auto"/>
              </w:rPr>
            </w:pPr>
            <w:r>
              <w:rPr>
                <w:rFonts w:ascii="Arial" w:cs="Arial" w:eastAsia="Arial" w:hAnsi="Arial"/>
                <w:sz w:val="14"/>
                <w:szCs w:val="14"/>
                <w:color w:val="auto"/>
              </w:rPr>
              <w:t>47,867.3</w:t>
            </w:r>
          </w:p>
        </w:tc>
        <w:tc>
          <w:tcPr>
            <w:tcW w:w="160" w:type="dxa"/>
            <w:vAlign w:val="bottom"/>
          </w:tcPr>
          <w:p>
            <w:pPr>
              <w:spacing w:after="0"/>
              <w:rPr>
                <w:sz w:val="12"/>
                <w:szCs w:val="12"/>
                <w:color w:val="auto"/>
              </w:rPr>
            </w:pPr>
          </w:p>
        </w:tc>
        <w:tc>
          <w:tcPr>
            <w:tcW w:w="880" w:type="dxa"/>
            <w:vAlign w:val="bottom"/>
            <w:gridSpan w:val="2"/>
          </w:tcPr>
          <w:p>
            <w:pPr>
              <w:jc w:val="right"/>
              <w:ind w:right="60"/>
              <w:spacing w:after="0" w:line="142" w:lineRule="exact"/>
              <w:rPr>
                <w:sz w:val="20"/>
                <w:szCs w:val="20"/>
                <w:color w:val="auto"/>
              </w:rPr>
            </w:pPr>
            <w:r>
              <w:rPr>
                <w:rFonts w:ascii="Arial" w:cs="Arial" w:eastAsia="Arial" w:hAnsi="Arial"/>
                <w:sz w:val="14"/>
                <w:szCs w:val="14"/>
                <w:color w:val="auto"/>
              </w:rPr>
              <w:t>100%</w:t>
            </w:r>
          </w:p>
        </w:tc>
      </w:tr>
      <w:tr>
        <w:trPr>
          <w:trHeight w:val="20"/>
        </w:trPr>
        <w:tc>
          <w:tcPr>
            <w:tcW w:w="2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firstLine="605"/>
        <w:spacing w:after="0" w:line="256" w:lineRule="auto"/>
        <w:rPr>
          <w:sz w:val="20"/>
          <w:szCs w:val="20"/>
          <w:color w:val="auto"/>
        </w:rPr>
      </w:pPr>
      <w:r>
        <w:rPr>
          <w:rFonts w:ascii="Arial" w:cs="Arial" w:eastAsia="Arial" w:hAnsi="Arial"/>
          <w:sz w:val="18"/>
          <w:szCs w:val="18"/>
          <w:color w:val="auto"/>
        </w:rPr>
        <w:t>We believe it is desirable to hold residential mortgage-backed pass-through securities due to their credit quality and liquidity as well as portfolio diversification characteristics. Our portfolio is comprised of Government National Mortgage Association, Federal National Mortgage Association and Federal Home Loan Mortgage Corporation pass-through securities. In addition, our residential collateralized mortgage obligation portfolio offers structural features that allow cash flows to be matched to our liabilities.</w:t>
      </w:r>
    </w:p>
    <w:p>
      <w:pPr>
        <w:spacing w:after="0" w:line="197" w:lineRule="exact"/>
        <w:rPr>
          <w:sz w:val="20"/>
          <w:szCs w:val="20"/>
          <w:color w:val="auto"/>
        </w:rPr>
      </w:pPr>
    </w:p>
    <w:p>
      <w:pPr>
        <w:jc w:val="both"/>
        <w:ind w:firstLine="448"/>
        <w:spacing w:after="0" w:line="289" w:lineRule="auto"/>
        <w:rPr>
          <w:sz w:val="20"/>
          <w:szCs w:val="20"/>
          <w:color w:val="auto"/>
        </w:rPr>
      </w:pPr>
      <w:r>
        <w:rPr>
          <w:rFonts w:ascii="Arial" w:cs="Arial" w:eastAsia="Arial" w:hAnsi="Arial"/>
          <w:sz w:val="16"/>
          <w:szCs w:val="16"/>
          <w:color w:val="auto"/>
        </w:rPr>
        <w:t>CMBS provide varying levels of credit protection, diversification and reduced event risk depending on the securities owned and composition of the loan pool. CMBS are predominantly comprised of large pool securitizations that are diverse by property type, borrower and geographic dispersion. The risks to any CMBS deal are determined by the credit quality of the underlying loans and how those loans perform over time. Another key risk is the vintage of the underlying loans and the state of the markets during a particular vintage. In the CMBS market, there is a material difference in the outlook for the performance of loans originated in 2004 and earlier relative to loans originated in 2005 through 2008. For loans originated prior to 2005, underwriting assumptions were more conservative regarding required debt service coverage and loan-to-value ratios. For the 2005 through 2008 vintages, real estate values peaked and the underwriting expectations were that values would continue to increase, which makes those loan values more sensitive to market declines. The 2009 through 2013 vintages represent a return to debt service coverage ratios and loan-to-value ratios that more closely resemble loans originated prior to 2005.</w:t>
      </w:r>
    </w:p>
    <w:p>
      <w:pPr>
        <w:spacing w:after="0" w:line="172" w:lineRule="exact"/>
        <w:rPr>
          <w:sz w:val="20"/>
          <w:szCs w:val="20"/>
          <w:color w:val="auto"/>
        </w:rPr>
      </w:pPr>
    </w:p>
    <w:p>
      <w:pPr>
        <w:jc w:val="both"/>
        <w:ind w:firstLine="405"/>
        <w:spacing w:after="0" w:line="290" w:lineRule="auto"/>
        <w:rPr>
          <w:sz w:val="20"/>
          <w:szCs w:val="20"/>
          <w:color w:val="auto"/>
        </w:rPr>
      </w:pPr>
      <w:r>
        <w:rPr>
          <w:rFonts w:ascii="Arial" w:cs="Arial" w:eastAsia="Arial" w:hAnsi="Arial"/>
          <w:sz w:val="16"/>
          <w:szCs w:val="16"/>
          <w:color w:val="auto"/>
        </w:rPr>
        <w:t>We purchase ABS to diversify the overall credit risks of the fixed maturities portfolio and to provide attractive returns. The principal risks in holding ABS are structural and credit risks. Structural risks include the security's priority in the issuer's capital structure, the adequacy of and ability to realize proceeds from the collateral and the potential for prepayments. Credit risks involve collateral and issuer/servicer risk where collateral and servicer performance may deteriorate. Our ABS portfolio is diversified both by type of asset and by issuer. We actively monitor holdings of ABS to recognize adverse changes in the risk profile of each security. Prepayments in the ABS portfolio are, in general, insensitive to changes in interest rates or are insulated from such changes by call protection features. In the event that we are subject to prepayment risk, we monitor the factors that impact the level of prepayment and prepayment speed for those ABS. In addition, we diversify the risks of ABS by holding a diverse class of securities, which limits our exposure to any one security.</w:t>
      </w:r>
    </w:p>
    <w:p>
      <w:pPr>
        <w:spacing w:after="0" w:line="172" w:lineRule="exact"/>
        <w:rPr>
          <w:sz w:val="20"/>
          <w:szCs w:val="20"/>
          <w:color w:val="auto"/>
        </w:rPr>
      </w:pPr>
    </w:p>
    <w:p>
      <w:pPr>
        <w:jc w:val="both"/>
        <w:ind w:firstLine="381"/>
        <w:spacing w:after="0" w:line="259" w:lineRule="auto"/>
        <w:rPr>
          <w:sz w:val="20"/>
          <w:szCs w:val="20"/>
          <w:color w:val="auto"/>
        </w:rPr>
      </w:pPr>
      <w:r>
        <w:rPr>
          <w:rFonts w:ascii="Arial" w:cs="Arial" w:eastAsia="Arial" w:hAnsi="Arial"/>
          <w:sz w:val="18"/>
          <w:szCs w:val="18"/>
          <w:color w:val="auto"/>
        </w:rPr>
        <w:t>The international exposure held in our U.S. operation's fixed maturities portfolio was 26% of total fixed maturities as of December 31, 2013, and 27% as of December 31, 2012. It is comprised of corporate and foreign government fixed maturities. The following table presents the carrying amount of our international exposure for our U.S. operation's fixed maturities portfolio for the periods indicated.</w:t>
      </w:r>
    </w:p>
    <w:p>
      <w:pPr>
        <w:spacing w:after="0" w:line="190"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86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2013</w:t>
            </w: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2012</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86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ind w:right="5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1420" w:type="dxa"/>
            <w:vAlign w:val="bottom"/>
            <w:gridSpan w:val="3"/>
          </w:tcPr>
          <w:p>
            <w:pPr>
              <w:jc w:val="right"/>
              <w:ind w:right="952"/>
              <w:spacing w:after="0"/>
              <w:rPr>
                <w:sz w:val="20"/>
                <w:szCs w:val="20"/>
                <w:color w:val="auto"/>
              </w:rPr>
            </w:pPr>
            <w:r>
              <w:rPr>
                <w:rFonts w:ascii="Arial" w:cs="Arial" w:eastAsia="Arial" w:hAnsi="Arial"/>
                <w:sz w:val="12"/>
                <w:szCs w:val="12"/>
                <w:b w:val="1"/>
                <w:bCs w:val="1"/>
                <w:i w:val="1"/>
                <w:iCs w:val="1"/>
                <w:color w:val="auto"/>
                <w:w w:val="76"/>
              </w:rPr>
              <w:t>millions)</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9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European Union, excluding UK</w:t>
            </w:r>
          </w:p>
        </w:tc>
        <w:tc>
          <w:tcPr>
            <w:tcW w:w="236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3,925.1</w:t>
            </w:r>
          </w:p>
        </w:tc>
        <w:tc>
          <w:tcPr>
            <w:tcW w:w="2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4,415.8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980" w:type="dxa"/>
            <w:vAlign w:val="bottom"/>
            <w:gridSpan w:val="2"/>
          </w:tcPr>
          <w:p>
            <w:pPr>
              <w:spacing w:after="0" w:line="149" w:lineRule="exact"/>
              <w:rPr>
                <w:sz w:val="20"/>
                <w:szCs w:val="20"/>
                <w:color w:val="auto"/>
              </w:rPr>
            </w:pPr>
            <w:r>
              <w:rPr>
                <w:rFonts w:ascii="Arial" w:cs="Arial" w:eastAsia="Arial" w:hAnsi="Arial"/>
                <w:sz w:val="14"/>
                <w:szCs w:val="14"/>
                <w:color w:val="auto"/>
              </w:rPr>
              <w:t>United Kingdom</w:t>
            </w:r>
          </w:p>
        </w:tc>
        <w:tc>
          <w:tcPr>
            <w:tcW w:w="2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2,656.1</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2,663.6</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9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Asia-Pacific</w:t>
            </w:r>
          </w:p>
        </w:tc>
        <w:tc>
          <w:tcPr>
            <w:tcW w:w="22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1,542.9</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1,390.7</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980" w:type="dxa"/>
            <w:vAlign w:val="bottom"/>
            <w:gridSpan w:val="2"/>
          </w:tcPr>
          <w:p>
            <w:pPr>
              <w:spacing w:after="0" w:line="149" w:lineRule="exact"/>
              <w:rPr>
                <w:sz w:val="20"/>
                <w:szCs w:val="20"/>
                <w:color w:val="auto"/>
              </w:rPr>
            </w:pPr>
            <w:r>
              <w:rPr>
                <w:rFonts w:ascii="Arial" w:cs="Arial" w:eastAsia="Arial" w:hAnsi="Arial"/>
                <w:sz w:val="14"/>
                <w:szCs w:val="14"/>
                <w:color w:val="auto"/>
              </w:rPr>
              <w:t>Australia/New Zealand</w:t>
            </w:r>
          </w:p>
        </w:tc>
        <w:tc>
          <w:tcPr>
            <w:tcW w:w="2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1,285.3</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1,383.8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9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Europe, non EU</w:t>
            </w:r>
          </w:p>
        </w:tc>
        <w:tc>
          <w:tcPr>
            <w:tcW w:w="22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1,042.8</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1,126.0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980" w:type="dxa"/>
            <w:vAlign w:val="bottom"/>
            <w:gridSpan w:val="2"/>
          </w:tcPr>
          <w:p>
            <w:pPr>
              <w:spacing w:after="0" w:line="149" w:lineRule="exact"/>
              <w:rPr>
                <w:sz w:val="20"/>
                <w:szCs w:val="20"/>
                <w:color w:val="auto"/>
              </w:rPr>
            </w:pPr>
            <w:r>
              <w:rPr>
                <w:rFonts w:ascii="Arial" w:cs="Arial" w:eastAsia="Arial" w:hAnsi="Arial"/>
                <w:sz w:val="14"/>
                <w:szCs w:val="14"/>
                <w:color w:val="auto"/>
              </w:rPr>
              <w:t>Latin America</w:t>
            </w:r>
          </w:p>
        </w:tc>
        <w:tc>
          <w:tcPr>
            <w:tcW w:w="2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951.0</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886.3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9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Middle East and Africa</w:t>
            </w:r>
          </w:p>
        </w:tc>
        <w:tc>
          <w:tcPr>
            <w:tcW w:w="22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411.6</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505.4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980" w:type="dxa"/>
            <w:vAlign w:val="bottom"/>
            <w:gridSpan w:val="2"/>
          </w:tcPr>
          <w:p>
            <w:pPr>
              <w:spacing w:after="0" w:line="149" w:lineRule="exact"/>
              <w:rPr>
                <w:sz w:val="20"/>
                <w:szCs w:val="20"/>
                <w:color w:val="auto"/>
              </w:rPr>
            </w:pPr>
            <w:r>
              <w:rPr>
                <w:rFonts w:ascii="Arial" w:cs="Arial" w:eastAsia="Arial" w:hAnsi="Arial"/>
                <w:sz w:val="14"/>
                <w:szCs w:val="14"/>
                <w:color w:val="auto"/>
              </w:rPr>
              <w:t>Other (1)</w:t>
            </w:r>
          </w:p>
        </w:tc>
        <w:tc>
          <w:tcPr>
            <w:tcW w:w="228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241.3</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352.4</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980" w:type="dxa"/>
            <w:vAlign w:val="bottom"/>
            <w:gridSpan w:val="2"/>
            <w:shd w:val="clear" w:color="auto" w:fill="CCEEFF"/>
          </w:tcPr>
          <w:p>
            <w:pPr>
              <w:ind w:left="140"/>
              <w:spacing w:after="0" w:line="142" w:lineRule="exact"/>
              <w:rPr>
                <w:sz w:val="20"/>
                <w:szCs w:val="20"/>
                <w:color w:val="auto"/>
              </w:rPr>
            </w:pPr>
            <w:r>
              <w:rPr>
                <w:rFonts w:ascii="Arial" w:cs="Arial" w:eastAsia="Arial" w:hAnsi="Arial"/>
                <w:sz w:val="14"/>
                <w:szCs w:val="14"/>
                <w:color w:val="auto"/>
              </w:rPr>
              <w:t>Total</w:t>
            </w:r>
          </w:p>
        </w:tc>
        <w:tc>
          <w:tcPr>
            <w:tcW w:w="236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12,056.1</w:t>
            </w:r>
          </w:p>
        </w:tc>
        <w:tc>
          <w:tcPr>
            <w:tcW w:w="2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12,724.0</w:t>
            </w:r>
          </w:p>
        </w:tc>
        <w:tc>
          <w:tcPr>
            <w:tcW w:w="160" w:type="dxa"/>
            <w:vAlign w:val="bottom"/>
            <w:shd w:val="clear" w:color="auto" w:fill="CCEEFF"/>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86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2860" w:type="dxa"/>
            <w:vAlign w:val="bottom"/>
          </w:tcPr>
          <w:p>
            <w:pPr>
              <w:spacing w:after="0"/>
              <w:rPr>
                <w:sz w:val="7"/>
                <w:szCs w:val="7"/>
                <w:color w:val="auto"/>
              </w:rPr>
            </w:pPr>
          </w:p>
        </w:tc>
        <w:tc>
          <w:tcPr>
            <w:tcW w:w="228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16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0" w:type="dxa"/>
            <w:vAlign w:val="bottom"/>
          </w:tcPr>
          <w:p>
            <w:pPr>
              <w:spacing w:after="0"/>
              <w:rPr>
                <w:sz w:val="7"/>
                <w:szCs w:val="7"/>
                <w:color w:val="auto"/>
              </w:rPr>
            </w:pPr>
          </w:p>
        </w:tc>
        <w:tc>
          <w:tcPr>
            <w:tcW w:w="160" w:type="dxa"/>
            <w:vAlign w:val="bottom"/>
          </w:tcPr>
          <w:p>
            <w:pPr>
              <w:spacing w:after="0"/>
              <w:rPr>
                <w:sz w:val="7"/>
                <w:szCs w:val="7"/>
                <w:color w:val="auto"/>
              </w:rPr>
            </w:pPr>
          </w:p>
        </w:tc>
      </w:tr>
    </w:tbl>
    <w:p>
      <w:pPr>
        <w:spacing w:after="0" w:line="192" w:lineRule="exact"/>
        <w:rPr>
          <w:sz w:val="20"/>
          <w:szCs w:val="20"/>
          <w:color w:val="auto"/>
        </w:rPr>
      </w:pPr>
    </w:p>
    <w:p>
      <w:pPr>
        <w:ind w:left="1680" w:hanging="531"/>
        <w:spacing w:after="0"/>
        <w:tabs>
          <w:tab w:leader="none" w:pos="1680" w:val="left"/>
        </w:tabs>
        <w:numPr>
          <w:ilvl w:val="0"/>
          <w:numId w:val="32"/>
        </w:numPr>
        <w:rPr>
          <w:rFonts w:ascii="Arial" w:cs="Arial" w:eastAsia="Arial" w:hAnsi="Arial"/>
          <w:sz w:val="14"/>
          <w:szCs w:val="14"/>
          <w:color w:val="auto"/>
        </w:rPr>
      </w:pPr>
      <w:r>
        <w:rPr>
          <w:rFonts w:ascii="Arial" w:cs="Arial" w:eastAsia="Arial" w:hAnsi="Arial"/>
          <w:sz w:val="14"/>
          <w:szCs w:val="14"/>
          <w:color w:val="auto"/>
        </w:rPr>
        <w:t>Includes exposure from 1 country and various supranational organizations as of both December 31, 2013, and December 31, 2012.</w:t>
      </w:r>
    </w:p>
    <w:p>
      <w:pPr>
        <w:spacing w:after="0" w:line="206" w:lineRule="exact"/>
        <w:rPr>
          <w:sz w:val="20"/>
          <w:szCs w:val="20"/>
          <w:color w:val="auto"/>
        </w:rPr>
      </w:pPr>
    </w:p>
    <w:p>
      <w:pPr>
        <w:jc w:val="both"/>
        <w:ind w:firstLine="386"/>
        <w:spacing w:after="0" w:line="306" w:lineRule="auto"/>
        <w:rPr>
          <w:sz w:val="20"/>
          <w:szCs w:val="20"/>
          <w:color w:val="auto"/>
        </w:rPr>
      </w:pPr>
      <w:r>
        <w:rPr>
          <w:rFonts w:ascii="Arial" w:cs="Arial" w:eastAsia="Arial" w:hAnsi="Arial"/>
          <w:sz w:val="16"/>
          <w:szCs w:val="16"/>
          <w:color w:val="auto"/>
        </w:rPr>
        <w:t>International fixed maturities are determined by the country of domicile of the parent entity of an individual asset. All international fixed maturities held by our U.S. operations are either denominated in U.S. dollars or have been swapped into U.S. dollar equivalents. Our international investments are analyzed internally by country and industry credit investment professionals. We control concentrations using issuer and country level exposure benchmarks, which are</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7" w:name="page68"/>
    <w:bookmarkEnd w:id="6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based on the credit quality of the issuer and the country. Our investment policy limits total international fixed maturities investments and we are within those internal limits. Exposure to Canada is not included in our international exposure. As of December 31, 2013 and December 31, 2012, our investments in Canada totaled $1,486.5 million and $1,819.0 million, respectively.</w:t>
      </w:r>
    </w:p>
    <w:p>
      <w:pPr>
        <w:spacing w:after="0" w:line="194" w:lineRule="exact"/>
        <w:rPr>
          <w:sz w:val="20"/>
          <w:szCs w:val="20"/>
          <w:color w:val="auto"/>
        </w:rPr>
      </w:pPr>
    </w:p>
    <w:p>
      <w:pPr>
        <w:jc w:val="both"/>
        <w:ind w:firstLine="559"/>
        <w:spacing w:after="0" w:line="255" w:lineRule="auto"/>
        <w:rPr>
          <w:sz w:val="20"/>
          <w:szCs w:val="20"/>
          <w:color w:val="auto"/>
        </w:rPr>
      </w:pPr>
      <w:r>
        <w:rPr>
          <w:rFonts w:ascii="Arial" w:cs="Arial" w:eastAsia="Arial" w:hAnsi="Arial"/>
          <w:sz w:val="18"/>
          <w:szCs w:val="18"/>
          <w:color w:val="auto"/>
        </w:rPr>
        <w:t>Economic and fiscal conditions in select European countries, including Greece, Ireland, Italy, Portugal and Spain, continue to cause credit concerns particularly to financial institutions and banks with exposure to the European periphery region. Our exposure to the region within our U.S. investment operations fixed maturities portfolio is modest and manageable, representing 2.0% and 2.2% of total fixed maturities as of December 31, 2013 and December 31, 2012, respectively. Additionally, we did not hold any sovereign debt issuances of the selected countries and had not bought or sold credit protection on sovereign issuances as of December 31, 2013 and December 31, 2012.</w:t>
      </w:r>
    </w:p>
    <w:p>
      <w:pPr>
        <w:spacing w:after="0" w:line="197" w:lineRule="exact"/>
        <w:rPr>
          <w:sz w:val="20"/>
          <w:szCs w:val="20"/>
          <w:color w:val="auto"/>
        </w:rPr>
      </w:pPr>
    </w:p>
    <w:p>
      <w:pPr>
        <w:jc w:val="both"/>
        <w:ind w:firstLine="556"/>
        <w:spacing w:after="0" w:line="298" w:lineRule="auto"/>
        <w:rPr>
          <w:sz w:val="20"/>
          <w:szCs w:val="20"/>
          <w:color w:val="auto"/>
        </w:rPr>
      </w:pPr>
      <w:r>
        <w:rPr>
          <w:rFonts w:ascii="Arial" w:cs="Arial" w:eastAsia="Arial" w:hAnsi="Arial"/>
          <w:sz w:val="16"/>
          <w:szCs w:val="16"/>
          <w:color w:val="auto"/>
        </w:rPr>
        <w:t>The fixed maturities within our U.S. operations portfolio with exposure to the region are primarily corporate credit issuances of large multinational companies where the majority of revenues are coming from outside the country where the parent company is domiciled. Our experience indicates multinational companies have demonstrated better market price performance and credit ratings stability. As of December 31, 2013, 92% of our total portfolio exposure consists of investment grade bonds with an average price of 104 (carrying value/amortized cost) and a weighted average time to maturity of 5 years.</w:t>
      </w:r>
    </w:p>
    <w:p>
      <w:pPr>
        <w:spacing w:after="0" w:line="16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presents the carrying amount of our European periphery zone fixed maturities exposure for the periods indicated:</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47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Select European Exposure</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gridSpan w:val="7"/>
          </w:tcPr>
          <w:p>
            <w:pPr>
              <w:jc w:val="center"/>
              <w:ind w:right="160"/>
              <w:spacing w:after="0"/>
              <w:rPr>
                <w:sz w:val="20"/>
                <w:szCs w:val="20"/>
                <w:color w:val="auto"/>
              </w:rPr>
            </w:pPr>
            <w:r>
              <w:rPr>
                <w:rFonts w:ascii="Arial" w:cs="Arial" w:eastAsia="Arial" w:hAnsi="Arial"/>
                <w:sz w:val="14"/>
                <w:szCs w:val="14"/>
                <w:b w:val="1"/>
                <w:bCs w:val="1"/>
                <w:color w:val="auto"/>
                <w:w w:val="87"/>
              </w:rPr>
              <w:t>December 31, 2013</w:t>
            </w:r>
          </w:p>
        </w:tc>
        <w:tc>
          <w:tcPr>
            <w:tcW w:w="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720" w:type="dxa"/>
            <w:vAlign w:val="bottom"/>
            <w:gridSpan w:val="3"/>
            <w:vMerge w:val="continue"/>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8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w w:val="96"/>
              </w:rPr>
              <w:t>Greece</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00" w:type="dxa"/>
            <w:vAlign w:val="bottom"/>
            <w:gridSpan w:val="2"/>
          </w:tcPr>
          <w:p>
            <w:pPr>
              <w:jc w:val="right"/>
              <w:ind w:right="80"/>
              <w:spacing w:after="0" w:line="142" w:lineRule="exact"/>
              <w:rPr>
                <w:sz w:val="20"/>
                <w:szCs w:val="20"/>
                <w:color w:val="auto"/>
              </w:rPr>
            </w:pPr>
            <w:r>
              <w:rPr>
                <w:rFonts w:ascii="Arial" w:cs="Arial" w:eastAsia="Arial" w:hAnsi="Arial"/>
                <w:sz w:val="14"/>
                <w:szCs w:val="14"/>
                <w:b w:val="1"/>
                <w:bCs w:val="1"/>
                <w:color w:val="auto"/>
                <w:w w:val="87"/>
              </w:rPr>
              <w:t>Ireland</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60" w:type="dxa"/>
            <w:vAlign w:val="bottom"/>
            <w:gridSpan w:val="2"/>
          </w:tcPr>
          <w:p>
            <w:pPr>
              <w:jc w:val="right"/>
              <w:ind w:right="72"/>
              <w:spacing w:after="0" w:line="142" w:lineRule="exact"/>
              <w:rPr>
                <w:sz w:val="20"/>
                <w:szCs w:val="20"/>
                <w:color w:val="auto"/>
              </w:rPr>
            </w:pPr>
            <w:r>
              <w:rPr>
                <w:rFonts w:ascii="Arial" w:cs="Arial" w:eastAsia="Arial" w:hAnsi="Arial"/>
                <w:sz w:val="14"/>
                <w:szCs w:val="14"/>
                <w:b w:val="1"/>
                <w:bCs w:val="1"/>
                <w:color w:val="auto"/>
              </w:rPr>
              <w:t>Italy</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gridSpan w:val="3"/>
          </w:tcPr>
          <w:p>
            <w:pPr>
              <w:jc w:val="right"/>
              <w:ind w:right="80"/>
              <w:spacing w:after="0" w:line="142" w:lineRule="exact"/>
              <w:rPr>
                <w:sz w:val="20"/>
                <w:szCs w:val="20"/>
                <w:color w:val="auto"/>
              </w:rPr>
            </w:pPr>
            <w:r>
              <w:rPr>
                <w:rFonts w:ascii="Arial" w:cs="Arial" w:eastAsia="Arial" w:hAnsi="Arial"/>
                <w:sz w:val="14"/>
                <w:szCs w:val="14"/>
                <w:b w:val="1"/>
                <w:bCs w:val="1"/>
                <w:color w:val="auto"/>
                <w:w w:val="95"/>
              </w:rPr>
              <w:t>Portugal</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gridSpan w:val="2"/>
          </w:tcPr>
          <w:p>
            <w:pPr>
              <w:ind w:left="20"/>
              <w:spacing w:after="0" w:line="142" w:lineRule="exact"/>
              <w:rPr>
                <w:sz w:val="20"/>
                <w:szCs w:val="20"/>
                <w:color w:val="auto"/>
              </w:rPr>
            </w:pPr>
            <w:r>
              <w:rPr>
                <w:rFonts w:ascii="Arial" w:cs="Arial" w:eastAsia="Arial" w:hAnsi="Arial"/>
                <w:sz w:val="14"/>
                <w:szCs w:val="14"/>
                <w:b w:val="1"/>
                <w:bCs w:val="1"/>
                <w:color w:val="auto"/>
              </w:rPr>
              <w:t>Spain</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ind w:right="52"/>
              <w:spacing w:after="0" w:line="142" w:lineRule="exact"/>
              <w:rPr>
                <w:sz w:val="20"/>
                <w:szCs w:val="20"/>
                <w:color w:val="auto"/>
              </w:rPr>
            </w:pPr>
            <w:r>
              <w:rPr>
                <w:rFonts w:ascii="Arial" w:cs="Arial" w:eastAsia="Arial" w:hAnsi="Arial"/>
                <w:sz w:val="14"/>
                <w:szCs w:val="14"/>
                <w:b w:val="1"/>
                <w:bCs w:val="1"/>
                <w:color w:val="auto"/>
                <w:w w:val="83"/>
              </w:rPr>
              <w:t>Total</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4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60" w:type="dxa"/>
            <w:vAlign w:val="bottom"/>
            <w:gridSpan w:val="2"/>
          </w:tcPr>
          <w:p>
            <w:pPr>
              <w:jc w:val="right"/>
              <w:ind w:right="3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440" w:type="dxa"/>
            <w:vAlign w:val="bottom"/>
            <w:gridSpan w:val="3"/>
          </w:tcPr>
          <w:p>
            <w:pPr>
              <w:jc w:val="right"/>
              <w:spacing w:after="0" w:line="142" w:lineRule="exact"/>
              <w:rPr>
                <w:sz w:val="20"/>
                <w:szCs w:val="20"/>
                <w:color w:val="auto"/>
              </w:rPr>
            </w:pPr>
            <w:r>
              <w:rPr>
                <w:rFonts w:ascii="Arial" w:cs="Arial" w:eastAsia="Arial" w:hAnsi="Arial"/>
                <w:sz w:val="14"/>
                <w:szCs w:val="14"/>
                <w:b w:val="1"/>
                <w:bCs w:val="1"/>
                <w:i w:val="1"/>
                <w:iCs w:val="1"/>
                <w:color w:val="auto"/>
                <w:w w:val="72"/>
              </w:rPr>
              <w:t>millions)</w:t>
            </w: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Non-Sovereign:</w:t>
            </w: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0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Financial institutions</w:t>
            </w:r>
          </w:p>
        </w:tc>
        <w:tc>
          <w:tcPr>
            <w:tcW w:w="240" w:type="dxa"/>
            <w:vAlign w:val="bottom"/>
            <w:gridSpan w:val="3"/>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480" w:type="dxa"/>
            <w:vAlign w:val="bottom"/>
            <w:gridSpan w:val="2"/>
          </w:tcPr>
          <w:p>
            <w:pPr>
              <w:ind w:left="320"/>
              <w:spacing w:after="0" w:line="149" w:lineRule="exact"/>
              <w:rPr>
                <w:sz w:val="20"/>
                <w:szCs w:val="20"/>
                <w:color w:val="auto"/>
              </w:rPr>
            </w:pPr>
            <w:r>
              <w:rPr>
                <w:rFonts w:ascii="Arial" w:cs="Arial" w:eastAsia="Arial" w:hAnsi="Arial"/>
                <w:sz w:val="14"/>
                <w:szCs w:val="14"/>
                <w:b w:val="1"/>
                <w:bCs w:val="1"/>
                <w:color w:val="auto"/>
                <w:w w:val="99"/>
              </w:rPr>
              <w:t>—</w:t>
            </w:r>
          </w:p>
        </w:tc>
        <w:tc>
          <w:tcPr>
            <w:tcW w:w="220" w:type="dxa"/>
            <w:vAlign w:val="bottom"/>
            <w:gridSpan w:val="3"/>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41.9</w:t>
            </w:r>
          </w:p>
        </w:tc>
        <w:tc>
          <w:tcPr>
            <w:tcW w:w="220" w:type="dxa"/>
            <w:vAlign w:val="bottom"/>
            <w:gridSpan w:val="3"/>
          </w:tcPr>
          <w:p>
            <w:pPr>
              <w:ind w:left="160"/>
              <w:spacing w:after="0"/>
              <w:rPr>
                <w:sz w:val="20"/>
                <w:szCs w:val="20"/>
                <w:color w:val="auto"/>
              </w:rPr>
            </w:pPr>
            <w:r>
              <w:rPr>
                <w:rFonts w:ascii="Arial" w:cs="Arial" w:eastAsia="Arial" w:hAnsi="Arial"/>
                <w:sz w:val="10"/>
                <w:szCs w:val="10"/>
                <w:b w:val="1"/>
                <w:bCs w:val="1"/>
                <w:color w:val="auto"/>
                <w:w w:val="71"/>
              </w:rPr>
              <w:t>$</w:t>
            </w:r>
          </w:p>
        </w:tc>
        <w:tc>
          <w:tcPr>
            <w:tcW w:w="4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45.9</w:t>
            </w:r>
          </w:p>
        </w:tc>
        <w:tc>
          <w:tcPr>
            <w:tcW w:w="440" w:type="dxa"/>
            <w:vAlign w:val="bottom"/>
            <w:gridSpan w:val="3"/>
          </w:tcPr>
          <w:p>
            <w:pPr>
              <w:jc w:val="right"/>
              <w:ind w:right="161"/>
              <w:spacing w:after="0" w:line="149" w:lineRule="exact"/>
              <w:rPr>
                <w:sz w:val="20"/>
                <w:szCs w:val="20"/>
                <w:color w:val="auto"/>
              </w:rPr>
            </w:pPr>
            <w:r>
              <w:rPr>
                <w:rFonts w:ascii="Arial" w:cs="Arial" w:eastAsia="Arial" w:hAnsi="Arial"/>
                <w:sz w:val="14"/>
                <w:szCs w:val="14"/>
                <w:b w:val="1"/>
                <w:bCs w:val="1"/>
                <w:color w:val="auto"/>
              </w:rPr>
              <w:t>$</w:t>
            </w:r>
          </w:p>
        </w:tc>
        <w:tc>
          <w:tcPr>
            <w:tcW w:w="36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220" w:type="dxa"/>
            <w:vAlign w:val="bottom"/>
            <w:gridSpan w:val="3"/>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440" w:type="dxa"/>
            <w:vAlign w:val="bottom"/>
            <w:gridSpan w:val="2"/>
          </w:tcPr>
          <w:p>
            <w:pPr>
              <w:ind w:left="140"/>
              <w:spacing w:after="0" w:line="149" w:lineRule="exact"/>
              <w:rPr>
                <w:sz w:val="20"/>
                <w:szCs w:val="20"/>
                <w:color w:val="auto"/>
              </w:rPr>
            </w:pPr>
            <w:r>
              <w:rPr>
                <w:rFonts w:ascii="Arial" w:cs="Arial" w:eastAsia="Arial" w:hAnsi="Arial"/>
                <w:sz w:val="14"/>
                <w:szCs w:val="14"/>
                <w:b w:val="1"/>
                <w:bCs w:val="1"/>
                <w:color w:val="auto"/>
                <w:w w:val="79"/>
              </w:rPr>
              <w:t>129.2</w:t>
            </w:r>
          </w:p>
        </w:tc>
        <w:tc>
          <w:tcPr>
            <w:tcW w:w="260" w:type="dxa"/>
            <w:vAlign w:val="bottom"/>
            <w:gridSpan w:val="3"/>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4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217.0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0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Non-financial institutions</w:t>
            </w: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480" w:type="dxa"/>
            <w:vAlign w:val="bottom"/>
            <w:tcBorders>
              <w:bottom w:val="single" w:sz="8" w:color="auto"/>
            </w:tcBorders>
            <w:gridSpan w:val="2"/>
            <w:shd w:val="clear" w:color="auto" w:fill="CCEEFF"/>
          </w:tcPr>
          <w:p>
            <w:pPr>
              <w:ind w:left="320"/>
              <w:spacing w:after="0" w:line="149" w:lineRule="exact"/>
              <w:rPr>
                <w:sz w:val="20"/>
                <w:szCs w:val="20"/>
                <w:color w:val="auto"/>
              </w:rPr>
            </w:pPr>
            <w:r>
              <w:rPr>
                <w:rFonts w:ascii="Arial" w:cs="Arial" w:eastAsia="Arial" w:hAnsi="Arial"/>
                <w:sz w:val="14"/>
                <w:szCs w:val="14"/>
                <w:b w:val="1"/>
                <w:bCs w:val="1"/>
                <w:color w:val="auto"/>
                <w:w w:val="99"/>
              </w:rPr>
              <w:t>—</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500" w:type="dxa"/>
            <w:vAlign w:val="bottom"/>
            <w:tcBorders>
              <w:bottom w:val="single" w:sz="8" w:color="auto"/>
            </w:tcBorders>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300.1</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460" w:type="dxa"/>
            <w:vAlign w:val="bottom"/>
            <w:tcBorders>
              <w:bottom w:val="single" w:sz="8" w:color="auto"/>
            </w:tcBorders>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159.1</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80" w:type="dxa"/>
            <w:vAlign w:val="bottom"/>
            <w:tcBorders>
              <w:bottom w:val="single" w:sz="8" w:color="auto"/>
            </w:tcBorders>
            <w:shd w:val="clear" w:color="auto" w:fill="CCEEFF"/>
          </w:tcPr>
          <w:p>
            <w:pPr>
              <w:spacing w:after="0"/>
              <w:rPr>
                <w:sz w:val="12"/>
                <w:szCs w:val="12"/>
                <w:color w:val="auto"/>
              </w:rPr>
            </w:pPr>
          </w:p>
        </w:tc>
        <w:tc>
          <w:tcPr>
            <w:tcW w:w="360" w:type="dxa"/>
            <w:vAlign w:val="bottom"/>
            <w:tcBorders>
              <w:bottom w:val="single" w:sz="8" w:color="auto"/>
            </w:tcBorders>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20.6</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440" w:type="dxa"/>
            <w:vAlign w:val="bottom"/>
            <w:tcBorders>
              <w:bottom w:val="single" w:sz="8" w:color="auto"/>
            </w:tcBorders>
            <w:gridSpan w:val="2"/>
            <w:shd w:val="clear" w:color="auto" w:fill="CCEEFF"/>
          </w:tcPr>
          <w:p>
            <w:pPr>
              <w:ind w:left="140"/>
              <w:spacing w:after="0" w:line="149" w:lineRule="exact"/>
              <w:rPr>
                <w:sz w:val="20"/>
                <w:szCs w:val="20"/>
                <w:color w:val="auto"/>
              </w:rPr>
            </w:pPr>
            <w:r>
              <w:rPr>
                <w:rFonts w:ascii="Arial" w:cs="Arial" w:eastAsia="Arial" w:hAnsi="Arial"/>
                <w:sz w:val="14"/>
                <w:szCs w:val="14"/>
                <w:b w:val="1"/>
                <w:bCs w:val="1"/>
                <w:color w:val="auto"/>
                <w:w w:val="79"/>
              </w:rPr>
              <w:t>242.8</w:t>
            </w: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4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722.6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700" w:type="dxa"/>
            <w:vAlign w:val="bottom"/>
            <w:gridSpan w:val="2"/>
          </w:tcPr>
          <w:p>
            <w:pPr>
              <w:ind w:left="280"/>
              <w:spacing w:after="0" w:line="142" w:lineRule="exact"/>
              <w:rPr>
                <w:sz w:val="20"/>
                <w:szCs w:val="20"/>
                <w:color w:val="auto"/>
              </w:rPr>
            </w:pPr>
            <w:r>
              <w:rPr>
                <w:rFonts w:ascii="Arial" w:cs="Arial" w:eastAsia="Arial" w:hAnsi="Arial"/>
                <w:sz w:val="14"/>
                <w:szCs w:val="14"/>
                <w:color w:val="auto"/>
              </w:rPr>
              <w:t>Total</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480" w:type="dxa"/>
            <w:vAlign w:val="bottom"/>
            <w:tcBorders>
              <w:bottom w:val="single" w:sz="8" w:color="auto"/>
            </w:tcBorders>
            <w:gridSpan w:val="2"/>
          </w:tcPr>
          <w:p>
            <w:pPr>
              <w:ind w:left="320"/>
              <w:spacing w:after="0" w:line="142" w:lineRule="exact"/>
              <w:rPr>
                <w:sz w:val="20"/>
                <w:szCs w:val="20"/>
                <w:color w:val="auto"/>
              </w:rPr>
            </w:pPr>
            <w:r>
              <w:rPr>
                <w:rFonts w:ascii="Arial" w:cs="Arial" w:eastAsia="Arial" w:hAnsi="Arial"/>
                <w:sz w:val="14"/>
                <w:szCs w:val="14"/>
                <w:b w:val="1"/>
                <w:bCs w:val="1"/>
                <w:color w:val="auto"/>
                <w:w w:val="99"/>
              </w:rPr>
              <w:t>—</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0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rPr>
              <w:t>342.0</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Borders>
              <w:bottom w:val="single" w:sz="8" w:color="auto"/>
            </w:tcBorders>
          </w:tcPr>
          <w:p>
            <w:pPr>
              <w:spacing w:after="0"/>
              <w:rPr>
                <w:sz w:val="20"/>
                <w:szCs w:val="20"/>
                <w:color w:val="auto"/>
              </w:rPr>
            </w:pPr>
            <w:r>
              <w:rPr>
                <w:rFonts w:ascii="Arial" w:cs="Arial" w:eastAsia="Arial" w:hAnsi="Arial"/>
                <w:sz w:val="10"/>
                <w:szCs w:val="10"/>
                <w:b w:val="1"/>
                <w:bCs w:val="1"/>
                <w:color w:val="auto"/>
                <w:w w:val="71"/>
              </w:rPr>
              <w:t>$</w:t>
            </w:r>
          </w:p>
        </w:tc>
        <w:tc>
          <w:tcPr>
            <w:tcW w:w="46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rPr>
              <w:t>205.0</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80" w:type="dxa"/>
            <w:vAlign w:val="bottom"/>
            <w:tcBorders>
              <w:bottom w:val="single" w:sz="8" w:color="auto"/>
            </w:tcBorders>
          </w:tcPr>
          <w:p>
            <w:pPr>
              <w:jc w:val="right"/>
              <w:ind w:right="161"/>
              <w:spacing w:after="0"/>
              <w:rPr>
                <w:sz w:val="20"/>
                <w:szCs w:val="20"/>
                <w:color w:val="auto"/>
              </w:rPr>
            </w:pPr>
            <w:r>
              <w:rPr>
                <w:rFonts w:ascii="Arial" w:cs="Arial" w:eastAsia="Arial" w:hAnsi="Arial"/>
                <w:sz w:val="10"/>
                <w:szCs w:val="10"/>
                <w:b w:val="1"/>
                <w:bCs w:val="1"/>
                <w:color w:val="auto"/>
                <w:w w:val="71"/>
              </w:rPr>
              <w:t>$</w:t>
            </w:r>
          </w:p>
        </w:tc>
        <w:tc>
          <w:tcPr>
            <w:tcW w:w="360" w:type="dxa"/>
            <w:vAlign w:val="bottom"/>
            <w:tcBorders>
              <w:bottom w:val="single" w:sz="8" w:color="auto"/>
            </w:tcBorders>
            <w:gridSpan w:val="2"/>
          </w:tcPr>
          <w:p>
            <w:pPr>
              <w:jc w:val="right"/>
              <w:ind w:right="20"/>
              <w:spacing w:after="0" w:line="142" w:lineRule="exact"/>
              <w:rPr>
                <w:sz w:val="20"/>
                <w:szCs w:val="20"/>
                <w:color w:val="auto"/>
              </w:rPr>
            </w:pPr>
            <w:r>
              <w:rPr>
                <w:rFonts w:ascii="Arial" w:cs="Arial" w:eastAsia="Arial" w:hAnsi="Arial"/>
                <w:sz w:val="14"/>
                <w:szCs w:val="14"/>
                <w:b w:val="1"/>
                <w:bCs w:val="1"/>
                <w:color w:val="auto"/>
              </w:rPr>
              <w:t>20.6</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440" w:type="dxa"/>
            <w:vAlign w:val="bottom"/>
            <w:tcBorders>
              <w:bottom w:val="single" w:sz="8" w:color="auto"/>
            </w:tcBorders>
            <w:gridSpan w:val="2"/>
          </w:tcPr>
          <w:p>
            <w:pPr>
              <w:ind w:left="140"/>
              <w:spacing w:after="0" w:line="142" w:lineRule="exact"/>
              <w:rPr>
                <w:sz w:val="20"/>
                <w:szCs w:val="20"/>
                <w:color w:val="auto"/>
              </w:rPr>
            </w:pPr>
            <w:r>
              <w:rPr>
                <w:rFonts w:ascii="Arial" w:cs="Arial" w:eastAsia="Arial" w:hAnsi="Arial"/>
                <w:sz w:val="14"/>
                <w:szCs w:val="14"/>
                <w:b w:val="1"/>
                <w:bCs w:val="1"/>
                <w:color w:val="auto"/>
                <w:w w:val="79"/>
              </w:rPr>
              <w:t>372.0</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4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939.6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gridSpan w:val="2"/>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Borders>
              <w:bottom w:val="single" w:sz="8" w:color="auto"/>
            </w:tcBorders>
            <w:gridSpan w:val="2"/>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77"/>
        </w:trPr>
        <w:tc>
          <w:tcPr>
            <w:tcW w:w="47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Select European Exposure</w:t>
            </w:r>
          </w:p>
        </w:tc>
        <w:tc>
          <w:tcPr>
            <w:tcW w:w="6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gridSpan w:val="8"/>
          </w:tcPr>
          <w:p>
            <w:pPr>
              <w:ind w:left="20"/>
              <w:spacing w:after="0"/>
              <w:rPr>
                <w:sz w:val="20"/>
                <w:szCs w:val="20"/>
                <w:color w:val="auto"/>
              </w:rPr>
            </w:pPr>
            <w:r>
              <w:rPr>
                <w:rFonts w:ascii="Arial" w:cs="Arial" w:eastAsia="Arial" w:hAnsi="Arial"/>
                <w:sz w:val="14"/>
                <w:szCs w:val="14"/>
                <w:b w:val="1"/>
                <w:bCs w:val="1"/>
                <w:color w:val="auto"/>
              </w:rPr>
              <w:t>December 31, 2012</w:t>
            </w:r>
          </w:p>
        </w:tc>
        <w:tc>
          <w:tcPr>
            <w:tcW w:w="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4720" w:type="dxa"/>
            <w:vAlign w:val="bottom"/>
            <w:gridSpan w:val="3"/>
            <w:vMerge w:val="continue"/>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gridSpan w:val="4"/>
          </w:tcPr>
          <w:p>
            <w:pPr>
              <w:ind w:left="60"/>
              <w:spacing w:after="0" w:line="142" w:lineRule="exact"/>
              <w:rPr>
                <w:sz w:val="20"/>
                <w:szCs w:val="20"/>
                <w:color w:val="auto"/>
              </w:rPr>
            </w:pPr>
            <w:r>
              <w:rPr>
                <w:rFonts w:ascii="Arial" w:cs="Arial" w:eastAsia="Arial" w:hAnsi="Arial"/>
                <w:sz w:val="14"/>
                <w:szCs w:val="14"/>
                <w:b w:val="1"/>
                <w:bCs w:val="1"/>
                <w:color w:val="auto"/>
              </w:rPr>
              <w:t>Greece</w:t>
            </w:r>
          </w:p>
        </w:tc>
        <w:tc>
          <w:tcPr>
            <w:tcW w:w="40" w:type="dxa"/>
            <w:vAlign w:val="bottom"/>
          </w:tcPr>
          <w:p>
            <w:pPr>
              <w:spacing w:after="0"/>
              <w:rPr>
                <w:sz w:val="12"/>
                <w:szCs w:val="12"/>
                <w:color w:val="auto"/>
              </w:rPr>
            </w:pPr>
          </w:p>
        </w:tc>
        <w:tc>
          <w:tcPr>
            <w:tcW w:w="680" w:type="dxa"/>
            <w:vAlign w:val="bottom"/>
            <w:gridSpan w:val="4"/>
          </w:tcPr>
          <w:p>
            <w:pPr>
              <w:jc w:val="right"/>
              <w:ind w:right="180"/>
              <w:spacing w:after="0" w:line="142" w:lineRule="exact"/>
              <w:rPr>
                <w:sz w:val="20"/>
                <w:szCs w:val="20"/>
                <w:color w:val="auto"/>
              </w:rPr>
            </w:pPr>
            <w:r>
              <w:rPr>
                <w:rFonts w:ascii="Arial" w:cs="Arial" w:eastAsia="Arial" w:hAnsi="Arial"/>
                <w:sz w:val="14"/>
                <w:szCs w:val="14"/>
                <w:b w:val="1"/>
                <w:bCs w:val="1"/>
                <w:color w:val="auto"/>
              </w:rPr>
              <w:t>Ireland</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Italy</w:t>
            </w:r>
          </w:p>
        </w:tc>
        <w:tc>
          <w:tcPr>
            <w:tcW w:w="60" w:type="dxa"/>
            <w:vAlign w:val="bottom"/>
          </w:tcPr>
          <w:p>
            <w:pPr>
              <w:spacing w:after="0"/>
              <w:rPr>
                <w:sz w:val="12"/>
                <w:szCs w:val="12"/>
                <w:color w:val="auto"/>
              </w:rPr>
            </w:pPr>
          </w:p>
        </w:tc>
        <w:tc>
          <w:tcPr>
            <w:tcW w:w="740" w:type="dxa"/>
            <w:vAlign w:val="bottom"/>
            <w:gridSpan w:val="4"/>
          </w:tcPr>
          <w:p>
            <w:pPr>
              <w:jc w:val="right"/>
              <w:ind w:right="180"/>
              <w:spacing w:after="0" w:line="142" w:lineRule="exact"/>
              <w:rPr>
                <w:sz w:val="20"/>
                <w:szCs w:val="20"/>
                <w:color w:val="auto"/>
              </w:rPr>
            </w:pPr>
            <w:r>
              <w:rPr>
                <w:rFonts w:ascii="Arial" w:cs="Arial" w:eastAsia="Arial" w:hAnsi="Arial"/>
                <w:sz w:val="14"/>
                <w:szCs w:val="14"/>
                <w:b w:val="1"/>
                <w:bCs w:val="1"/>
                <w:color w:val="auto"/>
                <w:w w:val="95"/>
              </w:rPr>
              <w:t>Portugal</w:t>
            </w:r>
          </w:p>
        </w:tc>
        <w:tc>
          <w:tcPr>
            <w:tcW w:w="40" w:type="dxa"/>
            <w:vAlign w:val="bottom"/>
          </w:tcPr>
          <w:p>
            <w:pPr>
              <w:spacing w:after="0"/>
              <w:rPr>
                <w:sz w:val="12"/>
                <w:szCs w:val="12"/>
                <w:color w:val="auto"/>
              </w:rPr>
            </w:pPr>
          </w:p>
        </w:tc>
        <w:tc>
          <w:tcPr>
            <w:tcW w:w="620" w:type="dxa"/>
            <w:vAlign w:val="bottom"/>
            <w:gridSpan w:val="4"/>
          </w:tcPr>
          <w:p>
            <w:pPr>
              <w:ind w:left="100"/>
              <w:spacing w:after="0" w:line="142" w:lineRule="exact"/>
              <w:rPr>
                <w:sz w:val="20"/>
                <w:szCs w:val="20"/>
                <w:color w:val="auto"/>
              </w:rPr>
            </w:pPr>
            <w:r>
              <w:rPr>
                <w:rFonts w:ascii="Arial" w:cs="Arial" w:eastAsia="Arial" w:hAnsi="Arial"/>
                <w:sz w:val="14"/>
                <w:szCs w:val="14"/>
                <w:b w:val="1"/>
                <w:bCs w:val="1"/>
                <w:color w:val="auto"/>
              </w:rPr>
              <w:t>Spain</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gridSpan w:val="2"/>
          </w:tcPr>
          <w:p>
            <w:pPr>
              <w:jc w:val="right"/>
              <w:ind w:right="92"/>
              <w:spacing w:after="0" w:line="142" w:lineRule="exact"/>
              <w:rPr>
                <w:sz w:val="20"/>
                <w:szCs w:val="20"/>
                <w:color w:val="auto"/>
              </w:rPr>
            </w:pPr>
            <w:r>
              <w:rPr>
                <w:rFonts w:ascii="Arial" w:cs="Arial" w:eastAsia="Arial" w:hAnsi="Arial"/>
                <w:sz w:val="14"/>
                <w:szCs w:val="14"/>
                <w:b w:val="1"/>
                <w:bCs w:val="1"/>
                <w:color w:val="auto"/>
                <w:w w:val="95"/>
              </w:rPr>
              <w:t>Total</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380" w:type="dxa"/>
            <w:vAlign w:val="bottom"/>
            <w:gridSpan w:val="2"/>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4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0" w:type="dxa"/>
            <w:vAlign w:val="bottom"/>
          </w:tcPr>
          <w:p>
            <w:pPr>
              <w:jc w:val="right"/>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560" w:type="dxa"/>
            <w:vAlign w:val="bottom"/>
            <w:gridSpan w:val="4"/>
          </w:tcPr>
          <w:p>
            <w:pPr>
              <w:jc w:val="right"/>
              <w:ind w:right="1"/>
              <w:spacing w:after="0" w:line="142" w:lineRule="exact"/>
              <w:rPr>
                <w:sz w:val="20"/>
                <w:szCs w:val="20"/>
                <w:color w:val="auto"/>
              </w:rPr>
            </w:pPr>
            <w:r>
              <w:rPr>
                <w:rFonts w:ascii="Arial" w:cs="Arial" w:eastAsia="Arial" w:hAnsi="Arial"/>
                <w:sz w:val="14"/>
                <w:szCs w:val="14"/>
                <w:b w:val="1"/>
                <w:bCs w:val="1"/>
                <w:i w:val="1"/>
                <w:iCs w:val="1"/>
                <w:color w:val="auto"/>
                <w:w w:val="83"/>
              </w:rPr>
              <w:t>millions)</w:t>
            </w: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Non-Sovereign:</w:t>
            </w: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0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Financial institutions</w:t>
            </w:r>
          </w:p>
        </w:tc>
        <w:tc>
          <w:tcPr>
            <w:tcW w:w="1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480" w:type="dxa"/>
            <w:vAlign w:val="bottom"/>
            <w:gridSpan w:val="2"/>
          </w:tcPr>
          <w:p>
            <w:pPr>
              <w:ind w:left="220"/>
              <w:spacing w:after="0" w:line="149" w:lineRule="exact"/>
              <w:rPr>
                <w:sz w:val="20"/>
                <w:szCs w:val="20"/>
                <w:color w:val="auto"/>
              </w:rPr>
            </w:pPr>
            <w:r>
              <w:rPr>
                <w:rFonts w:ascii="Arial" w:cs="Arial" w:eastAsia="Arial" w:hAnsi="Arial"/>
                <w:sz w:val="14"/>
                <w:szCs w:val="14"/>
                <w:color w:val="auto"/>
              </w:rPr>
              <w:t>—</w:t>
            </w: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400" w:type="dxa"/>
            <w:vAlign w:val="bottom"/>
          </w:tcPr>
          <w:p>
            <w:pPr>
              <w:jc w:val="right"/>
              <w:spacing w:after="0" w:line="149" w:lineRule="exact"/>
              <w:rPr>
                <w:sz w:val="20"/>
                <w:szCs w:val="20"/>
                <w:color w:val="auto"/>
              </w:rPr>
            </w:pPr>
            <w:r>
              <w:rPr>
                <w:rFonts w:ascii="Arial" w:cs="Arial" w:eastAsia="Arial" w:hAnsi="Arial"/>
                <w:sz w:val="14"/>
                <w:szCs w:val="14"/>
                <w:color w:val="auto"/>
              </w:rPr>
              <w:t>59.9</w:t>
            </w:r>
          </w:p>
        </w:tc>
        <w:tc>
          <w:tcPr>
            <w:tcW w:w="100" w:type="dxa"/>
            <w:vAlign w:val="bottom"/>
          </w:tcPr>
          <w:p>
            <w:pPr>
              <w:spacing w:after="0"/>
              <w:rPr>
                <w:sz w:val="12"/>
                <w:szCs w:val="12"/>
                <w:color w:val="auto"/>
              </w:rPr>
            </w:pP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340" w:type="dxa"/>
            <w:vAlign w:val="bottom"/>
          </w:tcPr>
          <w:p>
            <w:pPr>
              <w:jc w:val="right"/>
              <w:spacing w:after="0" w:line="149" w:lineRule="exact"/>
              <w:rPr>
                <w:sz w:val="20"/>
                <w:szCs w:val="20"/>
                <w:color w:val="auto"/>
              </w:rPr>
            </w:pPr>
            <w:r>
              <w:rPr>
                <w:rFonts w:ascii="Arial" w:cs="Arial" w:eastAsia="Arial" w:hAnsi="Arial"/>
                <w:sz w:val="14"/>
                <w:szCs w:val="14"/>
                <w:color w:val="auto"/>
              </w:rPr>
              <w:t>44.4</w:t>
            </w:r>
          </w:p>
        </w:tc>
        <w:tc>
          <w:tcPr>
            <w:tcW w:w="120" w:type="dxa"/>
            <w:vAlign w:val="bottom"/>
          </w:tcPr>
          <w:p>
            <w:pPr>
              <w:spacing w:after="0"/>
              <w:rPr>
                <w:sz w:val="12"/>
                <w:szCs w:val="12"/>
                <w:color w:val="auto"/>
              </w:rPr>
            </w:pPr>
          </w:p>
        </w:tc>
        <w:tc>
          <w:tcPr>
            <w:tcW w:w="160" w:type="dxa"/>
            <w:vAlign w:val="bottom"/>
            <w:gridSpan w:val="2"/>
          </w:tcPr>
          <w:p>
            <w:pPr>
              <w:jc w:val="center"/>
              <w:spacing w:after="0" w:line="149" w:lineRule="exact"/>
              <w:rPr>
                <w:sz w:val="20"/>
                <w:szCs w:val="20"/>
                <w:color w:val="auto"/>
              </w:rPr>
            </w:pPr>
            <w:r>
              <w:rPr>
                <w:rFonts w:ascii="Arial" w:cs="Arial" w:eastAsia="Arial" w:hAnsi="Arial"/>
                <w:sz w:val="14"/>
                <w:szCs w:val="14"/>
                <w:color w:val="auto"/>
                <w:w w:val="76"/>
              </w:rPr>
              <w:t>$</w:t>
            </w:r>
          </w:p>
        </w:tc>
        <w:tc>
          <w:tcPr>
            <w:tcW w:w="280" w:type="dxa"/>
            <w:vAlign w:val="bottom"/>
          </w:tcPr>
          <w:p>
            <w:pPr>
              <w:spacing w:after="0"/>
              <w:rPr>
                <w:sz w:val="12"/>
                <w:szCs w:val="12"/>
                <w:color w:val="auto"/>
              </w:rPr>
            </w:pPr>
          </w:p>
        </w:tc>
        <w:tc>
          <w:tcPr>
            <w:tcW w:w="3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340" w:type="dxa"/>
            <w:vAlign w:val="bottom"/>
          </w:tcPr>
          <w:p>
            <w:pPr>
              <w:ind w:left="20"/>
              <w:spacing w:after="0" w:line="149" w:lineRule="exact"/>
              <w:rPr>
                <w:sz w:val="20"/>
                <w:szCs w:val="20"/>
                <w:color w:val="auto"/>
              </w:rPr>
            </w:pPr>
            <w:r>
              <w:rPr>
                <w:rFonts w:ascii="Arial" w:cs="Arial" w:eastAsia="Arial" w:hAnsi="Arial"/>
                <w:sz w:val="14"/>
                <w:szCs w:val="14"/>
                <w:color w:val="auto"/>
                <w:w w:val="85"/>
              </w:rPr>
              <w:t>138.5</w:t>
            </w:r>
          </w:p>
        </w:tc>
        <w:tc>
          <w:tcPr>
            <w:tcW w:w="100" w:type="dxa"/>
            <w:vAlign w:val="bottom"/>
          </w:tcPr>
          <w:p>
            <w:pPr>
              <w:spacing w:after="0"/>
              <w:rPr>
                <w:sz w:val="12"/>
                <w:szCs w:val="12"/>
                <w:color w:val="auto"/>
              </w:rPr>
            </w:pPr>
          </w:p>
        </w:tc>
        <w:tc>
          <w:tcPr>
            <w:tcW w:w="1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242.8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0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Non-financial institutions</w:t>
            </w: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80" w:type="dxa"/>
            <w:vAlign w:val="bottom"/>
            <w:gridSpan w:val="2"/>
            <w:shd w:val="clear" w:color="auto" w:fill="CCEEFF"/>
          </w:tcPr>
          <w:p>
            <w:pPr>
              <w:ind w:left="220"/>
              <w:spacing w:after="0" w:line="149"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270.5</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1"/>
              </w:rPr>
              <w:t>225.7</w:t>
            </w: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80"/>
              </w:rPr>
              <w:t>26.7</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40" w:type="dxa"/>
            <w:vAlign w:val="bottom"/>
            <w:shd w:val="clear" w:color="auto" w:fill="CCEEFF"/>
          </w:tcPr>
          <w:p>
            <w:pPr>
              <w:ind w:left="20"/>
              <w:spacing w:after="0" w:line="149" w:lineRule="exact"/>
              <w:rPr>
                <w:sz w:val="20"/>
                <w:szCs w:val="20"/>
                <w:color w:val="auto"/>
              </w:rPr>
            </w:pPr>
            <w:r>
              <w:rPr>
                <w:rFonts w:ascii="Arial" w:cs="Arial" w:eastAsia="Arial" w:hAnsi="Arial"/>
                <w:sz w:val="14"/>
                <w:szCs w:val="14"/>
                <w:color w:val="auto"/>
                <w:w w:val="85"/>
              </w:rPr>
              <w:t>278.1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801.0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700" w:type="dxa"/>
            <w:vAlign w:val="bottom"/>
            <w:gridSpan w:val="2"/>
          </w:tcPr>
          <w:p>
            <w:pPr>
              <w:ind w:left="280"/>
              <w:spacing w:after="0" w:line="142" w:lineRule="exact"/>
              <w:rPr>
                <w:sz w:val="20"/>
                <w:szCs w:val="20"/>
                <w:color w:val="auto"/>
              </w:rPr>
            </w:pPr>
            <w:r>
              <w:rPr>
                <w:rFonts w:ascii="Arial" w:cs="Arial" w:eastAsia="Arial" w:hAnsi="Arial"/>
                <w:sz w:val="14"/>
                <w:szCs w:val="14"/>
                <w:color w:val="auto"/>
              </w:rPr>
              <w:t>Total</w:t>
            </w:r>
          </w:p>
        </w:tc>
        <w:tc>
          <w:tcPr>
            <w:tcW w:w="6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60" w:type="dxa"/>
            <w:vAlign w:val="bottom"/>
            <w:tcBorders>
              <w:top w:val="single" w:sz="8" w:color="auto"/>
              <w:bottom w:val="single" w:sz="8" w:color="auto"/>
            </w:tcBorders>
          </w:tcPr>
          <w:p>
            <w:pPr>
              <w:spacing w:after="0"/>
              <w:rPr>
                <w:sz w:val="12"/>
                <w:szCs w:val="12"/>
                <w:color w:val="auto"/>
              </w:rPr>
            </w:pPr>
          </w:p>
        </w:tc>
        <w:tc>
          <w:tcPr>
            <w:tcW w:w="360" w:type="dxa"/>
            <w:vAlign w:val="bottom"/>
            <w:tcBorders>
              <w:top w:val="single" w:sz="8" w:color="auto"/>
              <w:bottom w:val="single" w:sz="8" w:color="auto"/>
            </w:tcBorders>
          </w:tcPr>
          <w:p>
            <w:pPr>
              <w:ind w:left="220"/>
              <w:spacing w:after="0" w:line="142" w:lineRule="exact"/>
              <w:rPr>
                <w:sz w:val="20"/>
                <w:szCs w:val="20"/>
                <w:color w:val="auto"/>
              </w:rPr>
            </w:pPr>
            <w:r>
              <w:rPr>
                <w:rFonts w:ascii="Arial" w:cs="Arial" w:eastAsia="Arial" w:hAnsi="Arial"/>
                <w:sz w:val="14"/>
                <w:szCs w:val="14"/>
                <w:color w:val="auto"/>
                <w:w w:val="85"/>
              </w:rPr>
              <w:t>—</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60" w:type="dxa"/>
            <w:vAlign w:val="bottom"/>
            <w:tcBorders>
              <w:top w:val="single" w:sz="8" w:color="auto"/>
              <w:bottom w:val="single" w:sz="8" w:color="auto"/>
            </w:tcBorders>
          </w:tcPr>
          <w:p>
            <w:pPr>
              <w:spacing w:after="0"/>
              <w:rPr>
                <w:sz w:val="12"/>
                <w:szCs w:val="12"/>
                <w:color w:val="auto"/>
              </w:rPr>
            </w:pPr>
          </w:p>
        </w:tc>
        <w:tc>
          <w:tcPr>
            <w:tcW w:w="4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330.4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0" w:type="dxa"/>
            <w:vAlign w:val="bottom"/>
            <w:tcBorders>
              <w:top w:val="single" w:sz="8" w:color="auto"/>
              <w:bottom w:val="single" w:sz="8" w:color="auto"/>
            </w:tcBorders>
          </w:tcPr>
          <w:p>
            <w:pPr>
              <w:spacing w:after="0"/>
              <w:rPr>
                <w:sz w:val="12"/>
                <w:szCs w:val="12"/>
                <w:color w:val="auto"/>
              </w:rPr>
            </w:pPr>
          </w:p>
        </w:tc>
        <w:tc>
          <w:tcPr>
            <w:tcW w:w="3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91"/>
              </w:rPr>
              <w:t>270.1</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center"/>
              <w:spacing w:after="0" w:line="142" w:lineRule="exact"/>
              <w:rPr>
                <w:sz w:val="20"/>
                <w:szCs w:val="20"/>
                <w:color w:val="auto"/>
              </w:rPr>
            </w:pPr>
            <w:r>
              <w:rPr>
                <w:rFonts w:ascii="Arial" w:cs="Arial" w:eastAsia="Arial" w:hAnsi="Arial"/>
                <w:sz w:val="14"/>
                <w:szCs w:val="14"/>
                <w:color w:val="auto"/>
                <w:w w:val="76"/>
              </w:rPr>
              <w:t>$</w:t>
            </w:r>
          </w:p>
        </w:tc>
        <w:tc>
          <w:tcPr>
            <w:tcW w:w="280" w:type="dxa"/>
            <w:vAlign w:val="bottom"/>
            <w:tcBorders>
              <w:top w:val="single" w:sz="8" w:color="auto"/>
              <w:bottom w:val="single" w:sz="8" w:color="auto"/>
            </w:tcBorders>
          </w:tcPr>
          <w:p>
            <w:pPr>
              <w:spacing w:after="0"/>
              <w:rPr>
                <w:sz w:val="12"/>
                <w:szCs w:val="12"/>
                <w:color w:val="auto"/>
              </w:rPr>
            </w:pPr>
          </w:p>
        </w:tc>
        <w:tc>
          <w:tcPr>
            <w:tcW w:w="2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80"/>
              </w:rPr>
              <w:t>26.7</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60" w:type="dxa"/>
            <w:vAlign w:val="bottom"/>
            <w:tcBorders>
              <w:top w:val="single" w:sz="8" w:color="auto"/>
              <w:bottom w:val="single" w:sz="8" w:color="auto"/>
            </w:tcBorders>
          </w:tcPr>
          <w:p>
            <w:pPr>
              <w:spacing w:after="0"/>
              <w:rPr>
                <w:sz w:val="12"/>
                <w:szCs w:val="12"/>
                <w:color w:val="auto"/>
              </w:rPr>
            </w:pPr>
          </w:p>
        </w:tc>
        <w:tc>
          <w:tcPr>
            <w:tcW w:w="340" w:type="dxa"/>
            <w:vAlign w:val="bottom"/>
            <w:tcBorders>
              <w:top w:val="single" w:sz="8" w:color="auto"/>
              <w:bottom w:val="single" w:sz="8" w:color="auto"/>
            </w:tcBorders>
          </w:tcPr>
          <w:p>
            <w:pPr>
              <w:ind w:left="20"/>
              <w:spacing w:after="0" w:line="142" w:lineRule="exact"/>
              <w:rPr>
                <w:sz w:val="20"/>
                <w:szCs w:val="20"/>
                <w:color w:val="auto"/>
              </w:rPr>
            </w:pPr>
            <w:r>
              <w:rPr>
                <w:rFonts w:ascii="Arial" w:cs="Arial" w:eastAsia="Arial" w:hAnsi="Arial"/>
                <w:sz w:val="14"/>
                <w:szCs w:val="14"/>
                <w:color w:val="auto"/>
                <w:w w:val="85"/>
              </w:rPr>
              <w:t>416.6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0" w:type="dxa"/>
            <w:vAlign w:val="bottom"/>
            <w:tcBorders>
              <w:top w:val="single" w:sz="8" w:color="auto"/>
              <w:bottom w:val="single" w:sz="8" w:color="auto"/>
            </w:tcBorders>
          </w:tcPr>
          <w:p>
            <w:pPr>
              <w:spacing w:after="0"/>
              <w:rPr>
                <w:sz w:val="12"/>
                <w:szCs w:val="12"/>
                <w:color w:val="auto"/>
              </w:rPr>
            </w:pPr>
          </w:p>
        </w:tc>
        <w:tc>
          <w:tcPr>
            <w:tcW w:w="4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85"/>
              </w:rPr>
              <w:t>1,043.8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firstLine="497"/>
        <w:spacing w:after="0" w:line="268" w:lineRule="auto"/>
        <w:rPr>
          <w:sz w:val="20"/>
          <w:szCs w:val="20"/>
          <w:color w:val="auto"/>
        </w:rPr>
      </w:pPr>
      <w:r>
        <w:rPr>
          <w:rFonts w:ascii="Arial" w:cs="Arial" w:eastAsia="Arial" w:hAnsi="Arial"/>
          <w:sz w:val="18"/>
          <w:szCs w:val="18"/>
          <w:color w:val="auto"/>
        </w:rPr>
        <w:t>For further details on our International investment operations exposure to these European countries, see "International Investment Operations — Fixed Maturities Exposure."</w:t>
      </w:r>
    </w:p>
    <w:p>
      <w:pPr>
        <w:spacing w:after="0" w:line="186" w:lineRule="exact"/>
        <w:rPr>
          <w:sz w:val="20"/>
          <w:szCs w:val="20"/>
          <w:color w:val="auto"/>
        </w:rPr>
      </w:pPr>
    </w:p>
    <w:p>
      <w:pPr>
        <w:jc w:val="both"/>
        <w:ind w:right="20" w:firstLine="548"/>
        <w:spacing w:after="0" w:line="268" w:lineRule="auto"/>
        <w:rPr>
          <w:sz w:val="20"/>
          <w:szCs w:val="20"/>
          <w:color w:val="auto"/>
        </w:rPr>
      </w:pPr>
      <w:r>
        <w:rPr>
          <w:rFonts w:ascii="Arial" w:cs="Arial" w:eastAsia="Arial" w:hAnsi="Arial"/>
          <w:sz w:val="18"/>
          <w:szCs w:val="18"/>
          <w:b w:val="1"/>
          <w:bCs w:val="1"/>
          <w:i w:val="1"/>
          <w:iCs w:val="1"/>
          <w:color w:val="auto"/>
        </w:rPr>
        <w:t xml:space="preserve">Fixed Maturities Credit Concentrations. </w:t>
      </w:r>
      <w:r>
        <w:rPr>
          <w:rFonts w:ascii="Arial" w:cs="Arial" w:eastAsia="Arial" w:hAnsi="Arial"/>
          <w:sz w:val="18"/>
          <w:szCs w:val="18"/>
          <w:color w:val="auto"/>
        </w:rPr>
        <w:t>One aspect of managing credit risk is through industry, issuer and asset class diversification. Our credit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concentrations are managed to established limits. The following table presents our top ten exposures as of December 31, 2013.</w:t>
      </w:r>
    </w:p>
    <w:p>
      <w:pPr>
        <w:spacing w:after="0" w:line="18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760" w:type="dxa"/>
            <w:vAlign w:val="bottom"/>
          </w:tcPr>
          <w:p>
            <w:pPr>
              <w:spacing w:after="0"/>
              <w:rPr>
                <w:sz w:val="14"/>
                <w:szCs w:val="14"/>
                <w:color w:val="auto"/>
              </w:rPr>
            </w:pPr>
          </w:p>
        </w:tc>
        <w:tc>
          <w:tcPr>
            <w:tcW w:w="3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120" w:type="dxa"/>
            <w:vAlign w:val="bottom"/>
            <w:gridSpan w:val="2"/>
          </w:tcPr>
          <w:p>
            <w:pPr>
              <w:spacing w:after="0"/>
              <w:rPr>
                <w:sz w:val="20"/>
                <w:szCs w:val="20"/>
                <w:color w:val="auto"/>
              </w:rPr>
            </w:pPr>
            <w:r>
              <w:rPr>
                <w:rFonts w:ascii="Arial" w:cs="Arial" w:eastAsia="Arial" w:hAnsi="Arial"/>
                <w:sz w:val="14"/>
                <w:szCs w:val="14"/>
                <w:b w:val="1"/>
                <w:bCs w:val="1"/>
                <w:color w:val="auto"/>
              </w:rPr>
              <w:t>Amortized cost</w:t>
            </w:r>
          </w:p>
        </w:tc>
      </w:tr>
      <w:tr>
        <w:trPr>
          <w:trHeight w:val="142"/>
        </w:trPr>
        <w:tc>
          <w:tcPr>
            <w:tcW w:w="20" w:type="dxa"/>
            <w:vAlign w:val="bottom"/>
          </w:tcPr>
          <w:p>
            <w:pPr>
              <w:spacing w:after="0"/>
              <w:rPr>
                <w:sz w:val="12"/>
                <w:szCs w:val="12"/>
                <w:color w:val="auto"/>
              </w:rPr>
            </w:pPr>
          </w:p>
        </w:tc>
        <w:tc>
          <w:tcPr>
            <w:tcW w:w="4760" w:type="dxa"/>
            <w:vAlign w:val="bottom"/>
          </w:tcPr>
          <w:p>
            <w:pPr>
              <w:spacing w:after="0"/>
              <w:rPr>
                <w:sz w:val="12"/>
                <w:szCs w:val="12"/>
                <w:color w:val="auto"/>
              </w:rPr>
            </w:pPr>
          </w:p>
        </w:tc>
        <w:tc>
          <w:tcPr>
            <w:tcW w:w="318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960" w:type="dxa"/>
            <w:vAlign w:val="bottom"/>
            <w:tcBorders>
              <w:top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i w:val="1"/>
                <w:iCs w:val="1"/>
                <w:color w:val="auto"/>
                <w:w w:val="96"/>
              </w:rPr>
              <w:t>(in millions)</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7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General Electric Co.</w:t>
            </w:r>
          </w:p>
        </w:tc>
        <w:tc>
          <w:tcPr>
            <w:tcW w:w="3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207.1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760" w:type="dxa"/>
            <w:vAlign w:val="bottom"/>
          </w:tcPr>
          <w:p>
            <w:pPr>
              <w:spacing w:after="0" w:line="149" w:lineRule="exact"/>
              <w:rPr>
                <w:sz w:val="20"/>
                <w:szCs w:val="20"/>
                <w:color w:val="auto"/>
              </w:rPr>
            </w:pPr>
            <w:r>
              <w:rPr>
                <w:rFonts w:ascii="Arial" w:cs="Arial" w:eastAsia="Arial" w:hAnsi="Arial"/>
                <w:sz w:val="14"/>
                <w:szCs w:val="14"/>
                <w:color w:val="auto"/>
              </w:rPr>
              <w:t>AT&amp;T Inc.</w:t>
            </w:r>
          </w:p>
        </w:tc>
        <w:tc>
          <w:tcPr>
            <w:tcW w:w="3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180.0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7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Berkshire Hathaway Inc.</w:t>
            </w:r>
          </w:p>
        </w:tc>
        <w:tc>
          <w:tcPr>
            <w:tcW w:w="3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162.5</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760" w:type="dxa"/>
            <w:vAlign w:val="bottom"/>
          </w:tcPr>
          <w:p>
            <w:pPr>
              <w:spacing w:after="0" w:line="149" w:lineRule="exact"/>
              <w:rPr>
                <w:sz w:val="20"/>
                <w:szCs w:val="20"/>
                <w:color w:val="auto"/>
              </w:rPr>
            </w:pPr>
            <w:r>
              <w:rPr>
                <w:rFonts w:ascii="Arial" w:cs="Arial" w:eastAsia="Arial" w:hAnsi="Arial"/>
                <w:sz w:val="14"/>
                <w:szCs w:val="14"/>
                <w:color w:val="auto"/>
              </w:rPr>
              <w:t>Duke Energy Corp.</w:t>
            </w:r>
          </w:p>
        </w:tc>
        <w:tc>
          <w:tcPr>
            <w:tcW w:w="3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152.4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7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JPMorgan Chase &amp; Co.</w:t>
            </w:r>
          </w:p>
        </w:tc>
        <w:tc>
          <w:tcPr>
            <w:tcW w:w="3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148.8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760" w:type="dxa"/>
            <w:vAlign w:val="bottom"/>
          </w:tcPr>
          <w:p>
            <w:pPr>
              <w:spacing w:after="0" w:line="149" w:lineRule="exact"/>
              <w:rPr>
                <w:sz w:val="20"/>
                <w:szCs w:val="20"/>
                <w:color w:val="auto"/>
              </w:rPr>
            </w:pPr>
            <w:r>
              <w:rPr>
                <w:rFonts w:ascii="Arial" w:cs="Arial" w:eastAsia="Arial" w:hAnsi="Arial"/>
                <w:sz w:val="14"/>
                <w:szCs w:val="14"/>
                <w:color w:val="auto"/>
              </w:rPr>
              <w:t>Wells Fargo &amp; Co.</w:t>
            </w:r>
          </w:p>
        </w:tc>
        <w:tc>
          <w:tcPr>
            <w:tcW w:w="3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148.6</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7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Prudential Financial Inc.</w:t>
            </w:r>
          </w:p>
        </w:tc>
        <w:tc>
          <w:tcPr>
            <w:tcW w:w="3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142.7</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760" w:type="dxa"/>
            <w:vAlign w:val="bottom"/>
          </w:tcPr>
          <w:p>
            <w:pPr>
              <w:spacing w:after="0" w:line="149" w:lineRule="exact"/>
              <w:rPr>
                <w:sz w:val="20"/>
                <w:szCs w:val="20"/>
                <w:color w:val="auto"/>
              </w:rPr>
            </w:pPr>
            <w:r>
              <w:rPr>
                <w:rFonts w:ascii="Arial" w:cs="Arial" w:eastAsia="Arial" w:hAnsi="Arial"/>
                <w:sz w:val="14"/>
                <w:szCs w:val="14"/>
                <w:color w:val="auto"/>
              </w:rPr>
              <w:t>Republic of Korea</w:t>
            </w:r>
          </w:p>
        </w:tc>
        <w:tc>
          <w:tcPr>
            <w:tcW w:w="3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142.4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7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Verizon Communications Inc.</w:t>
            </w:r>
          </w:p>
        </w:tc>
        <w:tc>
          <w:tcPr>
            <w:tcW w:w="3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142.1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760" w:type="dxa"/>
            <w:vAlign w:val="bottom"/>
          </w:tcPr>
          <w:p>
            <w:pPr>
              <w:spacing w:after="0" w:line="149" w:lineRule="exact"/>
              <w:rPr>
                <w:sz w:val="20"/>
                <w:szCs w:val="20"/>
                <w:color w:val="auto"/>
              </w:rPr>
            </w:pPr>
            <w:r>
              <w:rPr>
                <w:rFonts w:ascii="Arial" w:cs="Arial" w:eastAsia="Arial" w:hAnsi="Arial"/>
                <w:sz w:val="14"/>
                <w:szCs w:val="14"/>
                <w:color w:val="auto"/>
              </w:rPr>
              <w:t>Merck &amp; Co Inc.</w:t>
            </w:r>
          </w:p>
        </w:tc>
        <w:tc>
          <w:tcPr>
            <w:tcW w:w="31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9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137.9</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476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top ten exposures</w:t>
            </w:r>
          </w:p>
        </w:tc>
        <w:tc>
          <w:tcPr>
            <w:tcW w:w="3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9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1,564.5</w:t>
            </w:r>
          </w:p>
        </w:tc>
        <w:tc>
          <w:tcPr>
            <w:tcW w:w="160" w:type="dxa"/>
            <w:vAlign w:val="bottom"/>
            <w:shd w:val="clear" w:color="auto" w:fill="CCEEFF"/>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4760" w:type="dxa"/>
            <w:vAlign w:val="bottom"/>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firstLine="368"/>
        <w:spacing w:after="0" w:line="314" w:lineRule="auto"/>
        <w:rPr>
          <w:sz w:val="20"/>
          <w:szCs w:val="20"/>
          <w:color w:val="auto"/>
        </w:rPr>
      </w:pPr>
      <w:r>
        <w:rPr>
          <w:rFonts w:ascii="Arial" w:cs="Arial" w:eastAsia="Arial" w:hAnsi="Arial"/>
          <w:sz w:val="15"/>
          <w:szCs w:val="15"/>
          <w:b w:val="1"/>
          <w:bCs w:val="1"/>
          <w:i w:val="1"/>
          <w:iCs w:val="1"/>
          <w:color w:val="auto"/>
        </w:rPr>
        <w:t xml:space="preserve">Fixed Maturities Valuation and Credit Quality. </w:t>
      </w:r>
      <w:r>
        <w:rPr>
          <w:rFonts w:ascii="Arial" w:cs="Arial" w:eastAsia="Arial" w:hAnsi="Arial"/>
          <w:sz w:val="15"/>
          <w:szCs w:val="15"/>
          <w:color w:val="auto"/>
        </w:rPr>
        <w:t>Valuation techniques for the fixed maturities portfolio vary by security type and the availability of market</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data. The use of different pricing techniques and their assumptions could produce different financial results. See Item 8. "Financial Statements and Supplementary Data, Notes to Consolidated Financial Statements, Note 15, Fair Value Measurements" for further details regarding our pricing methodology. Once prices are determined, they are reviewed by pricing analysts for reasonableness based on asset class and observable market data. Investment analysts who are familiar with specific securities review prices for reasonableness through direct interaction with external sources, review of recent trade activity or use of internal models. All fixed maturities placed on the "watch list" are periodically analyzed by investment analysts or analysts that focus on troubled securities ("Workout Group").</w:t>
      </w:r>
    </w:p>
    <w:p>
      <w:pPr>
        <w:spacing w:after="0" w:line="1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8" w:name="page69"/>
    <w:bookmarkEnd w:id="6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This group then meets with the Chief Investment Officer and the Portfolio Managers to determine reasonableness of prices. The valuation of impaired bonds for which there is no quoted price is typically based on the present value of the future cash flows expected to be received. Although we believe these values reasonably reflect the fair value of those securities, the key assumptions about risk premiums, performance of underlying collateral (if any) and other market factors involve qualitative and unobservable inputs.</w:t>
      </w:r>
    </w:p>
    <w:p>
      <w:pPr>
        <w:spacing w:after="0" w:line="197" w:lineRule="exact"/>
        <w:rPr>
          <w:sz w:val="20"/>
          <w:szCs w:val="20"/>
          <w:color w:val="auto"/>
        </w:rPr>
      </w:pPr>
    </w:p>
    <w:p>
      <w:pPr>
        <w:jc w:val="both"/>
        <w:ind w:firstLine="404"/>
        <w:spacing w:after="0" w:line="254" w:lineRule="auto"/>
        <w:rPr>
          <w:sz w:val="20"/>
          <w:szCs w:val="20"/>
          <w:color w:val="auto"/>
        </w:rPr>
      </w:pPr>
      <w:r>
        <w:rPr>
          <w:rFonts w:ascii="Arial" w:cs="Arial" w:eastAsia="Arial" w:hAnsi="Arial"/>
          <w:sz w:val="18"/>
          <w:szCs w:val="18"/>
          <w:color w:val="auto"/>
        </w:rPr>
        <w:t>The Securities Valuation Office ("SVO") of the National Association of Insurance Commissioners ("NAIC") monitors the bond investments of insurers for regulatory capital and reporting purposes and, when required, assigns securities to one of six investment categories. For certain bonds, the NAIC designations closely mirror the Nationally Recognized Statistical Rating Organizations' ("NRSRO") credit ratings. For most corporate bonds, NAIC designations 1 and 2 include bonds considered investment grade by such rating organizations. Bonds are considered investment grade when rated "Baa3" or higher by Moody's, or "BBB-" or higher by S&amp;P. NAIC designations 3 through 6 are referred to as below investment grade. Bonds are considered below investment grade when rated "Ba1" or lower by Moody's, or "BB+" or lower by S&amp;P.</w:t>
      </w:r>
    </w:p>
    <w:p>
      <w:pPr>
        <w:spacing w:after="0" w:line="198" w:lineRule="exact"/>
        <w:rPr>
          <w:sz w:val="20"/>
          <w:szCs w:val="20"/>
          <w:color w:val="auto"/>
        </w:rPr>
      </w:pPr>
    </w:p>
    <w:p>
      <w:pPr>
        <w:jc w:val="both"/>
        <w:ind w:firstLine="449"/>
        <w:spacing w:after="0" w:line="256" w:lineRule="auto"/>
        <w:rPr>
          <w:sz w:val="20"/>
          <w:szCs w:val="20"/>
          <w:color w:val="auto"/>
        </w:rPr>
      </w:pPr>
      <w:r>
        <w:rPr>
          <w:rFonts w:ascii="Arial" w:cs="Arial" w:eastAsia="Arial" w:hAnsi="Arial"/>
          <w:sz w:val="18"/>
          <w:szCs w:val="18"/>
          <w:color w:val="auto"/>
        </w:rPr>
        <w:t>However, for loan-backed and structured securities, as defined by the NAIC, the NAIC rating is not always equivalent to an NRSRO rating as described below. For non-agency RMBS, PIMCO Advisors models and assigns the NAIC ratings. For CMBS, Blackrock Solutions undertakes the modeling and assignment of those NAIC ratings. Other loan-backed and structured securities may be subject to an intrinsic price matrix as provided by the NAIC. This may result in a final designation being higher or lower than the NRSRO credit rating.</w:t>
      </w:r>
    </w:p>
    <w:p>
      <w:pPr>
        <w:spacing w:after="0" w:line="197" w:lineRule="exact"/>
        <w:rPr>
          <w:sz w:val="20"/>
          <w:szCs w:val="20"/>
          <w:color w:val="auto"/>
        </w:rPr>
      </w:pPr>
    </w:p>
    <w:p>
      <w:pPr>
        <w:jc w:val="both"/>
        <w:ind w:firstLine="374"/>
        <w:spacing w:after="0" w:line="268" w:lineRule="auto"/>
        <w:rPr>
          <w:sz w:val="20"/>
          <w:szCs w:val="20"/>
          <w:color w:val="auto"/>
        </w:rPr>
      </w:pPr>
      <w:r>
        <w:rPr>
          <w:rFonts w:ascii="Arial" w:cs="Arial" w:eastAsia="Arial" w:hAnsi="Arial"/>
          <w:sz w:val="18"/>
          <w:szCs w:val="18"/>
          <w:color w:val="auto"/>
        </w:rPr>
        <w:t>The following table presents our total fixed maturities by NAIC designation and the equivalent ratings of the NRSROs as of the periods indicated as well as the percentage, based on fair value, that each designation comprises.</w:t>
      </w:r>
    </w:p>
    <w:p>
      <w:pPr>
        <w:spacing w:after="0" w:line="18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0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gridSpan w:val="6"/>
          </w:tcPr>
          <w:p>
            <w:pPr>
              <w:jc w:val="center"/>
              <w:ind w:left="452"/>
              <w:spacing w:after="0"/>
              <w:rPr>
                <w:sz w:val="20"/>
                <w:szCs w:val="20"/>
                <w:color w:val="auto"/>
              </w:rPr>
            </w:pPr>
            <w:r>
              <w:rPr>
                <w:rFonts w:ascii="Arial" w:cs="Arial" w:eastAsia="Arial" w:hAnsi="Arial"/>
                <w:sz w:val="14"/>
                <w:szCs w:val="14"/>
                <w:b w:val="1"/>
                <w:bCs w:val="1"/>
                <w:color w:val="auto"/>
                <w:w w:val="85"/>
              </w:rPr>
              <w:t>December 31, 2013</w:t>
            </w:r>
          </w:p>
        </w:tc>
        <w:tc>
          <w:tcPr>
            <w:tcW w:w="6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gridSpan w:val="6"/>
          </w:tcPr>
          <w:p>
            <w:pPr>
              <w:jc w:val="center"/>
              <w:ind w:left="432"/>
              <w:spacing w:after="0"/>
              <w:rPr>
                <w:sz w:val="20"/>
                <w:szCs w:val="20"/>
                <w:color w:val="auto"/>
              </w:rPr>
            </w:pPr>
            <w:r>
              <w:rPr>
                <w:rFonts w:ascii="Arial" w:cs="Arial" w:eastAsia="Arial" w:hAnsi="Arial"/>
                <w:sz w:val="14"/>
                <w:szCs w:val="14"/>
                <w:b w:val="1"/>
                <w:bCs w:val="1"/>
                <w:color w:val="auto"/>
                <w:w w:val="87"/>
              </w:rPr>
              <w:t>December 31, 2012</w:t>
            </w:r>
          </w:p>
        </w:tc>
        <w:tc>
          <w:tcPr>
            <w:tcW w:w="6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0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91"/>
              </w:rPr>
              <w:t>% of total</w:t>
            </w: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91"/>
              </w:rPr>
              <w:t>% of total</w:t>
            </w: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460" w:type="dxa"/>
            <w:vAlign w:val="bottom"/>
          </w:tcPr>
          <w:p>
            <w:pPr>
              <w:jc w:val="right"/>
              <w:ind w:right="5"/>
              <w:spacing w:after="0" w:line="149" w:lineRule="exact"/>
              <w:rPr>
                <w:sz w:val="20"/>
                <w:szCs w:val="20"/>
                <w:color w:val="auto"/>
              </w:rPr>
            </w:pPr>
            <w:r>
              <w:rPr>
                <w:rFonts w:ascii="Arial" w:cs="Arial" w:eastAsia="Arial" w:hAnsi="Arial"/>
                <w:sz w:val="14"/>
                <w:szCs w:val="14"/>
                <w:b w:val="1"/>
                <w:bCs w:val="1"/>
                <w:color w:val="auto"/>
              </w:rPr>
              <w:t>NAIC</w:t>
            </w:r>
          </w:p>
        </w:tc>
        <w:tc>
          <w:tcPr>
            <w:tcW w:w="160" w:type="dxa"/>
            <w:vAlign w:val="bottom"/>
          </w:tcPr>
          <w:p>
            <w:pPr>
              <w:spacing w:after="0"/>
              <w:rPr>
                <w:sz w:val="12"/>
                <w:szCs w:val="12"/>
                <w:color w:val="auto"/>
              </w:rPr>
            </w:pPr>
          </w:p>
        </w:tc>
        <w:tc>
          <w:tcPr>
            <w:tcW w:w="30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Rating Agency</w:t>
            </w:r>
          </w:p>
        </w:tc>
        <w:tc>
          <w:tcPr>
            <w:tcW w:w="180" w:type="dxa"/>
            <w:vAlign w:val="bottom"/>
          </w:tcPr>
          <w:p>
            <w:pPr>
              <w:spacing w:after="0"/>
              <w:rPr>
                <w:sz w:val="12"/>
                <w:szCs w:val="12"/>
                <w:color w:val="auto"/>
              </w:rPr>
            </w:pPr>
          </w:p>
        </w:tc>
        <w:tc>
          <w:tcPr>
            <w:tcW w:w="740" w:type="dxa"/>
            <w:vAlign w:val="bottom"/>
            <w:gridSpan w:val="2"/>
          </w:tcPr>
          <w:p>
            <w:pPr>
              <w:jc w:val="right"/>
              <w:ind w:right="12"/>
              <w:spacing w:after="0" w:line="149" w:lineRule="exact"/>
              <w:rPr>
                <w:sz w:val="20"/>
                <w:szCs w:val="20"/>
                <w:color w:val="auto"/>
              </w:rPr>
            </w:pPr>
            <w:r>
              <w:rPr>
                <w:rFonts w:ascii="Arial" w:cs="Arial" w:eastAsia="Arial" w:hAnsi="Arial"/>
                <w:sz w:val="14"/>
                <w:szCs w:val="14"/>
                <w:b w:val="1"/>
                <w:bCs w:val="1"/>
                <w:color w:val="auto"/>
                <w:w w:val="93"/>
              </w:rPr>
              <w:t>Amortized</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gridSpan w:val="3"/>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Carrying</w:t>
            </w:r>
          </w:p>
        </w:tc>
        <w:tc>
          <w:tcPr>
            <w:tcW w:w="6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carrying</w:t>
            </w:r>
          </w:p>
        </w:tc>
        <w:tc>
          <w:tcPr>
            <w:tcW w:w="160" w:type="dxa"/>
            <w:vAlign w:val="bottom"/>
          </w:tcPr>
          <w:p>
            <w:pPr>
              <w:spacing w:after="0"/>
              <w:rPr>
                <w:sz w:val="12"/>
                <w:szCs w:val="12"/>
                <w:color w:val="auto"/>
              </w:rPr>
            </w:pPr>
          </w:p>
        </w:tc>
        <w:tc>
          <w:tcPr>
            <w:tcW w:w="7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96"/>
              </w:rPr>
              <w:t>Amortized</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3"/>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Carrying</w:t>
            </w:r>
          </w:p>
        </w:tc>
        <w:tc>
          <w:tcPr>
            <w:tcW w:w="8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0"/>
              </w:rPr>
              <w:t>carrying</w:t>
            </w:r>
          </w:p>
        </w:tc>
      </w:tr>
      <w:tr>
        <w:trPr>
          <w:trHeight w:val="161"/>
        </w:trPr>
        <w:tc>
          <w:tcPr>
            <w:tcW w:w="20" w:type="dxa"/>
            <w:vAlign w:val="bottom"/>
          </w:tcPr>
          <w:p>
            <w:pPr>
              <w:spacing w:after="0"/>
              <w:rPr>
                <w:sz w:val="14"/>
                <w:szCs w:val="14"/>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1"/>
              </w:rPr>
              <w:t>Rating</w:t>
            </w:r>
          </w:p>
        </w:tc>
        <w:tc>
          <w:tcPr>
            <w:tcW w:w="160" w:type="dxa"/>
            <w:vAlign w:val="bottom"/>
          </w:tcPr>
          <w:p>
            <w:pPr>
              <w:spacing w:after="0"/>
              <w:rPr>
                <w:sz w:val="14"/>
                <w:szCs w:val="14"/>
                <w:color w:val="auto"/>
              </w:rPr>
            </w:pPr>
          </w:p>
        </w:tc>
        <w:tc>
          <w:tcPr>
            <w:tcW w:w="3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Equivalent</w:t>
            </w: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212"/>
              <w:spacing w:after="0"/>
              <w:rPr>
                <w:sz w:val="20"/>
                <w:szCs w:val="20"/>
                <w:color w:val="auto"/>
              </w:rPr>
            </w:pPr>
            <w:r>
              <w:rPr>
                <w:rFonts w:ascii="Arial" w:cs="Arial" w:eastAsia="Arial" w:hAnsi="Arial"/>
                <w:sz w:val="14"/>
                <w:szCs w:val="14"/>
                <w:b w:val="1"/>
                <w:bCs w:val="1"/>
                <w:color w:val="auto"/>
              </w:rPr>
              <w:t>cost</w:t>
            </w: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amount</w:t>
            </w:r>
          </w:p>
        </w:tc>
        <w:tc>
          <w:tcPr>
            <w:tcW w:w="160" w:type="dxa"/>
            <w:vAlign w:val="bottom"/>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amount</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cost</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6"/>
              </w:rPr>
              <w:t>amount</w:t>
            </w:r>
          </w:p>
        </w:tc>
        <w:tc>
          <w:tcPr>
            <w:tcW w:w="160" w:type="dxa"/>
            <w:vAlign w:val="bottom"/>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amount</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80" w:type="dxa"/>
            <w:vAlign w:val="bottom"/>
          </w:tcPr>
          <w:p>
            <w:pPr>
              <w:jc w:val="right"/>
              <w:spacing w:after="0" w:line="142" w:lineRule="exact"/>
              <w:rPr>
                <w:sz w:val="20"/>
                <w:szCs w:val="20"/>
                <w:color w:val="auto"/>
              </w:rPr>
            </w:pPr>
            <w:r>
              <w:rPr>
                <w:rFonts w:ascii="Arial" w:cs="Arial" w:eastAsia="Arial" w:hAnsi="Arial"/>
                <w:sz w:val="14"/>
                <w:szCs w:val="14"/>
                <w:b w:val="1"/>
                <w:bCs w:val="1"/>
                <w:i w:val="1"/>
                <w:iCs w:val="1"/>
                <w:color w:val="auto"/>
              </w:rPr>
              <w:t>($ in</w:t>
            </w:r>
          </w:p>
        </w:tc>
        <w:tc>
          <w:tcPr>
            <w:tcW w:w="900" w:type="dxa"/>
            <w:vAlign w:val="bottom"/>
            <w:gridSpan w:val="3"/>
          </w:tcPr>
          <w:p>
            <w:pPr>
              <w:jc w:val="right"/>
              <w:ind w:right="352"/>
              <w:spacing w:after="0" w:line="142" w:lineRule="exact"/>
              <w:rPr>
                <w:sz w:val="20"/>
                <w:szCs w:val="20"/>
                <w:color w:val="auto"/>
              </w:rPr>
            </w:pPr>
            <w:r>
              <w:rPr>
                <w:rFonts w:ascii="Arial" w:cs="Arial" w:eastAsia="Arial" w:hAnsi="Arial"/>
                <w:sz w:val="14"/>
                <w:szCs w:val="14"/>
                <w:b w:val="1"/>
                <w:bCs w:val="1"/>
                <w:i w:val="1"/>
                <w:iCs w:val="1"/>
                <w:color w:val="auto"/>
                <w:w w:val="79"/>
              </w:rPr>
              <w:t>millions)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0" w:type="dxa"/>
            <w:vAlign w:val="bottom"/>
            <w:shd w:val="clear" w:color="auto" w:fill="CCEEFF"/>
          </w:tcPr>
          <w:p>
            <w:pPr>
              <w:jc w:val="right"/>
              <w:ind w:right="345"/>
              <w:spacing w:after="0"/>
              <w:rPr>
                <w:sz w:val="20"/>
                <w:szCs w:val="20"/>
                <w:color w:val="auto"/>
              </w:rPr>
            </w:pPr>
            <w:r>
              <w:rPr>
                <w:rFonts w:ascii="Arial" w:cs="Arial" w:eastAsia="Arial" w:hAnsi="Arial"/>
                <w:sz w:val="10"/>
                <w:szCs w:val="10"/>
                <w:color w:val="auto"/>
                <w:w w:val="71"/>
              </w:rPr>
              <w:t>1</w:t>
            </w:r>
          </w:p>
        </w:tc>
        <w:tc>
          <w:tcPr>
            <w:tcW w:w="320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rPr>
              <w:t>AAA/AA/A</w:t>
            </w:r>
          </w:p>
        </w:tc>
        <w:tc>
          <w:tcPr>
            <w:tcW w:w="320" w:type="dxa"/>
            <w:vAlign w:val="bottom"/>
            <w:gridSpan w:val="2"/>
            <w:shd w:val="clear" w:color="auto" w:fill="CCEEFF"/>
          </w:tcPr>
          <w:p>
            <w:pPr>
              <w:jc w:val="right"/>
              <w:ind w:right="12"/>
              <w:spacing w:after="0" w:line="149" w:lineRule="exact"/>
              <w:rPr>
                <w:sz w:val="20"/>
                <w:szCs w:val="20"/>
                <w:color w:val="auto"/>
              </w:rPr>
            </w:pPr>
            <w:r>
              <w:rPr>
                <w:rFonts w:ascii="Arial" w:cs="Arial" w:eastAsia="Arial" w:hAnsi="Arial"/>
                <w:sz w:val="14"/>
                <w:szCs w:val="14"/>
                <w:b w:val="1"/>
                <w:bCs w:val="1"/>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27,137.0</w:t>
            </w:r>
          </w:p>
        </w:tc>
        <w:tc>
          <w:tcPr>
            <w:tcW w:w="2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28,096.1</w:t>
            </w:r>
          </w:p>
        </w:tc>
        <w:tc>
          <w:tcPr>
            <w:tcW w:w="1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0" w:type="dxa"/>
            <w:vAlign w:val="bottom"/>
            <w:gridSpan w:val="3"/>
            <w:shd w:val="clear" w:color="auto" w:fill="CCEEFF"/>
          </w:tcPr>
          <w:p>
            <w:pPr>
              <w:jc w:val="right"/>
              <w:ind w:right="32"/>
              <w:spacing w:after="0" w:line="149" w:lineRule="exact"/>
              <w:rPr>
                <w:sz w:val="20"/>
                <w:szCs w:val="20"/>
                <w:color w:val="auto"/>
              </w:rPr>
            </w:pPr>
            <w:r>
              <w:rPr>
                <w:rFonts w:ascii="Arial" w:cs="Arial" w:eastAsia="Arial" w:hAnsi="Arial"/>
                <w:sz w:val="14"/>
                <w:szCs w:val="14"/>
                <w:b w:val="1"/>
                <w:bCs w:val="1"/>
                <w:color w:val="auto"/>
              </w:rPr>
              <w:t xml:space="preserve">61% </w:t>
            </w:r>
            <w:r>
              <w:rPr>
                <w:rFonts w:ascii="Arial" w:cs="Arial" w:eastAsia="Arial" w:hAnsi="Arial"/>
                <w:sz w:val="14"/>
                <w:szCs w:val="14"/>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26,880.3</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28,943.8</w:t>
            </w:r>
          </w:p>
        </w:tc>
        <w:tc>
          <w:tcPr>
            <w:tcW w:w="1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60%</w:t>
            </w:r>
          </w:p>
        </w:tc>
      </w:tr>
      <w:tr>
        <w:trPr>
          <w:trHeight w:val="149"/>
        </w:trPr>
        <w:tc>
          <w:tcPr>
            <w:tcW w:w="20" w:type="dxa"/>
            <w:vAlign w:val="bottom"/>
          </w:tcPr>
          <w:p>
            <w:pPr>
              <w:spacing w:after="0"/>
              <w:rPr>
                <w:sz w:val="12"/>
                <w:szCs w:val="12"/>
                <w:color w:val="auto"/>
              </w:rPr>
            </w:pPr>
          </w:p>
        </w:tc>
        <w:tc>
          <w:tcPr>
            <w:tcW w:w="460" w:type="dxa"/>
            <w:vAlign w:val="bottom"/>
          </w:tcPr>
          <w:p>
            <w:pPr>
              <w:jc w:val="right"/>
              <w:ind w:right="345"/>
              <w:spacing w:after="0"/>
              <w:rPr>
                <w:sz w:val="20"/>
                <w:szCs w:val="20"/>
                <w:color w:val="auto"/>
              </w:rPr>
            </w:pPr>
            <w:r>
              <w:rPr>
                <w:rFonts w:ascii="Arial" w:cs="Arial" w:eastAsia="Arial" w:hAnsi="Arial"/>
                <w:sz w:val="10"/>
                <w:szCs w:val="10"/>
                <w:color w:val="auto"/>
                <w:w w:val="71"/>
              </w:rPr>
              <w:t>2</w:t>
            </w:r>
          </w:p>
        </w:tc>
        <w:tc>
          <w:tcPr>
            <w:tcW w:w="3200" w:type="dxa"/>
            <w:vAlign w:val="bottom"/>
            <w:gridSpan w:val="2"/>
          </w:tcPr>
          <w:p>
            <w:pPr>
              <w:ind w:left="160"/>
              <w:spacing w:after="0" w:line="149" w:lineRule="exact"/>
              <w:rPr>
                <w:sz w:val="20"/>
                <w:szCs w:val="20"/>
                <w:color w:val="auto"/>
              </w:rPr>
            </w:pPr>
            <w:r>
              <w:rPr>
                <w:rFonts w:ascii="Arial" w:cs="Arial" w:eastAsia="Arial" w:hAnsi="Arial"/>
                <w:sz w:val="14"/>
                <w:szCs w:val="14"/>
                <w:color w:val="auto"/>
              </w:rPr>
              <w:t>BBB</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13,808.3</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14,587.8</w:t>
            </w: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32</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14,331.8</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15,596.0</w:t>
            </w: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33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0" w:type="dxa"/>
            <w:vAlign w:val="bottom"/>
            <w:shd w:val="clear" w:color="auto" w:fill="CCEEFF"/>
          </w:tcPr>
          <w:p>
            <w:pPr>
              <w:jc w:val="right"/>
              <w:ind w:right="345"/>
              <w:spacing w:after="0"/>
              <w:rPr>
                <w:sz w:val="20"/>
                <w:szCs w:val="20"/>
                <w:color w:val="auto"/>
              </w:rPr>
            </w:pPr>
            <w:r>
              <w:rPr>
                <w:rFonts w:ascii="Arial" w:cs="Arial" w:eastAsia="Arial" w:hAnsi="Arial"/>
                <w:sz w:val="10"/>
                <w:szCs w:val="10"/>
                <w:color w:val="auto"/>
                <w:w w:val="71"/>
              </w:rPr>
              <w:t>3</w:t>
            </w:r>
          </w:p>
        </w:tc>
        <w:tc>
          <w:tcPr>
            <w:tcW w:w="320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rPr>
              <w:t>BB</w:t>
            </w:r>
          </w:p>
        </w:tc>
        <w:tc>
          <w:tcPr>
            <w:tcW w:w="1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2,439.9</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2,444.0</w:t>
            </w:r>
          </w:p>
        </w:tc>
        <w:tc>
          <w:tcPr>
            <w:tcW w:w="1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2,416.0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2,330.1</w:t>
            </w:r>
          </w:p>
        </w:tc>
        <w:tc>
          <w:tcPr>
            <w:tcW w:w="1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0" w:type="dxa"/>
            <w:vAlign w:val="bottom"/>
          </w:tcPr>
          <w:p>
            <w:pPr>
              <w:jc w:val="right"/>
              <w:ind w:right="345"/>
              <w:spacing w:after="0"/>
              <w:rPr>
                <w:sz w:val="20"/>
                <w:szCs w:val="20"/>
                <w:color w:val="auto"/>
              </w:rPr>
            </w:pPr>
            <w:r>
              <w:rPr>
                <w:rFonts w:ascii="Arial" w:cs="Arial" w:eastAsia="Arial" w:hAnsi="Arial"/>
                <w:sz w:val="10"/>
                <w:szCs w:val="10"/>
                <w:color w:val="auto"/>
                <w:w w:val="71"/>
              </w:rPr>
              <w:t>4</w:t>
            </w:r>
          </w:p>
        </w:tc>
        <w:tc>
          <w:tcPr>
            <w:tcW w:w="3200" w:type="dxa"/>
            <w:vAlign w:val="bottom"/>
            <w:gridSpan w:val="2"/>
          </w:tcPr>
          <w:p>
            <w:pPr>
              <w:ind w:left="160"/>
              <w:spacing w:after="0" w:line="149" w:lineRule="exact"/>
              <w:rPr>
                <w:sz w:val="20"/>
                <w:szCs w:val="20"/>
                <w:color w:val="auto"/>
              </w:rPr>
            </w:pPr>
            <w:r>
              <w:rPr>
                <w:rFonts w:ascii="Arial" w:cs="Arial" w:eastAsia="Arial" w:hAnsi="Arial"/>
                <w:sz w:val="14"/>
                <w:szCs w:val="14"/>
                <w:color w:val="auto"/>
              </w:rPr>
              <w:t>B</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554.6</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512.6</w:t>
            </w: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677.2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615.7</w:t>
            </w: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0" w:type="dxa"/>
            <w:vAlign w:val="bottom"/>
            <w:shd w:val="clear" w:color="auto" w:fill="CCEEFF"/>
          </w:tcPr>
          <w:p>
            <w:pPr>
              <w:jc w:val="right"/>
              <w:ind w:right="345"/>
              <w:spacing w:after="0"/>
              <w:rPr>
                <w:sz w:val="20"/>
                <w:szCs w:val="20"/>
                <w:color w:val="auto"/>
              </w:rPr>
            </w:pPr>
            <w:r>
              <w:rPr>
                <w:rFonts w:ascii="Arial" w:cs="Arial" w:eastAsia="Arial" w:hAnsi="Arial"/>
                <w:sz w:val="10"/>
                <w:szCs w:val="10"/>
                <w:color w:val="auto"/>
                <w:w w:val="71"/>
              </w:rPr>
              <w:t>5</w:t>
            </w:r>
          </w:p>
        </w:tc>
        <w:tc>
          <w:tcPr>
            <w:tcW w:w="320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rPr>
              <w:t>CCC and lower</w:t>
            </w:r>
          </w:p>
        </w:tc>
        <w:tc>
          <w:tcPr>
            <w:tcW w:w="1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216.4</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179.7</w:t>
            </w:r>
          </w:p>
        </w:tc>
        <w:tc>
          <w:tcPr>
            <w:tcW w:w="1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335.9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254.7</w:t>
            </w:r>
          </w:p>
        </w:tc>
        <w:tc>
          <w:tcPr>
            <w:tcW w:w="1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0" w:type="dxa"/>
            <w:vAlign w:val="bottom"/>
          </w:tcPr>
          <w:p>
            <w:pPr>
              <w:jc w:val="right"/>
              <w:ind w:right="345"/>
              <w:spacing w:after="0"/>
              <w:rPr>
                <w:sz w:val="20"/>
                <w:szCs w:val="20"/>
                <w:color w:val="auto"/>
              </w:rPr>
            </w:pPr>
            <w:r>
              <w:rPr>
                <w:rFonts w:ascii="Arial" w:cs="Arial" w:eastAsia="Arial" w:hAnsi="Arial"/>
                <w:sz w:val="10"/>
                <w:szCs w:val="10"/>
                <w:color w:val="auto"/>
                <w:w w:val="71"/>
              </w:rPr>
              <w:t>6</w:t>
            </w:r>
          </w:p>
        </w:tc>
        <w:tc>
          <w:tcPr>
            <w:tcW w:w="3200" w:type="dxa"/>
            <w:vAlign w:val="bottom"/>
            <w:gridSpan w:val="2"/>
          </w:tcPr>
          <w:p>
            <w:pPr>
              <w:ind w:left="160"/>
              <w:spacing w:after="0" w:line="149" w:lineRule="exact"/>
              <w:rPr>
                <w:sz w:val="20"/>
                <w:szCs w:val="20"/>
                <w:color w:val="auto"/>
              </w:rPr>
            </w:pPr>
            <w:r>
              <w:rPr>
                <w:rFonts w:ascii="Arial" w:cs="Arial" w:eastAsia="Arial" w:hAnsi="Arial"/>
                <w:sz w:val="14"/>
                <w:szCs w:val="14"/>
                <w:color w:val="auto"/>
              </w:rPr>
              <w:t>In or near default</w:t>
            </w:r>
          </w:p>
        </w:tc>
        <w:tc>
          <w:tcPr>
            <w:tcW w:w="1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217.3</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137.3</w:t>
            </w:r>
          </w:p>
        </w:tc>
        <w:tc>
          <w:tcPr>
            <w:tcW w:w="160" w:type="dxa"/>
            <w:vAlign w:val="bottom"/>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259.2</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127.0</w:t>
            </w:r>
          </w:p>
        </w:tc>
        <w:tc>
          <w:tcPr>
            <w:tcW w:w="160" w:type="dxa"/>
            <w:vAlign w:val="bottom"/>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20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Total fixed maturities</w:t>
            </w:r>
          </w:p>
        </w:tc>
        <w:tc>
          <w:tcPr>
            <w:tcW w:w="320" w:type="dxa"/>
            <w:vAlign w:val="bottom"/>
            <w:gridSpan w:val="2"/>
            <w:shd w:val="clear" w:color="auto" w:fill="CCEEFF"/>
          </w:tcPr>
          <w:p>
            <w:pPr>
              <w:jc w:val="right"/>
              <w:ind w:right="12"/>
              <w:spacing w:after="0"/>
              <w:rPr>
                <w:sz w:val="20"/>
                <w:szCs w:val="20"/>
                <w:color w:val="auto"/>
              </w:rPr>
            </w:pPr>
            <w:r>
              <w:rPr>
                <w:rFonts w:ascii="Arial" w:cs="Arial" w:eastAsia="Arial" w:hAnsi="Arial"/>
                <w:sz w:val="14"/>
                <w:szCs w:val="14"/>
                <w:b w:val="1"/>
                <w:bCs w:val="1"/>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44,373.5</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45,957.5</w:t>
            </w:r>
          </w:p>
        </w:tc>
        <w:tc>
          <w:tcPr>
            <w:tcW w:w="1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32"/>
              <w:spacing w:after="0"/>
              <w:rPr>
                <w:sz w:val="20"/>
                <w:szCs w:val="20"/>
                <w:color w:val="auto"/>
              </w:rPr>
            </w:pPr>
            <w:r>
              <w:rPr>
                <w:rFonts w:ascii="Arial" w:cs="Arial" w:eastAsia="Arial" w:hAnsi="Arial"/>
                <w:sz w:val="14"/>
                <w:szCs w:val="14"/>
                <w:b w:val="1"/>
                <w:bCs w:val="1"/>
                <w:color w:val="auto"/>
              </w:rPr>
              <w:t xml:space="preserve">100% </w:t>
            </w: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44,900.</w:t>
            </w:r>
            <w:r>
              <w:rPr>
                <w:rFonts w:ascii="Arial" w:cs="Arial" w:eastAsia="Arial" w:hAnsi="Arial"/>
                <w:sz w:val="14"/>
                <w:szCs w:val="14"/>
                <w:u w:val="single" w:color="auto"/>
                <w:color w:val="auto"/>
              </w:rPr>
              <w:t>4</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47,867.3</w:t>
            </w:r>
          </w:p>
        </w:tc>
        <w:tc>
          <w:tcPr>
            <w:tcW w:w="1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100%</w:t>
            </w:r>
          </w:p>
        </w:tc>
      </w:tr>
      <w:tr>
        <w:trPr>
          <w:trHeight w:val="20"/>
        </w:trPr>
        <w:tc>
          <w:tcPr>
            <w:tcW w:w="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firstLine="473"/>
        <w:spacing w:after="0" w:line="298" w:lineRule="auto"/>
        <w:rPr>
          <w:sz w:val="20"/>
          <w:szCs w:val="20"/>
          <w:color w:val="auto"/>
        </w:rPr>
      </w:pPr>
      <w:r>
        <w:rPr>
          <w:rFonts w:ascii="Arial" w:cs="Arial" w:eastAsia="Arial" w:hAnsi="Arial"/>
          <w:sz w:val="16"/>
          <w:szCs w:val="16"/>
          <w:color w:val="auto"/>
        </w:rPr>
        <w:t>Fixed maturities include 15 securities with an amortized cost of $148.2 million, gross gains of $2.6 million, gross losses of $4.4 million and a carrying amount of $146.4 million as of December 31, 2013, that are still pending a review and assignment of a rating by the SVO. Due to the timing of when fixed maturities are purchased, legal documents are filed and the review by the SVO is completed, there will always be securities in our portfolio that are unrated over a reporting period. In these instances, an equivalent rating is assigned based on our fixed income analyst's assessment.</w:t>
      </w:r>
    </w:p>
    <w:p>
      <w:pPr>
        <w:spacing w:after="0" w:line="167" w:lineRule="exact"/>
        <w:rPr>
          <w:sz w:val="20"/>
          <w:szCs w:val="20"/>
          <w:color w:val="auto"/>
        </w:rPr>
      </w:pPr>
    </w:p>
    <w:p>
      <w:pPr>
        <w:jc w:val="both"/>
        <w:ind w:firstLine="351"/>
        <w:spacing w:after="0" w:line="259" w:lineRule="auto"/>
        <w:rPr>
          <w:sz w:val="20"/>
          <w:szCs w:val="20"/>
          <w:color w:val="auto"/>
        </w:rPr>
      </w:pPr>
      <w:r>
        <w:rPr>
          <w:rFonts w:ascii="Arial" w:cs="Arial" w:eastAsia="Arial" w:hAnsi="Arial"/>
          <w:sz w:val="18"/>
          <w:szCs w:val="18"/>
          <w:b w:val="1"/>
          <w:bCs w:val="1"/>
          <w:i w:val="1"/>
          <w:iCs w:val="1"/>
          <w:color w:val="auto"/>
        </w:rPr>
        <w:t xml:space="preserve">Commercial Mortgage-Backed Securities and Home Equity Asset-Backed Securities Portfolios. </w:t>
      </w:r>
      <w:r>
        <w:rPr>
          <w:rFonts w:ascii="Arial" w:cs="Arial" w:eastAsia="Arial" w:hAnsi="Arial"/>
          <w:sz w:val="18"/>
          <w:szCs w:val="18"/>
          <w:color w:val="auto"/>
        </w:rPr>
        <w:t>As of December 31, 2013, based on amortized cost, 54%</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of our CMBS portfolio had ratings of A or higher and 36% was issued prior to 2005 and after 2008 and 8% of our ABS home equity portfolio had ratings of A or higher and 64% was issued prior to 2005.</w:t>
      </w:r>
    </w:p>
    <w:p>
      <w:pPr>
        <w:spacing w:after="0" w:line="194" w:lineRule="exact"/>
        <w:rPr>
          <w:sz w:val="20"/>
          <w:szCs w:val="20"/>
          <w:color w:val="auto"/>
        </w:rPr>
      </w:pPr>
    </w:p>
    <w:p>
      <w:pPr>
        <w:jc w:val="both"/>
        <w:ind w:firstLine="499"/>
        <w:spacing w:after="0" w:line="268" w:lineRule="auto"/>
        <w:rPr>
          <w:sz w:val="20"/>
          <w:szCs w:val="20"/>
          <w:color w:val="auto"/>
        </w:rPr>
      </w:pPr>
      <w:r>
        <w:rPr>
          <w:rFonts w:ascii="Arial" w:cs="Arial" w:eastAsia="Arial" w:hAnsi="Arial"/>
          <w:sz w:val="18"/>
          <w:szCs w:val="18"/>
          <w:color w:val="auto"/>
        </w:rPr>
        <w:t>The following tables present our exposure by credit quality, based on the lowest NRSRO designation, and year of issuance ("vintage") for our CMBS portfolio as of the periods indicated.</w:t>
      </w:r>
    </w:p>
    <w:p>
      <w:pPr>
        <w:spacing w:after="0" w:line="18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4"/>
          </w:tcPr>
          <w:p>
            <w:pPr>
              <w:jc w:val="right"/>
              <w:ind w:right="132"/>
              <w:spacing w:after="0"/>
              <w:rPr>
                <w:sz w:val="20"/>
                <w:szCs w:val="20"/>
                <w:color w:val="auto"/>
              </w:rPr>
            </w:pPr>
            <w:r>
              <w:rPr>
                <w:rFonts w:ascii="Arial" w:cs="Arial" w:eastAsia="Arial" w:hAnsi="Arial"/>
                <w:sz w:val="14"/>
                <w:szCs w:val="14"/>
                <w:b w:val="1"/>
                <w:bCs w:val="1"/>
                <w:color w:val="auto"/>
                <w:w w:val="85"/>
              </w:rPr>
              <w:t>December 31, 2013</w:t>
            </w:r>
          </w:p>
        </w:tc>
        <w:tc>
          <w:tcPr>
            <w:tcW w:w="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AAA</w:t>
            </w:r>
          </w:p>
        </w:tc>
        <w:tc>
          <w:tcPr>
            <w:tcW w:w="540" w:type="dxa"/>
            <w:vAlign w:val="bottom"/>
            <w:tcBorders>
              <w:bottom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AA</w:t>
            </w:r>
          </w:p>
        </w:tc>
        <w:tc>
          <w:tcPr>
            <w:tcW w:w="540" w:type="dxa"/>
            <w:vAlign w:val="bottom"/>
            <w:tcBorders>
              <w:bottom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gridSpan w:val="2"/>
          </w:tcPr>
          <w:p>
            <w:pPr>
              <w:ind w:left="480"/>
              <w:spacing w:after="0" w:line="142" w:lineRule="exact"/>
              <w:rPr>
                <w:sz w:val="20"/>
                <w:szCs w:val="20"/>
                <w:color w:val="auto"/>
              </w:rPr>
            </w:pPr>
            <w:r>
              <w:rPr>
                <w:rFonts w:ascii="Arial" w:cs="Arial" w:eastAsia="Arial" w:hAnsi="Arial"/>
                <w:sz w:val="14"/>
                <w:szCs w:val="14"/>
                <w:b w:val="1"/>
                <w:bCs w:val="1"/>
                <w:color w:val="auto"/>
                <w:w w:val="98"/>
              </w:rPr>
              <w:t>A</w:t>
            </w:r>
          </w:p>
        </w:tc>
        <w:tc>
          <w:tcPr>
            <w:tcW w:w="8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BBB</w:t>
            </w:r>
          </w:p>
        </w:tc>
        <w:tc>
          <w:tcPr>
            <w:tcW w:w="540" w:type="dxa"/>
            <w:vAlign w:val="bottom"/>
            <w:tcBorders>
              <w:bottom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220" w:type="dxa"/>
            <w:vAlign w:val="bottom"/>
            <w:tcBorders>
              <w:bottom w:val="single" w:sz="8" w:color="auto"/>
            </w:tcBorders>
            <w:gridSpan w:val="4"/>
          </w:tcPr>
          <w:p>
            <w:pPr>
              <w:ind w:left="80"/>
              <w:spacing w:after="0" w:line="142" w:lineRule="exact"/>
              <w:rPr>
                <w:sz w:val="20"/>
                <w:szCs w:val="20"/>
                <w:color w:val="auto"/>
              </w:rPr>
            </w:pPr>
            <w:r>
              <w:rPr>
                <w:rFonts w:ascii="Arial" w:cs="Arial" w:eastAsia="Arial" w:hAnsi="Arial"/>
                <w:sz w:val="14"/>
                <w:szCs w:val="14"/>
                <w:b w:val="1"/>
                <w:bCs w:val="1"/>
                <w:color w:val="auto"/>
              </w:rPr>
              <w:t>BB+ and Below</w:t>
            </w:r>
          </w:p>
        </w:tc>
        <w:tc>
          <w:tcPr>
            <w:tcW w:w="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Total</w:t>
            </w:r>
          </w:p>
        </w:tc>
        <w:tc>
          <w:tcPr>
            <w:tcW w:w="540" w:type="dxa"/>
            <w:vAlign w:val="bottom"/>
            <w:tcBorders>
              <w:bottom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8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0"/>
              </w:rPr>
              <w:t>Amortized</w:t>
            </w:r>
          </w:p>
        </w:tc>
        <w:tc>
          <w:tcPr>
            <w:tcW w:w="60" w:type="dxa"/>
            <w:vAlign w:val="bottom"/>
          </w:tcPr>
          <w:p>
            <w:pPr>
              <w:spacing w:after="0"/>
              <w:rPr>
                <w:sz w:val="11"/>
                <w:szCs w:val="11"/>
                <w:color w:val="auto"/>
              </w:rPr>
            </w:pPr>
          </w:p>
        </w:tc>
        <w:tc>
          <w:tcPr>
            <w:tcW w:w="62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7"/>
              </w:rPr>
              <w:t>Carrying</w:t>
            </w:r>
          </w:p>
        </w:tc>
        <w:tc>
          <w:tcPr>
            <w:tcW w:w="60" w:type="dxa"/>
            <w:vAlign w:val="bottom"/>
          </w:tcPr>
          <w:p>
            <w:pPr>
              <w:spacing w:after="0"/>
              <w:rPr>
                <w:sz w:val="11"/>
                <w:szCs w:val="11"/>
                <w:color w:val="auto"/>
              </w:rPr>
            </w:pPr>
          </w:p>
        </w:tc>
        <w:tc>
          <w:tcPr>
            <w:tcW w:w="70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0"/>
              </w:rPr>
              <w:t>Amortized</w:t>
            </w:r>
          </w:p>
        </w:tc>
        <w:tc>
          <w:tcPr>
            <w:tcW w:w="60" w:type="dxa"/>
            <w:vAlign w:val="bottom"/>
          </w:tcPr>
          <w:p>
            <w:pPr>
              <w:spacing w:after="0"/>
              <w:rPr>
                <w:sz w:val="11"/>
                <w:szCs w:val="11"/>
                <w:color w:val="auto"/>
              </w:rPr>
            </w:pPr>
          </w:p>
        </w:tc>
        <w:tc>
          <w:tcPr>
            <w:tcW w:w="60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3"/>
              </w:rPr>
              <w:t>Carrying</w:t>
            </w:r>
          </w:p>
        </w:tc>
        <w:tc>
          <w:tcPr>
            <w:tcW w:w="80" w:type="dxa"/>
            <w:vAlign w:val="bottom"/>
          </w:tcPr>
          <w:p>
            <w:pPr>
              <w:spacing w:after="0"/>
              <w:rPr>
                <w:sz w:val="11"/>
                <w:szCs w:val="11"/>
                <w:color w:val="auto"/>
              </w:rPr>
            </w:pPr>
          </w:p>
        </w:tc>
        <w:tc>
          <w:tcPr>
            <w:tcW w:w="740" w:type="dxa"/>
            <w:vAlign w:val="bottom"/>
            <w:gridSpan w:val="3"/>
          </w:tcPr>
          <w:p>
            <w:pPr>
              <w:ind w:left="20"/>
              <w:spacing w:after="0" w:line="129" w:lineRule="exact"/>
              <w:rPr>
                <w:sz w:val="20"/>
                <w:szCs w:val="20"/>
                <w:color w:val="auto"/>
              </w:rPr>
            </w:pPr>
            <w:r>
              <w:rPr>
                <w:rFonts w:ascii="Arial" w:cs="Arial" w:eastAsia="Arial" w:hAnsi="Arial"/>
                <w:sz w:val="14"/>
                <w:szCs w:val="14"/>
                <w:b w:val="1"/>
                <w:bCs w:val="1"/>
                <w:color w:val="auto"/>
              </w:rPr>
              <w:t>Amortized</w:t>
            </w:r>
          </w:p>
        </w:tc>
        <w:tc>
          <w:tcPr>
            <w:tcW w:w="62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7"/>
              </w:rPr>
              <w:t>Carrying</w:t>
            </w:r>
          </w:p>
        </w:tc>
        <w:tc>
          <w:tcPr>
            <w:tcW w:w="60" w:type="dxa"/>
            <w:vAlign w:val="bottom"/>
          </w:tcPr>
          <w:p>
            <w:pPr>
              <w:spacing w:after="0"/>
              <w:rPr>
                <w:sz w:val="11"/>
                <w:szCs w:val="11"/>
                <w:color w:val="auto"/>
              </w:rPr>
            </w:pPr>
          </w:p>
        </w:tc>
        <w:tc>
          <w:tcPr>
            <w:tcW w:w="70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3"/>
              </w:rPr>
              <w:t>Amortized</w:t>
            </w:r>
          </w:p>
        </w:tc>
        <w:tc>
          <w:tcPr>
            <w:tcW w:w="60" w:type="dxa"/>
            <w:vAlign w:val="bottom"/>
          </w:tcPr>
          <w:p>
            <w:pPr>
              <w:spacing w:after="0"/>
              <w:rPr>
                <w:sz w:val="11"/>
                <w:szCs w:val="11"/>
                <w:color w:val="auto"/>
              </w:rPr>
            </w:pPr>
          </w:p>
        </w:tc>
        <w:tc>
          <w:tcPr>
            <w:tcW w:w="60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3"/>
              </w:rPr>
              <w:t>Carrying</w:t>
            </w:r>
          </w:p>
        </w:tc>
        <w:tc>
          <w:tcPr>
            <w:tcW w:w="80" w:type="dxa"/>
            <w:vAlign w:val="bottom"/>
          </w:tcPr>
          <w:p>
            <w:pPr>
              <w:spacing w:after="0"/>
              <w:rPr>
                <w:sz w:val="11"/>
                <w:szCs w:val="11"/>
                <w:color w:val="auto"/>
              </w:rPr>
            </w:pPr>
          </w:p>
        </w:tc>
        <w:tc>
          <w:tcPr>
            <w:tcW w:w="68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0"/>
              </w:rPr>
              <w:t>Amortized</w:t>
            </w:r>
          </w:p>
        </w:tc>
        <w:tc>
          <w:tcPr>
            <w:tcW w:w="80" w:type="dxa"/>
            <w:vAlign w:val="bottom"/>
          </w:tcPr>
          <w:p>
            <w:pPr>
              <w:spacing w:after="0"/>
              <w:rPr>
                <w:sz w:val="11"/>
                <w:szCs w:val="11"/>
                <w:color w:val="auto"/>
              </w:rPr>
            </w:pPr>
          </w:p>
        </w:tc>
        <w:tc>
          <w:tcPr>
            <w:tcW w:w="60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3"/>
              </w:rPr>
              <w:t>Carrying</w:t>
            </w:r>
          </w:p>
        </w:tc>
        <w:tc>
          <w:tcPr>
            <w:tcW w:w="60" w:type="dxa"/>
            <w:vAlign w:val="bottom"/>
          </w:tcPr>
          <w:p>
            <w:pPr>
              <w:spacing w:after="0"/>
              <w:rPr>
                <w:sz w:val="11"/>
                <w:szCs w:val="11"/>
                <w:color w:val="auto"/>
              </w:rPr>
            </w:pPr>
          </w:p>
        </w:tc>
        <w:tc>
          <w:tcPr>
            <w:tcW w:w="70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3"/>
              </w:rPr>
              <w:t>Amortized</w:t>
            </w:r>
          </w:p>
        </w:tc>
        <w:tc>
          <w:tcPr>
            <w:tcW w:w="60" w:type="dxa"/>
            <w:vAlign w:val="bottom"/>
          </w:tcPr>
          <w:p>
            <w:pPr>
              <w:spacing w:after="0"/>
              <w:rPr>
                <w:sz w:val="11"/>
                <w:szCs w:val="11"/>
                <w:color w:val="auto"/>
              </w:rPr>
            </w:pPr>
          </w:p>
        </w:tc>
        <w:tc>
          <w:tcPr>
            <w:tcW w:w="62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3"/>
              </w:rPr>
              <w:t>Carrying</w:t>
            </w: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w w:val="90"/>
              </w:rPr>
              <w:t>cost</w:t>
            </w: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2"/>
              </w:rPr>
              <w:t>amount</w:t>
            </w:r>
          </w:p>
        </w:tc>
        <w:tc>
          <w:tcPr>
            <w:tcW w:w="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rPr>
              <w:t>cost</w:t>
            </w:r>
          </w:p>
        </w:tc>
        <w:tc>
          <w:tcPr>
            <w:tcW w:w="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6"/>
              </w:rPr>
              <w:t>amount</w:t>
            </w:r>
          </w:p>
        </w:tc>
        <w:tc>
          <w:tcPr>
            <w:tcW w:w="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w w:val="97"/>
              </w:rPr>
              <w:t>cost</w:t>
            </w: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2"/>
              </w:rPr>
              <w:t>amount</w:t>
            </w:r>
          </w:p>
        </w:tc>
        <w:tc>
          <w:tcPr>
            <w:tcW w:w="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rPr>
              <w:t>cost</w:t>
            </w:r>
          </w:p>
        </w:tc>
        <w:tc>
          <w:tcPr>
            <w:tcW w:w="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6"/>
              </w:rPr>
              <w:t>amount</w:t>
            </w:r>
          </w:p>
        </w:tc>
        <w:tc>
          <w:tcPr>
            <w:tcW w:w="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ind w:left="80"/>
              <w:spacing w:after="0"/>
              <w:rPr>
                <w:sz w:val="20"/>
                <w:szCs w:val="20"/>
                <w:color w:val="auto"/>
              </w:rPr>
            </w:pPr>
            <w:r>
              <w:rPr>
                <w:rFonts w:ascii="Arial" w:cs="Arial" w:eastAsia="Arial" w:hAnsi="Arial"/>
                <w:sz w:val="14"/>
                <w:szCs w:val="14"/>
                <w:b w:val="1"/>
                <w:bCs w:val="1"/>
                <w:color w:val="auto"/>
              </w:rPr>
              <w:t>cost</w:t>
            </w:r>
          </w:p>
        </w:tc>
        <w:tc>
          <w:tcPr>
            <w:tcW w:w="8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6"/>
              </w:rPr>
              <w:t>amount</w:t>
            </w:r>
          </w:p>
        </w:tc>
        <w:tc>
          <w:tcPr>
            <w:tcW w:w="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w w:val="97"/>
              </w:rPr>
              <w:t>cost</w:t>
            </w: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2"/>
              </w:rPr>
              <w:t>amount</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00" w:type="dxa"/>
            <w:vAlign w:val="bottom"/>
            <w:gridSpan w:val="4"/>
          </w:tcPr>
          <w:p>
            <w:pPr>
              <w:jc w:val="right"/>
              <w:ind w:right="332"/>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58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2003 &amp;</w:t>
            </w:r>
          </w:p>
        </w:tc>
        <w:tc>
          <w:tcPr>
            <w:tcW w:w="180" w:type="dxa"/>
            <w:vAlign w:val="bottom"/>
            <w:gridSpan w:val="2"/>
            <w:vMerge w:val="restart"/>
            <w:shd w:val="clear" w:color="auto" w:fill="CCEEFF"/>
          </w:tcPr>
          <w:p>
            <w:pPr>
              <w:jc w:val="right"/>
              <w:ind w:right="41"/>
              <w:spacing w:after="0"/>
              <w:rPr>
                <w:sz w:val="20"/>
                <w:szCs w:val="20"/>
                <w:color w:val="auto"/>
              </w:rPr>
            </w:pPr>
            <w:r>
              <w:rPr>
                <w:rFonts w:ascii="Arial" w:cs="Arial" w:eastAsia="Arial" w:hAnsi="Arial"/>
                <w:sz w:val="14"/>
                <w:szCs w:val="14"/>
                <w:b w:val="1"/>
                <w:bCs w:val="1"/>
                <w:color w:val="auto"/>
                <w:w w:val="76"/>
              </w:rPr>
              <w:t>$</w:t>
            </w:r>
          </w:p>
        </w:tc>
        <w:tc>
          <w:tcPr>
            <w:tcW w:w="52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19.2</w:t>
            </w:r>
          </w:p>
        </w:tc>
        <w:tc>
          <w:tcPr>
            <w:tcW w:w="14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20.0</w:t>
            </w:r>
          </w:p>
        </w:tc>
        <w:tc>
          <w:tcPr>
            <w:tcW w:w="200" w:type="dxa"/>
            <w:vAlign w:val="bottom"/>
            <w:gridSpan w:val="2"/>
            <w:vMerge w:val="restart"/>
            <w:shd w:val="clear" w:color="auto" w:fill="CCEEFF"/>
          </w:tcPr>
          <w:p>
            <w:pPr>
              <w:jc w:val="right"/>
              <w:ind w:right="21"/>
              <w:spacing w:after="0"/>
              <w:rPr>
                <w:sz w:val="20"/>
                <w:szCs w:val="20"/>
                <w:color w:val="auto"/>
              </w:rPr>
            </w:pPr>
            <w:r>
              <w:rPr>
                <w:rFonts w:ascii="Arial" w:cs="Arial" w:eastAsia="Arial" w:hAnsi="Arial"/>
                <w:sz w:val="14"/>
                <w:szCs w:val="14"/>
                <w:b w:val="1"/>
                <w:bCs w:val="1"/>
                <w:color w:val="auto"/>
              </w:rPr>
              <w:t>$</w:t>
            </w:r>
          </w:p>
        </w:tc>
        <w:tc>
          <w:tcPr>
            <w:tcW w:w="56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10.0</w:t>
            </w:r>
          </w:p>
        </w:tc>
        <w:tc>
          <w:tcPr>
            <w:tcW w:w="12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11.3</w:t>
            </w:r>
          </w:p>
        </w:tc>
        <w:tc>
          <w:tcPr>
            <w:tcW w:w="220" w:type="dxa"/>
            <w:vAlign w:val="bottom"/>
            <w:gridSpan w:val="2"/>
            <w:vMerge w:val="restart"/>
            <w:shd w:val="clear" w:color="auto" w:fill="CCEEFF"/>
          </w:tcPr>
          <w:p>
            <w:pPr>
              <w:jc w:val="right"/>
              <w:ind w:right="21"/>
              <w:spacing w:after="0"/>
              <w:rPr>
                <w:sz w:val="20"/>
                <w:szCs w:val="20"/>
                <w:color w:val="auto"/>
              </w:rPr>
            </w:pPr>
            <w:r>
              <w:rPr>
                <w:rFonts w:ascii="Arial" w:cs="Arial" w:eastAsia="Arial" w:hAnsi="Arial"/>
                <w:sz w:val="14"/>
                <w:szCs w:val="14"/>
                <w:b w:val="1"/>
                <w:bCs w:val="1"/>
                <w:color w:val="auto"/>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0.7</w:t>
            </w:r>
          </w:p>
        </w:tc>
        <w:tc>
          <w:tcPr>
            <w:tcW w:w="60" w:type="dxa"/>
            <w:vAlign w:val="bottom"/>
            <w:shd w:val="clear" w:color="auto" w:fill="CCEEFF"/>
          </w:tcPr>
          <w:p>
            <w:pPr>
              <w:spacing w:after="0"/>
              <w:rPr>
                <w:sz w:val="11"/>
                <w:szCs w:val="11"/>
                <w:color w:val="auto"/>
              </w:rPr>
            </w:pPr>
          </w:p>
        </w:tc>
        <w:tc>
          <w:tcPr>
            <w:tcW w:w="8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w w:val="76"/>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0.7</w:t>
            </w:r>
          </w:p>
        </w:tc>
        <w:tc>
          <w:tcPr>
            <w:tcW w:w="200" w:type="dxa"/>
            <w:vAlign w:val="bottom"/>
            <w:gridSpan w:val="2"/>
            <w:vMerge w:val="restart"/>
            <w:shd w:val="clear" w:color="auto" w:fill="CCEEFF"/>
          </w:tcPr>
          <w:p>
            <w:pPr>
              <w:jc w:val="right"/>
              <w:ind w:right="21"/>
              <w:spacing w:after="0"/>
              <w:rPr>
                <w:sz w:val="20"/>
                <w:szCs w:val="20"/>
                <w:color w:val="auto"/>
              </w:rPr>
            </w:pPr>
            <w:r>
              <w:rPr>
                <w:rFonts w:ascii="Arial" w:cs="Arial" w:eastAsia="Arial" w:hAnsi="Arial"/>
                <w:sz w:val="14"/>
                <w:szCs w:val="14"/>
                <w:b w:val="1"/>
                <w:bCs w:val="1"/>
                <w:color w:val="auto"/>
              </w:rPr>
              <w:t>$</w:t>
            </w:r>
          </w:p>
        </w:tc>
        <w:tc>
          <w:tcPr>
            <w:tcW w:w="56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27.8</w:t>
            </w:r>
          </w:p>
        </w:tc>
        <w:tc>
          <w:tcPr>
            <w:tcW w:w="12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31.7</w:t>
            </w:r>
          </w:p>
        </w:tc>
        <w:tc>
          <w:tcPr>
            <w:tcW w:w="220" w:type="dxa"/>
            <w:vAlign w:val="bottom"/>
            <w:gridSpan w:val="2"/>
            <w:vMerge w:val="restart"/>
            <w:shd w:val="clear" w:color="auto" w:fill="CCEEFF"/>
          </w:tcPr>
          <w:p>
            <w:pPr>
              <w:jc w:val="right"/>
              <w:ind w:right="21"/>
              <w:spacing w:after="0"/>
              <w:rPr>
                <w:sz w:val="20"/>
                <w:szCs w:val="20"/>
                <w:color w:val="auto"/>
              </w:rPr>
            </w:pPr>
            <w:r>
              <w:rPr>
                <w:rFonts w:ascii="Arial" w:cs="Arial" w:eastAsia="Arial" w:hAnsi="Arial"/>
                <w:sz w:val="14"/>
                <w:szCs w:val="14"/>
                <w:b w:val="1"/>
                <w:bCs w:val="1"/>
                <w:color w:val="auto"/>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72.4</w:t>
            </w:r>
          </w:p>
        </w:tc>
        <w:tc>
          <w:tcPr>
            <w:tcW w:w="14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71.2</w:t>
            </w:r>
          </w:p>
        </w:tc>
        <w:tc>
          <w:tcPr>
            <w:tcW w:w="220" w:type="dxa"/>
            <w:vAlign w:val="bottom"/>
            <w:gridSpan w:val="2"/>
            <w:vMerge w:val="restart"/>
            <w:shd w:val="clear" w:color="auto" w:fill="CCEEFF"/>
          </w:tcPr>
          <w:p>
            <w:pPr>
              <w:jc w:val="right"/>
              <w:ind w:right="41"/>
              <w:spacing w:after="0"/>
              <w:rPr>
                <w:sz w:val="20"/>
                <w:szCs w:val="20"/>
                <w:color w:val="auto"/>
              </w:rPr>
            </w:pPr>
            <w:r>
              <w:rPr>
                <w:rFonts w:ascii="Arial" w:cs="Arial" w:eastAsia="Arial" w:hAnsi="Arial"/>
                <w:sz w:val="14"/>
                <w:szCs w:val="14"/>
                <w:b w:val="1"/>
                <w:bCs w:val="1"/>
                <w:color w:val="auto"/>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130.1</w:t>
            </w:r>
          </w:p>
        </w:tc>
        <w:tc>
          <w:tcPr>
            <w:tcW w:w="14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134.9</w:t>
            </w:r>
          </w:p>
        </w:tc>
        <w:tc>
          <w:tcPr>
            <w:tcW w:w="1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58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Prior</w:t>
            </w:r>
          </w:p>
        </w:tc>
        <w:tc>
          <w:tcPr>
            <w:tcW w:w="180" w:type="dxa"/>
            <w:vAlign w:val="bottom"/>
            <w:gridSpan w:val="2"/>
            <w:vMerge w:val="continue"/>
            <w:shd w:val="clear" w:color="auto" w:fill="CCEEFF"/>
          </w:tcPr>
          <w:p>
            <w:pPr>
              <w:spacing w:after="0"/>
              <w:rPr>
                <w:sz w:val="13"/>
                <w:szCs w:val="13"/>
                <w:color w:val="auto"/>
              </w:rPr>
            </w:pPr>
          </w:p>
        </w:tc>
        <w:tc>
          <w:tcPr>
            <w:tcW w:w="520" w:type="dxa"/>
            <w:vAlign w:val="bottom"/>
            <w:vMerge w:val="continue"/>
            <w:shd w:val="clear" w:color="auto" w:fill="CCEEFF"/>
          </w:tcPr>
          <w:p>
            <w:pPr>
              <w:spacing w:after="0"/>
              <w:rPr>
                <w:sz w:val="13"/>
                <w:szCs w:val="13"/>
                <w:color w:val="auto"/>
              </w:rPr>
            </w:pPr>
          </w:p>
        </w:tc>
        <w:tc>
          <w:tcPr>
            <w:tcW w:w="140" w:type="dxa"/>
            <w:vAlign w:val="bottom"/>
            <w:gridSpan w:val="2"/>
            <w:vMerge w:val="continue"/>
            <w:shd w:val="clear" w:color="auto" w:fill="CCEEFF"/>
          </w:tcPr>
          <w:p>
            <w:pPr>
              <w:spacing w:after="0"/>
              <w:rPr>
                <w:sz w:val="13"/>
                <w:szCs w:val="13"/>
                <w:color w:val="auto"/>
              </w:rPr>
            </w:pPr>
          </w:p>
        </w:tc>
        <w:tc>
          <w:tcPr>
            <w:tcW w:w="540" w:type="dxa"/>
            <w:vAlign w:val="bottom"/>
            <w:vMerge w:val="continue"/>
            <w:shd w:val="clear" w:color="auto" w:fill="CCEEFF"/>
          </w:tcPr>
          <w:p>
            <w:pPr>
              <w:spacing w:after="0"/>
              <w:rPr>
                <w:sz w:val="13"/>
                <w:szCs w:val="13"/>
                <w:color w:val="auto"/>
              </w:rPr>
            </w:pPr>
          </w:p>
        </w:tc>
        <w:tc>
          <w:tcPr>
            <w:tcW w:w="200" w:type="dxa"/>
            <w:vAlign w:val="bottom"/>
            <w:gridSpan w:val="2"/>
            <w:vMerge w:val="continue"/>
            <w:shd w:val="clear" w:color="auto" w:fill="CCEEFF"/>
          </w:tcPr>
          <w:p>
            <w:pPr>
              <w:spacing w:after="0"/>
              <w:rPr>
                <w:sz w:val="13"/>
                <w:szCs w:val="13"/>
                <w:color w:val="auto"/>
              </w:rPr>
            </w:pPr>
          </w:p>
        </w:tc>
        <w:tc>
          <w:tcPr>
            <w:tcW w:w="560" w:type="dxa"/>
            <w:vAlign w:val="bottom"/>
            <w:vMerge w:val="continue"/>
            <w:shd w:val="clear" w:color="auto" w:fill="CCEEFF"/>
          </w:tcPr>
          <w:p>
            <w:pPr>
              <w:spacing w:after="0"/>
              <w:rPr>
                <w:sz w:val="13"/>
                <w:szCs w:val="13"/>
                <w:color w:val="auto"/>
              </w:rPr>
            </w:pPr>
          </w:p>
        </w:tc>
        <w:tc>
          <w:tcPr>
            <w:tcW w:w="120" w:type="dxa"/>
            <w:vAlign w:val="bottom"/>
            <w:gridSpan w:val="2"/>
            <w:vMerge w:val="continue"/>
            <w:shd w:val="clear" w:color="auto" w:fill="CCEEFF"/>
          </w:tcPr>
          <w:p>
            <w:pPr>
              <w:spacing w:after="0"/>
              <w:rPr>
                <w:sz w:val="13"/>
                <w:szCs w:val="13"/>
                <w:color w:val="auto"/>
              </w:rPr>
            </w:pPr>
          </w:p>
        </w:tc>
        <w:tc>
          <w:tcPr>
            <w:tcW w:w="540" w:type="dxa"/>
            <w:vAlign w:val="bottom"/>
            <w:vMerge w:val="continue"/>
            <w:shd w:val="clear" w:color="auto" w:fill="CCEEFF"/>
          </w:tcPr>
          <w:p>
            <w:pPr>
              <w:spacing w:after="0"/>
              <w:rPr>
                <w:sz w:val="13"/>
                <w:szCs w:val="13"/>
                <w:color w:val="auto"/>
              </w:rPr>
            </w:pPr>
          </w:p>
        </w:tc>
        <w:tc>
          <w:tcPr>
            <w:tcW w:w="220" w:type="dxa"/>
            <w:vAlign w:val="bottom"/>
            <w:gridSpan w:val="2"/>
            <w:vMerge w:val="continue"/>
            <w:shd w:val="clear" w:color="auto" w:fill="CCEEFF"/>
          </w:tcPr>
          <w:p>
            <w:pPr>
              <w:spacing w:after="0"/>
              <w:rPr>
                <w:sz w:val="13"/>
                <w:szCs w:val="13"/>
                <w:color w:val="auto"/>
              </w:rPr>
            </w:pPr>
          </w:p>
        </w:tc>
        <w:tc>
          <w:tcPr>
            <w:tcW w:w="540" w:type="dxa"/>
            <w:vAlign w:val="bottom"/>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vMerge w:val="continue"/>
            <w:shd w:val="clear" w:color="auto" w:fill="CCEEFF"/>
          </w:tcPr>
          <w:p>
            <w:pPr>
              <w:spacing w:after="0"/>
              <w:rPr>
                <w:sz w:val="13"/>
                <w:szCs w:val="13"/>
                <w:color w:val="auto"/>
              </w:rPr>
            </w:pPr>
          </w:p>
        </w:tc>
        <w:tc>
          <w:tcPr>
            <w:tcW w:w="540" w:type="dxa"/>
            <w:vAlign w:val="bottom"/>
            <w:vMerge w:val="continue"/>
            <w:shd w:val="clear" w:color="auto" w:fill="CCEEFF"/>
          </w:tcPr>
          <w:p>
            <w:pPr>
              <w:spacing w:after="0"/>
              <w:rPr>
                <w:sz w:val="13"/>
                <w:szCs w:val="13"/>
                <w:color w:val="auto"/>
              </w:rPr>
            </w:pPr>
          </w:p>
        </w:tc>
        <w:tc>
          <w:tcPr>
            <w:tcW w:w="200" w:type="dxa"/>
            <w:vAlign w:val="bottom"/>
            <w:gridSpan w:val="2"/>
            <w:vMerge w:val="continue"/>
            <w:shd w:val="clear" w:color="auto" w:fill="CCEEFF"/>
          </w:tcPr>
          <w:p>
            <w:pPr>
              <w:spacing w:after="0"/>
              <w:rPr>
                <w:sz w:val="13"/>
                <w:szCs w:val="13"/>
                <w:color w:val="auto"/>
              </w:rPr>
            </w:pPr>
          </w:p>
        </w:tc>
        <w:tc>
          <w:tcPr>
            <w:tcW w:w="560" w:type="dxa"/>
            <w:vAlign w:val="bottom"/>
            <w:vMerge w:val="continue"/>
            <w:shd w:val="clear" w:color="auto" w:fill="CCEEFF"/>
          </w:tcPr>
          <w:p>
            <w:pPr>
              <w:spacing w:after="0"/>
              <w:rPr>
                <w:sz w:val="13"/>
                <w:szCs w:val="13"/>
                <w:color w:val="auto"/>
              </w:rPr>
            </w:pPr>
          </w:p>
        </w:tc>
        <w:tc>
          <w:tcPr>
            <w:tcW w:w="120" w:type="dxa"/>
            <w:vAlign w:val="bottom"/>
            <w:gridSpan w:val="2"/>
            <w:vMerge w:val="continue"/>
            <w:shd w:val="clear" w:color="auto" w:fill="CCEEFF"/>
          </w:tcPr>
          <w:p>
            <w:pPr>
              <w:spacing w:after="0"/>
              <w:rPr>
                <w:sz w:val="13"/>
                <w:szCs w:val="13"/>
                <w:color w:val="auto"/>
              </w:rPr>
            </w:pPr>
          </w:p>
        </w:tc>
        <w:tc>
          <w:tcPr>
            <w:tcW w:w="540" w:type="dxa"/>
            <w:vAlign w:val="bottom"/>
            <w:vMerge w:val="continue"/>
            <w:shd w:val="clear" w:color="auto" w:fill="CCEEFF"/>
          </w:tcPr>
          <w:p>
            <w:pPr>
              <w:spacing w:after="0"/>
              <w:rPr>
                <w:sz w:val="13"/>
                <w:szCs w:val="13"/>
                <w:color w:val="auto"/>
              </w:rPr>
            </w:pPr>
          </w:p>
        </w:tc>
        <w:tc>
          <w:tcPr>
            <w:tcW w:w="220" w:type="dxa"/>
            <w:vAlign w:val="bottom"/>
            <w:gridSpan w:val="2"/>
            <w:vMerge w:val="continue"/>
            <w:shd w:val="clear" w:color="auto" w:fill="CCEEFF"/>
          </w:tcPr>
          <w:p>
            <w:pPr>
              <w:spacing w:after="0"/>
              <w:rPr>
                <w:sz w:val="13"/>
                <w:szCs w:val="13"/>
                <w:color w:val="auto"/>
              </w:rPr>
            </w:pPr>
          </w:p>
        </w:tc>
        <w:tc>
          <w:tcPr>
            <w:tcW w:w="540" w:type="dxa"/>
            <w:vAlign w:val="bottom"/>
            <w:vMerge w:val="continue"/>
            <w:shd w:val="clear" w:color="auto" w:fill="CCEEFF"/>
          </w:tcPr>
          <w:p>
            <w:pPr>
              <w:spacing w:after="0"/>
              <w:rPr>
                <w:sz w:val="13"/>
                <w:szCs w:val="13"/>
                <w:color w:val="auto"/>
              </w:rPr>
            </w:pPr>
          </w:p>
        </w:tc>
        <w:tc>
          <w:tcPr>
            <w:tcW w:w="140" w:type="dxa"/>
            <w:vAlign w:val="bottom"/>
            <w:gridSpan w:val="2"/>
            <w:vMerge w:val="continue"/>
            <w:shd w:val="clear" w:color="auto" w:fill="CCEEFF"/>
          </w:tcPr>
          <w:p>
            <w:pPr>
              <w:spacing w:after="0"/>
              <w:rPr>
                <w:sz w:val="13"/>
                <w:szCs w:val="13"/>
                <w:color w:val="auto"/>
              </w:rPr>
            </w:pPr>
          </w:p>
        </w:tc>
        <w:tc>
          <w:tcPr>
            <w:tcW w:w="540" w:type="dxa"/>
            <w:vAlign w:val="bottom"/>
            <w:vMerge w:val="continue"/>
            <w:shd w:val="clear" w:color="auto" w:fill="CCEEFF"/>
          </w:tcPr>
          <w:p>
            <w:pPr>
              <w:spacing w:after="0"/>
              <w:rPr>
                <w:sz w:val="13"/>
                <w:szCs w:val="13"/>
                <w:color w:val="auto"/>
              </w:rPr>
            </w:pPr>
          </w:p>
        </w:tc>
        <w:tc>
          <w:tcPr>
            <w:tcW w:w="220" w:type="dxa"/>
            <w:vAlign w:val="bottom"/>
            <w:gridSpan w:val="2"/>
            <w:vMerge w:val="continue"/>
            <w:shd w:val="clear" w:color="auto" w:fill="CCEEFF"/>
          </w:tcPr>
          <w:p>
            <w:pPr>
              <w:spacing w:after="0"/>
              <w:rPr>
                <w:sz w:val="13"/>
                <w:szCs w:val="13"/>
                <w:color w:val="auto"/>
              </w:rPr>
            </w:pPr>
          </w:p>
        </w:tc>
        <w:tc>
          <w:tcPr>
            <w:tcW w:w="540" w:type="dxa"/>
            <w:vAlign w:val="bottom"/>
            <w:vMerge w:val="continue"/>
            <w:shd w:val="clear" w:color="auto" w:fill="CCEEFF"/>
          </w:tcPr>
          <w:p>
            <w:pPr>
              <w:spacing w:after="0"/>
              <w:rPr>
                <w:sz w:val="13"/>
                <w:szCs w:val="13"/>
                <w:color w:val="auto"/>
              </w:rPr>
            </w:pPr>
          </w:p>
        </w:tc>
        <w:tc>
          <w:tcPr>
            <w:tcW w:w="140" w:type="dxa"/>
            <w:vAlign w:val="bottom"/>
            <w:gridSpan w:val="2"/>
            <w:vMerge w:val="continue"/>
            <w:shd w:val="clear" w:color="auto" w:fill="CCEEFF"/>
          </w:tcPr>
          <w:p>
            <w:pPr>
              <w:spacing w:after="0"/>
              <w:rPr>
                <w:sz w:val="13"/>
                <w:szCs w:val="13"/>
                <w:color w:val="auto"/>
              </w:rPr>
            </w:pPr>
          </w:p>
        </w:tc>
        <w:tc>
          <w:tcPr>
            <w:tcW w:w="540" w:type="dxa"/>
            <w:vAlign w:val="bottom"/>
            <w:vMerge w:val="continue"/>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0" w:type="dxa"/>
            <w:vAlign w:val="bottom"/>
          </w:tcPr>
          <w:p>
            <w:pPr>
              <w:spacing w:after="0" w:line="149" w:lineRule="exact"/>
              <w:rPr>
                <w:sz w:val="20"/>
                <w:szCs w:val="20"/>
                <w:color w:val="auto"/>
              </w:rPr>
            </w:pPr>
            <w:r>
              <w:rPr>
                <w:rFonts w:ascii="Arial" w:cs="Arial" w:eastAsia="Arial" w:hAnsi="Arial"/>
                <w:sz w:val="14"/>
                <w:szCs w:val="14"/>
                <w:color w:val="auto"/>
              </w:rPr>
              <w:t>2004</w:t>
            </w: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29.4</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29.7</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61.6</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63.2</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43.1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44.3</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31.6</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33.2</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71.1</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63.4</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236.8</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233.8</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2005</w:t>
            </w:r>
          </w:p>
        </w:tc>
        <w:tc>
          <w:tcPr>
            <w:tcW w:w="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306.8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321.2</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52.1</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55.6</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39.2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40.2</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116.1</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118.8</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158.0</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133.7</w:t>
            </w: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672.2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669.5</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0" w:type="dxa"/>
            <w:vAlign w:val="bottom"/>
          </w:tcPr>
          <w:p>
            <w:pPr>
              <w:spacing w:after="0" w:line="149" w:lineRule="exact"/>
              <w:rPr>
                <w:sz w:val="20"/>
                <w:szCs w:val="20"/>
                <w:color w:val="auto"/>
              </w:rPr>
            </w:pPr>
            <w:r>
              <w:rPr>
                <w:rFonts w:ascii="Arial" w:cs="Arial" w:eastAsia="Arial" w:hAnsi="Arial"/>
                <w:sz w:val="14"/>
                <w:szCs w:val="14"/>
                <w:color w:val="auto"/>
              </w:rPr>
              <w:t>2006</w:t>
            </w: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99.7</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104.4</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27.5</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29.1</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67.5</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72.1</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128.4</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134.4</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131.8</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111.8</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454.9</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451.8</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2007</w:t>
            </w:r>
          </w:p>
        </w:tc>
        <w:tc>
          <w:tcPr>
            <w:tcW w:w="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67.7</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70.3</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73.8</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83.1</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141.4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156.2</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225.3</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245.0</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848.8</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732.3</w:t>
            </w: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1,357.0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1,286.9</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0" w:type="dxa"/>
            <w:vAlign w:val="bottom"/>
          </w:tcPr>
          <w:p>
            <w:pPr>
              <w:spacing w:after="0" w:line="149" w:lineRule="exact"/>
              <w:rPr>
                <w:sz w:val="20"/>
                <w:szCs w:val="20"/>
                <w:color w:val="auto"/>
              </w:rPr>
            </w:pPr>
            <w:r>
              <w:rPr>
                <w:rFonts w:ascii="Arial" w:cs="Arial" w:eastAsia="Arial" w:hAnsi="Arial"/>
                <w:sz w:val="14"/>
                <w:szCs w:val="14"/>
                <w:color w:val="auto"/>
              </w:rPr>
              <w:t>2008</w:t>
            </w: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10.9</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11.4</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43.6</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49.0</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18.4</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19.2</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67.3</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72.1</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140.2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151.7</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2009</w:t>
            </w:r>
          </w:p>
        </w:tc>
        <w:tc>
          <w:tcPr>
            <w:tcW w:w="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81.5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85.5</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74.3</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77.9</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19.7</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174.4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183.1</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0" w:type="dxa"/>
            <w:vAlign w:val="bottom"/>
          </w:tcPr>
          <w:p>
            <w:pPr>
              <w:spacing w:after="0" w:line="149" w:lineRule="exact"/>
              <w:rPr>
                <w:sz w:val="20"/>
                <w:szCs w:val="20"/>
                <w:color w:val="auto"/>
              </w:rPr>
            </w:pPr>
            <w:r>
              <w:rPr>
                <w:rFonts w:ascii="Arial" w:cs="Arial" w:eastAsia="Arial" w:hAnsi="Arial"/>
                <w:sz w:val="14"/>
                <w:szCs w:val="14"/>
                <w:color w:val="auto"/>
              </w:rPr>
              <w:t>2010</w:t>
            </w: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63.7</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69.6</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56.1</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57.6</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119.8</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127.2</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2011</w:t>
            </w:r>
          </w:p>
        </w:tc>
        <w:tc>
          <w:tcPr>
            <w:tcW w:w="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98.7</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99.1</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119.4</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119.7</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218.1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218.8</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0" w:type="dxa"/>
            <w:vAlign w:val="bottom"/>
          </w:tcPr>
          <w:p>
            <w:pPr>
              <w:spacing w:after="0" w:line="149" w:lineRule="exact"/>
              <w:rPr>
                <w:sz w:val="20"/>
                <w:szCs w:val="20"/>
                <w:color w:val="auto"/>
              </w:rPr>
            </w:pPr>
            <w:r>
              <w:rPr>
                <w:rFonts w:ascii="Arial" w:cs="Arial" w:eastAsia="Arial" w:hAnsi="Arial"/>
                <w:sz w:val="14"/>
                <w:szCs w:val="14"/>
                <w:color w:val="auto"/>
              </w:rPr>
              <w:t>2012</w:t>
            </w: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220.7</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219.2</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152.3</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151.7</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373.0</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370.9</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2013</w:t>
            </w:r>
          </w:p>
        </w:tc>
        <w:tc>
          <w:tcPr>
            <w:tcW w:w="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141.7</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138.8</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61.6</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60.8</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203.3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199.6</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00" w:type="dxa"/>
            <w:vAlign w:val="bottom"/>
            <w:gridSpan w:val="2"/>
          </w:tcPr>
          <w:p>
            <w:pPr>
              <w:spacing w:after="0" w:line="142" w:lineRule="exact"/>
              <w:rPr>
                <w:sz w:val="20"/>
                <w:szCs w:val="20"/>
                <w:color w:val="auto"/>
              </w:rPr>
            </w:pPr>
            <w:r>
              <w:rPr>
                <w:rFonts w:ascii="Arial" w:cs="Arial" w:eastAsia="Arial" w:hAnsi="Arial"/>
                <w:sz w:val="14"/>
                <w:szCs w:val="14"/>
                <w:color w:val="auto"/>
              </w:rPr>
              <w:t>Total (1)</w:t>
            </w:r>
          </w:p>
        </w:tc>
        <w:tc>
          <w:tcPr>
            <w:tcW w:w="20" w:type="dxa"/>
            <w:vAlign w:val="bottom"/>
            <w:tcBorders>
              <w:bottom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0"/>
                <w:szCs w:val="10"/>
                <w:b w:val="1"/>
                <w:bCs w:val="1"/>
                <w:color w:val="auto"/>
                <w:w w:val="71"/>
              </w:rPr>
              <w:t>$</w:t>
            </w:r>
          </w:p>
        </w:tc>
        <w:tc>
          <w:tcPr>
            <w:tcW w:w="5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1,140.0</w:t>
            </w: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1,169.2</w:t>
            </w:r>
          </w:p>
        </w:tc>
        <w:tc>
          <w:tcPr>
            <w:tcW w:w="6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0"/>
                <w:szCs w:val="10"/>
                <w:b w:val="1"/>
                <w:bCs w:val="1"/>
                <w:color w:val="auto"/>
                <w:w w:val="71"/>
              </w:rPr>
              <w:t>$</w:t>
            </w:r>
          </w:p>
        </w:tc>
        <w:tc>
          <w:tcPr>
            <w:tcW w:w="5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732.3</w:t>
            </w:r>
          </w:p>
        </w:tc>
        <w:tc>
          <w:tcPr>
            <w:tcW w:w="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759.0</w:t>
            </w:r>
          </w:p>
        </w:tc>
        <w:tc>
          <w:tcPr>
            <w:tcW w:w="8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0"/>
                <w:szCs w:val="10"/>
                <w:b w:val="1"/>
                <w:bCs w:val="1"/>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310.5</w:t>
            </w: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333.2</w:t>
            </w:r>
          </w:p>
        </w:tc>
        <w:tc>
          <w:tcPr>
            <w:tcW w:w="6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0"/>
                <w:szCs w:val="10"/>
                <w:b w:val="1"/>
                <w:bCs w:val="1"/>
                <w:color w:val="auto"/>
                <w:w w:val="71"/>
              </w:rPr>
              <w:t>$</w:t>
            </w:r>
          </w:p>
        </w:tc>
        <w:tc>
          <w:tcPr>
            <w:tcW w:w="5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547.6</w:t>
            </w:r>
          </w:p>
        </w:tc>
        <w:tc>
          <w:tcPr>
            <w:tcW w:w="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582.3</w:t>
            </w:r>
          </w:p>
        </w:tc>
        <w:tc>
          <w:tcPr>
            <w:tcW w:w="8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0"/>
                <w:szCs w:val="10"/>
                <w:b w:val="1"/>
                <w:bCs w:val="1"/>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1,349.4</w:t>
            </w:r>
          </w:p>
        </w:tc>
        <w:tc>
          <w:tcPr>
            <w:tcW w:w="8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1,184.5</w:t>
            </w:r>
          </w:p>
        </w:tc>
        <w:tc>
          <w:tcPr>
            <w:tcW w:w="60" w:type="dxa"/>
            <w:vAlign w:val="bottom"/>
          </w:tcPr>
          <w:p>
            <w:pPr>
              <w:spacing w:after="0"/>
              <w:rPr>
                <w:sz w:val="12"/>
                <w:szCs w:val="12"/>
                <w:color w:val="auto"/>
              </w:rPr>
            </w:pPr>
          </w:p>
        </w:tc>
        <w:tc>
          <w:tcPr>
            <w:tcW w:w="16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0"/>
                <w:szCs w:val="10"/>
                <w:b w:val="1"/>
                <w:bCs w:val="1"/>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4,079.8</w:t>
            </w: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4,028.2</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580" w:type="dxa"/>
            <w:vAlign w:val="bottom"/>
            <w:tcBorders>
              <w:bottom w:val="single" w:sz="8" w:color="auto"/>
            </w:tcBorders>
          </w:tcPr>
          <w:p>
            <w:pPr>
              <w:spacing w:after="0"/>
              <w:rPr>
                <w:sz w:val="7"/>
                <w:szCs w:val="7"/>
                <w:color w:val="auto"/>
              </w:rPr>
            </w:pPr>
          </w:p>
        </w:tc>
        <w:tc>
          <w:tcPr>
            <w:tcW w:w="20" w:type="dxa"/>
            <w:vAlign w:val="bottom"/>
            <w:tcBorders>
              <w:bottom w:val="single" w:sz="8" w:color="auto"/>
            </w:tcBorders>
          </w:tcPr>
          <w:p>
            <w:pPr>
              <w:spacing w:after="0"/>
              <w:rPr>
                <w:sz w:val="7"/>
                <w:szCs w:val="7"/>
                <w:color w:val="auto"/>
              </w:rPr>
            </w:pPr>
          </w:p>
        </w:tc>
        <w:tc>
          <w:tcPr>
            <w:tcW w:w="160" w:type="dxa"/>
            <w:vAlign w:val="bottom"/>
            <w:tcBorders>
              <w:bottom w:val="single" w:sz="8" w:color="auto"/>
            </w:tcBorders>
          </w:tcPr>
          <w:p>
            <w:pPr>
              <w:spacing w:after="0"/>
              <w:rPr>
                <w:sz w:val="7"/>
                <w:szCs w:val="7"/>
                <w:color w:val="auto"/>
              </w:rPr>
            </w:pPr>
          </w:p>
        </w:tc>
        <w:tc>
          <w:tcPr>
            <w:tcW w:w="5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40" w:type="dxa"/>
            <w:vAlign w:val="bottom"/>
          </w:tcPr>
          <w:p>
            <w:pPr>
              <w:spacing w:after="0"/>
              <w:rPr>
                <w:sz w:val="7"/>
                <w:szCs w:val="7"/>
                <w:color w:val="auto"/>
              </w:rPr>
            </w:pPr>
          </w:p>
        </w:tc>
        <w:tc>
          <w:tcPr>
            <w:tcW w:w="56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540" w:type="dxa"/>
            <w:vAlign w:val="bottom"/>
          </w:tcPr>
          <w:p>
            <w:pPr>
              <w:spacing w:after="0"/>
              <w:rPr>
                <w:sz w:val="7"/>
                <w:szCs w:val="7"/>
                <w:color w:val="auto"/>
              </w:rPr>
            </w:pPr>
          </w:p>
        </w:tc>
        <w:tc>
          <w:tcPr>
            <w:tcW w:w="80" w:type="dxa"/>
            <w:vAlign w:val="bottom"/>
          </w:tcPr>
          <w:p>
            <w:pPr>
              <w:spacing w:after="0"/>
              <w:rPr>
                <w:sz w:val="7"/>
                <w:szCs w:val="7"/>
                <w:color w:val="auto"/>
              </w:rPr>
            </w:pPr>
          </w:p>
        </w:tc>
        <w:tc>
          <w:tcPr>
            <w:tcW w:w="14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40" w:type="dxa"/>
            <w:vAlign w:val="bottom"/>
          </w:tcPr>
          <w:p>
            <w:pPr>
              <w:spacing w:after="0"/>
              <w:rPr>
                <w:sz w:val="7"/>
                <w:szCs w:val="7"/>
                <w:color w:val="auto"/>
              </w:rPr>
            </w:pPr>
          </w:p>
        </w:tc>
        <w:tc>
          <w:tcPr>
            <w:tcW w:w="56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540" w:type="dxa"/>
            <w:vAlign w:val="bottom"/>
          </w:tcPr>
          <w:p>
            <w:pPr>
              <w:spacing w:after="0"/>
              <w:rPr>
                <w:sz w:val="7"/>
                <w:szCs w:val="7"/>
                <w:color w:val="auto"/>
              </w:rPr>
            </w:pPr>
          </w:p>
        </w:tc>
        <w:tc>
          <w:tcPr>
            <w:tcW w:w="80" w:type="dxa"/>
            <w:vAlign w:val="bottom"/>
          </w:tcPr>
          <w:p>
            <w:pPr>
              <w:spacing w:after="0"/>
              <w:rPr>
                <w:sz w:val="7"/>
                <w:szCs w:val="7"/>
                <w:color w:val="auto"/>
              </w:rPr>
            </w:pPr>
          </w:p>
        </w:tc>
        <w:tc>
          <w:tcPr>
            <w:tcW w:w="140" w:type="dxa"/>
            <w:vAlign w:val="bottom"/>
          </w:tcPr>
          <w:p>
            <w:pPr>
              <w:spacing w:after="0"/>
              <w:rPr>
                <w:sz w:val="7"/>
                <w:szCs w:val="7"/>
                <w:color w:val="auto"/>
              </w:rPr>
            </w:pPr>
          </w:p>
        </w:tc>
        <w:tc>
          <w:tcPr>
            <w:tcW w:w="54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ind w:left="1680" w:hanging="531"/>
        <w:spacing w:after="0"/>
        <w:tabs>
          <w:tab w:leader="none" w:pos="1680" w:val="left"/>
        </w:tabs>
        <w:numPr>
          <w:ilvl w:val="0"/>
          <w:numId w:val="33"/>
        </w:numPr>
        <w:rPr>
          <w:rFonts w:ascii="Arial" w:cs="Arial" w:eastAsia="Arial" w:hAnsi="Arial"/>
          <w:sz w:val="14"/>
          <w:szCs w:val="14"/>
          <w:color w:val="auto"/>
        </w:rPr>
      </w:pPr>
      <w:r>
        <w:rPr>
          <w:rFonts w:ascii="Arial" w:cs="Arial" w:eastAsia="Arial" w:hAnsi="Arial"/>
          <w:sz w:val="14"/>
          <w:szCs w:val="14"/>
          <w:color w:val="auto"/>
        </w:rPr>
        <w:t>The CMBS portfolio included agency CMBS with a $421.6 million amortized cost and a $423.1 million carrying amount.</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9" w:name="page70"/>
    <w:bookmarkEnd w:id="6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4"/>
          </w:tcPr>
          <w:p>
            <w:pPr>
              <w:jc w:val="right"/>
              <w:ind w:right="132"/>
              <w:spacing w:after="0"/>
              <w:rPr>
                <w:sz w:val="20"/>
                <w:szCs w:val="20"/>
                <w:color w:val="auto"/>
              </w:rPr>
            </w:pPr>
            <w:r>
              <w:rPr>
                <w:rFonts w:ascii="Arial" w:cs="Arial" w:eastAsia="Arial" w:hAnsi="Arial"/>
                <w:sz w:val="14"/>
                <w:szCs w:val="14"/>
                <w:b w:val="1"/>
                <w:bCs w:val="1"/>
                <w:color w:val="auto"/>
                <w:w w:val="85"/>
              </w:rPr>
              <w:t>December 31, 2012</w:t>
            </w:r>
          </w:p>
        </w:tc>
        <w:tc>
          <w:tcPr>
            <w:tcW w:w="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AAA</w:t>
            </w:r>
          </w:p>
        </w:tc>
        <w:tc>
          <w:tcPr>
            <w:tcW w:w="540" w:type="dxa"/>
            <w:vAlign w:val="bottom"/>
            <w:tcBorders>
              <w:bottom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AA</w:t>
            </w:r>
          </w:p>
        </w:tc>
        <w:tc>
          <w:tcPr>
            <w:tcW w:w="540" w:type="dxa"/>
            <w:vAlign w:val="bottom"/>
            <w:tcBorders>
              <w:bottom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gridSpan w:val="2"/>
          </w:tcPr>
          <w:p>
            <w:pPr>
              <w:ind w:left="480"/>
              <w:spacing w:after="0" w:line="142" w:lineRule="exact"/>
              <w:rPr>
                <w:sz w:val="20"/>
                <w:szCs w:val="20"/>
                <w:color w:val="auto"/>
              </w:rPr>
            </w:pPr>
            <w:r>
              <w:rPr>
                <w:rFonts w:ascii="Arial" w:cs="Arial" w:eastAsia="Arial" w:hAnsi="Arial"/>
                <w:sz w:val="14"/>
                <w:szCs w:val="14"/>
                <w:b w:val="1"/>
                <w:bCs w:val="1"/>
                <w:color w:val="auto"/>
                <w:w w:val="98"/>
              </w:rPr>
              <w:t>A</w:t>
            </w:r>
          </w:p>
        </w:tc>
        <w:tc>
          <w:tcPr>
            <w:tcW w:w="8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BBB</w:t>
            </w:r>
          </w:p>
        </w:tc>
        <w:tc>
          <w:tcPr>
            <w:tcW w:w="540" w:type="dxa"/>
            <w:vAlign w:val="bottom"/>
            <w:tcBorders>
              <w:bottom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220" w:type="dxa"/>
            <w:vAlign w:val="bottom"/>
            <w:tcBorders>
              <w:bottom w:val="single" w:sz="8" w:color="auto"/>
            </w:tcBorders>
            <w:gridSpan w:val="4"/>
          </w:tcPr>
          <w:p>
            <w:pPr>
              <w:ind w:left="80"/>
              <w:spacing w:after="0" w:line="142" w:lineRule="exact"/>
              <w:rPr>
                <w:sz w:val="20"/>
                <w:szCs w:val="20"/>
                <w:color w:val="auto"/>
              </w:rPr>
            </w:pPr>
            <w:r>
              <w:rPr>
                <w:rFonts w:ascii="Arial" w:cs="Arial" w:eastAsia="Arial" w:hAnsi="Arial"/>
                <w:sz w:val="14"/>
                <w:szCs w:val="14"/>
                <w:b w:val="1"/>
                <w:bCs w:val="1"/>
                <w:color w:val="auto"/>
              </w:rPr>
              <w:t>BB+ and Below</w:t>
            </w:r>
          </w:p>
        </w:tc>
        <w:tc>
          <w:tcPr>
            <w:tcW w:w="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Total</w:t>
            </w:r>
          </w:p>
        </w:tc>
        <w:tc>
          <w:tcPr>
            <w:tcW w:w="540" w:type="dxa"/>
            <w:vAlign w:val="bottom"/>
            <w:tcBorders>
              <w:bottom w:val="single" w:sz="8" w:color="auto"/>
            </w:tcBorders>
          </w:tcPr>
          <w:p>
            <w:pPr>
              <w:spacing w:after="0"/>
              <w:rPr>
                <w:sz w:val="12"/>
                <w:szCs w:val="12"/>
                <w:color w:val="auto"/>
              </w:rPr>
            </w:pPr>
          </w:p>
        </w:tc>
        <w:tc>
          <w:tcPr>
            <w:tcW w:w="120" w:type="dxa"/>
            <w:vAlign w:val="bottom"/>
          </w:tcPr>
          <w:p>
            <w:pPr>
              <w:spacing w:after="0"/>
              <w:rPr>
                <w:sz w:val="12"/>
                <w:szCs w:val="12"/>
                <w:color w:val="auto"/>
              </w:rPr>
            </w:pPr>
          </w:p>
        </w:tc>
      </w:tr>
      <w:tr>
        <w:trPr>
          <w:trHeight w:val="129"/>
        </w:trPr>
        <w:tc>
          <w:tcPr>
            <w:tcW w:w="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0"/>
              </w:rPr>
              <w:t>Amortized</w:t>
            </w:r>
          </w:p>
        </w:tc>
        <w:tc>
          <w:tcPr>
            <w:tcW w:w="60" w:type="dxa"/>
            <w:vAlign w:val="bottom"/>
          </w:tcPr>
          <w:p>
            <w:pPr>
              <w:spacing w:after="0"/>
              <w:rPr>
                <w:sz w:val="11"/>
                <w:szCs w:val="11"/>
                <w:color w:val="auto"/>
              </w:rPr>
            </w:pPr>
          </w:p>
        </w:tc>
        <w:tc>
          <w:tcPr>
            <w:tcW w:w="62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7"/>
              </w:rPr>
              <w:t>Carrying</w:t>
            </w:r>
          </w:p>
        </w:tc>
        <w:tc>
          <w:tcPr>
            <w:tcW w:w="60" w:type="dxa"/>
            <w:vAlign w:val="bottom"/>
          </w:tcPr>
          <w:p>
            <w:pPr>
              <w:spacing w:after="0"/>
              <w:rPr>
                <w:sz w:val="11"/>
                <w:szCs w:val="11"/>
                <w:color w:val="auto"/>
              </w:rPr>
            </w:pPr>
          </w:p>
        </w:tc>
        <w:tc>
          <w:tcPr>
            <w:tcW w:w="70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0"/>
              </w:rPr>
              <w:t>Amortized</w:t>
            </w:r>
          </w:p>
        </w:tc>
        <w:tc>
          <w:tcPr>
            <w:tcW w:w="60" w:type="dxa"/>
            <w:vAlign w:val="bottom"/>
          </w:tcPr>
          <w:p>
            <w:pPr>
              <w:spacing w:after="0"/>
              <w:rPr>
                <w:sz w:val="11"/>
                <w:szCs w:val="11"/>
                <w:color w:val="auto"/>
              </w:rPr>
            </w:pPr>
          </w:p>
        </w:tc>
        <w:tc>
          <w:tcPr>
            <w:tcW w:w="60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3"/>
              </w:rPr>
              <w:t>Carrying</w:t>
            </w:r>
          </w:p>
        </w:tc>
        <w:tc>
          <w:tcPr>
            <w:tcW w:w="80" w:type="dxa"/>
            <w:vAlign w:val="bottom"/>
          </w:tcPr>
          <w:p>
            <w:pPr>
              <w:spacing w:after="0"/>
              <w:rPr>
                <w:sz w:val="11"/>
                <w:szCs w:val="11"/>
                <w:color w:val="auto"/>
              </w:rPr>
            </w:pPr>
          </w:p>
        </w:tc>
        <w:tc>
          <w:tcPr>
            <w:tcW w:w="740" w:type="dxa"/>
            <w:vAlign w:val="bottom"/>
            <w:gridSpan w:val="3"/>
          </w:tcPr>
          <w:p>
            <w:pPr>
              <w:ind w:left="20"/>
              <w:spacing w:after="0" w:line="129" w:lineRule="exact"/>
              <w:rPr>
                <w:sz w:val="20"/>
                <w:szCs w:val="20"/>
                <w:color w:val="auto"/>
              </w:rPr>
            </w:pPr>
            <w:r>
              <w:rPr>
                <w:rFonts w:ascii="Arial" w:cs="Arial" w:eastAsia="Arial" w:hAnsi="Arial"/>
                <w:sz w:val="14"/>
                <w:szCs w:val="14"/>
                <w:b w:val="1"/>
                <w:bCs w:val="1"/>
                <w:color w:val="auto"/>
              </w:rPr>
              <w:t>Amortized</w:t>
            </w:r>
          </w:p>
        </w:tc>
        <w:tc>
          <w:tcPr>
            <w:tcW w:w="62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7"/>
              </w:rPr>
              <w:t>Carrying</w:t>
            </w:r>
          </w:p>
        </w:tc>
        <w:tc>
          <w:tcPr>
            <w:tcW w:w="60" w:type="dxa"/>
            <w:vAlign w:val="bottom"/>
          </w:tcPr>
          <w:p>
            <w:pPr>
              <w:spacing w:after="0"/>
              <w:rPr>
                <w:sz w:val="11"/>
                <w:szCs w:val="11"/>
                <w:color w:val="auto"/>
              </w:rPr>
            </w:pPr>
          </w:p>
        </w:tc>
        <w:tc>
          <w:tcPr>
            <w:tcW w:w="70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3"/>
              </w:rPr>
              <w:t>Amortized</w:t>
            </w:r>
          </w:p>
        </w:tc>
        <w:tc>
          <w:tcPr>
            <w:tcW w:w="60" w:type="dxa"/>
            <w:vAlign w:val="bottom"/>
          </w:tcPr>
          <w:p>
            <w:pPr>
              <w:spacing w:after="0"/>
              <w:rPr>
                <w:sz w:val="11"/>
                <w:szCs w:val="11"/>
                <w:color w:val="auto"/>
              </w:rPr>
            </w:pPr>
          </w:p>
        </w:tc>
        <w:tc>
          <w:tcPr>
            <w:tcW w:w="60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3"/>
              </w:rPr>
              <w:t>Carrying</w:t>
            </w:r>
          </w:p>
        </w:tc>
        <w:tc>
          <w:tcPr>
            <w:tcW w:w="80" w:type="dxa"/>
            <w:vAlign w:val="bottom"/>
          </w:tcPr>
          <w:p>
            <w:pPr>
              <w:spacing w:after="0"/>
              <w:rPr>
                <w:sz w:val="11"/>
                <w:szCs w:val="11"/>
                <w:color w:val="auto"/>
              </w:rPr>
            </w:pPr>
          </w:p>
        </w:tc>
        <w:tc>
          <w:tcPr>
            <w:tcW w:w="68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0"/>
              </w:rPr>
              <w:t>Amortized</w:t>
            </w:r>
          </w:p>
        </w:tc>
        <w:tc>
          <w:tcPr>
            <w:tcW w:w="80" w:type="dxa"/>
            <w:vAlign w:val="bottom"/>
          </w:tcPr>
          <w:p>
            <w:pPr>
              <w:spacing w:after="0"/>
              <w:rPr>
                <w:sz w:val="11"/>
                <w:szCs w:val="11"/>
                <w:color w:val="auto"/>
              </w:rPr>
            </w:pPr>
          </w:p>
        </w:tc>
        <w:tc>
          <w:tcPr>
            <w:tcW w:w="60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3"/>
              </w:rPr>
              <w:t>Carrying</w:t>
            </w:r>
          </w:p>
        </w:tc>
        <w:tc>
          <w:tcPr>
            <w:tcW w:w="60" w:type="dxa"/>
            <w:vAlign w:val="bottom"/>
          </w:tcPr>
          <w:p>
            <w:pPr>
              <w:spacing w:after="0"/>
              <w:rPr>
                <w:sz w:val="11"/>
                <w:szCs w:val="11"/>
                <w:color w:val="auto"/>
              </w:rPr>
            </w:pPr>
          </w:p>
        </w:tc>
        <w:tc>
          <w:tcPr>
            <w:tcW w:w="70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3"/>
              </w:rPr>
              <w:t>Amortized</w:t>
            </w:r>
          </w:p>
        </w:tc>
        <w:tc>
          <w:tcPr>
            <w:tcW w:w="60" w:type="dxa"/>
            <w:vAlign w:val="bottom"/>
          </w:tcPr>
          <w:p>
            <w:pPr>
              <w:spacing w:after="0"/>
              <w:rPr>
                <w:sz w:val="11"/>
                <w:szCs w:val="11"/>
                <w:color w:val="auto"/>
              </w:rPr>
            </w:pPr>
          </w:p>
        </w:tc>
        <w:tc>
          <w:tcPr>
            <w:tcW w:w="62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3"/>
              </w:rPr>
              <w:t>Carrying</w:t>
            </w:r>
          </w:p>
        </w:tc>
        <w:tc>
          <w:tcPr>
            <w:tcW w:w="120" w:type="dxa"/>
            <w:vAlign w:val="bottom"/>
          </w:tcPr>
          <w:p>
            <w:pPr>
              <w:spacing w:after="0"/>
              <w:rPr>
                <w:sz w:val="11"/>
                <w:szCs w:val="11"/>
                <w:color w:val="auto"/>
              </w:rPr>
            </w:pPr>
          </w:p>
        </w:tc>
      </w:tr>
      <w:tr>
        <w:trPr>
          <w:trHeight w:val="161"/>
        </w:trPr>
        <w:tc>
          <w:tcPr>
            <w:tcW w:w="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w w:val="90"/>
              </w:rPr>
              <w:t>cost</w:t>
            </w: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2"/>
              </w:rPr>
              <w:t>amount</w:t>
            </w:r>
          </w:p>
        </w:tc>
        <w:tc>
          <w:tcPr>
            <w:tcW w:w="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rPr>
              <w:t>cost</w:t>
            </w:r>
          </w:p>
        </w:tc>
        <w:tc>
          <w:tcPr>
            <w:tcW w:w="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6"/>
              </w:rPr>
              <w:t>amount</w:t>
            </w:r>
          </w:p>
        </w:tc>
        <w:tc>
          <w:tcPr>
            <w:tcW w:w="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w w:val="97"/>
              </w:rPr>
              <w:t>cost</w:t>
            </w: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2"/>
              </w:rPr>
              <w:t>amount</w:t>
            </w:r>
          </w:p>
        </w:tc>
        <w:tc>
          <w:tcPr>
            <w:tcW w:w="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rPr>
              <w:t>cost</w:t>
            </w:r>
          </w:p>
        </w:tc>
        <w:tc>
          <w:tcPr>
            <w:tcW w:w="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6"/>
              </w:rPr>
              <w:t>amount</w:t>
            </w:r>
          </w:p>
        </w:tc>
        <w:tc>
          <w:tcPr>
            <w:tcW w:w="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ind w:left="80"/>
              <w:spacing w:after="0"/>
              <w:rPr>
                <w:sz w:val="20"/>
                <w:szCs w:val="20"/>
                <w:color w:val="auto"/>
              </w:rPr>
            </w:pPr>
            <w:r>
              <w:rPr>
                <w:rFonts w:ascii="Arial" w:cs="Arial" w:eastAsia="Arial" w:hAnsi="Arial"/>
                <w:sz w:val="14"/>
                <w:szCs w:val="14"/>
                <w:b w:val="1"/>
                <w:bCs w:val="1"/>
                <w:color w:val="auto"/>
              </w:rPr>
              <w:t>cost</w:t>
            </w:r>
          </w:p>
        </w:tc>
        <w:tc>
          <w:tcPr>
            <w:tcW w:w="8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6"/>
              </w:rPr>
              <w:t>amount</w:t>
            </w:r>
          </w:p>
        </w:tc>
        <w:tc>
          <w:tcPr>
            <w:tcW w:w="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w w:val="97"/>
              </w:rPr>
              <w:t>cost</w:t>
            </w: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2"/>
              </w:rPr>
              <w:t>amount</w:t>
            </w:r>
          </w:p>
        </w:tc>
        <w:tc>
          <w:tcPr>
            <w:tcW w:w="12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00" w:type="dxa"/>
            <w:vAlign w:val="bottom"/>
            <w:gridSpan w:val="4"/>
          </w:tcPr>
          <w:p>
            <w:pPr>
              <w:jc w:val="right"/>
              <w:ind w:right="332"/>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r>
      <w:tr>
        <w:trPr>
          <w:trHeight w:val="138"/>
        </w:trPr>
        <w:tc>
          <w:tcPr>
            <w:tcW w:w="20" w:type="dxa"/>
            <w:vAlign w:val="bottom"/>
          </w:tcPr>
          <w:p>
            <w:pPr>
              <w:spacing w:after="0"/>
              <w:rPr>
                <w:sz w:val="11"/>
                <w:szCs w:val="11"/>
                <w:color w:val="auto"/>
              </w:rPr>
            </w:pPr>
          </w:p>
        </w:tc>
        <w:tc>
          <w:tcPr>
            <w:tcW w:w="52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2003 &amp;</w:t>
            </w: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r>
      <w:tr>
        <w:trPr>
          <w:trHeight w:val="159"/>
        </w:trPr>
        <w:tc>
          <w:tcPr>
            <w:tcW w:w="20" w:type="dxa"/>
            <w:vAlign w:val="bottom"/>
          </w:tcPr>
          <w:p>
            <w:pPr>
              <w:spacing w:after="0"/>
              <w:rPr>
                <w:sz w:val="13"/>
                <w:szCs w:val="13"/>
                <w:color w:val="auto"/>
              </w:rPr>
            </w:pPr>
          </w:p>
        </w:tc>
        <w:tc>
          <w:tcPr>
            <w:tcW w:w="52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Prior</w:t>
            </w:r>
          </w:p>
        </w:tc>
        <w:tc>
          <w:tcPr>
            <w:tcW w:w="240" w:type="dxa"/>
            <w:vAlign w:val="bottom"/>
            <w:gridSpan w:val="2"/>
            <w:shd w:val="clear" w:color="auto" w:fill="CCEEFF"/>
          </w:tcPr>
          <w:p>
            <w:pPr>
              <w:jc w:val="right"/>
              <w:ind w:right="32"/>
              <w:spacing w:after="0" w:line="159"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40.8</w:t>
            </w:r>
          </w:p>
        </w:tc>
        <w:tc>
          <w:tcPr>
            <w:tcW w:w="1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41.7</w:t>
            </w:r>
          </w:p>
        </w:tc>
        <w:tc>
          <w:tcPr>
            <w:tcW w:w="200" w:type="dxa"/>
            <w:vAlign w:val="bottom"/>
            <w:gridSpan w:val="2"/>
            <w:shd w:val="clear" w:color="auto" w:fill="CCEEFF"/>
          </w:tcPr>
          <w:p>
            <w:pPr>
              <w:jc w:val="right"/>
              <w:ind w:right="12"/>
              <w:spacing w:after="0" w:line="159"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24.1</w:t>
            </w:r>
          </w:p>
        </w:tc>
        <w:tc>
          <w:tcPr>
            <w:tcW w:w="12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24.3</w:t>
            </w:r>
          </w:p>
        </w:tc>
        <w:tc>
          <w:tcPr>
            <w:tcW w:w="220" w:type="dxa"/>
            <w:vAlign w:val="bottom"/>
            <w:gridSpan w:val="2"/>
            <w:shd w:val="clear" w:color="auto" w:fill="CCEEFF"/>
          </w:tcPr>
          <w:p>
            <w:pPr>
              <w:jc w:val="right"/>
              <w:ind w:right="12"/>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37.7</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w w:val="76"/>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38.2</w:t>
            </w:r>
          </w:p>
        </w:tc>
        <w:tc>
          <w:tcPr>
            <w:tcW w:w="200" w:type="dxa"/>
            <w:vAlign w:val="bottom"/>
            <w:gridSpan w:val="2"/>
            <w:shd w:val="clear" w:color="auto" w:fill="CCEEFF"/>
          </w:tcPr>
          <w:p>
            <w:pPr>
              <w:jc w:val="right"/>
              <w:ind w:right="12"/>
              <w:spacing w:after="0" w:line="159"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60.5</w:t>
            </w:r>
          </w:p>
        </w:tc>
        <w:tc>
          <w:tcPr>
            <w:tcW w:w="12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61.4</w:t>
            </w:r>
          </w:p>
        </w:tc>
        <w:tc>
          <w:tcPr>
            <w:tcW w:w="220" w:type="dxa"/>
            <w:vAlign w:val="bottom"/>
            <w:gridSpan w:val="2"/>
            <w:shd w:val="clear" w:color="auto" w:fill="CCEEFF"/>
          </w:tcPr>
          <w:p>
            <w:pPr>
              <w:jc w:val="right"/>
              <w:ind w:right="12"/>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118.2</w:t>
            </w:r>
          </w:p>
        </w:tc>
        <w:tc>
          <w:tcPr>
            <w:tcW w:w="1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98.2</w:t>
            </w:r>
          </w:p>
        </w:tc>
        <w:tc>
          <w:tcPr>
            <w:tcW w:w="220" w:type="dxa"/>
            <w:vAlign w:val="bottom"/>
            <w:gridSpan w:val="2"/>
            <w:shd w:val="clear" w:color="auto" w:fill="CCEEFF"/>
          </w:tcPr>
          <w:p>
            <w:pPr>
              <w:jc w:val="right"/>
              <w:ind w:right="32"/>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281.3</w:t>
            </w:r>
          </w:p>
        </w:tc>
        <w:tc>
          <w:tcPr>
            <w:tcW w:w="1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263.8</w:t>
            </w:r>
          </w:p>
        </w:tc>
        <w:tc>
          <w:tcPr>
            <w:tcW w:w="120" w:type="dxa"/>
            <w:vAlign w:val="bottom"/>
            <w:shd w:val="clear" w:color="auto" w:fill="CCEEFF"/>
          </w:tcPr>
          <w:p>
            <w:pPr>
              <w:spacing w:after="0"/>
              <w:rPr>
                <w:sz w:val="13"/>
                <w:szCs w:val="13"/>
                <w:color w:val="auto"/>
              </w:rPr>
            </w:pPr>
          </w:p>
        </w:tc>
      </w:tr>
      <w:tr>
        <w:trPr>
          <w:trHeight w:val="149"/>
        </w:trPr>
        <w:tc>
          <w:tcPr>
            <w:tcW w:w="20" w:type="dxa"/>
            <w:vAlign w:val="bottom"/>
          </w:tcPr>
          <w:p>
            <w:pPr>
              <w:spacing w:after="0"/>
              <w:rPr>
                <w:sz w:val="12"/>
                <w:szCs w:val="12"/>
                <w:color w:val="auto"/>
              </w:rPr>
            </w:pPr>
          </w:p>
        </w:tc>
        <w:tc>
          <w:tcPr>
            <w:tcW w:w="520" w:type="dxa"/>
            <w:vAlign w:val="bottom"/>
          </w:tcPr>
          <w:p>
            <w:pPr>
              <w:spacing w:after="0" w:line="149" w:lineRule="exact"/>
              <w:rPr>
                <w:sz w:val="20"/>
                <w:szCs w:val="20"/>
                <w:color w:val="auto"/>
              </w:rPr>
            </w:pPr>
            <w:r>
              <w:rPr>
                <w:rFonts w:ascii="Arial" w:cs="Arial" w:eastAsia="Arial" w:hAnsi="Arial"/>
                <w:sz w:val="14"/>
                <w:szCs w:val="14"/>
                <w:color w:val="auto"/>
              </w:rPr>
              <w:t>2004</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73.2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76.3</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56.9</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59.5</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49.2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48.1</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31.2</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26.5</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97.0</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71.5</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307.5</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281.9</w:t>
            </w:r>
          </w:p>
        </w:tc>
        <w:tc>
          <w:tcPr>
            <w:tcW w:w="12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2005</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345.0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373.2</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47.3</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51.7</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39.6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39.1</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91.7</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88.8</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211.7</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140.0</w:t>
            </w: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735.3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692.8</w:t>
            </w:r>
          </w:p>
        </w:tc>
        <w:tc>
          <w:tcPr>
            <w:tcW w:w="12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20" w:type="dxa"/>
            <w:vAlign w:val="bottom"/>
          </w:tcPr>
          <w:p>
            <w:pPr>
              <w:spacing w:after="0" w:line="149" w:lineRule="exact"/>
              <w:rPr>
                <w:sz w:val="20"/>
                <w:szCs w:val="20"/>
                <w:color w:val="auto"/>
              </w:rPr>
            </w:pPr>
            <w:r>
              <w:rPr>
                <w:rFonts w:ascii="Arial" w:cs="Arial" w:eastAsia="Arial" w:hAnsi="Arial"/>
                <w:sz w:val="14"/>
                <w:szCs w:val="14"/>
                <w:color w:val="auto"/>
              </w:rPr>
              <w:t>2006</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124.2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132.1</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30.7</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32.4</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72.9</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79.2</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93.7</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101.8</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160.8</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110.6</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482.3</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456.1</w:t>
            </w:r>
          </w:p>
        </w:tc>
        <w:tc>
          <w:tcPr>
            <w:tcW w:w="12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2007</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117.1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118.4</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59.5</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69.9</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158.6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181.2</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231.7</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261.6</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758.4</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544.8</w:t>
            </w: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1,325.3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1,175.9</w:t>
            </w:r>
          </w:p>
        </w:tc>
        <w:tc>
          <w:tcPr>
            <w:tcW w:w="12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20" w:type="dxa"/>
            <w:vAlign w:val="bottom"/>
          </w:tcPr>
          <w:p>
            <w:pPr>
              <w:spacing w:after="0" w:line="149" w:lineRule="exact"/>
              <w:rPr>
                <w:sz w:val="20"/>
                <w:szCs w:val="20"/>
                <w:color w:val="auto"/>
              </w:rPr>
            </w:pPr>
            <w:r>
              <w:rPr>
                <w:rFonts w:ascii="Arial" w:cs="Arial" w:eastAsia="Arial" w:hAnsi="Arial"/>
                <w:sz w:val="14"/>
                <w:szCs w:val="14"/>
                <w:color w:val="auto"/>
              </w:rPr>
              <w:t>2008</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11.2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12.2</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43.5</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52.3</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23.4</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26.0</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31.5</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32.6</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109.6</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123.1</w:t>
            </w:r>
          </w:p>
        </w:tc>
        <w:tc>
          <w:tcPr>
            <w:tcW w:w="12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2009</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92.3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101.2</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100.5</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108.1</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192.8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209.3</w:t>
            </w:r>
          </w:p>
        </w:tc>
        <w:tc>
          <w:tcPr>
            <w:tcW w:w="12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20" w:type="dxa"/>
            <w:vAlign w:val="bottom"/>
          </w:tcPr>
          <w:p>
            <w:pPr>
              <w:spacing w:after="0" w:line="149" w:lineRule="exact"/>
              <w:rPr>
                <w:sz w:val="20"/>
                <w:szCs w:val="20"/>
                <w:color w:val="auto"/>
              </w:rPr>
            </w:pPr>
            <w:r>
              <w:rPr>
                <w:rFonts w:ascii="Arial" w:cs="Arial" w:eastAsia="Arial" w:hAnsi="Arial"/>
                <w:sz w:val="14"/>
                <w:szCs w:val="14"/>
                <w:color w:val="auto"/>
              </w:rPr>
              <w:t>2010</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64.1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73.1</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65.1</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68.9</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129.2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142.0</w:t>
            </w:r>
          </w:p>
        </w:tc>
        <w:tc>
          <w:tcPr>
            <w:tcW w:w="12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2011</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97.5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100.6</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122.2</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128.3</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219.7</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228.9</w:t>
            </w:r>
          </w:p>
        </w:tc>
        <w:tc>
          <w:tcPr>
            <w:tcW w:w="12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20" w:type="dxa"/>
            <w:vAlign w:val="bottom"/>
          </w:tcPr>
          <w:p>
            <w:pPr>
              <w:spacing w:after="0" w:line="149" w:lineRule="exact"/>
              <w:rPr>
                <w:sz w:val="20"/>
                <w:szCs w:val="20"/>
                <w:color w:val="auto"/>
              </w:rPr>
            </w:pPr>
            <w:r>
              <w:rPr>
                <w:rFonts w:ascii="Arial" w:cs="Arial" w:eastAsia="Arial" w:hAnsi="Arial"/>
                <w:sz w:val="14"/>
                <w:szCs w:val="14"/>
                <w:color w:val="auto"/>
              </w:rPr>
              <w:t>2012</w:t>
            </w:r>
          </w:p>
        </w:tc>
        <w:tc>
          <w:tcPr>
            <w:tcW w:w="8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157.7</w:t>
            </w:r>
          </w:p>
        </w:tc>
        <w:tc>
          <w:tcPr>
            <w:tcW w:w="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163.2</w:t>
            </w:r>
          </w:p>
        </w:tc>
        <w:tc>
          <w:tcPr>
            <w:tcW w:w="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156.9</w:t>
            </w:r>
          </w:p>
        </w:tc>
        <w:tc>
          <w:tcPr>
            <w:tcW w:w="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163.2</w:t>
            </w:r>
          </w:p>
        </w:tc>
        <w:tc>
          <w:tcPr>
            <w:tcW w:w="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314.6</w:t>
            </w:r>
          </w:p>
        </w:tc>
        <w:tc>
          <w:tcPr>
            <w:tcW w:w="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326.4</w:t>
            </w:r>
          </w:p>
        </w:tc>
        <w:tc>
          <w:tcPr>
            <w:tcW w:w="12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5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w w:val="95"/>
              </w:rPr>
              <w:t>Total (1)</w:t>
            </w:r>
          </w:p>
        </w:tc>
        <w:tc>
          <w:tcPr>
            <w:tcW w:w="240" w:type="dxa"/>
            <w:vAlign w:val="bottom"/>
            <w:gridSpan w:val="2"/>
            <w:shd w:val="clear" w:color="auto" w:fill="CCEEFF"/>
          </w:tcPr>
          <w:p>
            <w:pPr>
              <w:jc w:val="right"/>
              <w:ind w:right="32"/>
              <w:spacing w:after="0" w:line="142"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1,123.</w:t>
            </w:r>
            <w:r>
              <w:rPr>
                <w:rFonts w:ascii="Arial" w:cs="Arial" w:eastAsia="Arial" w:hAnsi="Arial"/>
                <w:sz w:val="14"/>
                <w:szCs w:val="14"/>
                <w:u w:val="single" w:color="auto"/>
                <w:color w:val="auto"/>
              </w:rPr>
              <w:t>1</w:t>
            </w:r>
          </w:p>
        </w:tc>
        <w:tc>
          <w:tcPr>
            <w:tcW w:w="1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1,192.</w:t>
            </w:r>
            <w:r>
              <w:rPr>
                <w:rFonts w:ascii="Arial" w:cs="Arial" w:eastAsia="Arial" w:hAnsi="Arial"/>
                <w:sz w:val="14"/>
                <w:szCs w:val="14"/>
                <w:u w:val="single" w:color="auto"/>
                <w:color w:val="auto"/>
              </w:rPr>
              <w:t>0</w:t>
            </w:r>
          </w:p>
        </w:tc>
        <w:tc>
          <w:tcPr>
            <w:tcW w:w="200" w:type="dxa"/>
            <w:vAlign w:val="bottom"/>
            <w:gridSpan w:val="2"/>
            <w:shd w:val="clear" w:color="auto" w:fill="CCEEFF"/>
          </w:tcPr>
          <w:p>
            <w:pPr>
              <w:jc w:val="right"/>
              <w:ind w:right="12"/>
              <w:spacing w:after="0" w:line="142"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706.7</w:t>
            </w:r>
          </w:p>
        </w:tc>
        <w:tc>
          <w:tcPr>
            <w:tcW w:w="1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758.</w:t>
            </w:r>
            <w:r>
              <w:rPr>
                <w:rFonts w:ascii="Arial" w:cs="Arial" w:eastAsia="Arial" w:hAnsi="Arial"/>
                <w:sz w:val="14"/>
                <w:szCs w:val="14"/>
                <w:u w:val="single" w:color="auto"/>
                <w:color w:val="auto"/>
              </w:rPr>
              <w:t>6</w:t>
            </w:r>
          </w:p>
        </w:tc>
        <w:tc>
          <w:tcPr>
            <w:tcW w:w="220" w:type="dxa"/>
            <w:vAlign w:val="bottom"/>
            <w:gridSpan w:val="2"/>
            <w:shd w:val="clear" w:color="auto" w:fill="CCEEFF"/>
          </w:tcPr>
          <w:p>
            <w:pPr>
              <w:jc w:val="right"/>
              <w:ind w:right="12"/>
              <w:spacing w:after="0" w:line="142"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358.0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5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385.</w:t>
            </w:r>
            <w:r>
              <w:rPr>
                <w:rFonts w:ascii="Arial" w:cs="Arial" w:eastAsia="Arial" w:hAnsi="Arial"/>
                <w:sz w:val="14"/>
                <w:szCs w:val="14"/>
                <w:u w:val="single" w:color="auto"/>
                <w:color w:val="auto"/>
              </w:rPr>
              <w:t>8</w:t>
            </w:r>
          </w:p>
        </w:tc>
        <w:tc>
          <w:tcPr>
            <w:tcW w:w="200" w:type="dxa"/>
            <w:vAlign w:val="bottom"/>
            <w:gridSpan w:val="2"/>
            <w:shd w:val="clear" w:color="auto" w:fill="CCEEFF"/>
          </w:tcPr>
          <w:p>
            <w:pPr>
              <w:jc w:val="right"/>
              <w:ind w:right="12"/>
              <w:spacing w:after="0" w:line="142"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532.2</w:t>
            </w:r>
          </w:p>
        </w:tc>
        <w:tc>
          <w:tcPr>
            <w:tcW w:w="1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566.</w:t>
            </w:r>
            <w:r>
              <w:rPr>
                <w:rFonts w:ascii="Arial" w:cs="Arial" w:eastAsia="Arial" w:hAnsi="Arial"/>
                <w:sz w:val="14"/>
                <w:szCs w:val="14"/>
                <w:u w:val="single" w:color="auto"/>
                <w:color w:val="auto"/>
              </w:rPr>
              <w:t>1</w:t>
            </w:r>
          </w:p>
        </w:tc>
        <w:tc>
          <w:tcPr>
            <w:tcW w:w="220" w:type="dxa"/>
            <w:vAlign w:val="bottom"/>
            <w:gridSpan w:val="2"/>
            <w:shd w:val="clear" w:color="auto" w:fill="CCEEFF"/>
          </w:tcPr>
          <w:p>
            <w:pPr>
              <w:jc w:val="right"/>
              <w:ind w:right="12"/>
              <w:spacing w:after="0" w:line="142"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1,377.</w:t>
            </w:r>
            <w:r>
              <w:rPr>
                <w:rFonts w:ascii="Arial" w:cs="Arial" w:eastAsia="Arial" w:hAnsi="Arial"/>
                <w:sz w:val="14"/>
                <w:szCs w:val="14"/>
                <w:u w:val="single" w:color="auto"/>
                <w:color w:val="auto"/>
              </w:rPr>
              <w:t>6</w:t>
            </w:r>
          </w:p>
        </w:tc>
        <w:tc>
          <w:tcPr>
            <w:tcW w:w="1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997.</w:t>
            </w:r>
            <w:r>
              <w:rPr>
                <w:rFonts w:ascii="Arial" w:cs="Arial" w:eastAsia="Arial" w:hAnsi="Arial"/>
                <w:sz w:val="14"/>
                <w:szCs w:val="14"/>
                <w:u w:val="single" w:color="auto"/>
                <w:color w:val="auto"/>
              </w:rPr>
              <w:t>7</w:t>
            </w:r>
          </w:p>
        </w:tc>
        <w:tc>
          <w:tcPr>
            <w:tcW w:w="220" w:type="dxa"/>
            <w:vAlign w:val="bottom"/>
            <w:gridSpan w:val="2"/>
            <w:shd w:val="clear" w:color="auto" w:fill="CCEEFF"/>
          </w:tcPr>
          <w:p>
            <w:pPr>
              <w:jc w:val="right"/>
              <w:ind w:right="32"/>
              <w:spacing w:after="0" w:line="142"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4,097.</w:t>
            </w:r>
            <w:r>
              <w:rPr>
                <w:rFonts w:ascii="Arial" w:cs="Arial" w:eastAsia="Arial" w:hAnsi="Arial"/>
                <w:sz w:val="14"/>
                <w:szCs w:val="14"/>
                <w:u w:val="single" w:color="auto"/>
                <w:color w:val="auto"/>
              </w:rPr>
              <w:t>6</w:t>
            </w:r>
          </w:p>
        </w:tc>
        <w:tc>
          <w:tcPr>
            <w:tcW w:w="1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3,900.</w:t>
            </w:r>
            <w:r>
              <w:rPr>
                <w:rFonts w:ascii="Arial" w:cs="Arial" w:eastAsia="Arial" w:hAnsi="Arial"/>
                <w:sz w:val="14"/>
                <w:szCs w:val="14"/>
                <w:u w:val="single" w:color="auto"/>
                <w:color w:val="auto"/>
              </w:rPr>
              <w:t>2</w:t>
            </w:r>
          </w:p>
        </w:tc>
        <w:tc>
          <w:tcPr>
            <w:tcW w:w="120" w:type="dxa"/>
            <w:vAlign w:val="bottom"/>
            <w:shd w:val="clear" w:color="auto" w:fill="CCEEFF"/>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160" w:type="dxa"/>
            <w:vAlign w:val="bottom"/>
            <w:tcBorders>
              <w:bottom w:val="single" w:sz="8" w:color="auto"/>
            </w:tcBorders>
          </w:tcPr>
          <w:p>
            <w:pPr>
              <w:spacing w:after="0"/>
              <w:rPr>
                <w:sz w:val="7"/>
                <w:szCs w:val="7"/>
                <w:color w:val="auto"/>
              </w:rPr>
            </w:pPr>
          </w:p>
        </w:tc>
        <w:tc>
          <w:tcPr>
            <w:tcW w:w="5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40" w:type="dxa"/>
            <w:vAlign w:val="bottom"/>
          </w:tcPr>
          <w:p>
            <w:pPr>
              <w:spacing w:after="0"/>
              <w:rPr>
                <w:sz w:val="7"/>
                <w:szCs w:val="7"/>
                <w:color w:val="auto"/>
              </w:rPr>
            </w:pPr>
          </w:p>
        </w:tc>
        <w:tc>
          <w:tcPr>
            <w:tcW w:w="56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540" w:type="dxa"/>
            <w:vAlign w:val="bottom"/>
          </w:tcPr>
          <w:p>
            <w:pPr>
              <w:spacing w:after="0"/>
              <w:rPr>
                <w:sz w:val="7"/>
                <w:szCs w:val="7"/>
                <w:color w:val="auto"/>
              </w:rPr>
            </w:pPr>
          </w:p>
        </w:tc>
        <w:tc>
          <w:tcPr>
            <w:tcW w:w="80" w:type="dxa"/>
            <w:vAlign w:val="bottom"/>
          </w:tcPr>
          <w:p>
            <w:pPr>
              <w:spacing w:after="0"/>
              <w:rPr>
                <w:sz w:val="7"/>
                <w:szCs w:val="7"/>
                <w:color w:val="auto"/>
              </w:rPr>
            </w:pPr>
          </w:p>
        </w:tc>
        <w:tc>
          <w:tcPr>
            <w:tcW w:w="14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40" w:type="dxa"/>
            <w:vAlign w:val="bottom"/>
          </w:tcPr>
          <w:p>
            <w:pPr>
              <w:spacing w:after="0"/>
              <w:rPr>
                <w:sz w:val="7"/>
                <w:szCs w:val="7"/>
                <w:color w:val="auto"/>
              </w:rPr>
            </w:pPr>
          </w:p>
        </w:tc>
        <w:tc>
          <w:tcPr>
            <w:tcW w:w="56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540" w:type="dxa"/>
            <w:vAlign w:val="bottom"/>
          </w:tcPr>
          <w:p>
            <w:pPr>
              <w:spacing w:after="0"/>
              <w:rPr>
                <w:sz w:val="7"/>
                <w:szCs w:val="7"/>
                <w:color w:val="auto"/>
              </w:rPr>
            </w:pPr>
          </w:p>
        </w:tc>
        <w:tc>
          <w:tcPr>
            <w:tcW w:w="80" w:type="dxa"/>
            <w:vAlign w:val="bottom"/>
          </w:tcPr>
          <w:p>
            <w:pPr>
              <w:spacing w:after="0"/>
              <w:rPr>
                <w:sz w:val="7"/>
                <w:szCs w:val="7"/>
                <w:color w:val="auto"/>
              </w:rPr>
            </w:pPr>
          </w:p>
        </w:tc>
        <w:tc>
          <w:tcPr>
            <w:tcW w:w="140" w:type="dxa"/>
            <w:vAlign w:val="bottom"/>
          </w:tcPr>
          <w:p>
            <w:pPr>
              <w:spacing w:after="0"/>
              <w:rPr>
                <w:sz w:val="7"/>
                <w:szCs w:val="7"/>
                <w:color w:val="auto"/>
              </w:rPr>
            </w:pPr>
          </w:p>
        </w:tc>
        <w:tc>
          <w:tcPr>
            <w:tcW w:w="54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 w:type="dxa"/>
            <w:vAlign w:val="bottom"/>
          </w:tcPr>
          <w:p>
            <w:pPr>
              <w:spacing w:after="0"/>
              <w:rPr>
                <w:sz w:val="7"/>
                <w:szCs w:val="7"/>
                <w:color w:val="auto"/>
              </w:rPr>
            </w:pPr>
          </w:p>
        </w:tc>
      </w:tr>
    </w:tbl>
    <w:p>
      <w:pPr>
        <w:spacing w:after="0" w:line="192" w:lineRule="exact"/>
        <w:rPr>
          <w:sz w:val="20"/>
          <w:szCs w:val="20"/>
          <w:color w:val="auto"/>
        </w:rPr>
      </w:pPr>
    </w:p>
    <w:p>
      <w:pPr>
        <w:ind w:left="1680" w:hanging="531"/>
        <w:spacing w:after="0"/>
        <w:tabs>
          <w:tab w:leader="none" w:pos="1680" w:val="left"/>
        </w:tabs>
        <w:numPr>
          <w:ilvl w:val="0"/>
          <w:numId w:val="34"/>
        </w:numPr>
        <w:rPr>
          <w:rFonts w:ascii="Arial" w:cs="Arial" w:eastAsia="Arial" w:hAnsi="Arial"/>
          <w:sz w:val="14"/>
          <w:szCs w:val="14"/>
          <w:color w:val="auto"/>
        </w:rPr>
      </w:pPr>
      <w:r>
        <w:rPr>
          <w:rFonts w:ascii="Arial" w:cs="Arial" w:eastAsia="Arial" w:hAnsi="Arial"/>
          <w:sz w:val="14"/>
          <w:szCs w:val="14"/>
          <w:color w:val="auto"/>
        </w:rPr>
        <w:t>The CMBS portfolio included agency CMBS with a $403.8 million amortized cost and a $423.0 million carrying amount.</w:t>
      </w:r>
    </w:p>
    <w:p>
      <w:pPr>
        <w:spacing w:after="0" w:line="206" w:lineRule="exact"/>
        <w:rPr>
          <w:sz w:val="20"/>
          <w:szCs w:val="20"/>
          <w:color w:val="auto"/>
        </w:rPr>
      </w:pPr>
    </w:p>
    <w:p>
      <w:pPr>
        <w:jc w:val="both"/>
        <w:ind w:firstLine="503"/>
        <w:spacing w:after="0" w:line="268" w:lineRule="auto"/>
        <w:rPr>
          <w:sz w:val="20"/>
          <w:szCs w:val="20"/>
          <w:color w:val="auto"/>
        </w:rPr>
      </w:pPr>
      <w:r>
        <w:rPr>
          <w:rFonts w:ascii="Arial" w:cs="Arial" w:eastAsia="Arial" w:hAnsi="Arial"/>
          <w:sz w:val="18"/>
          <w:szCs w:val="18"/>
          <w:color w:val="auto"/>
        </w:rPr>
        <w:t>The following tables present our exposure by credit quality, based on the lowest NRSRO designation, and vintage for our ABS home equity portfolio supported by subprime first lien mortgages as of the periods indicated.</w:t>
      </w:r>
    </w:p>
    <w:p>
      <w:pPr>
        <w:spacing w:after="0" w:line="18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4"/>
          </w:tcPr>
          <w:p>
            <w:pPr>
              <w:ind w:left="20"/>
              <w:spacing w:after="0"/>
              <w:rPr>
                <w:sz w:val="20"/>
                <w:szCs w:val="20"/>
                <w:color w:val="auto"/>
              </w:rPr>
            </w:pPr>
            <w:r>
              <w:rPr>
                <w:rFonts w:ascii="Arial" w:cs="Arial" w:eastAsia="Arial" w:hAnsi="Arial"/>
                <w:sz w:val="14"/>
                <w:szCs w:val="14"/>
                <w:b w:val="1"/>
                <w:bCs w:val="1"/>
                <w:color w:val="auto"/>
                <w:w w:val="99"/>
              </w:rPr>
              <w:t>December 31, 2013</w:t>
            </w:r>
          </w:p>
        </w:tc>
        <w:tc>
          <w:tcPr>
            <w:tcW w:w="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AAA</w:t>
            </w:r>
          </w:p>
        </w:tc>
        <w:tc>
          <w:tcPr>
            <w:tcW w:w="540" w:type="dxa"/>
            <w:vAlign w:val="bottom"/>
            <w:tcBorders>
              <w:bottom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AA</w:t>
            </w:r>
          </w:p>
        </w:tc>
        <w:tc>
          <w:tcPr>
            <w:tcW w:w="540" w:type="dxa"/>
            <w:vAlign w:val="bottom"/>
            <w:tcBorders>
              <w:bottom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gridSpan w:val="2"/>
          </w:tcPr>
          <w:p>
            <w:pPr>
              <w:ind w:left="480"/>
              <w:spacing w:after="0" w:line="142" w:lineRule="exact"/>
              <w:rPr>
                <w:sz w:val="20"/>
                <w:szCs w:val="20"/>
                <w:color w:val="auto"/>
              </w:rPr>
            </w:pPr>
            <w:r>
              <w:rPr>
                <w:rFonts w:ascii="Arial" w:cs="Arial" w:eastAsia="Arial" w:hAnsi="Arial"/>
                <w:sz w:val="14"/>
                <w:szCs w:val="14"/>
                <w:b w:val="1"/>
                <w:bCs w:val="1"/>
                <w:color w:val="auto"/>
                <w:w w:val="98"/>
              </w:rPr>
              <w:t>A</w:t>
            </w:r>
          </w:p>
        </w:tc>
        <w:tc>
          <w:tcPr>
            <w:tcW w:w="8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BBB</w:t>
            </w:r>
          </w:p>
        </w:tc>
        <w:tc>
          <w:tcPr>
            <w:tcW w:w="540" w:type="dxa"/>
            <w:vAlign w:val="bottom"/>
            <w:tcBorders>
              <w:bottom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220" w:type="dxa"/>
            <w:vAlign w:val="bottom"/>
            <w:tcBorders>
              <w:bottom w:val="single" w:sz="8" w:color="auto"/>
            </w:tcBorders>
            <w:gridSpan w:val="4"/>
          </w:tcPr>
          <w:p>
            <w:pPr>
              <w:ind w:left="80"/>
              <w:spacing w:after="0" w:line="142" w:lineRule="exact"/>
              <w:rPr>
                <w:sz w:val="20"/>
                <w:szCs w:val="20"/>
                <w:color w:val="auto"/>
              </w:rPr>
            </w:pPr>
            <w:r>
              <w:rPr>
                <w:rFonts w:ascii="Arial" w:cs="Arial" w:eastAsia="Arial" w:hAnsi="Arial"/>
                <w:sz w:val="14"/>
                <w:szCs w:val="14"/>
                <w:b w:val="1"/>
                <w:bCs w:val="1"/>
                <w:color w:val="auto"/>
              </w:rPr>
              <w:t>BB+ and Below</w:t>
            </w:r>
          </w:p>
        </w:tc>
        <w:tc>
          <w:tcPr>
            <w:tcW w:w="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Total</w:t>
            </w:r>
          </w:p>
        </w:tc>
        <w:tc>
          <w:tcPr>
            <w:tcW w:w="540" w:type="dxa"/>
            <w:vAlign w:val="bottom"/>
            <w:tcBorders>
              <w:bottom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8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90"/>
              </w:rPr>
              <w:t>Amortized</w:t>
            </w:r>
          </w:p>
        </w:tc>
        <w:tc>
          <w:tcPr>
            <w:tcW w:w="60" w:type="dxa"/>
            <w:vAlign w:val="bottom"/>
          </w:tcPr>
          <w:p>
            <w:pPr>
              <w:spacing w:after="0"/>
              <w:rPr>
                <w:sz w:val="11"/>
                <w:szCs w:val="11"/>
                <w:color w:val="auto"/>
              </w:rPr>
            </w:pPr>
          </w:p>
        </w:tc>
        <w:tc>
          <w:tcPr>
            <w:tcW w:w="62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93"/>
              </w:rPr>
              <w:t>Carrying</w:t>
            </w:r>
          </w:p>
        </w:tc>
        <w:tc>
          <w:tcPr>
            <w:tcW w:w="60" w:type="dxa"/>
            <w:vAlign w:val="bottom"/>
          </w:tcPr>
          <w:p>
            <w:pPr>
              <w:spacing w:after="0"/>
              <w:rPr>
                <w:sz w:val="11"/>
                <w:szCs w:val="11"/>
                <w:color w:val="auto"/>
              </w:rPr>
            </w:pPr>
          </w:p>
        </w:tc>
        <w:tc>
          <w:tcPr>
            <w:tcW w:w="70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87"/>
              </w:rPr>
              <w:t>Amortized</w:t>
            </w:r>
          </w:p>
        </w:tc>
        <w:tc>
          <w:tcPr>
            <w:tcW w:w="60" w:type="dxa"/>
            <w:vAlign w:val="bottom"/>
          </w:tcPr>
          <w:p>
            <w:pPr>
              <w:spacing w:after="0"/>
              <w:rPr>
                <w:sz w:val="11"/>
                <w:szCs w:val="11"/>
                <w:color w:val="auto"/>
              </w:rPr>
            </w:pPr>
          </w:p>
        </w:tc>
        <w:tc>
          <w:tcPr>
            <w:tcW w:w="60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93"/>
              </w:rPr>
              <w:t>Carrying</w:t>
            </w:r>
          </w:p>
        </w:tc>
        <w:tc>
          <w:tcPr>
            <w:tcW w:w="80" w:type="dxa"/>
            <w:vAlign w:val="bottom"/>
          </w:tcPr>
          <w:p>
            <w:pPr>
              <w:spacing w:after="0"/>
              <w:rPr>
                <w:sz w:val="11"/>
                <w:szCs w:val="11"/>
                <w:color w:val="auto"/>
              </w:rPr>
            </w:pPr>
          </w:p>
        </w:tc>
        <w:tc>
          <w:tcPr>
            <w:tcW w:w="740" w:type="dxa"/>
            <w:vAlign w:val="bottom"/>
            <w:gridSpan w:val="3"/>
          </w:tcPr>
          <w:p>
            <w:pPr>
              <w:jc w:val="center"/>
              <w:ind w:right="80"/>
              <w:spacing w:after="0" w:line="129" w:lineRule="exact"/>
              <w:rPr>
                <w:sz w:val="20"/>
                <w:szCs w:val="20"/>
                <w:color w:val="auto"/>
              </w:rPr>
            </w:pPr>
            <w:r>
              <w:rPr>
                <w:rFonts w:ascii="Arial" w:cs="Arial" w:eastAsia="Arial" w:hAnsi="Arial"/>
                <w:sz w:val="14"/>
                <w:szCs w:val="14"/>
                <w:b w:val="1"/>
                <w:bCs w:val="1"/>
                <w:color w:val="auto"/>
                <w:w w:val="90"/>
              </w:rPr>
              <w:t>Amortized</w:t>
            </w:r>
          </w:p>
        </w:tc>
        <w:tc>
          <w:tcPr>
            <w:tcW w:w="62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7"/>
              </w:rPr>
              <w:t>Carrying</w:t>
            </w:r>
          </w:p>
        </w:tc>
        <w:tc>
          <w:tcPr>
            <w:tcW w:w="60" w:type="dxa"/>
            <w:vAlign w:val="bottom"/>
          </w:tcPr>
          <w:p>
            <w:pPr>
              <w:spacing w:after="0"/>
              <w:rPr>
                <w:sz w:val="11"/>
                <w:szCs w:val="11"/>
                <w:color w:val="auto"/>
              </w:rPr>
            </w:pPr>
          </w:p>
        </w:tc>
        <w:tc>
          <w:tcPr>
            <w:tcW w:w="70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90"/>
              </w:rPr>
              <w:t>Amortized</w:t>
            </w:r>
          </w:p>
        </w:tc>
        <w:tc>
          <w:tcPr>
            <w:tcW w:w="60" w:type="dxa"/>
            <w:vAlign w:val="bottom"/>
          </w:tcPr>
          <w:p>
            <w:pPr>
              <w:spacing w:after="0"/>
              <w:rPr>
                <w:sz w:val="11"/>
                <w:szCs w:val="11"/>
                <w:color w:val="auto"/>
              </w:rPr>
            </w:pPr>
          </w:p>
        </w:tc>
        <w:tc>
          <w:tcPr>
            <w:tcW w:w="60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90"/>
              </w:rPr>
              <w:t>Carrying</w:t>
            </w:r>
          </w:p>
        </w:tc>
        <w:tc>
          <w:tcPr>
            <w:tcW w:w="80" w:type="dxa"/>
            <w:vAlign w:val="bottom"/>
          </w:tcPr>
          <w:p>
            <w:pPr>
              <w:spacing w:after="0"/>
              <w:rPr>
                <w:sz w:val="11"/>
                <w:szCs w:val="11"/>
                <w:color w:val="auto"/>
              </w:rPr>
            </w:pPr>
          </w:p>
        </w:tc>
        <w:tc>
          <w:tcPr>
            <w:tcW w:w="68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0"/>
              </w:rPr>
              <w:t>Amortized</w:t>
            </w:r>
          </w:p>
        </w:tc>
        <w:tc>
          <w:tcPr>
            <w:tcW w:w="80" w:type="dxa"/>
            <w:vAlign w:val="bottom"/>
          </w:tcPr>
          <w:p>
            <w:pPr>
              <w:spacing w:after="0"/>
              <w:rPr>
                <w:sz w:val="11"/>
                <w:szCs w:val="11"/>
                <w:color w:val="auto"/>
              </w:rPr>
            </w:pPr>
          </w:p>
        </w:tc>
        <w:tc>
          <w:tcPr>
            <w:tcW w:w="60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93"/>
              </w:rPr>
              <w:t>Carrying</w:t>
            </w:r>
          </w:p>
        </w:tc>
        <w:tc>
          <w:tcPr>
            <w:tcW w:w="60" w:type="dxa"/>
            <w:vAlign w:val="bottom"/>
          </w:tcPr>
          <w:p>
            <w:pPr>
              <w:spacing w:after="0"/>
              <w:rPr>
                <w:sz w:val="11"/>
                <w:szCs w:val="11"/>
                <w:color w:val="auto"/>
              </w:rPr>
            </w:pPr>
          </w:p>
        </w:tc>
        <w:tc>
          <w:tcPr>
            <w:tcW w:w="70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90"/>
              </w:rPr>
              <w:t>Amortized</w:t>
            </w:r>
          </w:p>
        </w:tc>
        <w:tc>
          <w:tcPr>
            <w:tcW w:w="60" w:type="dxa"/>
            <w:vAlign w:val="bottom"/>
          </w:tcPr>
          <w:p>
            <w:pPr>
              <w:spacing w:after="0"/>
              <w:rPr>
                <w:sz w:val="11"/>
                <w:szCs w:val="11"/>
                <w:color w:val="auto"/>
              </w:rPr>
            </w:pPr>
          </w:p>
        </w:tc>
        <w:tc>
          <w:tcPr>
            <w:tcW w:w="62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90"/>
              </w:rPr>
              <w:t>Carrying</w:t>
            </w: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ind w:right="92"/>
              <w:spacing w:after="0"/>
              <w:rPr>
                <w:sz w:val="20"/>
                <w:szCs w:val="20"/>
                <w:color w:val="auto"/>
              </w:rPr>
            </w:pPr>
            <w:r>
              <w:rPr>
                <w:rFonts w:ascii="Arial" w:cs="Arial" w:eastAsia="Arial" w:hAnsi="Arial"/>
                <w:sz w:val="14"/>
                <w:szCs w:val="14"/>
                <w:b w:val="1"/>
                <w:bCs w:val="1"/>
                <w:color w:val="auto"/>
                <w:w w:val="76"/>
              </w:rPr>
              <w:t>cost</w:t>
            </w: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6"/>
              </w:rPr>
              <w:t>amount</w:t>
            </w:r>
          </w:p>
        </w:tc>
        <w:tc>
          <w:tcPr>
            <w:tcW w:w="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92"/>
              <w:spacing w:after="0"/>
              <w:rPr>
                <w:sz w:val="20"/>
                <w:szCs w:val="20"/>
                <w:color w:val="auto"/>
              </w:rPr>
            </w:pPr>
            <w:r>
              <w:rPr>
                <w:rFonts w:ascii="Arial" w:cs="Arial" w:eastAsia="Arial" w:hAnsi="Arial"/>
                <w:sz w:val="14"/>
                <w:szCs w:val="14"/>
                <w:b w:val="1"/>
                <w:bCs w:val="1"/>
                <w:color w:val="auto"/>
                <w:w w:val="83"/>
              </w:rPr>
              <w:t>cost</w:t>
            </w:r>
          </w:p>
        </w:tc>
        <w:tc>
          <w:tcPr>
            <w:tcW w:w="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amount</w:t>
            </w:r>
          </w:p>
        </w:tc>
        <w:tc>
          <w:tcPr>
            <w:tcW w:w="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ind w:right="92"/>
              <w:spacing w:after="0"/>
              <w:rPr>
                <w:sz w:val="20"/>
                <w:szCs w:val="20"/>
                <w:color w:val="auto"/>
              </w:rPr>
            </w:pPr>
            <w:r>
              <w:rPr>
                <w:rFonts w:ascii="Arial" w:cs="Arial" w:eastAsia="Arial" w:hAnsi="Arial"/>
                <w:sz w:val="14"/>
                <w:szCs w:val="14"/>
                <w:b w:val="1"/>
                <w:bCs w:val="1"/>
                <w:color w:val="auto"/>
                <w:w w:val="76"/>
              </w:rPr>
              <w:t>cost</w:t>
            </w: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amount</w:t>
            </w:r>
          </w:p>
        </w:tc>
        <w:tc>
          <w:tcPr>
            <w:tcW w:w="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72"/>
              <w:spacing w:after="0"/>
              <w:rPr>
                <w:sz w:val="20"/>
                <w:szCs w:val="20"/>
                <w:color w:val="auto"/>
              </w:rPr>
            </w:pPr>
            <w:r>
              <w:rPr>
                <w:rFonts w:ascii="Arial" w:cs="Arial" w:eastAsia="Arial" w:hAnsi="Arial"/>
                <w:sz w:val="14"/>
                <w:szCs w:val="14"/>
                <w:b w:val="1"/>
                <w:bCs w:val="1"/>
                <w:color w:val="auto"/>
                <w:w w:val="76"/>
              </w:rPr>
              <w:t>cost</w:t>
            </w:r>
          </w:p>
        </w:tc>
        <w:tc>
          <w:tcPr>
            <w:tcW w:w="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amount</w:t>
            </w:r>
          </w:p>
        </w:tc>
        <w:tc>
          <w:tcPr>
            <w:tcW w:w="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ind w:left="80"/>
              <w:spacing w:after="0"/>
              <w:rPr>
                <w:sz w:val="20"/>
                <w:szCs w:val="20"/>
                <w:color w:val="auto"/>
              </w:rPr>
            </w:pPr>
            <w:r>
              <w:rPr>
                <w:rFonts w:ascii="Arial" w:cs="Arial" w:eastAsia="Arial" w:hAnsi="Arial"/>
                <w:sz w:val="14"/>
                <w:szCs w:val="14"/>
                <w:b w:val="1"/>
                <w:bCs w:val="1"/>
                <w:color w:val="auto"/>
              </w:rPr>
              <w:t>cost</w:t>
            </w:r>
          </w:p>
        </w:tc>
        <w:tc>
          <w:tcPr>
            <w:tcW w:w="8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90"/>
              </w:rPr>
              <w:t>amount</w:t>
            </w:r>
          </w:p>
        </w:tc>
        <w:tc>
          <w:tcPr>
            <w:tcW w:w="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ind w:right="92"/>
              <w:spacing w:after="0"/>
              <w:rPr>
                <w:sz w:val="20"/>
                <w:szCs w:val="20"/>
                <w:color w:val="auto"/>
              </w:rPr>
            </w:pPr>
            <w:r>
              <w:rPr>
                <w:rFonts w:ascii="Arial" w:cs="Arial" w:eastAsia="Arial" w:hAnsi="Arial"/>
                <w:sz w:val="14"/>
                <w:szCs w:val="14"/>
                <w:b w:val="1"/>
                <w:bCs w:val="1"/>
                <w:color w:val="auto"/>
                <w:w w:val="76"/>
              </w:rPr>
              <w:t>cost</w:t>
            </w: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6"/>
              </w:rPr>
              <w:t>amount</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00" w:type="dxa"/>
            <w:vAlign w:val="bottom"/>
            <w:gridSpan w:val="4"/>
          </w:tcPr>
          <w:p>
            <w:pPr>
              <w:jc w:val="right"/>
              <w:ind w:right="332"/>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58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2003 &amp;</w:t>
            </w:r>
          </w:p>
        </w:tc>
        <w:tc>
          <w:tcPr>
            <w:tcW w:w="160" w:type="dxa"/>
            <w:vAlign w:val="bottom"/>
            <w:gridSpan w:val="2"/>
            <w:vMerge w:val="restart"/>
            <w:shd w:val="clear" w:color="auto" w:fill="CCEEFF"/>
          </w:tcPr>
          <w:p>
            <w:pPr>
              <w:jc w:val="right"/>
              <w:ind w:right="21"/>
              <w:spacing w:after="0"/>
              <w:rPr>
                <w:sz w:val="20"/>
                <w:szCs w:val="20"/>
                <w:color w:val="auto"/>
              </w:rPr>
            </w:pPr>
            <w:r>
              <w:rPr>
                <w:rFonts w:ascii="Arial" w:cs="Arial" w:eastAsia="Arial" w:hAnsi="Arial"/>
                <w:sz w:val="14"/>
                <w:szCs w:val="14"/>
                <w:b w:val="1"/>
                <w:bCs w:val="1"/>
                <w:color w:val="auto"/>
                <w:w w:val="76"/>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0.7</w:t>
            </w:r>
          </w:p>
        </w:tc>
        <w:tc>
          <w:tcPr>
            <w:tcW w:w="14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0.7</w:t>
            </w:r>
          </w:p>
        </w:tc>
        <w:tc>
          <w:tcPr>
            <w:tcW w:w="200" w:type="dxa"/>
            <w:vAlign w:val="bottom"/>
            <w:gridSpan w:val="2"/>
            <w:vMerge w:val="restart"/>
            <w:shd w:val="clear" w:color="auto" w:fill="CCEEFF"/>
          </w:tcPr>
          <w:p>
            <w:pPr>
              <w:jc w:val="right"/>
              <w:ind w:right="21"/>
              <w:spacing w:after="0"/>
              <w:rPr>
                <w:sz w:val="20"/>
                <w:szCs w:val="20"/>
                <w:color w:val="auto"/>
              </w:rPr>
            </w:pPr>
            <w:r>
              <w:rPr>
                <w:rFonts w:ascii="Arial" w:cs="Arial" w:eastAsia="Arial" w:hAnsi="Arial"/>
                <w:sz w:val="14"/>
                <w:szCs w:val="14"/>
                <w:b w:val="1"/>
                <w:bCs w:val="1"/>
                <w:color w:val="auto"/>
              </w:rPr>
              <w:t>$</w:t>
            </w:r>
          </w:p>
        </w:tc>
        <w:tc>
          <w:tcPr>
            <w:tcW w:w="56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4.6</w:t>
            </w:r>
          </w:p>
        </w:tc>
        <w:tc>
          <w:tcPr>
            <w:tcW w:w="12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4.9</w:t>
            </w:r>
          </w:p>
        </w:tc>
        <w:tc>
          <w:tcPr>
            <w:tcW w:w="220" w:type="dxa"/>
            <w:vAlign w:val="bottom"/>
            <w:gridSpan w:val="2"/>
            <w:vMerge w:val="restart"/>
            <w:shd w:val="clear" w:color="auto" w:fill="CCEEFF"/>
          </w:tcPr>
          <w:p>
            <w:pPr>
              <w:jc w:val="right"/>
              <w:ind w:right="21"/>
              <w:spacing w:after="0"/>
              <w:rPr>
                <w:sz w:val="20"/>
                <w:szCs w:val="20"/>
                <w:color w:val="auto"/>
              </w:rPr>
            </w:pPr>
            <w:r>
              <w:rPr>
                <w:rFonts w:ascii="Arial" w:cs="Arial" w:eastAsia="Arial" w:hAnsi="Arial"/>
                <w:sz w:val="14"/>
                <w:szCs w:val="14"/>
                <w:b w:val="1"/>
                <w:bCs w:val="1"/>
                <w:color w:val="auto"/>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5.7</w:t>
            </w:r>
          </w:p>
        </w:tc>
        <w:tc>
          <w:tcPr>
            <w:tcW w:w="60" w:type="dxa"/>
            <w:vAlign w:val="bottom"/>
            <w:shd w:val="clear" w:color="auto" w:fill="CCEEFF"/>
          </w:tcPr>
          <w:p>
            <w:pPr>
              <w:spacing w:after="0"/>
              <w:rPr>
                <w:sz w:val="11"/>
                <w:szCs w:val="11"/>
                <w:color w:val="auto"/>
              </w:rPr>
            </w:pPr>
          </w:p>
        </w:tc>
        <w:tc>
          <w:tcPr>
            <w:tcW w:w="8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w w:val="76"/>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5.9</w:t>
            </w:r>
          </w:p>
        </w:tc>
        <w:tc>
          <w:tcPr>
            <w:tcW w:w="200" w:type="dxa"/>
            <w:vAlign w:val="bottom"/>
            <w:gridSpan w:val="2"/>
            <w:vMerge w:val="restart"/>
            <w:shd w:val="clear" w:color="auto" w:fill="CCEEFF"/>
          </w:tcPr>
          <w:p>
            <w:pPr>
              <w:jc w:val="right"/>
              <w:ind w:right="21"/>
              <w:spacing w:after="0"/>
              <w:rPr>
                <w:sz w:val="20"/>
                <w:szCs w:val="20"/>
                <w:color w:val="auto"/>
              </w:rPr>
            </w:pPr>
            <w:r>
              <w:rPr>
                <w:rFonts w:ascii="Arial" w:cs="Arial" w:eastAsia="Arial" w:hAnsi="Arial"/>
                <w:sz w:val="14"/>
                <w:szCs w:val="14"/>
                <w:b w:val="1"/>
                <w:bCs w:val="1"/>
                <w:color w:val="auto"/>
              </w:rPr>
              <w:t>$</w:t>
            </w:r>
          </w:p>
        </w:tc>
        <w:tc>
          <w:tcPr>
            <w:tcW w:w="56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23.6</w:t>
            </w:r>
          </w:p>
        </w:tc>
        <w:tc>
          <w:tcPr>
            <w:tcW w:w="12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23.8</w:t>
            </w:r>
          </w:p>
        </w:tc>
        <w:tc>
          <w:tcPr>
            <w:tcW w:w="220" w:type="dxa"/>
            <w:vAlign w:val="bottom"/>
            <w:gridSpan w:val="2"/>
            <w:vMerge w:val="restart"/>
            <w:shd w:val="clear" w:color="auto" w:fill="CCEEFF"/>
          </w:tcPr>
          <w:p>
            <w:pPr>
              <w:jc w:val="right"/>
              <w:ind w:right="21"/>
              <w:spacing w:after="0"/>
              <w:rPr>
                <w:sz w:val="20"/>
                <w:szCs w:val="20"/>
                <w:color w:val="auto"/>
              </w:rPr>
            </w:pPr>
            <w:r>
              <w:rPr>
                <w:rFonts w:ascii="Arial" w:cs="Arial" w:eastAsia="Arial" w:hAnsi="Arial"/>
                <w:sz w:val="14"/>
                <w:szCs w:val="14"/>
                <w:b w:val="1"/>
                <w:bCs w:val="1"/>
                <w:color w:val="auto"/>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119.4</w:t>
            </w:r>
          </w:p>
        </w:tc>
        <w:tc>
          <w:tcPr>
            <w:tcW w:w="14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114.0</w:t>
            </w:r>
          </w:p>
        </w:tc>
        <w:tc>
          <w:tcPr>
            <w:tcW w:w="220" w:type="dxa"/>
            <w:vAlign w:val="bottom"/>
            <w:gridSpan w:val="2"/>
            <w:vMerge w:val="restart"/>
            <w:shd w:val="clear" w:color="auto" w:fill="CCEEFF"/>
          </w:tcPr>
          <w:p>
            <w:pPr>
              <w:jc w:val="right"/>
              <w:ind w:right="41"/>
              <w:spacing w:after="0"/>
              <w:rPr>
                <w:sz w:val="20"/>
                <w:szCs w:val="20"/>
                <w:color w:val="auto"/>
              </w:rPr>
            </w:pPr>
            <w:r>
              <w:rPr>
                <w:rFonts w:ascii="Arial" w:cs="Arial" w:eastAsia="Arial" w:hAnsi="Arial"/>
                <w:sz w:val="14"/>
                <w:szCs w:val="14"/>
                <w:b w:val="1"/>
                <w:bCs w:val="1"/>
                <w:color w:val="auto"/>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154.0</w:t>
            </w:r>
          </w:p>
        </w:tc>
        <w:tc>
          <w:tcPr>
            <w:tcW w:w="14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149.3</w:t>
            </w:r>
          </w:p>
        </w:tc>
        <w:tc>
          <w:tcPr>
            <w:tcW w:w="1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58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Prior</w:t>
            </w:r>
          </w:p>
        </w:tc>
        <w:tc>
          <w:tcPr>
            <w:tcW w:w="160" w:type="dxa"/>
            <w:vAlign w:val="bottom"/>
            <w:gridSpan w:val="2"/>
            <w:vMerge w:val="continue"/>
            <w:shd w:val="clear" w:color="auto" w:fill="CCEEFF"/>
          </w:tcPr>
          <w:p>
            <w:pPr>
              <w:spacing w:after="0"/>
              <w:rPr>
                <w:sz w:val="13"/>
                <w:szCs w:val="13"/>
                <w:color w:val="auto"/>
              </w:rPr>
            </w:pPr>
          </w:p>
        </w:tc>
        <w:tc>
          <w:tcPr>
            <w:tcW w:w="540" w:type="dxa"/>
            <w:vAlign w:val="bottom"/>
            <w:vMerge w:val="continue"/>
            <w:shd w:val="clear" w:color="auto" w:fill="CCEEFF"/>
          </w:tcPr>
          <w:p>
            <w:pPr>
              <w:spacing w:after="0"/>
              <w:rPr>
                <w:sz w:val="13"/>
                <w:szCs w:val="13"/>
                <w:color w:val="auto"/>
              </w:rPr>
            </w:pPr>
          </w:p>
        </w:tc>
        <w:tc>
          <w:tcPr>
            <w:tcW w:w="140" w:type="dxa"/>
            <w:vAlign w:val="bottom"/>
            <w:gridSpan w:val="2"/>
            <w:vMerge w:val="continue"/>
            <w:shd w:val="clear" w:color="auto" w:fill="CCEEFF"/>
          </w:tcPr>
          <w:p>
            <w:pPr>
              <w:spacing w:after="0"/>
              <w:rPr>
                <w:sz w:val="13"/>
                <w:szCs w:val="13"/>
                <w:color w:val="auto"/>
              </w:rPr>
            </w:pPr>
          </w:p>
        </w:tc>
        <w:tc>
          <w:tcPr>
            <w:tcW w:w="540" w:type="dxa"/>
            <w:vAlign w:val="bottom"/>
            <w:vMerge w:val="continue"/>
            <w:shd w:val="clear" w:color="auto" w:fill="CCEEFF"/>
          </w:tcPr>
          <w:p>
            <w:pPr>
              <w:spacing w:after="0"/>
              <w:rPr>
                <w:sz w:val="13"/>
                <w:szCs w:val="13"/>
                <w:color w:val="auto"/>
              </w:rPr>
            </w:pPr>
          </w:p>
        </w:tc>
        <w:tc>
          <w:tcPr>
            <w:tcW w:w="200" w:type="dxa"/>
            <w:vAlign w:val="bottom"/>
            <w:gridSpan w:val="2"/>
            <w:vMerge w:val="continue"/>
            <w:shd w:val="clear" w:color="auto" w:fill="CCEEFF"/>
          </w:tcPr>
          <w:p>
            <w:pPr>
              <w:spacing w:after="0"/>
              <w:rPr>
                <w:sz w:val="13"/>
                <w:szCs w:val="13"/>
                <w:color w:val="auto"/>
              </w:rPr>
            </w:pPr>
          </w:p>
        </w:tc>
        <w:tc>
          <w:tcPr>
            <w:tcW w:w="560" w:type="dxa"/>
            <w:vAlign w:val="bottom"/>
            <w:vMerge w:val="continue"/>
            <w:shd w:val="clear" w:color="auto" w:fill="CCEEFF"/>
          </w:tcPr>
          <w:p>
            <w:pPr>
              <w:spacing w:after="0"/>
              <w:rPr>
                <w:sz w:val="13"/>
                <w:szCs w:val="13"/>
                <w:color w:val="auto"/>
              </w:rPr>
            </w:pPr>
          </w:p>
        </w:tc>
        <w:tc>
          <w:tcPr>
            <w:tcW w:w="120" w:type="dxa"/>
            <w:vAlign w:val="bottom"/>
            <w:gridSpan w:val="2"/>
            <w:vMerge w:val="continue"/>
            <w:shd w:val="clear" w:color="auto" w:fill="CCEEFF"/>
          </w:tcPr>
          <w:p>
            <w:pPr>
              <w:spacing w:after="0"/>
              <w:rPr>
                <w:sz w:val="13"/>
                <w:szCs w:val="13"/>
                <w:color w:val="auto"/>
              </w:rPr>
            </w:pPr>
          </w:p>
        </w:tc>
        <w:tc>
          <w:tcPr>
            <w:tcW w:w="540" w:type="dxa"/>
            <w:vAlign w:val="bottom"/>
            <w:vMerge w:val="continue"/>
            <w:shd w:val="clear" w:color="auto" w:fill="CCEEFF"/>
          </w:tcPr>
          <w:p>
            <w:pPr>
              <w:spacing w:after="0"/>
              <w:rPr>
                <w:sz w:val="13"/>
                <w:szCs w:val="13"/>
                <w:color w:val="auto"/>
              </w:rPr>
            </w:pPr>
          </w:p>
        </w:tc>
        <w:tc>
          <w:tcPr>
            <w:tcW w:w="220" w:type="dxa"/>
            <w:vAlign w:val="bottom"/>
            <w:gridSpan w:val="2"/>
            <w:vMerge w:val="continue"/>
            <w:shd w:val="clear" w:color="auto" w:fill="CCEEFF"/>
          </w:tcPr>
          <w:p>
            <w:pPr>
              <w:spacing w:after="0"/>
              <w:rPr>
                <w:sz w:val="13"/>
                <w:szCs w:val="13"/>
                <w:color w:val="auto"/>
              </w:rPr>
            </w:pPr>
          </w:p>
        </w:tc>
        <w:tc>
          <w:tcPr>
            <w:tcW w:w="540" w:type="dxa"/>
            <w:vAlign w:val="bottom"/>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vMerge w:val="continue"/>
            <w:shd w:val="clear" w:color="auto" w:fill="CCEEFF"/>
          </w:tcPr>
          <w:p>
            <w:pPr>
              <w:spacing w:after="0"/>
              <w:rPr>
                <w:sz w:val="13"/>
                <w:szCs w:val="13"/>
                <w:color w:val="auto"/>
              </w:rPr>
            </w:pPr>
          </w:p>
        </w:tc>
        <w:tc>
          <w:tcPr>
            <w:tcW w:w="540" w:type="dxa"/>
            <w:vAlign w:val="bottom"/>
            <w:vMerge w:val="continue"/>
            <w:shd w:val="clear" w:color="auto" w:fill="CCEEFF"/>
          </w:tcPr>
          <w:p>
            <w:pPr>
              <w:spacing w:after="0"/>
              <w:rPr>
                <w:sz w:val="13"/>
                <w:szCs w:val="13"/>
                <w:color w:val="auto"/>
              </w:rPr>
            </w:pPr>
          </w:p>
        </w:tc>
        <w:tc>
          <w:tcPr>
            <w:tcW w:w="200" w:type="dxa"/>
            <w:vAlign w:val="bottom"/>
            <w:gridSpan w:val="2"/>
            <w:vMerge w:val="continue"/>
            <w:shd w:val="clear" w:color="auto" w:fill="CCEEFF"/>
          </w:tcPr>
          <w:p>
            <w:pPr>
              <w:spacing w:after="0"/>
              <w:rPr>
                <w:sz w:val="13"/>
                <w:szCs w:val="13"/>
                <w:color w:val="auto"/>
              </w:rPr>
            </w:pPr>
          </w:p>
        </w:tc>
        <w:tc>
          <w:tcPr>
            <w:tcW w:w="560" w:type="dxa"/>
            <w:vAlign w:val="bottom"/>
            <w:vMerge w:val="continue"/>
            <w:shd w:val="clear" w:color="auto" w:fill="CCEEFF"/>
          </w:tcPr>
          <w:p>
            <w:pPr>
              <w:spacing w:after="0"/>
              <w:rPr>
                <w:sz w:val="13"/>
                <w:szCs w:val="13"/>
                <w:color w:val="auto"/>
              </w:rPr>
            </w:pPr>
          </w:p>
        </w:tc>
        <w:tc>
          <w:tcPr>
            <w:tcW w:w="120" w:type="dxa"/>
            <w:vAlign w:val="bottom"/>
            <w:gridSpan w:val="2"/>
            <w:vMerge w:val="continue"/>
            <w:shd w:val="clear" w:color="auto" w:fill="CCEEFF"/>
          </w:tcPr>
          <w:p>
            <w:pPr>
              <w:spacing w:after="0"/>
              <w:rPr>
                <w:sz w:val="13"/>
                <w:szCs w:val="13"/>
                <w:color w:val="auto"/>
              </w:rPr>
            </w:pPr>
          </w:p>
        </w:tc>
        <w:tc>
          <w:tcPr>
            <w:tcW w:w="540" w:type="dxa"/>
            <w:vAlign w:val="bottom"/>
            <w:vMerge w:val="continue"/>
            <w:shd w:val="clear" w:color="auto" w:fill="CCEEFF"/>
          </w:tcPr>
          <w:p>
            <w:pPr>
              <w:spacing w:after="0"/>
              <w:rPr>
                <w:sz w:val="13"/>
                <w:szCs w:val="13"/>
                <w:color w:val="auto"/>
              </w:rPr>
            </w:pPr>
          </w:p>
        </w:tc>
        <w:tc>
          <w:tcPr>
            <w:tcW w:w="220" w:type="dxa"/>
            <w:vAlign w:val="bottom"/>
            <w:gridSpan w:val="2"/>
            <w:vMerge w:val="continue"/>
            <w:shd w:val="clear" w:color="auto" w:fill="CCEEFF"/>
          </w:tcPr>
          <w:p>
            <w:pPr>
              <w:spacing w:after="0"/>
              <w:rPr>
                <w:sz w:val="13"/>
                <w:szCs w:val="13"/>
                <w:color w:val="auto"/>
              </w:rPr>
            </w:pPr>
          </w:p>
        </w:tc>
        <w:tc>
          <w:tcPr>
            <w:tcW w:w="540" w:type="dxa"/>
            <w:vAlign w:val="bottom"/>
            <w:vMerge w:val="continue"/>
            <w:shd w:val="clear" w:color="auto" w:fill="CCEEFF"/>
          </w:tcPr>
          <w:p>
            <w:pPr>
              <w:spacing w:after="0"/>
              <w:rPr>
                <w:sz w:val="13"/>
                <w:szCs w:val="13"/>
                <w:color w:val="auto"/>
              </w:rPr>
            </w:pPr>
          </w:p>
        </w:tc>
        <w:tc>
          <w:tcPr>
            <w:tcW w:w="140" w:type="dxa"/>
            <w:vAlign w:val="bottom"/>
            <w:gridSpan w:val="2"/>
            <w:vMerge w:val="continue"/>
            <w:shd w:val="clear" w:color="auto" w:fill="CCEEFF"/>
          </w:tcPr>
          <w:p>
            <w:pPr>
              <w:spacing w:after="0"/>
              <w:rPr>
                <w:sz w:val="13"/>
                <w:szCs w:val="13"/>
                <w:color w:val="auto"/>
              </w:rPr>
            </w:pPr>
          </w:p>
        </w:tc>
        <w:tc>
          <w:tcPr>
            <w:tcW w:w="540" w:type="dxa"/>
            <w:vAlign w:val="bottom"/>
            <w:vMerge w:val="continue"/>
            <w:shd w:val="clear" w:color="auto" w:fill="CCEEFF"/>
          </w:tcPr>
          <w:p>
            <w:pPr>
              <w:spacing w:after="0"/>
              <w:rPr>
                <w:sz w:val="13"/>
                <w:szCs w:val="13"/>
                <w:color w:val="auto"/>
              </w:rPr>
            </w:pPr>
          </w:p>
        </w:tc>
        <w:tc>
          <w:tcPr>
            <w:tcW w:w="220" w:type="dxa"/>
            <w:vAlign w:val="bottom"/>
            <w:gridSpan w:val="2"/>
            <w:vMerge w:val="continue"/>
            <w:shd w:val="clear" w:color="auto" w:fill="CCEEFF"/>
          </w:tcPr>
          <w:p>
            <w:pPr>
              <w:spacing w:after="0"/>
              <w:rPr>
                <w:sz w:val="13"/>
                <w:szCs w:val="13"/>
                <w:color w:val="auto"/>
              </w:rPr>
            </w:pPr>
          </w:p>
        </w:tc>
        <w:tc>
          <w:tcPr>
            <w:tcW w:w="540" w:type="dxa"/>
            <w:vAlign w:val="bottom"/>
            <w:vMerge w:val="continue"/>
            <w:shd w:val="clear" w:color="auto" w:fill="CCEEFF"/>
          </w:tcPr>
          <w:p>
            <w:pPr>
              <w:spacing w:after="0"/>
              <w:rPr>
                <w:sz w:val="13"/>
                <w:szCs w:val="13"/>
                <w:color w:val="auto"/>
              </w:rPr>
            </w:pPr>
          </w:p>
        </w:tc>
        <w:tc>
          <w:tcPr>
            <w:tcW w:w="140" w:type="dxa"/>
            <w:vAlign w:val="bottom"/>
            <w:gridSpan w:val="2"/>
            <w:vMerge w:val="continue"/>
            <w:shd w:val="clear" w:color="auto" w:fill="CCEEFF"/>
          </w:tcPr>
          <w:p>
            <w:pPr>
              <w:spacing w:after="0"/>
              <w:rPr>
                <w:sz w:val="13"/>
                <w:szCs w:val="13"/>
                <w:color w:val="auto"/>
              </w:rPr>
            </w:pPr>
          </w:p>
        </w:tc>
        <w:tc>
          <w:tcPr>
            <w:tcW w:w="540" w:type="dxa"/>
            <w:vAlign w:val="bottom"/>
            <w:vMerge w:val="continue"/>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0" w:type="dxa"/>
            <w:vAlign w:val="bottom"/>
          </w:tcPr>
          <w:p>
            <w:pPr>
              <w:spacing w:after="0" w:line="149" w:lineRule="exact"/>
              <w:rPr>
                <w:sz w:val="20"/>
                <w:szCs w:val="20"/>
                <w:color w:val="auto"/>
              </w:rPr>
            </w:pPr>
            <w:r>
              <w:rPr>
                <w:rFonts w:ascii="Arial" w:cs="Arial" w:eastAsia="Arial" w:hAnsi="Arial"/>
                <w:sz w:val="14"/>
                <w:szCs w:val="14"/>
                <w:color w:val="auto"/>
              </w:rPr>
              <w:t>2004</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13.6</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14.0</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10.7</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10.8</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42.1</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40.6</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66.4</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65.4</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2005</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3.1</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70.8</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68.1</w:t>
            </w: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73.9</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71.2</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0" w:type="dxa"/>
            <w:vAlign w:val="bottom"/>
          </w:tcPr>
          <w:p>
            <w:pPr>
              <w:spacing w:after="0" w:line="149" w:lineRule="exact"/>
              <w:rPr>
                <w:sz w:val="20"/>
                <w:szCs w:val="20"/>
                <w:color w:val="auto"/>
              </w:rPr>
            </w:pPr>
            <w:r>
              <w:rPr>
                <w:rFonts w:ascii="Arial" w:cs="Arial" w:eastAsia="Arial" w:hAnsi="Arial"/>
                <w:sz w:val="14"/>
                <w:szCs w:val="14"/>
                <w:color w:val="auto"/>
              </w:rPr>
              <w:t>2006</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12.9</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12.8</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12.9</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12.8</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2007</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37.6</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36.5</w:t>
            </w: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37.6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36.5</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00" w:type="dxa"/>
            <w:vAlign w:val="bottom"/>
            <w:gridSpan w:val="2"/>
          </w:tcPr>
          <w:p>
            <w:pPr>
              <w:spacing w:after="0" w:line="142" w:lineRule="exact"/>
              <w:rPr>
                <w:sz w:val="20"/>
                <w:szCs w:val="20"/>
                <w:color w:val="auto"/>
              </w:rPr>
            </w:pPr>
            <w:r>
              <w:rPr>
                <w:rFonts w:ascii="Arial" w:cs="Arial" w:eastAsia="Arial" w:hAnsi="Arial"/>
                <w:sz w:val="14"/>
                <w:szCs w:val="14"/>
                <w:color w:val="auto"/>
              </w:rPr>
              <w:t>Total</w:t>
            </w:r>
          </w:p>
        </w:tc>
        <w:tc>
          <w:tcPr>
            <w:tcW w:w="2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0"/>
                <w:szCs w:val="10"/>
                <w:b w:val="1"/>
                <w:bCs w:val="1"/>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0.7</w:t>
            </w: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0.7</w:t>
            </w:r>
          </w:p>
        </w:tc>
        <w:tc>
          <w:tcPr>
            <w:tcW w:w="6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0"/>
                <w:szCs w:val="10"/>
                <w:b w:val="1"/>
                <w:bCs w:val="1"/>
                <w:color w:val="auto"/>
                <w:w w:val="71"/>
              </w:rPr>
              <w:t>$</w:t>
            </w:r>
          </w:p>
        </w:tc>
        <w:tc>
          <w:tcPr>
            <w:tcW w:w="5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4.6</w:t>
            </w:r>
          </w:p>
        </w:tc>
        <w:tc>
          <w:tcPr>
            <w:tcW w:w="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4.9</w:t>
            </w:r>
          </w:p>
        </w:tc>
        <w:tc>
          <w:tcPr>
            <w:tcW w:w="8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0"/>
                <w:szCs w:val="10"/>
                <w:b w:val="1"/>
                <w:bCs w:val="1"/>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22.4</w:t>
            </w: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23.0</w:t>
            </w:r>
          </w:p>
        </w:tc>
        <w:tc>
          <w:tcPr>
            <w:tcW w:w="6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0"/>
                <w:szCs w:val="10"/>
                <w:b w:val="1"/>
                <w:bCs w:val="1"/>
                <w:color w:val="auto"/>
                <w:w w:val="71"/>
              </w:rPr>
              <w:t>$</w:t>
            </w:r>
          </w:p>
        </w:tc>
        <w:tc>
          <w:tcPr>
            <w:tcW w:w="5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34.3</w:t>
            </w:r>
          </w:p>
        </w:tc>
        <w:tc>
          <w:tcPr>
            <w:tcW w:w="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34.6</w:t>
            </w:r>
          </w:p>
        </w:tc>
        <w:tc>
          <w:tcPr>
            <w:tcW w:w="8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0"/>
                <w:szCs w:val="10"/>
                <w:b w:val="1"/>
                <w:bCs w:val="1"/>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282.8</w:t>
            </w:r>
          </w:p>
        </w:tc>
        <w:tc>
          <w:tcPr>
            <w:tcW w:w="8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272.</w:t>
            </w:r>
            <w:r>
              <w:rPr>
                <w:rFonts w:ascii="Arial" w:cs="Arial" w:eastAsia="Arial" w:hAnsi="Arial"/>
                <w:sz w:val="14"/>
                <w:szCs w:val="14"/>
                <w:b w:val="1"/>
                <w:bCs w:val="1"/>
                <w:u w:val="single" w:color="auto"/>
                <w:color w:val="auto"/>
              </w:rPr>
              <w:t>0</w:t>
            </w:r>
          </w:p>
        </w:tc>
        <w:tc>
          <w:tcPr>
            <w:tcW w:w="60" w:type="dxa"/>
            <w:vAlign w:val="bottom"/>
          </w:tcPr>
          <w:p>
            <w:pPr>
              <w:spacing w:after="0"/>
              <w:rPr>
                <w:sz w:val="12"/>
                <w:szCs w:val="12"/>
                <w:color w:val="auto"/>
              </w:rPr>
            </w:pPr>
          </w:p>
        </w:tc>
        <w:tc>
          <w:tcPr>
            <w:tcW w:w="16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0"/>
                <w:szCs w:val="10"/>
                <w:b w:val="1"/>
                <w:bCs w:val="1"/>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344.8</w:t>
            </w: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335.</w:t>
            </w:r>
            <w:r>
              <w:rPr>
                <w:rFonts w:ascii="Arial" w:cs="Arial" w:eastAsia="Arial" w:hAnsi="Arial"/>
                <w:sz w:val="14"/>
                <w:szCs w:val="14"/>
                <w:b w:val="1"/>
                <w:bCs w:val="1"/>
                <w:u w:val="single" w:color="auto"/>
                <w:color w:val="auto"/>
              </w:rPr>
              <w:t>2</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00" w:type="dxa"/>
            <w:vAlign w:val="bottom"/>
            <w:tcBorders>
              <w:bottom w:val="single" w:sz="8" w:color="auto"/>
            </w:tcBorders>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77"/>
        </w:trPr>
        <w:tc>
          <w:tcPr>
            <w:tcW w:w="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gridSpan w:val="4"/>
          </w:tcPr>
          <w:p>
            <w:pPr>
              <w:ind w:left="20"/>
              <w:spacing w:after="0"/>
              <w:rPr>
                <w:sz w:val="20"/>
                <w:szCs w:val="20"/>
                <w:color w:val="auto"/>
              </w:rPr>
            </w:pPr>
            <w:r>
              <w:rPr>
                <w:rFonts w:ascii="Arial" w:cs="Arial" w:eastAsia="Arial" w:hAnsi="Arial"/>
                <w:sz w:val="14"/>
                <w:szCs w:val="14"/>
                <w:b w:val="1"/>
                <w:bCs w:val="1"/>
                <w:color w:val="auto"/>
                <w:w w:val="99"/>
              </w:rPr>
              <w:t>December 31, 2012</w:t>
            </w:r>
          </w:p>
        </w:tc>
        <w:tc>
          <w:tcPr>
            <w:tcW w:w="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AAA</w:t>
            </w:r>
          </w:p>
        </w:tc>
        <w:tc>
          <w:tcPr>
            <w:tcW w:w="540" w:type="dxa"/>
            <w:vAlign w:val="bottom"/>
            <w:tcBorders>
              <w:bottom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AA</w:t>
            </w:r>
          </w:p>
        </w:tc>
        <w:tc>
          <w:tcPr>
            <w:tcW w:w="540" w:type="dxa"/>
            <w:vAlign w:val="bottom"/>
            <w:tcBorders>
              <w:bottom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gridSpan w:val="2"/>
          </w:tcPr>
          <w:p>
            <w:pPr>
              <w:ind w:left="480"/>
              <w:spacing w:after="0" w:line="142" w:lineRule="exact"/>
              <w:rPr>
                <w:sz w:val="20"/>
                <w:szCs w:val="20"/>
                <w:color w:val="auto"/>
              </w:rPr>
            </w:pPr>
            <w:r>
              <w:rPr>
                <w:rFonts w:ascii="Arial" w:cs="Arial" w:eastAsia="Arial" w:hAnsi="Arial"/>
                <w:sz w:val="14"/>
                <w:szCs w:val="14"/>
                <w:b w:val="1"/>
                <w:bCs w:val="1"/>
                <w:color w:val="auto"/>
                <w:w w:val="98"/>
              </w:rPr>
              <w:t>A</w:t>
            </w:r>
          </w:p>
        </w:tc>
        <w:tc>
          <w:tcPr>
            <w:tcW w:w="8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BBB</w:t>
            </w:r>
          </w:p>
        </w:tc>
        <w:tc>
          <w:tcPr>
            <w:tcW w:w="540" w:type="dxa"/>
            <w:vAlign w:val="bottom"/>
            <w:tcBorders>
              <w:bottom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220" w:type="dxa"/>
            <w:vAlign w:val="bottom"/>
            <w:tcBorders>
              <w:bottom w:val="single" w:sz="8" w:color="auto"/>
            </w:tcBorders>
            <w:gridSpan w:val="4"/>
          </w:tcPr>
          <w:p>
            <w:pPr>
              <w:ind w:left="80"/>
              <w:spacing w:after="0" w:line="142" w:lineRule="exact"/>
              <w:rPr>
                <w:sz w:val="20"/>
                <w:szCs w:val="20"/>
                <w:color w:val="auto"/>
              </w:rPr>
            </w:pPr>
            <w:r>
              <w:rPr>
                <w:rFonts w:ascii="Arial" w:cs="Arial" w:eastAsia="Arial" w:hAnsi="Arial"/>
                <w:sz w:val="14"/>
                <w:szCs w:val="14"/>
                <w:b w:val="1"/>
                <w:bCs w:val="1"/>
                <w:color w:val="auto"/>
              </w:rPr>
              <w:t>BB+ and Below</w:t>
            </w:r>
          </w:p>
        </w:tc>
        <w:tc>
          <w:tcPr>
            <w:tcW w:w="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Total</w:t>
            </w:r>
          </w:p>
        </w:tc>
        <w:tc>
          <w:tcPr>
            <w:tcW w:w="540" w:type="dxa"/>
            <w:vAlign w:val="bottom"/>
            <w:tcBorders>
              <w:bottom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8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90"/>
              </w:rPr>
              <w:t>Amortized</w:t>
            </w:r>
          </w:p>
        </w:tc>
        <w:tc>
          <w:tcPr>
            <w:tcW w:w="60" w:type="dxa"/>
            <w:vAlign w:val="bottom"/>
          </w:tcPr>
          <w:p>
            <w:pPr>
              <w:spacing w:after="0"/>
              <w:rPr>
                <w:sz w:val="11"/>
                <w:szCs w:val="11"/>
                <w:color w:val="auto"/>
              </w:rPr>
            </w:pPr>
          </w:p>
        </w:tc>
        <w:tc>
          <w:tcPr>
            <w:tcW w:w="62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93"/>
              </w:rPr>
              <w:t>Carrying</w:t>
            </w:r>
          </w:p>
        </w:tc>
        <w:tc>
          <w:tcPr>
            <w:tcW w:w="60" w:type="dxa"/>
            <w:vAlign w:val="bottom"/>
          </w:tcPr>
          <w:p>
            <w:pPr>
              <w:spacing w:after="0"/>
              <w:rPr>
                <w:sz w:val="11"/>
                <w:szCs w:val="11"/>
                <w:color w:val="auto"/>
              </w:rPr>
            </w:pPr>
          </w:p>
        </w:tc>
        <w:tc>
          <w:tcPr>
            <w:tcW w:w="70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87"/>
              </w:rPr>
              <w:t>Amortized</w:t>
            </w:r>
          </w:p>
        </w:tc>
        <w:tc>
          <w:tcPr>
            <w:tcW w:w="60" w:type="dxa"/>
            <w:vAlign w:val="bottom"/>
          </w:tcPr>
          <w:p>
            <w:pPr>
              <w:spacing w:after="0"/>
              <w:rPr>
                <w:sz w:val="11"/>
                <w:szCs w:val="11"/>
                <w:color w:val="auto"/>
              </w:rPr>
            </w:pPr>
          </w:p>
        </w:tc>
        <w:tc>
          <w:tcPr>
            <w:tcW w:w="60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93"/>
              </w:rPr>
              <w:t>Carrying</w:t>
            </w:r>
          </w:p>
        </w:tc>
        <w:tc>
          <w:tcPr>
            <w:tcW w:w="80" w:type="dxa"/>
            <w:vAlign w:val="bottom"/>
          </w:tcPr>
          <w:p>
            <w:pPr>
              <w:spacing w:after="0"/>
              <w:rPr>
                <w:sz w:val="11"/>
                <w:szCs w:val="11"/>
                <w:color w:val="auto"/>
              </w:rPr>
            </w:pPr>
          </w:p>
        </w:tc>
        <w:tc>
          <w:tcPr>
            <w:tcW w:w="740" w:type="dxa"/>
            <w:vAlign w:val="bottom"/>
            <w:gridSpan w:val="3"/>
          </w:tcPr>
          <w:p>
            <w:pPr>
              <w:jc w:val="center"/>
              <w:ind w:right="80"/>
              <w:spacing w:after="0" w:line="129" w:lineRule="exact"/>
              <w:rPr>
                <w:sz w:val="20"/>
                <w:szCs w:val="20"/>
                <w:color w:val="auto"/>
              </w:rPr>
            </w:pPr>
            <w:r>
              <w:rPr>
                <w:rFonts w:ascii="Arial" w:cs="Arial" w:eastAsia="Arial" w:hAnsi="Arial"/>
                <w:sz w:val="14"/>
                <w:szCs w:val="14"/>
                <w:b w:val="1"/>
                <w:bCs w:val="1"/>
                <w:color w:val="auto"/>
                <w:w w:val="90"/>
              </w:rPr>
              <w:t>Amortized</w:t>
            </w:r>
          </w:p>
        </w:tc>
        <w:tc>
          <w:tcPr>
            <w:tcW w:w="62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7"/>
              </w:rPr>
              <w:t>Carrying</w:t>
            </w:r>
          </w:p>
        </w:tc>
        <w:tc>
          <w:tcPr>
            <w:tcW w:w="60" w:type="dxa"/>
            <w:vAlign w:val="bottom"/>
          </w:tcPr>
          <w:p>
            <w:pPr>
              <w:spacing w:after="0"/>
              <w:rPr>
                <w:sz w:val="11"/>
                <w:szCs w:val="11"/>
                <w:color w:val="auto"/>
              </w:rPr>
            </w:pPr>
          </w:p>
        </w:tc>
        <w:tc>
          <w:tcPr>
            <w:tcW w:w="70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90"/>
              </w:rPr>
              <w:t>Amortized</w:t>
            </w:r>
          </w:p>
        </w:tc>
        <w:tc>
          <w:tcPr>
            <w:tcW w:w="60" w:type="dxa"/>
            <w:vAlign w:val="bottom"/>
          </w:tcPr>
          <w:p>
            <w:pPr>
              <w:spacing w:after="0"/>
              <w:rPr>
                <w:sz w:val="11"/>
                <w:szCs w:val="11"/>
                <w:color w:val="auto"/>
              </w:rPr>
            </w:pPr>
          </w:p>
        </w:tc>
        <w:tc>
          <w:tcPr>
            <w:tcW w:w="60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90"/>
              </w:rPr>
              <w:t>Carrying</w:t>
            </w:r>
          </w:p>
        </w:tc>
        <w:tc>
          <w:tcPr>
            <w:tcW w:w="80" w:type="dxa"/>
            <w:vAlign w:val="bottom"/>
          </w:tcPr>
          <w:p>
            <w:pPr>
              <w:spacing w:after="0"/>
              <w:rPr>
                <w:sz w:val="11"/>
                <w:szCs w:val="11"/>
                <w:color w:val="auto"/>
              </w:rPr>
            </w:pPr>
          </w:p>
        </w:tc>
        <w:tc>
          <w:tcPr>
            <w:tcW w:w="68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0"/>
              </w:rPr>
              <w:t>Amortized</w:t>
            </w:r>
          </w:p>
        </w:tc>
        <w:tc>
          <w:tcPr>
            <w:tcW w:w="80" w:type="dxa"/>
            <w:vAlign w:val="bottom"/>
          </w:tcPr>
          <w:p>
            <w:pPr>
              <w:spacing w:after="0"/>
              <w:rPr>
                <w:sz w:val="11"/>
                <w:szCs w:val="11"/>
                <w:color w:val="auto"/>
              </w:rPr>
            </w:pPr>
          </w:p>
        </w:tc>
        <w:tc>
          <w:tcPr>
            <w:tcW w:w="60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93"/>
              </w:rPr>
              <w:t>Carrying</w:t>
            </w:r>
          </w:p>
        </w:tc>
        <w:tc>
          <w:tcPr>
            <w:tcW w:w="60" w:type="dxa"/>
            <w:vAlign w:val="bottom"/>
          </w:tcPr>
          <w:p>
            <w:pPr>
              <w:spacing w:after="0"/>
              <w:rPr>
                <w:sz w:val="11"/>
                <w:szCs w:val="11"/>
                <w:color w:val="auto"/>
              </w:rPr>
            </w:pPr>
          </w:p>
        </w:tc>
        <w:tc>
          <w:tcPr>
            <w:tcW w:w="70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90"/>
              </w:rPr>
              <w:t>Amortized</w:t>
            </w:r>
          </w:p>
        </w:tc>
        <w:tc>
          <w:tcPr>
            <w:tcW w:w="60" w:type="dxa"/>
            <w:vAlign w:val="bottom"/>
          </w:tcPr>
          <w:p>
            <w:pPr>
              <w:spacing w:after="0"/>
              <w:rPr>
                <w:sz w:val="11"/>
                <w:szCs w:val="11"/>
                <w:color w:val="auto"/>
              </w:rPr>
            </w:pPr>
          </w:p>
        </w:tc>
        <w:tc>
          <w:tcPr>
            <w:tcW w:w="62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90"/>
              </w:rPr>
              <w:t>Carrying</w:t>
            </w: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ind w:right="92"/>
              <w:spacing w:after="0"/>
              <w:rPr>
                <w:sz w:val="20"/>
                <w:szCs w:val="20"/>
                <w:color w:val="auto"/>
              </w:rPr>
            </w:pPr>
            <w:r>
              <w:rPr>
                <w:rFonts w:ascii="Arial" w:cs="Arial" w:eastAsia="Arial" w:hAnsi="Arial"/>
                <w:sz w:val="14"/>
                <w:szCs w:val="14"/>
                <w:b w:val="1"/>
                <w:bCs w:val="1"/>
                <w:color w:val="auto"/>
                <w:w w:val="76"/>
              </w:rPr>
              <w:t>cost</w:t>
            </w: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6"/>
              </w:rPr>
              <w:t>amount</w:t>
            </w:r>
          </w:p>
        </w:tc>
        <w:tc>
          <w:tcPr>
            <w:tcW w:w="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92"/>
              <w:spacing w:after="0"/>
              <w:rPr>
                <w:sz w:val="20"/>
                <w:szCs w:val="20"/>
                <w:color w:val="auto"/>
              </w:rPr>
            </w:pPr>
            <w:r>
              <w:rPr>
                <w:rFonts w:ascii="Arial" w:cs="Arial" w:eastAsia="Arial" w:hAnsi="Arial"/>
                <w:sz w:val="14"/>
                <w:szCs w:val="14"/>
                <w:b w:val="1"/>
                <w:bCs w:val="1"/>
                <w:color w:val="auto"/>
                <w:w w:val="83"/>
              </w:rPr>
              <w:t>cost</w:t>
            </w:r>
          </w:p>
        </w:tc>
        <w:tc>
          <w:tcPr>
            <w:tcW w:w="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amount</w:t>
            </w:r>
          </w:p>
        </w:tc>
        <w:tc>
          <w:tcPr>
            <w:tcW w:w="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ind w:right="92"/>
              <w:spacing w:after="0"/>
              <w:rPr>
                <w:sz w:val="20"/>
                <w:szCs w:val="20"/>
                <w:color w:val="auto"/>
              </w:rPr>
            </w:pPr>
            <w:r>
              <w:rPr>
                <w:rFonts w:ascii="Arial" w:cs="Arial" w:eastAsia="Arial" w:hAnsi="Arial"/>
                <w:sz w:val="14"/>
                <w:szCs w:val="14"/>
                <w:b w:val="1"/>
                <w:bCs w:val="1"/>
                <w:color w:val="auto"/>
                <w:w w:val="76"/>
              </w:rPr>
              <w:t>cost</w:t>
            </w: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amount</w:t>
            </w:r>
          </w:p>
        </w:tc>
        <w:tc>
          <w:tcPr>
            <w:tcW w:w="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72"/>
              <w:spacing w:after="0"/>
              <w:rPr>
                <w:sz w:val="20"/>
                <w:szCs w:val="20"/>
                <w:color w:val="auto"/>
              </w:rPr>
            </w:pPr>
            <w:r>
              <w:rPr>
                <w:rFonts w:ascii="Arial" w:cs="Arial" w:eastAsia="Arial" w:hAnsi="Arial"/>
                <w:sz w:val="14"/>
                <w:szCs w:val="14"/>
                <w:b w:val="1"/>
                <w:bCs w:val="1"/>
                <w:color w:val="auto"/>
                <w:w w:val="76"/>
              </w:rPr>
              <w:t>cost</w:t>
            </w:r>
          </w:p>
        </w:tc>
        <w:tc>
          <w:tcPr>
            <w:tcW w:w="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amount</w:t>
            </w:r>
          </w:p>
        </w:tc>
        <w:tc>
          <w:tcPr>
            <w:tcW w:w="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ind w:left="80"/>
              <w:spacing w:after="0"/>
              <w:rPr>
                <w:sz w:val="20"/>
                <w:szCs w:val="20"/>
                <w:color w:val="auto"/>
              </w:rPr>
            </w:pPr>
            <w:r>
              <w:rPr>
                <w:rFonts w:ascii="Arial" w:cs="Arial" w:eastAsia="Arial" w:hAnsi="Arial"/>
                <w:sz w:val="14"/>
                <w:szCs w:val="14"/>
                <w:b w:val="1"/>
                <w:bCs w:val="1"/>
                <w:color w:val="auto"/>
              </w:rPr>
              <w:t>cost</w:t>
            </w:r>
          </w:p>
        </w:tc>
        <w:tc>
          <w:tcPr>
            <w:tcW w:w="8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90"/>
              </w:rPr>
              <w:t>amount</w:t>
            </w:r>
          </w:p>
        </w:tc>
        <w:tc>
          <w:tcPr>
            <w:tcW w:w="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ind w:right="92"/>
              <w:spacing w:after="0"/>
              <w:rPr>
                <w:sz w:val="20"/>
                <w:szCs w:val="20"/>
                <w:color w:val="auto"/>
              </w:rPr>
            </w:pPr>
            <w:r>
              <w:rPr>
                <w:rFonts w:ascii="Arial" w:cs="Arial" w:eastAsia="Arial" w:hAnsi="Arial"/>
                <w:sz w:val="14"/>
                <w:szCs w:val="14"/>
                <w:b w:val="1"/>
                <w:bCs w:val="1"/>
                <w:color w:val="auto"/>
                <w:w w:val="76"/>
              </w:rPr>
              <w:t>cost</w:t>
            </w: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6"/>
              </w:rPr>
              <w:t>amount</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00" w:type="dxa"/>
            <w:vAlign w:val="bottom"/>
            <w:gridSpan w:val="4"/>
          </w:tcPr>
          <w:p>
            <w:pPr>
              <w:jc w:val="right"/>
              <w:ind w:right="332"/>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58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2003 &amp;</w:t>
            </w: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58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Prior</w:t>
            </w:r>
          </w:p>
        </w:tc>
        <w:tc>
          <w:tcPr>
            <w:tcW w:w="160" w:type="dxa"/>
            <w:vAlign w:val="bottom"/>
            <w:gridSpan w:val="2"/>
            <w:shd w:val="clear" w:color="auto" w:fill="CCEEFF"/>
          </w:tcPr>
          <w:p>
            <w:pPr>
              <w:jc w:val="right"/>
              <w:ind w:right="21"/>
              <w:spacing w:after="0" w:line="159" w:lineRule="exact"/>
              <w:rPr>
                <w:sz w:val="20"/>
                <w:szCs w:val="20"/>
                <w:color w:val="auto"/>
              </w:rPr>
            </w:pPr>
            <w:r>
              <w:rPr>
                <w:rFonts w:ascii="Arial" w:cs="Arial" w:eastAsia="Arial" w:hAnsi="Arial"/>
                <w:sz w:val="14"/>
                <w:szCs w:val="14"/>
                <w:color w:val="auto"/>
                <w:w w:val="76"/>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2.0</w:t>
            </w:r>
          </w:p>
        </w:tc>
        <w:tc>
          <w:tcPr>
            <w:tcW w:w="1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2.0</w:t>
            </w:r>
          </w:p>
        </w:tc>
        <w:tc>
          <w:tcPr>
            <w:tcW w:w="200" w:type="dxa"/>
            <w:vAlign w:val="bottom"/>
            <w:gridSpan w:val="2"/>
            <w:shd w:val="clear" w:color="auto" w:fill="CCEEFF"/>
          </w:tcPr>
          <w:p>
            <w:pPr>
              <w:jc w:val="right"/>
              <w:ind w:right="21"/>
              <w:spacing w:after="0" w:line="159"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4.8</w:t>
            </w:r>
          </w:p>
        </w:tc>
        <w:tc>
          <w:tcPr>
            <w:tcW w:w="12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5.0</w:t>
            </w:r>
          </w:p>
        </w:tc>
        <w:tc>
          <w:tcPr>
            <w:tcW w:w="220" w:type="dxa"/>
            <w:vAlign w:val="bottom"/>
            <w:gridSpan w:val="2"/>
            <w:shd w:val="clear" w:color="auto" w:fill="CCEEFF"/>
          </w:tcPr>
          <w:p>
            <w:pPr>
              <w:jc w:val="right"/>
              <w:ind w:right="21"/>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5.7</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w w:val="76"/>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5.8</w:t>
            </w:r>
          </w:p>
        </w:tc>
        <w:tc>
          <w:tcPr>
            <w:tcW w:w="200" w:type="dxa"/>
            <w:vAlign w:val="bottom"/>
            <w:gridSpan w:val="2"/>
            <w:shd w:val="clear" w:color="auto" w:fill="CCEEFF"/>
          </w:tcPr>
          <w:p>
            <w:pPr>
              <w:jc w:val="right"/>
              <w:ind w:right="21"/>
              <w:spacing w:after="0" w:line="159"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21.6</w:t>
            </w:r>
          </w:p>
        </w:tc>
        <w:tc>
          <w:tcPr>
            <w:tcW w:w="12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21.5</w:t>
            </w:r>
          </w:p>
        </w:tc>
        <w:tc>
          <w:tcPr>
            <w:tcW w:w="220" w:type="dxa"/>
            <w:vAlign w:val="bottom"/>
            <w:gridSpan w:val="2"/>
            <w:shd w:val="clear" w:color="auto" w:fill="CCEEFF"/>
          </w:tcPr>
          <w:p>
            <w:pPr>
              <w:jc w:val="right"/>
              <w:ind w:right="21"/>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141.4</w:t>
            </w:r>
          </w:p>
        </w:tc>
        <w:tc>
          <w:tcPr>
            <w:tcW w:w="1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127.8</w:t>
            </w:r>
          </w:p>
        </w:tc>
        <w:tc>
          <w:tcPr>
            <w:tcW w:w="220" w:type="dxa"/>
            <w:vAlign w:val="bottom"/>
            <w:gridSpan w:val="2"/>
            <w:shd w:val="clear" w:color="auto" w:fill="CCEEFF"/>
          </w:tcPr>
          <w:p>
            <w:pPr>
              <w:jc w:val="right"/>
              <w:ind w:right="41"/>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175.5</w:t>
            </w:r>
          </w:p>
        </w:tc>
        <w:tc>
          <w:tcPr>
            <w:tcW w:w="1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162.1</w:t>
            </w:r>
          </w:p>
        </w:tc>
        <w:tc>
          <w:tcPr>
            <w:tcW w:w="1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0" w:type="dxa"/>
            <w:vAlign w:val="bottom"/>
          </w:tcPr>
          <w:p>
            <w:pPr>
              <w:spacing w:after="0" w:line="149" w:lineRule="exact"/>
              <w:rPr>
                <w:sz w:val="20"/>
                <w:szCs w:val="20"/>
                <w:color w:val="auto"/>
              </w:rPr>
            </w:pPr>
            <w:r>
              <w:rPr>
                <w:rFonts w:ascii="Arial" w:cs="Arial" w:eastAsia="Arial" w:hAnsi="Arial"/>
                <w:sz w:val="14"/>
                <w:szCs w:val="14"/>
                <w:color w:val="auto"/>
              </w:rPr>
              <w:t>2004</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5.9</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5.7</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19.4</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19.2</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44.9</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40.2</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70.2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65.1</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2005</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3.1</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71.4</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58.0</w:t>
            </w: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74.4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61.1</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0" w:type="dxa"/>
            <w:vAlign w:val="bottom"/>
          </w:tcPr>
          <w:p>
            <w:pPr>
              <w:spacing w:after="0" w:line="149" w:lineRule="exact"/>
              <w:rPr>
                <w:sz w:val="20"/>
                <w:szCs w:val="20"/>
                <w:color w:val="auto"/>
              </w:rPr>
            </w:pPr>
            <w:r>
              <w:rPr>
                <w:rFonts w:ascii="Arial" w:cs="Arial" w:eastAsia="Arial" w:hAnsi="Arial"/>
                <w:sz w:val="14"/>
                <w:szCs w:val="14"/>
                <w:color w:val="auto"/>
              </w:rPr>
              <w:t>2006</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13.8</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12.6</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13.8</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12.6</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2007</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37.2</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32.9</w:t>
            </w: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32.9</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00" w:type="dxa"/>
            <w:vAlign w:val="bottom"/>
            <w:gridSpan w:val="2"/>
          </w:tcPr>
          <w:p>
            <w:pPr>
              <w:spacing w:after="0" w:line="142" w:lineRule="exact"/>
              <w:rPr>
                <w:sz w:val="20"/>
                <w:szCs w:val="20"/>
                <w:color w:val="auto"/>
              </w:rPr>
            </w:pPr>
            <w:r>
              <w:rPr>
                <w:rFonts w:ascii="Arial" w:cs="Arial" w:eastAsia="Arial" w:hAnsi="Arial"/>
                <w:sz w:val="14"/>
                <w:szCs w:val="14"/>
                <w:color w:val="auto"/>
              </w:rPr>
              <w:t>Total</w:t>
            </w:r>
          </w:p>
        </w:tc>
        <w:tc>
          <w:tcPr>
            <w:tcW w:w="20" w:type="dxa"/>
            <w:vAlign w:val="bottom"/>
            <w:tcBorders>
              <w:bottom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2.0</w:t>
            </w: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2.0</w:t>
            </w:r>
          </w:p>
        </w:tc>
        <w:tc>
          <w:tcPr>
            <w:tcW w:w="6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0"/>
                <w:szCs w:val="10"/>
                <w:color w:val="auto"/>
                <w:w w:val="71"/>
              </w:rPr>
              <w:t>$</w:t>
            </w:r>
          </w:p>
        </w:tc>
        <w:tc>
          <w:tcPr>
            <w:tcW w:w="5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4.8</w:t>
            </w:r>
          </w:p>
        </w:tc>
        <w:tc>
          <w:tcPr>
            <w:tcW w:w="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5.0</w:t>
            </w:r>
          </w:p>
        </w:tc>
        <w:tc>
          <w:tcPr>
            <w:tcW w:w="8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14.6</w:t>
            </w: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14.6</w:t>
            </w:r>
          </w:p>
        </w:tc>
        <w:tc>
          <w:tcPr>
            <w:tcW w:w="6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0"/>
                <w:szCs w:val="10"/>
                <w:color w:val="auto"/>
                <w:w w:val="71"/>
              </w:rPr>
              <w:t>$</w:t>
            </w:r>
          </w:p>
        </w:tc>
        <w:tc>
          <w:tcPr>
            <w:tcW w:w="5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41.0</w:t>
            </w:r>
          </w:p>
        </w:tc>
        <w:tc>
          <w:tcPr>
            <w:tcW w:w="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40.7</w:t>
            </w:r>
          </w:p>
        </w:tc>
        <w:tc>
          <w:tcPr>
            <w:tcW w:w="8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308.7</w:t>
            </w:r>
          </w:p>
        </w:tc>
        <w:tc>
          <w:tcPr>
            <w:tcW w:w="8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271.</w:t>
            </w:r>
            <w:r>
              <w:rPr>
                <w:rFonts w:ascii="Arial" w:cs="Arial" w:eastAsia="Arial" w:hAnsi="Arial"/>
                <w:sz w:val="14"/>
                <w:szCs w:val="14"/>
                <w:u w:val="single" w:color="auto"/>
                <w:color w:val="auto"/>
              </w:rPr>
              <w:t>5</w:t>
            </w:r>
          </w:p>
        </w:tc>
        <w:tc>
          <w:tcPr>
            <w:tcW w:w="60" w:type="dxa"/>
            <w:vAlign w:val="bottom"/>
          </w:tcPr>
          <w:p>
            <w:pPr>
              <w:spacing w:after="0"/>
              <w:rPr>
                <w:sz w:val="12"/>
                <w:szCs w:val="12"/>
                <w:color w:val="auto"/>
              </w:rPr>
            </w:pPr>
          </w:p>
        </w:tc>
        <w:tc>
          <w:tcPr>
            <w:tcW w:w="16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371.1</w:t>
            </w: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333.</w:t>
            </w:r>
            <w:r>
              <w:rPr>
                <w:rFonts w:ascii="Arial" w:cs="Arial" w:eastAsia="Arial" w:hAnsi="Arial"/>
                <w:sz w:val="14"/>
                <w:szCs w:val="14"/>
                <w:u w:val="single" w:color="auto"/>
                <w:color w:val="auto"/>
              </w:rPr>
              <w:t>8</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firstLine="410"/>
        <w:spacing w:after="0" w:line="286" w:lineRule="auto"/>
        <w:rPr>
          <w:sz w:val="20"/>
          <w:szCs w:val="20"/>
          <w:color w:val="auto"/>
        </w:rPr>
      </w:pPr>
      <w:r>
        <w:rPr>
          <w:rFonts w:ascii="Arial" w:cs="Arial" w:eastAsia="Arial" w:hAnsi="Arial"/>
          <w:sz w:val="16"/>
          <w:szCs w:val="16"/>
          <w:b w:val="1"/>
          <w:bCs w:val="1"/>
          <w:i w:val="1"/>
          <w:iCs w:val="1"/>
          <w:color w:val="auto"/>
        </w:rPr>
        <w:t xml:space="preserve">Fixed Maturities Watch List. </w:t>
      </w:r>
      <w:r>
        <w:rPr>
          <w:rFonts w:ascii="Arial" w:cs="Arial" w:eastAsia="Arial" w:hAnsi="Arial"/>
          <w:sz w:val="16"/>
          <w:szCs w:val="16"/>
          <w:color w:val="auto"/>
        </w:rPr>
        <w:t>We monitor any decline in the credit quality of fixed maturities through the designation of "problem securities," "potential</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problem securities" and "restructured securities". We define problem securities in our fixed maturity portfolio as securities: (i) as to which principal and/or interest payments are in default or where default is perceived to be imminent in the near term, or (ii) issued by a company that went into bankruptcy subsequent to the acquisition of such securities. We define potential problem securities in our fixed maturity portfolio as securities included on an internal "watch list" for which management has concerns as to the ability of the issuer to comply with the present debt payment terms and which may result in the security becoming a problem or being restructured. The decision whether to classify a performing fixed maturity security as a potential problem involves significant subjective judgments by our management as to the likely future industry conditions and developments with respect to the issuer. We define restructured securities in our fixed maturity portfolio as securities where a concession has been granted to the borrower related to the borrower's financial difficulties that would not have otherwise been considered. We determine that restructures should occur in those instances where greater economic value will be realized under the new terms than through liquidation or other disposition and may involve a change in contractual cash flows. If the present value of the restructured cash flows is less than the current cost of the asset being restructured, a realized capital loss is recorded in net income and a new cost basis is established.</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0" w:name="page71"/>
    <w:bookmarkEnd w:id="7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firstLine="463"/>
        <w:spacing w:after="0" w:line="268" w:lineRule="auto"/>
        <w:rPr>
          <w:sz w:val="20"/>
          <w:szCs w:val="20"/>
          <w:color w:val="auto"/>
        </w:rPr>
      </w:pPr>
      <w:r>
        <w:rPr>
          <w:rFonts w:ascii="Arial" w:cs="Arial" w:eastAsia="Arial" w:hAnsi="Arial"/>
          <w:sz w:val="18"/>
          <w:szCs w:val="18"/>
          <w:color w:val="auto"/>
        </w:rPr>
        <w:t>The following table presents the total carrying amount of our fixed maturities portfolio, as well as its problem, potential problem and restructured fixed maturities for the periods indicated.</w:t>
      </w:r>
    </w:p>
    <w:p>
      <w:pPr>
        <w:spacing w:after="0" w:line="18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8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2013</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2012</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4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2" w:lineRule="exact"/>
              <w:rPr>
                <w:sz w:val="20"/>
                <w:szCs w:val="20"/>
                <w:color w:val="auto"/>
              </w:rPr>
            </w:pPr>
            <w:r>
              <w:rPr>
                <w:rFonts w:ascii="Arial" w:cs="Arial" w:eastAsia="Arial" w:hAnsi="Arial"/>
                <w:sz w:val="14"/>
                <w:szCs w:val="14"/>
                <w:b w:val="1"/>
                <w:bCs w:val="1"/>
                <w:i w:val="1"/>
                <w:iCs w:val="1"/>
                <w:color w:val="auto"/>
              </w:rPr>
              <w:t>($ in</w:t>
            </w:r>
          </w:p>
        </w:tc>
        <w:tc>
          <w:tcPr>
            <w:tcW w:w="1420" w:type="dxa"/>
            <w:vAlign w:val="bottom"/>
            <w:gridSpan w:val="4"/>
          </w:tcPr>
          <w:p>
            <w:pPr>
              <w:jc w:val="right"/>
              <w:ind w:right="892"/>
              <w:spacing w:after="0" w:line="142" w:lineRule="exact"/>
              <w:rPr>
                <w:sz w:val="20"/>
                <w:szCs w:val="20"/>
                <w:color w:val="auto"/>
              </w:rPr>
            </w:pPr>
            <w:r>
              <w:rPr>
                <w:rFonts w:ascii="Arial" w:cs="Arial" w:eastAsia="Arial" w:hAnsi="Arial"/>
                <w:sz w:val="14"/>
                <w:szCs w:val="14"/>
                <w:b w:val="1"/>
                <w:bCs w:val="1"/>
                <w:i w:val="1"/>
                <w:iCs w:val="1"/>
                <w:color w:val="auto"/>
                <w:w w:val="76"/>
              </w:rPr>
              <w:t>millions)</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Total fixed maturities (public and private)</w:t>
            </w:r>
          </w:p>
        </w:tc>
        <w:tc>
          <w:tcPr>
            <w:tcW w:w="3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45,957.5</w:t>
            </w:r>
          </w:p>
        </w:tc>
        <w:tc>
          <w:tcPr>
            <w:tcW w:w="140" w:type="dxa"/>
            <w:vAlign w:val="bottom"/>
            <w:shd w:val="clear" w:color="auto" w:fill="CCEEFF"/>
          </w:tcPr>
          <w:p>
            <w:pPr>
              <w:spacing w:after="0"/>
              <w:rPr>
                <w:sz w:val="12"/>
                <w:szCs w:val="12"/>
                <w:color w:val="auto"/>
              </w:rPr>
            </w:pPr>
          </w:p>
        </w:tc>
        <w:tc>
          <w:tcPr>
            <w:tcW w:w="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47,867.3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6000" w:type="dxa"/>
            <w:vAlign w:val="bottom"/>
            <w:gridSpan w:val="3"/>
            <w:vMerge w:val="restart"/>
          </w:tcPr>
          <w:p>
            <w:pPr>
              <w:spacing w:after="0"/>
              <w:rPr>
                <w:sz w:val="20"/>
                <w:szCs w:val="20"/>
                <w:color w:val="auto"/>
              </w:rPr>
            </w:pPr>
            <w:r>
              <w:rPr>
                <w:rFonts w:ascii="Arial" w:cs="Arial" w:eastAsia="Arial" w:hAnsi="Arial"/>
                <w:sz w:val="14"/>
                <w:szCs w:val="14"/>
                <w:color w:val="auto"/>
              </w:rPr>
              <w:t>Problem fixed maturities (1)</w:t>
            </w:r>
          </w:p>
        </w:tc>
        <w:tc>
          <w:tcPr>
            <w:tcW w:w="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6000" w:type="dxa"/>
            <w:vAlign w:val="bottom"/>
            <w:gridSpan w:val="3"/>
            <w:vMerge w:val="continue"/>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jc w:val="right"/>
              <w:spacing w:after="0"/>
              <w:rPr>
                <w:sz w:val="20"/>
                <w:szCs w:val="20"/>
                <w:color w:val="auto"/>
              </w:rPr>
            </w:pPr>
            <w:r>
              <w:rPr>
                <w:rFonts w:ascii="Arial" w:cs="Arial" w:eastAsia="Arial" w:hAnsi="Arial"/>
                <w:sz w:val="10"/>
                <w:szCs w:val="10"/>
                <w:b w:val="1"/>
                <w:bCs w:val="1"/>
                <w:color w:val="auto"/>
                <w:w w:val="71"/>
              </w:rPr>
              <w:t>$</w:t>
            </w:r>
          </w:p>
        </w:tc>
        <w:tc>
          <w:tcPr>
            <w:tcW w:w="1200" w:type="dxa"/>
            <w:vAlign w:val="bottom"/>
          </w:tcPr>
          <w:p>
            <w:pPr>
              <w:jc w:val="right"/>
              <w:spacing w:after="0" w:line="129" w:lineRule="exact"/>
              <w:rPr>
                <w:sz w:val="20"/>
                <w:szCs w:val="20"/>
                <w:color w:val="auto"/>
              </w:rPr>
            </w:pPr>
            <w:r>
              <w:rPr>
                <w:rFonts w:ascii="Arial" w:cs="Arial" w:eastAsia="Arial" w:hAnsi="Arial"/>
                <w:sz w:val="14"/>
                <w:szCs w:val="14"/>
                <w:b w:val="1"/>
                <w:bCs w:val="1"/>
                <w:color w:val="auto"/>
              </w:rPr>
              <w:t>417.1</w:t>
            </w:r>
          </w:p>
        </w:tc>
        <w:tc>
          <w:tcPr>
            <w:tcW w:w="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200" w:type="dxa"/>
            <w:vAlign w:val="bottom"/>
          </w:tcPr>
          <w:p>
            <w:pPr>
              <w:jc w:val="right"/>
              <w:spacing w:after="0" w:line="129" w:lineRule="exact"/>
              <w:rPr>
                <w:sz w:val="20"/>
                <w:szCs w:val="20"/>
                <w:color w:val="auto"/>
              </w:rPr>
            </w:pPr>
            <w:r>
              <w:rPr>
                <w:rFonts w:ascii="Arial" w:cs="Arial" w:eastAsia="Arial" w:hAnsi="Arial"/>
                <w:sz w:val="14"/>
                <w:szCs w:val="14"/>
                <w:color w:val="auto"/>
              </w:rPr>
              <w:t>385.8</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Potential problem fixed maturities</w:t>
            </w:r>
          </w:p>
        </w:tc>
        <w:tc>
          <w:tcPr>
            <w:tcW w:w="2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157.0</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204.6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80" w:type="dxa"/>
            <w:vAlign w:val="bottom"/>
            <w:gridSpan w:val="2"/>
          </w:tcPr>
          <w:p>
            <w:pPr>
              <w:spacing w:after="0" w:line="149" w:lineRule="exact"/>
              <w:rPr>
                <w:sz w:val="20"/>
                <w:szCs w:val="20"/>
                <w:color w:val="auto"/>
              </w:rPr>
            </w:pPr>
            <w:r>
              <w:rPr>
                <w:rFonts w:ascii="Arial" w:cs="Arial" w:eastAsia="Arial" w:hAnsi="Arial"/>
                <w:sz w:val="14"/>
                <w:szCs w:val="14"/>
                <w:color w:val="auto"/>
              </w:rPr>
              <w:t>Restructured problem fixed maturities</w:t>
            </w:r>
          </w:p>
        </w:tc>
        <w:tc>
          <w:tcPr>
            <w:tcW w:w="28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15.2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980" w:type="dxa"/>
            <w:vAlign w:val="bottom"/>
            <w:gridSpan w:val="2"/>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problem, potential problem and restructured fixed maturities</w:t>
            </w:r>
          </w:p>
        </w:tc>
        <w:tc>
          <w:tcPr>
            <w:tcW w:w="3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574.1</w:t>
            </w:r>
          </w:p>
        </w:tc>
        <w:tc>
          <w:tcPr>
            <w:tcW w:w="140" w:type="dxa"/>
            <w:vAlign w:val="bottom"/>
            <w:shd w:val="clear" w:color="auto" w:fill="CCEEFF"/>
          </w:tcPr>
          <w:p>
            <w:pPr>
              <w:spacing w:after="0"/>
              <w:rPr>
                <w:sz w:val="12"/>
                <w:szCs w:val="12"/>
                <w:color w:val="auto"/>
              </w:rPr>
            </w:pPr>
          </w:p>
        </w:tc>
        <w:tc>
          <w:tcPr>
            <w:tcW w:w="8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605.6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80" w:type="dxa"/>
            <w:vAlign w:val="bottom"/>
            <w:gridSpan w:val="2"/>
            <w:vMerge w:val="restart"/>
          </w:tcPr>
          <w:p>
            <w:pPr>
              <w:ind w:left="140"/>
              <w:spacing w:after="0"/>
              <w:rPr>
                <w:sz w:val="20"/>
                <w:szCs w:val="20"/>
                <w:color w:val="auto"/>
              </w:rPr>
            </w:pPr>
            <w:r>
              <w:rPr>
                <w:rFonts w:ascii="Arial" w:cs="Arial" w:eastAsia="Arial" w:hAnsi="Arial"/>
                <w:sz w:val="14"/>
                <w:szCs w:val="14"/>
                <w:color w:val="auto"/>
                <w:w w:val="92"/>
              </w:rPr>
              <w:t>Total problem, potential problem and restructured fixed maturities as a percent of total fixed maturities</w:t>
            </w:r>
          </w:p>
        </w:tc>
        <w:tc>
          <w:tcPr>
            <w:tcW w:w="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20" w:type="dxa"/>
            <w:vAlign w:val="bottom"/>
          </w:tcPr>
          <w:p>
            <w:pPr>
              <w:spacing w:after="0"/>
              <w:rPr>
                <w:sz w:val="13"/>
                <w:szCs w:val="13"/>
                <w:color w:val="auto"/>
              </w:rPr>
            </w:pPr>
          </w:p>
        </w:tc>
        <w:tc>
          <w:tcPr>
            <w:tcW w:w="5980" w:type="dxa"/>
            <w:vAlign w:val="bottom"/>
            <w:gridSpan w:val="2"/>
            <w:vMerge w:val="continue"/>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340" w:type="dxa"/>
            <w:vAlign w:val="bottom"/>
            <w:gridSpan w:val="2"/>
          </w:tcPr>
          <w:p>
            <w:pPr>
              <w:jc w:val="right"/>
              <w:spacing w:after="0" w:line="155" w:lineRule="exact"/>
              <w:rPr>
                <w:sz w:val="20"/>
                <w:szCs w:val="20"/>
                <w:color w:val="auto"/>
              </w:rPr>
            </w:pPr>
            <w:r>
              <w:rPr>
                <w:rFonts w:ascii="Arial" w:cs="Arial" w:eastAsia="Arial" w:hAnsi="Arial"/>
                <w:sz w:val="14"/>
                <w:szCs w:val="14"/>
                <w:b w:val="1"/>
                <w:bCs w:val="1"/>
                <w:color w:val="auto"/>
              </w:rPr>
              <w:t>1.25%</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360" w:type="dxa"/>
            <w:vAlign w:val="bottom"/>
            <w:gridSpan w:val="2"/>
          </w:tcPr>
          <w:p>
            <w:pPr>
              <w:jc w:val="right"/>
              <w:ind w:right="60"/>
              <w:spacing w:after="0" w:line="155" w:lineRule="exact"/>
              <w:rPr>
                <w:sz w:val="20"/>
                <w:szCs w:val="20"/>
                <w:color w:val="auto"/>
              </w:rPr>
            </w:pPr>
            <w:r>
              <w:rPr>
                <w:rFonts w:ascii="Arial" w:cs="Arial" w:eastAsia="Arial" w:hAnsi="Arial"/>
                <w:sz w:val="14"/>
                <w:szCs w:val="14"/>
                <w:color w:val="auto"/>
              </w:rPr>
              <w:t>1.27%</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4860" w:type="dxa"/>
            <w:vAlign w:val="bottom"/>
          </w:tcPr>
          <w:p>
            <w:pPr>
              <w:spacing w:after="0"/>
              <w:rPr>
                <w:sz w:val="7"/>
                <w:szCs w:val="7"/>
                <w:color w:val="auto"/>
              </w:rPr>
            </w:pPr>
          </w:p>
        </w:tc>
        <w:tc>
          <w:tcPr>
            <w:tcW w:w="28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1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ind w:left="1680" w:hanging="531"/>
        <w:spacing w:after="0"/>
        <w:tabs>
          <w:tab w:leader="none" w:pos="1680" w:val="left"/>
        </w:tabs>
        <w:numPr>
          <w:ilvl w:val="0"/>
          <w:numId w:val="35"/>
        </w:numPr>
        <w:rPr>
          <w:rFonts w:ascii="Arial" w:cs="Arial" w:eastAsia="Arial" w:hAnsi="Arial"/>
          <w:sz w:val="14"/>
          <w:szCs w:val="14"/>
          <w:color w:val="auto"/>
        </w:rPr>
      </w:pPr>
      <w:r>
        <w:rPr>
          <w:rFonts w:ascii="Arial" w:cs="Arial" w:eastAsia="Arial" w:hAnsi="Arial"/>
          <w:sz w:val="14"/>
          <w:szCs w:val="14"/>
          <w:color w:val="auto"/>
        </w:rPr>
        <w:t>The problem fixed maturities carrying amount is net of other-than-temporary impairment losses.</w:t>
      </w:r>
    </w:p>
    <w:p>
      <w:pPr>
        <w:spacing w:after="0" w:line="206" w:lineRule="exact"/>
        <w:rPr>
          <w:sz w:val="20"/>
          <w:szCs w:val="20"/>
          <w:color w:val="auto"/>
        </w:rPr>
      </w:pPr>
    </w:p>
    <w:p>
      <w:pPr>
        <w:jc w:val="both"/>
        <w:ind w:firstLine="524"/>
        <w:spacing w:after="0" w:line="298" w:lineRule="auto"/>
        <w:rPr>
          <w:sz w:val="20"/>
          <w:szCs w:val="20"/>
          <w:color w:val="auto"/>
        </w:rPr>
      </w:pPr>
      <w:r>
        <w:rPr>
          <w:rFonts w:ascii="Arial" w:cs="Arial" w:eastAsia="Arial" w:hAnsi="Arial"/>
          <w:sz w:val="16"/>
          <w:szCs w:val="16"/>
          <w:b w:val="1"/>
          <w:bCs w:val="1"/>
          <w:i w:val="1"/>
          <w:iCs w:val="1"/>
          <w:color w:val="auto"/>
        </w:rPr>
        <w:t xml:space="preserve">Fixed Maturities Impairments. </w:t>
      </w:r>
      <w:r>
        <w:rPr>
          <w:rFonts w:ascii="Arial" w:cs="Arial" w:eastAsia="Arial" w:hAnsi="Arial"/>
          <w:sz w:val="16"/>
          <w:szCs w:val="16"/>
          <w:color w:val="auto"/>
        </w:rPr>
        <w:t>We have a process in place to identify securities that could potentially have a credit impairment that is other than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temporary. This process involves monitoring market events that could impact issuers' credit ratings, business climate, management changes, litigation and government actions and other similar factors. This process also involves monitoring late payments, pricing levels, downgrades by rating agencies, key financial ratios, financial statements, revenue forecasts and cash flow projections as indicators of credit issues.</w:t>
      </w:r>
    </w:p>
    <w:p>
      <w:pPr>
        <w:spacing w:after="0" w:line="167" w:lineRule="exact"/>
        <w:rPr>
          <w:sz w:val="20"/>
          <w:szCs w:val="20"/>
          <w:color w:val="auto"/>
        </w:rPr>
      </w:pPr>
    </w:p>
    <w:p>
      <w:pPr>
        <w:jc w:val="both"/>
        <w:ind w:firstLine="567"/>
        <w:spacing w:after="0" w:line="256" w:lineRule="auto"/>
        <w:rPr>
          <w:sz w:val="20"/>
          <w:szCs w:val="20"/>
          <w:color w:val="auto"/>
        </w:rPr>
      </w:pPr>
      <w:r>
        <w:rPr>
          <w:rFonts w:ascii="Arial" w:cs="Arial" w:eastAsia="Arial" w:hAnsi="Arial"/>
          <w:sz w:val="18"/>
          <w:szCs w:val="18"/>
          <w:color w:val="auto"/>
        </w:rPr>
        <w:t>Each reporting period, a group of individuals including the Chief Investment Officer, our Portfolio Managers, members of our Workout Group and representatives from Investment Accounting review all securities to determine whether an other-than-temporary decline in value exists and whether losses should be recognized. The analysis focuses on each issuer's ability to service its debts in a timely fashion. Formal documentation of the analysis and our decision is prepared and approved by management.</w:t>
      </w:r>
    </w:p>
    <w:p>
      <w:pPr>
        <w:spacing w:after="0" w:line="197" w:lineRule="exact"/>
        <w:rPr>
          <w:sz w:val="20"/>
          <w:szCs w:val="20"/>
          <w:color w:val="auto"/>
        </w:rPr>
      </w:pPr>
    </w:p>
    <w:p>
      <w:pPr>
        <w:jc w:val="both"/>
        <w:ind w:firstLine="348"/>
        <w:spacing w:after="0" w:line="253" w:lineRule="auto"/>
        <w:rPr>
          <w:sz w:val="20"/>
          <w:szCs w:val="20"/>
          <w:color w:val="auto"/>
        </w:rPr>
      </w:pPr>
      <w:r>
        <w:rPr>
          <w:rFonts w:ascii="Arial" w:cs="Arial" w:eastAsia="Arial" w:hAnsi="Arial"/>
          <w:sz w:val="18"/>
          <w:szCs w:val="18"/>
          <w:color w:val="auto"/>
        </w:rPr>
        <w:t>We consider relevant facts and circumstances in evaluating whether a credit or interest-rate related impairment of a security is other than temporary. Relevant facts and circumstances considered include: (1) the extent and length of time the fair value has been below cost; (2) the reasons for the decline in value; (3) the financial position and access to capital of the issuer, including the current and future impact of any specific events; (4) for structured securities, the adequacy of the expected cash flows and (5) our intent to sell the security or whether it is more likely than not we will be required to sell the security before recovery of its amortized cost which, in some cases, may extend to maturity. To the extent we determine that a security is deemed to be other than temporarily impaired, an impairment loss is recognized. For additional details, see Item 8. "Financial Statements and Supplementary Data, Notes to Consolidated Financial Statements, Note 5, Investments."</w:t>
      </w:r>
    </w:p>
    <w:p>
      <w:pPr>
        <w:spacing w:after="0" w:line="201" w:lineRule="exact"/>
        <w:rPr>
          <w:sz w:val="20"/>
          <w:szCs w:val="20"/>
          <w:color w:val="auto"/>
        </w:rPr>
      </w:pPr>
    </w:p>
    <w:p>
      <w:pPr>
        <w:jc w:val="both"/>
        <w:ind w:firstLine="438"/>
        <w:spacing w:after="0" w:line="254" w:lineRule="auto"/>
        <w:rPr>
          <w:sz w:val="20"/>
          <w:szCs w:val="20"/>
          <w:color w:val="auto"/>
        </w:rPr>
      </w:pPr>
      <w:r>
        <w:rPr>
          <w:rFonts w:ascii="Arial" w:cs="Arial" w:eastAsia="Arial" w:hAnsi="Arial"/>
          <w:sz w:val="18"/>
          <w:szCs w:val="18"/>
          <w:color w:val="auto"/>
        </w:rPr>
        <w:t>We would not consider a security with unrealized losses to be other than temporarily impaired when it is not our intent to sell the security, it is not more likely than not that we would be required to sell the security before recovery of the amortized cost, which may be maturity, and we expect to recover the amortized cost basis. However, we do sell securities under certain circumstances, such as when we have evidence of a change in the issuer's creditworthiness, when we anticipate poor relative future performance of securities, when a change in regulatory requirements modifies what constitutes a permissible investment or the maximum level of investments held or when there is an increase in capital requirements or a change in risk weights of debt securities. Sales generate both gains and losses.</w:t>
      </w:r>
    </w:p>
    <w:p>
      <w:pPr>
        <w:spacing w:after="0" w:line="198" w:lineRule="exact"/>
        <w:rPr>
          <w:sz w:val="20"/>
          <w:szCs w:val="20"/>
          <w:color w:val="auto"/>
        </w:rPr>
      </w:pPr>
    </w:p>
    <w:p>
      <w:pPr>
        <w:jc w:val="both"/>
        <w:ind w:firstLine="379"/>
        <w:spacing w:after="0" w:line="291" w:lineRule="auto"/>
        <w:rPr>
          <w:sz w:val="20"/>
          <w:szCs w:val="20"/>
          <w:color w:val="auto"/>
        </w:rPr>
      </w:pPr>
      <w:r>
        <w:rPr>
          <w:rFonts w:ascii="Arial" w:cs="Arial" w:eastAsia="Arial" w:hAnsi="Arial"/>
          <w:sz w:val="16"/>
          <w:szCs w:val="16"/>
          <w:color w:val="auto"/>
        </w:rPr>
        <w:t>There are a number of significant risks and uncertainties inherent in the process of monitoring credit impairments and determining if an impairment is other than temporary. These risks and uncertainties include: (1) the risk that our assessment of an issuer's ability to meet all of its contractual obligations will change based on changes in the credit characteristics of that issuer, (2) the risk that the economic outlook will be worse than expected or have more of an impact on the issuer than anticipated, (3) the risk that our investment professionals are making decisions based on fraudulent or misstated information in the financial statements provided by issuers and (4) the risk that new information obtained by us or changes in other facts and circumstances lead us to change our intent to not sell the security prior to recovery of its amortized cost. Any of these situations could result in a charge to net income in a future period.</w:t>
      </w:r>
    </w:p>
    <w:p>
      <w:pPr>
        <w:spacing w:after="0" w:line="174" w:lineRule="exact"/>
        <w:rPr>
          <w:sz w:val="20"/>
          <w:szCs w:val="20"/>
          <w:color w:val="auto"/>
        </w:rPr>
      </w:pPr>
    </w:p>
    <w:p>
      <w:pPr>
        <w:jc w:val="both"/>
        <w:ind w:firstLine="393"/>
        <w:spacing w:after="0" w:line="268" w:lineRule="auto"/>
        <w:rPr>
          <w:sz w:val="20"/>
          <w:szCs w:val="20"/>
          <w:color w:val="auto"/>
        </w:rPr>
      </w:pPr>
      <w:r>
        <w:rPr>
          <w:rFonts w:ascii="Arial" w:cs="Arial" w:eastAsia="Arial" w:hAnsi="Arial"/>
          <w:sz w:val="18"/>
          <w:szCs w:val="18"/>
          <w:color w:val="auto"/>
        </w:rPr>
        <w:t>The net realized loss relating to other-than-temporary credit impairments and credit related sales of fixed maturities was $111.8 million, $118.2 million and $186.7 million for the years ended December 31, 2013, 2012, and 2011, respectively.</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1" w:name="page72"/>
    <w:bookmarkEnd w:id="7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Fixed Maturities Available-for-Sale</w:t>
      </w:r>
    </w:p>
    <w:p>
      <w:pPr>
        <w:spacing w:after="0" w:line="225" w:lineRule="exact"/>
        <w:rPr>
          <w:sz w:val="20"/>
          <w:szCs w:val="20"/>
          <w:color w:val="auto"/>
        </w:rPr>
      </w:pPr>
    </w:p>
    <w:p>
      <w:pPr>
        <w:ind w:firstLine="476"/>
        <w:spacing w:after="0" w:line="268" w:lineRule="auto"/>
        <w:rPr>
          <w:sz w:val="20"/>
          <w:szCs w:val="20"/>
          <w:color w:val="auto"/>
        </w:rPr>
      </w:pPr>
      <w:r>
        <w:rPr>
          <w:rFonts w:ascii="Arial" w:cs="Arial" w:eastAsia="Arial" w:hAnsi="Arial"/>
          <w:sz w:val="18"/>
          <w:szCs w:val="18"/>
          <w:color w:val="auto"/>
        </w:rPr>
        <w:t>The following tables present our fixed maturities available-for-sale by industry category and the associated gross unrealized gains and losses, including other-than-temporary impairment losses reported in AOCI, as of the periods indicated.</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92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620" w:type="dxa"/>
            <w:vAlign w:val="bottom"/>
            <w:tcBorders>
              <w:bottom w:val="single" w:sz="8" w:color="auto"/>
            </w:tcBorders>
            <w:gridSpan w:val="4"/>
          </w:tcPr>
          <w:p>
            <w:pPr>
              <w:jc w:val="right"/>
              <w:ind w:right="272"/>
              <w:spacing w:after="0"/>
              <w:rPr>
                <w:sz w:val="20"/>
                <w:szCs w:val="20"/>
                <w:color w:val="auto"/>
              </w:rPr>
            </w:pPr>
            <w:r>
              <w:rPr>
                <w:rFonts w:ascii="Arial" w:cs="Arial" w:eastAsia="Arial" w:hAnsi="Arial"/>
                <w:sz w:val="14"/>
                <w:szCs w:val="14"/>
                <w:b w:val="1"/>
                <w:bCs w:val="1"/>
                <w:color w:val="auto"/>
                <w:w w:val="99"/>
              </w:rPr>
              <w:t>December 31, 2013</w:t>
            </w:r>
          </w:p>
        </w:tc>
        <w:tc>
          <w:tcPr>
            <w:tcW w:w="1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29"/>
        </w:trPr>
        <w:tc>
          <w:tcPr>
            <w:tcW w:w="11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920" w:type="dxa"/>
            <w:vAlign w:val="bottom"/>
          </w:tcPr>
          <w:p>
            <w:pPr>
              <w:spacing w:after="0"/>
              <w:rPr>
                <w:sz w:val="11"/>
                <w:szCs w:val="11"/>
                <w:color w:val="auto"/>
              </w:rPr>
            </w:pPr>
          </w:p>
        </w:tc>
        <w:tc>
          <w:tcPr>
            <w:tcW w:w="15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tcPr>
          <w:p>
            <w:pPr>
              <w:jc w:val="center"/>
              <w:ind w:right="12"/>
              <w:spacing w:after="0" w:line="129" w:lineRule="exact"/>
              <w:rPr>
                <w:sz w:val="20"/>
                <w:szCs w:val="20"/>
                <w:color w:val="auto"/>
              </w:rPr>
            </w:pPr>
            <w:r>
              <w:rPr>
                <w:rFonts w:ascii="Arial" w:cs="Arial" w:eastAsia="Arial" w:hAnsi="Arial"/>
                <w:sz w:val="14"/>
                <w:szCs w:val="14"/>
                <w:b w:val="1"/>
                <w:bCs w:val="1"/>
                <w:color w:val="auto"/>
                <w:w w:val="83"/>
              </w:rPr>
              <w:t>Gross</w:t>
            </w: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tcPr>
          <w:p>
            <w:pPr>
              <w:jc w:val="center"/>
              <w:ind w:right="12"/>
              <w:spacing w:after="0" w:line="129" w:lineRule="exact"/>
              <w:rPr>
                <w:sz w:val="20"/>
                <w:szCs w:val="20"/>
                <w:color w:val="auto"/>
              </w:rPr>
            </w:pPr>
            <w:r>
              <w:rPr>
                <w:rFonts w:ascii="Arial" w:cs="Arial" w:eastAsia="Arial" w:hAnsi="Arial"/>
                <w:sz w:val="14"/>
                <w:szCs w:val="14"/>
                <w:b w:val="1"/>
                <w:bCs w:val="1"/>
                <w:color w:val="auto"/>
                <w:w w:val="83"/>
              </w:rPr>
              <w:t>Gross</w:t>
            </w: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40" w:type="dxa"/>
            <w:vAlign w:val="bottom"/>
          </w:tcPr>
          <w:p>
            <w:pPr>
              <w:spacing w:after="0"/>
              <w:rPr>
                <w:sz w:val="11"/>
                <w:szCs w:val="11"/>
                <w:color w:val="auto"/>
              </w:rPr>
            </w:pPr>
          </w:p>
        </w:tc>
      </w:tr>
      <w:tr>
        <w:trPr>
          <w:trHeight w:val="149"/>
        </w:trPr>
        <w:tc>
          <w:tcPr>
            <w:tcW w:w="1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92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740" w:type="dxa"/>
            <w:vAlign w:val="bottom"/>
            <w:gridSpan w:val="2"/>
          </w:tcPr>
          <w:p>
            <w:pPr>
              <w:jc w:val="right"/>
              <w:ind w:right="12"/>
              <w:spacing w:after="0" w:line="149" w:lineRule="exact"/>
              <w:rPr>
                <w:sz w:val="20"/>
                <w:szCs w:val="20"/>
                <w:color w:val="auto"/>
              </w:rPr>
            </w:pPr>
            <w:r>
              <w:rPr>
                <w:rFonts w:ascii="Arial" w:cs="Arial" w:eastAsia="Arial" w:hAnsi="Arial"/>
                <w:sz w:val="14"/>
                <w:szCs w:val="14"/>
                <w:b w:val="1"/>
                <w:bCs w:val="1"/>
                <w:color w:val="auto"/>
                <w:w w:val="93"/>
              </w:rPr>
              <w:t>Amortized</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9"/>
              </w:rPr>
              <w:t>unrealized</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9"/>
              </w:rPr>
              <w:t>unrealized</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92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Carrying</w:t>
            </w:r>
          </w:p>
        </w:tc>
      </w:tr>
      <w:tr>
        <w:trPr>
          <w:trHeight w:val="161"/>
        </w:trPr>
        <w:tc>
          <w:tcPr>
            <w:tcW w:w="11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92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cost</w:t>
            </w: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1"/>
              </w:rPr>
              <w:t>gains</w:t>
            </w: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73"/>
              </w:rPr>
              <w:t>losses</w:t>
            </w: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b w:val="1"/>
                <w:bCs w:val="1"/>
                <w:color w:val="auto"/>
                <w:w w:val="94"/>
              </w:rPr>
              <w:t>amount</w:t>
            </w:r>
          </w:p>
        </w:tc>
        <w:tc>
          <w:tcPr>
            <w:tcW w:w="1300" w:type="dxa"/>
            <w:vAlign w:val="bottom"/>
            <w:gridSpan w:val="2"/>
          </w:tcPr>
          <w:p>
            <w:pPr>
              <w:spacing w:after="0"/>
              <w:rPr>
                <w:sz w:val="14"/>
                <w:szCs w:val="14"/>
                <w:color w:val="auto"/>
              </w:rPr>
            </w:pPr>
          </w:p>
        </w:tc>
      </w:tr>
      <w:tr>
        <w:trPr>
          <w:trHeight w:val="142"/>
        </w:trPr>
        <w:tc>
          <w:tcPr>
            <w:tcW w:w="1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92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ind w:right="7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920" w:type="dxa"/>
            <w:vAlign w:val="bottom"/>
            <w:gridSpan w:val="3"/>
          </w:tcPr>
          <w:p>
            <w:pPr>
              <w:jc w:val="center"/>
              <w:ind w:right="472"/>
              <w:spacing w:after="0"/>
              <w:rPr>
                <w:sz w:val="20"/>
                <w:szCs w:val="20"/>
                <w:color w:val="auto"/>
              </w:rPr>
            </w:pPr>
            <w:r>
              <w:rPr>
                <w:rFonts w:ascii="Arial" w:cs="Arial" w:eastAsia="Arial" w:hAnsi="Arial"/>
                <w:sz w:val="12"/>
                <w:szCs w:val="12"/>
                <w:b w:val="1"/>
                <w:bCs w:val="1"/>
                <w:i w:val="1"/>
                <w:iCs w:val="1"/>
                <w:color w:val="auto"/>
                <w:w w:val="76"/>
              </w:rPr>
              <w:t>millions)</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Finance — Banking</w:t>
            </w:r>
          </w:p>
        </w:tc>
        <w:tc>
          <w:tcPr>
            <w:tcW w:w="1640" w:type="dxa"/>
            <w:vAlign w:val="bottom"/>
            <w:gridSpan w:val="2"/>
            <w:shd w:val="clear" w:color="auto" w:fill="CCEEFF"/>
          </w:tcPr>
          <w:p>
            <w:pPr>
              <w:jc w:val="right"/>
              <w:ind w:right="12"/>
              <w:spacing w:after="0" w:line="149" w:lineRule="exact"/>
              <w:rPr>
                <w:sz w:val="20"/>
                <w:szCs w:val="20"/>
                <w:color w:val="auto"/>
              </w:rPr>
            </w:pPr>
            <w:r>
              <w:rPr>
                <w:rFonts w:ascii="Arial" w:cs="Arial" w:eastAsia="Arial" w:hAnsi="Arial"/>
                <w:sz w:val="14"/>
                <w:szCs w:val="14"/>
                <w:b w:val="1"/>
                <w:bCs w:val="1"/>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4,053.6</w:t>
            </w:r>
          </w:p>
        </w:tc>
        <w:tc>
          <w:tcPr>
            <w:tcW w:w="2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172.5</w:t>
            </w:r>
          </w:p>
        </w:tc>
        <w:tc>
          <w:tcPr>
            <w:tcW w:w="220" w:type="dxa"/>
            <w:vAlign w:val="bottom"/>
            <w:gridSpan w:val="2"/>
            <w:shd w:val="clear" w:color="auto" w:fill="CCEEFF"/>
          </w:tcPr>
          <w:p>
            <w:pPr>
              <w:jc w:val="center"/>
              <w:ind w:left="74"/>
              <w:spacing w:after="0" w:line="149" w:lineRule="exact"/>
              <w:rPr>
                <w:sz w:val="20"/>
                <w:szCs w:val="20"/>
                <w:color w:val="auto"/>
              </w:rPr>
            </w:pPr>
            <w:r>
              <w:rPr>
                <w:rFonts w:ascii="Arial" w:cs="Arial" w:eastAsia="Arial" w:hAnsi="Arial"/>
                <w:sz w:val="14"/>
                <w:szCs w:val="14"/>
                <w:b w:val="1"/>
                <w:bCs w:val="1"/>
                <w:color w:val="auto"/>
              </w:rPr>
              <w:t>$</w:t>
            </w: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113.7</w:t>
            </w:r>
          </w:p>
        </w:tc>
        <w:tc>
          <w:tcPr>
            <w:tcW w:w="2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4,112.4</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tcPr>
          <w:p>
            <w:pPr>
              <w:spacing w:after="0" w:line="149" w:lineRule="exact"/>
              <w:rPr>
                <w:sz w:val="20"/>
                <w:szCs w:val="20"/>
                <w:color w:val="auto"/>
              </w:rPr>
            </w:pPr>
            <w:r>
              <w:rPr>
                <w:rFonts w:ascii="Arial" w:cs="Arial" w:eastAsia="Arial" w:hAnsi="Arial"/>
                <w:sz w:val="14"/>
                <w:szCs w:val="14"/>
                <w:color w:val="auto"/>
              </w:rPr>
              <w:t>Finance — Brokerage</w:t>
            </w:r>
          </w:p>
        </w:tc>
        <w:tc>
          <w:tcPr>
            <w:tcW w:w="1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233.0</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15.4</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247.2</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Finance — Finance Companies</w:t>
            </w:r>
          </w:p>
        </w:tc>
        <w:tc>
          <w:tcPr>
            <w:tcW w:w="15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159.2</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9.3</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168.5</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tcPr>
          <w:p>
            <w:pPr>
              <w:spacing w:after="0" w:line="149" w:lineRule="exact"/>
              <w:rPr>
                <w:sz w:val="20"/>
                <w:szCs w:val="20"/>
                <w:color w:val="auto"/>
              </w:rPr>
            </w:pPr>
            <w:r>
              <w:rPr>
                <w:rFonts w:ascii="Arial" w:cs="Arial" w:eastAsia="Arial" w:hAnsi="Arial"/>
                <w:sz w:val="14"/>
                <w:szCs w:val="14"/>
                <w:color w:val="auto"/>
              </w:rPr>
              <w:t>Finance — Financial Other</w:t>
            </w:r>
          </w:p>
        </w:tc>
        <w:tc>
          <w:tcPr>
            <w:tcW w:w="1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496.4</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56.6</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551.9</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Finance — Insurance</w:t>
            </w:r>
          </w:p>
        </w:tc>
        <w:tc>
          <w:tcPr>
            <w:tcW w:w="15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2,432.8</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193.3</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7.7</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2,618.4</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tcPr>
          <w:p>
            <w:pPr>
              <w:spacing w:after="0" w:line="149" w:lineRule="exact"/>
              <w:rPr>
                <w:sz w:val="20"/>
                <w:szCs w:val="20"/>
                <w:color w:val="auto"/>
              </w:rPr>
            </w:pPr>
            <w:r>
              <w:rPr>
                <w:rFonts w:ascii="Arial" w:cs="Arial" w:eastAsia="Arial" w:hAnsi="Arial"/>
                <w:sz w:val="14"/>
                <w:szCs w:val="14"/>
                <w:color w:val="auto"/>
              </w:rPr>
              <w:t>Finance — REITS</w:t>
            </w:r>
          </w:p>
        </w:tc>
        <w:tc>
          <w:tcPr>
            <w:tcW w:w="1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861.9</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45.9</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7.0</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900.8</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Industrial — Basic Industry</w:t>
            </w:r>
          </w:p>
        </w:tc>
        <w:tc>
          <w:tcPr>
            <w:tcW w:w="15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1,539.9</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80.2</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14.4</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1,605.7</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tcPr>
          <w:p>
            <w:pPr>
              <w:spacing w:after="0" w:line="149" w:lineRule="exact"/>
              <w:rPr>
                <w:sz w:val="20"/>
                <w:szCs w:val="20"/>
                <w:color w:val="auto"/>
              </w:rPr>
            </w:pPr>
            <w:r>
              <w:rPr>
                <w:rFonts w:ascii="Arial" w:cs="Arial" w:eastAsia="Arial" w:hAnsi="Arial"/>
                <w:sz w:val="14"/>
                <w:szCs w:val="14"/>
                <w:color w:val="auto"/>
              </w:rPr>
              <w:t>Industrial — Capital Goods</w:t>
            </w:r>
          </w:p>
        </w:tc>
        <w:tc>
          <w:tcPr>
            <w:tcW w:w="1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1,612.2</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119.4</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5.4</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1,726.2</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Industrial — Communications</w:t>
            </w:r>
          </w:p>
        </w:tc>
        <w:tc>
          <w:tcPr>
            <w:tcW w:w="15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2,043.4</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153.1</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13.7</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2,182.8</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tcPr>
          <w:p>
            <w:pPr>
              <w:spacing w:after="0" w:line="149" w:lineRule="exact"/>
              <w:rPr>
                <w:sz w:val="20"/>
                <w:szCs w:val="20"/>
                <w:color w:val="auto"/>
              </w:rPr>
            </w:pPr>
            <w:r>
              <w:rPr>
                <w:rFonts w:ascii="Arial" w:cs="Arial" w:eastAsia="Arial" w:hAnsi="Arial"/>
                <w:sz w:val="14"/>
                <w:szCs w:val="14"/>
                <w:color w:val="auto"/>
              </w:rPr>
              <w:t>Industrial — Consumer Cyclical</w:t>
            </w:r>
          </w:p>
        </w:tc>
        <w:tc>
          <w:tcPr>
            <w:tcW w:w="1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1,591.3</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110.7</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6.9</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1,695.1</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Industrial — Consumer Non-Cyclical</w:t>
            </w:r>
          </w:p>
        </w:tc>
        <w:tc>
          <w:tcPr>
            <w:tcW w:w="15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3,117.2</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189.0</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17.2</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3,289.0</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tcPr>
          <w:p>
            <w:pPr>
              <w:spacing w:after="0" w:line="149" w:lineRule="exact"/>
              <w:rPr>
                <w:sz w:val="20"/>
                <w:szCs w:val="20"/>
                <w:color w:val="auto"/>
              </w:rPr>
            </w:pPr>
            <w:r>
              <w:rPr>
                <w:rFonts w:ascii="Arial" w:cs="Arial" w:eastAsia="Arial" w:hAnsi="Arial"/>
                <w:sz w:val="14"/>
                <w:szCs w:val="14"/>
                <w:color w:val="auto"/>
              </w:rPr>
              <w:t>Industrial — Energy</w:t>
            </w:r>
          </w:p>
        </w:tc>
        <w:tc>
          <w:tcPr>
            <w:tcW w:w="1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1,912.6</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162.3</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10.1</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2,064.8</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Industrial — Other</w:t>
            </w:r>
          </w:p>
        </w:tc>
        <w:tc>
          <w:tcPr>
            <w:tcW w:w="15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382.7</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20.8</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401.9</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tcPr>
          <w:p>
            <w:pPr>
              <w:spacing w:after="0" w:line="149" w:lineRule="exact"/>
              <w:rPr>
                <w:sz w:val="20"/>
                <w:szCs w:val="20"/>
                <w:color w:val="auto"/>
              </w:rPr>
            </w:pPr>
            <w:r>
              <w:rPr>
                <w:rFonts w:ascii="Arial" w:cs="Arial" w:eastAsia="Arial" w:hAnsi="Arial"/>
                <w:sz w:val="14"/>
                <w:szCs w:val="14"/>
                <w:color w:val="auto"/>
              </w:rPr>
              <w:t>Industrial — Technology</w:t>
            </w:r>
          </w:p>
        </w:tc>
        <w:tc>
          <w:tcPr>
            <w:tcW w:w="1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995.9</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47.6</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5.1</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1,038.4</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Industrial — Transportation</w:t>
            </w:r>
          </w:p>
        </w:tc>
        <w:tc>
          <w:tcPr>
            <w:tcW w:w="15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829.5</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41.7</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8.6</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862.6</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tcPr>
          <w:p>
            <w:pPr>
              <w:spacing w:after="0" w:line="149" w:lineRule="exact"/>
              <w:rPr>
                <w:sz w:val="20"/>
                <w:szCs w:val="20"/>
                <w:color w:val="auto"/>
              </w:rPr>
            </w:pPr>
            <w:r>
              <w:rPr>
                <w:rFonts w:ascii="Arial" w:cs="Arial" w:eastAsia="Arial" w:hAnsi="Arial"/>
                <w:sz w:val="14"/>
                <w:szCs w:val="14"/>
                <w:color w:val="auto"/>
              </w:rPr>
              <w:t>Utility — Electric</w:t>
            </w:r>
          </w:p>
        </w:tc>
        <w:tc>
          <w:tcPr>
            <w:tcW w:w="1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2,731.9</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178.2</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34.6</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2,875.5</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Utility — Natural Gas</w:t>
            </w:r>
          </w:p>
        </w:tc>
        <w:tc>
          <w:tcPr>
            <w:tcW w:w="15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1,171.6</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82.8</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14.6</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1,239.8</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tcPr>
          <w:p>
            <w:pPr>
              <w:spacing w:after="0" w:line="149" w:lineRule="exact"/>
              <w:rPr>
                <w:sz w:val="20"/>
                <w:szCs w:val="20"/>
                <w:color w:val="auto"/>
              </w:rPr>
            </w:pPr>
            <w:r>
              <w:rPr>
                <w:rFonts w:ascii="Arial" w:cs="Arial" w:eastAsia="Arial" w:hAnsi="Arial"/>
                <w:sz w:val="14"/>
                <w:szCs w:val="14"/>
                <w:color w:val="auto"/>
              </w:rPr>
              <w:t>Utility — Other</w:t>
            </w:r>
          </w:p>
        </w:tc>
        <w:tc>
          <w:tcPr>
            <w:tcW w:w="1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281.0</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18.7</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1.8</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297.9</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Government guaranteed</w:t>
            </w:r>
          </w:p>
        </w:tc>
        <w:tc>
          <w:tcPr>
            <w:tcW w:w="1500" w:type="dxa"/>
            <w:vAlign w:val="bottom"/>
            <w:shd w:val="clear" w:color="auto" w:fill="CCEEFF"/>
          </w:tcPr>
          <w:p>
            <w:pPr>
              <w:spacing w:after="0"/>
              <w:rPr>
                <w:sz w:val="12"/>
                <w:szCs w:val="12"/>
                <w:color w:val="auto"/>
              </w:rPr>
            </w:pPr>
          </w:p>
        </w:tc>
        <w:tc>
          <w:tcPr>
            <w:tcW w:w="140" w:type="dxa"/>
            <w:vAlign w:val="bottom"/>
            <w:tcBorders>
              <w:bottom w:val="single" w:sz="8" w:color="auto"/>
            </w:tcBorders>
            <w:shd w:val="clear" w:color="auto" w:fill="CCEEFF"/>
          </w:tcPr>
          <w:p>
            <w:pPr>
              <w:spacing w:after="0"/>
              <w:rPr>
                <w:sz w:val="12"/>
                <w:szCs w:val="12"/>
                <w:color w:val="auto"/>
              </w:rPr>
            </w:pPr>
          </w:p>
        </w:tc>
        <w:tc>
          <w:tcPr>
            <w:tcW w:w="6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1,269.9</w:t>
            </w:r>
          </w:p>
        </w:tc>
        <w:tc>
          <w:tcPr>
            <w:tcW w:w="16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7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113.7</w:t>
            </w:r>
          </w:p>
        </w:tc>
        <w:tc>
          <w:tcPr>
            <w:tcW w:w="16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7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6.8</w:t>
            </w:r>
          </w:p>
        </w:tc>
        <w:tc>
          <w:tcPr>
            <w:tcW w:w="16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6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1,376.8</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r>
      <w:tr>
        <w:trPr>
          <w:trHeight w:val="142"/>
        </w:trPr>
        <w:tc>
          <w:tcPr>
            <w:tcW w:w="1160" w:type="dxa"/>
            <w:vAlign w:val="bottom"/>
          </w:tcPr>
          <w:p>
            <w:pPr>
              <w:spacing w:after="0"/>
              <w:rPr>
                <w:sz w:val="12"/>
                <w:szCs w:val="12"/>
                <w:color w:val="auto"/>
              </w:rPr>
            </w:pPr>
          </w:p>
        </w:tc>
        <w:tc>
          <w:tcPr>
            <w:tcW w:w="4040" w:type="dxa"/>
            <w:vAlign w:val="bottom"/>
            <w:gridSpan w:val="3"/>
          </w:tcPr>
          <w:p>
            <w:pPr>
              <w:ind w:left="140"/>
              <w:spacing w:after="0" w:line="142" w:lineRule="exact"/>
              <w:rPr>
                <w:sz w:val="20"/>
                <w:szCs w:val="20"/>
                <w:color w:val="auto"/>
              </w:rPr>
            </w:pPr>
            <w:r>
              <w:rPr>
                <w:rFonts w:ascii="Arial" w:cs="Arial" w:eastAsia="Arial" w:hAnsi="Arial"/>
                <w:sz w:val="14"/>
                <w:szCs w:val="14"/>
                <w:color w:val="auto"/>
              </w:rPr>
              <w:t>Total corporate securities</w:t>
            </w:r>
          </w:p>
        </w:tc>
        <w:tc>
          <w:tcPr>
            <w:tcW w:w="1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27,716.0</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1,811.2</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271.5</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29,255.7</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r>
      <w:tr>
        <w:trPr>
          <w:trHeight w:val="311"/>
        </w:trPr>
        <w:tc>
          <w:tcPr>
            <w:tcW w:w="1160" w:type="dxa"/>
            <w:vAlign w:val="bottom"/>
          </w:tcPr>
          <w:p>
            <w:pPr>
              <w:spacing w:after="0"/>
              <w:rPr>
                <w:sz w:val="24"/>
                <w:szCs w:val="24"/>
                <w:color w:val="auto"/>
              </w:rPr>
            </w:pPr>
          </w:p>
        </w:tc>
        <w:tc>
          <w:tcPr>
            <w:tcW w:w="404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Residential mortgage-backed pass-through securities</w:t>
            </w:r>
          </w:p>
        </w:tc>
        <w:tc>
          <w:tcPr>
            <w:tcW w:w="15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2,779.2</w:t>
            </w:r>
          </w:p>
        </w:tc>
        <w:tc>
          <w:tcPr>
            <w:tcW w:w="16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91.1</w:t>
            </w:r>
          </w:p>
        </w:tc>
        <w:tc>
          <w:tcPr>
            <w:tcW w:w="16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46.7</w:t>
            </w:r>
          </w:p>
        </w:tc>
        <w:tc>
          <w:tcPr>
            <w:tcW w:w="16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2,823.6</w:t>
            </w:r>
          </w:p>
        </w:tc>
        <w:tc>
          <w:tcPr>
            <w:tcW w:w="160" w:type="dxa"/>
            <w:vAlign w:val="bottom"/>
            <w:shd w:val="clear" w:color="auto" w:fill="CCEEFF"/>
          </w:tcPr>
          <w:p>
            <w:pPr>
              <w:spacing w:after="0"/>
              <w:rPr>
                <w:sz w:val="24"/>
                <w:szCs w:val="24"/>
                <w:color w:val="auto"/>
              </w:rPr>
            </w:pPr>
          </w:p>
        </w:tc>
        <w:tc>
          <w:tcPr>
            <w:tcW w:w="1140" w:type="dxa"/>
            <w:vAlign w:val="bottom"/>
          </w:tcPr>
          <w:p>
            <w:pPr>
              <w:spacing w:after="0"/>
              <w:rPr>
                <w:sz w:val="24"/>
                <w:szCs w:val="24"/>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tcPr>
          <w:p>
            <w:pPr>
              <w:spacing w:after="0" w:line="149" w:lineRule="exact"/>
              <w:rPr>
                <w:sz w:val="20"/>
                <w:szCs w:val="20"/>
                <w:color w:val="auto"/>
              </w:rPr>
            </w:pPr>
            <w:r>
              <w:rPr>
                <w:rFonts w:ascii="Arial" w:cs="Arial" w:eastAsia="Arial" w:hAnsi="Arial"/>
                <w:sz w:val="14"/>
                <w:szCs w:val="14"/>
                <w:color w:val="auto"/>
              </w:rPr>
              <w:t>Commercial mortgage-backed securities</w:t>
            </w:r>
          </w:p>
        </w:tc>
        <w:tc>
          <w:tcPr>
            <w:tcW w:w="1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4,078.0</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170.6</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222.2</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4,026.4</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Residential collateralized mortgage obligations</w:t>
            </w:r>
          </w:p>
        </w:tc>
        <w:tc>
          <w:tcPr>
            <w:tcW w:w="15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983.6</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19.2</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10.7</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992.1</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tcPr>
          <w:p>
            <w:pPr>
              <w:spacing w:after="0" w:line="149" w:lineRule="exact"/>
              <w:rPr>
                <w:sz w:val="20"/>
                <w:szCs w:val="20"/>
                <w:color w:val="auto"/>
              </w:rPr>
            </w:pPr>
            <w:r>
              <w:rPr>
                <w:rFonts w:ascii="Arial" w:cs="Arial" w:eastAsia="Arial" w:hAnsi="Arial"/>
                <w:sz w:val="14"/>
                <w:szCs w:val="14"/>
                <w:color w:val="auto"/>
              </w:rPr>
              <w:t>Asset-backed securities — Home equity (1)</w:t>
            </w:r>
          </w:p>
        </w:tc>
        <w:tc>
          <w:tcPr>
            <w:tcW w:w="1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344.8</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12.0</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21.6</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335.2</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Asset-backed securities — All other</w:t>
            </w:r>
          </w:p>
        </w:tc>
        <w:tc>
          <w:tcPr>
            <w:tcW w:w="15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2,829.1</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20.6</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9.2</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2,840.5</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tcPr>
          <w:p>
            <w:pPr>
              <w:spacing w:after="0" w:line="149" w:lineRule="exact"/>
              <w:rPr>
                <w:sz w:val="20"/>
                <w:szCs w:val="20"/>
                <w:color w:val="auto"/>
              </w:rPr>
            </w:pPr>
            <w:r>
              <w:rPr>
                <w:rFonts w:ascii="Arial" w:cs="Arial" w:eastAsia="Arial" w:hAnsi="Arial"/>
                <w:sz w:val="14"/>
                <w:szCs w:val="14"/>
                <w:color w:val="auto"/>
              </w:rPr>
              <w:t>Collateralized debt obligations — Credit</w:t>
            </w:r>
          </w:p>
        </w:tc>
        <w:tc>
          <w:tcPr>
            <w:tcW w:w="1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54.5</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31.1</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23.4</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Collateralized debt obligations — CMBS</w:t>
            </w:r>
          </w:p>
        </w:tc>
        <w:tc>
          <w:tcPr>
            <w:tcW w:w="15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36.7</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2.7</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2.0</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37.4</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tcPr>
          <w:p>
            <w:pPr>
              <w:spacing w:after="0" w:line="149" w:lineRule="exact"/>
              <w:rPr>
                <w:sz w:val="20"/>
                <w:szCs w:val="20"/>
                <w:color w:val="auto"/>
              </w:rPr>
            </w:pPr>
            <w:r>
              <w:rPr>
                <w:rFonts w:ascii="Arial" w:cs="Arial" w:eastAsia="Arial" w:hAnsi="Arial"/>
                <w:sz w:val="14"/>
                <w:szCs w:val="14"/>
                <w:color w:val="auto"/>
              </w:rPr>
              <w:t>Collateralized debt obligations — Loans</w:t>
            </w:r>
          </w:p>
        </w:tc>
        <w:tc>
          <w:tcPr>
            <w:tcW w:w="150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300.7</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3.3</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1.4</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302.6</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r>
      <w:tr>
        <w:trPr>
          <w:trHeight w:val="142"/>
        </w:trPr>
        <w:tc>
          <w:tcPr>
            <w:tcW w:w="1160" w:type="dxa"/>
            <w:vAlign w:val="bottom"/>
          </w:tcPr>
          <w:p>
            <w:pPr>
              <w:spacing w:after="0"/>
              <w:rPr>
                <w:sz w:val="12"/>
                <w:szCs w:val="12"/>
                <w:color w:val="auto"/>
              </w:rPr>
            </w:pPr>
          </w:p>
        </w:tc>
        <w:tc>
          <w:tcPr>
            <w:tcW w:w="4040" w:type="dxa"/>
            <w:vAlign w:val="bottom"/>
            <w:gridSpan w:val="3"/>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mortgage-backed and other asset-backed securities</w:t>
            </w:r>
          </w:p>
        </w:tc>
        <w:tc>
          <w:tcPr>
            <w:tcW w:w="15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11,406.6</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319.5</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344.9</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11,381.2</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r>
      <w:tr>
        <w:trPr>
          <w:trHeight w:val="311"/>
        </w:trPr>
        <w:tc>
          <w:tcPr>
            <w:tcW w:w="5200" w:type="dxa"/>
            <w:vAlign w:val="bottom"/>
            <w:gridSpan w:val="4"/>
          </w:tcPr>
          <w:p>
            <w:pPr>
              <w:ind w:left="1140"/>
              <w:spacing w:after="0"/>
              <w:rPr>
                <w:sz w:val="20"/>
                <w:szCs w:val="20"/>
                <w:color w:val="auto"/>
              </w:rPr>
            </w:pPr>
            <w:r>
              <w:rPr>
                <w:rFonts w:ascii="Arial" w:cs="Arial" w:eastAsia="Arial" w:hAnsi="Arial"/>
                <w:sz w:val="14"/>
                <w:szCs w:val="14"/>
                <w:color w:val="auto"/>
              </w:rPr>
              <w:t>U.S. government and agencies</w:t>
            </w:r>
          </w:p>
        </w:tc>
        <w:tc>
          <w:tcPr>
            <w:tcW w:w="1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14"/>
                <w:szCs w:val="14"/>
                <w:b w:val="1"/>
                <w:bCs w:val="1"/>
                <w:color w:val="auto"/>
              </w:rPr>
              <w:t>818.2</w:t>
            </w: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b w:val="1"/>
                <w:bCs w:val="1"/>
                <w:color w:val="auto"/>
              </w:rPr>
              <w:t>12.7</w:t>
            </w: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b w:val="1"/>
                <w:bCs w:val="1"/>
                <w:color w:val="auto"/>
              </w:rPr>
              <w:t>50.4</w:t>
            </w: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4"/>
                <w:szCs w:val="14"/>
                <w:b w:val="1"/>
                <w:bCs w:val="1"/>
                <w:color w:val="auto"/>
              </w:rPr>
              <w:t>780.5</w:t>
            </w: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States and political subdivisions</w:t>
            </w:r>
          </w:p>
        </w:tc>
        <w:tc>
          <w:tcPr>
            <w:tcW w:w="15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3,622.8</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120.9</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85.7</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3,658.0</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r>
      <w:tr>
        <w:trPr>
          <w:trHeight w:val="149"/>
        </w:trPr>
        <w:tc>
          <w:tcPr>
            <w:tcW w:w="1160" w:type="dxa"/>
            <w:vAlign w:val="bottom"/>
          </w:tcPr>
          <w:p>
            <w:pPr>
              <w:spacing w:after="0"/>
              <w:rPr>
                <w:sz w:val="12"/>
                <w:szCs w:val="12"/>
                <w:color w:val="auto"/>
              </w:rPr>
            </w:pPr>
          </w:p>
        </w:tc>
        <w:tc>
          <w:tcPr>
            <w:tcW w:w="4040" w:type="dxa"/>
            <w:vAlign w:val="bottom"/>
            <w:gridSpan w:val="3"/>
          </w:tcPr>
          <w:p>
            <w:pPr>
              <w:spacing w:after="0" w:line="149" w:lineRule="exact"/>
              <w:rPr>
                <w:sz w:val="20"/>
                <w:szCs w:val="20"/>
                <w:color w:val="auto"/>
              </w:rPr>
            </w:pPr>
            <w:r>
              <w:rPr>
                <w:rFonts w:ascii="Arial" w:cs="Arial" w:eastAsia="Arial" w:hAnsi="Arial"/>
                <w:sz w:val="14"/>
                <w:szCs w:val="14"/>
                <w:color w:val="auto"/>
              </w:rPr>
              <w:t>Non-U.S. governments</w:t>
            </w:r>
          </w:p>
        </w:tc>
        <w:tc>
          <w:tcPr>
            <w:tcW w:w="150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451.4</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73.3</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1.1</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523.6</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r>
      <w:tr>
        <w:trPr>
          <w:trHeight w:val="142"/>
        </w:trPr>
        <w:tc>
          <w:tcPr>
            <w:tcW w:w="1160" w:type="dxa"/>
            <w:vAlign w:val="bottom"/>
          </w:tcPr>
          <w:p>
            <w:pPr>
              <w:spacing w:after="0"/>
              <w:rPr>
                <w:sz w:val="12"/>
                <w:szCs w:val="12"/>
                <w:color w:val="auto"/>
              </w:rPr>
            </w:pPr>
          </w:p>
        </w:tc>
        <w:tc>
          <w:tcPr>
            <w:tcW w:w="4040" w:type="dxa"/>
            <w:vAlign w:val="bottom"/>
            <w:gridSpan w:val="3"/>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fixed maturities, available-for-sale</w:t>
            </w:r>
          </w:p>
        </w:tc>
        <w:tc>
          <w:tcPr>
            <w:tcW w:w="1640" w:type="dxa"/>
            <w:vAlign w:val="bottom"/>
            <w:gridSpan w:val="2"/>
            <w:shd w:val="clear" w:color="auto" w:fill="CCEEFF"/>
          </w:tcPr>
          <w:p>
            <w:pPr>
              <w:jc w:val="right"/>
              <w:ind w:right="12"/>
              <w:spacing w:after="0" w:line="142" w:lineRule="exact"/>
              <w:rPr>
                <w:sz w:val="20"/>
                <w:szCs w:val="20"/>
                <w:color w:val="auto"/>
              </w:rPr>
            </w:pPr>
            <w:r>
              <w:rPr>
                <w:rFonts w:ascii="Arial" w:cs="Arial" w:eastAsia="Arial" w:hAnsi="Arial"/>
                <w:sz w:val="14"/>
                <w:szCs w:val="14"/>
                <w:b w:val="1"/>
                <w:bCs w:val="1"/>
                <w:color w:val="auto"/>
              </w:rPr>
              <w:t>$</w:t>
            </w:r>
          </w:p>
        </w:tc>
        <w:tc>
          <w:tcPr>
            <w:tcW w:w="6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44,015.0</w:t>
            </w:r>
          </w:p>
        </w:tc>
        <w:tc>
          <w:tcPr>
            <w:tcW w:w="2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7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2,337.6</w:t>
            </w:r>
          </w:p>
        </w:tc>
        <w:tc>
          <w:tcPr>
            <w:tcW w:w="220" w:type="dxa"/>
            <w:vAlign w:val="bottom"/>
            <w:gridSpan w:val="2"/>
            <w:shd w:val="clear" w:color="auto" w:fill="CCEEFF"/>
          </w:tcPr>
          <w:p>
            <w:pPr>
              <w:jc w:val="center"/>
              <w:ind w:left="74"/>
              <w:spacing w:after="0" w:line="142" w:lineRule="exact"/>
              <w:rPr>
                <w:sz w:val="20"/>
                <w:szCs w:val="20"/>
                <w:color w:val="auto"/>
              </w:rPr>
            </w:pPr>
            <w:r>
              <w:rPr>
                <w:rFonts w:ascii="Arial" w:cs="Arial" w:eastAsia="Arial" w:hAnsi="Arial"/>
                <w:sz w:val="14"/>
                <w:szCs w:val="14"/>
                <w:b w:val="1"/>
                <w:bCs w:val="1"/>
                <w:color w:val="auto"/>
              </w:rPr>
              <w:t>$</w:t>
            </w:r>
          </w:p>
        </w:tc>
        <w:tc>
          <w:tcPr>
            <w:tcW w:w="7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753.6</w:t>
            </w:r>
          </w:p>
        </w:tc>
        <w:tc>
          <w:tcPr>
            <w:tcW w:w="2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6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45,599.0</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r>
      <w:tr>
        <w:trPr>
          <w:trHeight w:val="20"/>
        </w:trPr>
        <w:tc>
          <w:tcPr>
            <w:tcW w:w="150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92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r>
      <w:tr>
        <w:trPr>
          <w:trHeight w:val="89"/>
        </w:trPr>
        <w:tc>
          <w:tcPr>
            <w:tcW w:w="1160" w:type="dxa"/>
            <w:vAlign w:val="bottom"/>
          </w:tcPr>
          <w:p>
            <w:pPr>
              <w:spacing w:after="0"/>
              <w:rPr>
                <w:sz w:val="7"/>
                <w:szCs w:val="7"/>
                <w:color w:val="auto"/>
              </w:rPr>
            </w:pPr>
          </w:p>
        </w:tc>
        <w:tc>
          <w:tcPr>
            <w:tcW w:w="340" w:type="dxa"/>
            <w:vAlign w:val="bottom"/>
            <w:tcBorders>
              <w:bottom w:val="single" w:sz="8" w:color="auto"/>
            </w:tcBorders>
          </w:tcPr>
          <w:p>
            <w:pPr>
              <w:spacing w:after="0"/>
              <w:rPr>
                <w:sz w:val="7"/>
                <w:szCs w:val="7"/>
                <w:color w:val="auto"/>
              </w:rPr>
            </w:pPr>
          </w:p>
        </w:tc>
        <w:tc>
          <w:tcPr>
            <w:tcW w:w="780" w:type="dxa"/>
            <w:vAlign w:val="bottom"/>
            <w:tcBorders>
              <w:bottom w:val="single" w:sz="8" w:color="auto"/>
            </w:tcBorders>
          </w:tcPr>
          <w:p>
            <w:pPr>
              <w:spacing w:after="0"/>
              <w:rPr>
                <w:sz w:val="7"/>
                <w:szCs w:val="7"/>
                <w:color w:val="auto"/>
              </w:rPr>
            </w:pPr>
          </w:p>
        </w:tc>
        <w:tc>
          <w:tcPr>
            <w:tcW w:w="2920" w:type="dxa"/>
            <w:vAlign w:val="bottom"/>
          </w:tcPr>
          <w:p>
            <w:pPr>
              <w:spacing w:after="0"/>
              <w:rPr>
                <w:sz w:val="7"/>
                <w:szCs w:val="7"/>
                <w:color w:val="auto"/>
              </w:rPr>
            </w:pPr>
          </w:p>
        </w:tc>
        <w:tc>
          <w:tcPr>
            <w:tcW w:w="150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0" w:type="dxa"/>
            <w:vAlign w:val="bottom"/>
          </w:tcPr>
          <w:p>
            <w:pPr>
              <w:spacing w:after="0"/>
              <w:rPr>
                <w:sz w:val="7"/>
                <w:szCs w:val="7"/>
                <w:color w:val="auto"/>
              </w:rPr>
            </w:pPr>
          </w:p>
        </w:tc>
        <w:tc>
          <w:tcPr>
            <w:tcW w:w="160" w:type="dxa"/>
            <w:vAlign w:val="bottom"/>
          </w:tcPr>
          <w:p>
            <w:pPr>
              <w:spacing w:after="0"/>
              <w:rPr>
                <w:sz w:val="7"/>
                <w:szCs w:val="7"/>
                <w:color w:val="auto"/>
              </w:rPr>
            </w:pPr>
          </w:p>
        </w:tc>
        <w:tc>
          <w:tcPr>
            <w:tcW w:w="60" w:type="dxa"/>
            <w:vAlign w:val="bottom"/>
          </w:tcPr>
          <w:p>
            <w:pPr>
              <w:spacing w:after="0"/>
              <w:rPr>
                <w:sz w:val="7"/>
                <w:szCs w:val="7"/>
                <w:color w:val="auto"/>
              </w:rPr>
            </w:pPr>
          </w:p>
        </w:tc>
        <w:tc>
          <w:tcPr>
            <w:tcW w:w="700" w:type="dxa"/>
            <w:vAlign w:val="bottom"/>
          </w:tcPr>
          <w:p>
            <w:pPr>
              <w:spacing w:after="0"/>
              <w:rPr>
                <w:sz w:val="7"/>
                <w:szCs w:val="7"/>
                <w:color w:val="auto"/>
              </w:rPr>
            </w:pPr>
          </w:p>
        </w:tc>
        <w:tc>
          <w:tcPr>
            <w:tcW w:w="160" w:type="dxa"/>
            <w:vAlign w:val="bottom"/>
          </w:tcPr>
          <w:p>
            <w:pPr>
              <w:spacing w:after="0"/>
              <w:rPr>
                <w:sz w:val="7"/>
                <w:szCs w:val="7"/>
                <w:color w:val="auto"/>
              </w:rPr>
            </w:pPr>
          </w:p>
        </w:tc>
        <w:tc>
          <w:tcPr>
            <w:tcW w:w="60" w:type="dxa"/>
            <w:vAlign w:val="bottom"/>
          </w:tcPr>
          <w:p>
            <w:pPr>
              <w:spacing w:after="0"/>
              <w:rPr>
                <w:sz w:val="7"/>
                <w:szCs w:val="7"/>
                <w:color w:val="auto"/>
              </w:rPr>
            </w:pPr>
          </w:p>
        </w:tc>
        <w:tc>
          <w:tcPr>
            <w:tcW w:w="700" w:type="dxa"/>
            <w:vAlign w:val="bottom"/>
          </w:tcPr>
          <w:p>
            <w:pPr>
              <w:spacing w:after="0"/>
              <w:rPr>
                <w:sz w:val="7"/>
                <w:szCs w:val="7"/>
                <w:color w:val="auto"/>
              </w:rPr>
            </w:pPr>
          </w:p>
        </w:tc>
        <w:tc>
          <w:tcPr>
            <w:tcW w:w="160" w:type="dxa"/>
            <w:vAlign w:val="bottom"/>
          </w:tcPr>
          <w:p>
            <w:pPr>
              <w:spacing w:after="0"/>
              <w:rPr>
                <w:sz w:val="7"/>
                <w:szCs w:val="7"/>
                <w:color w:val="auto"/>
              </w:rPr>
            </w:pPr>
          </w:p>
        </w:tc>
        <w:tc>
          <w:tcPr>
            <w:tcW w:w="60" w:type="dxa"/>
            <w:vAlign w:val="bottom"/>
          </w:tcPr>
          <w:p>
            <w:pPr>
              <w:spacing w:after="0"/>
              <w:rPr>
                <w:sz w:val="7"/>
                <w:szCs w:val="7"/>
                <w:color w:val="auto"/>
              </w:rPr>
            </w:pPr>
          </w:p>
        </w:tc>
        <w:tc>
          <w:tcPr>
            <w:tcW w:w="6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140" w:type="dxa"/>
            <w:vAlign w:val="bottom"/>
          </w:tcPr>
          <w:p>
            <w:pPr>
              <w:spacing w:after="0"/>
              <w:rPr>
                <w:sz w:val="7"/>
                <w:szCs w:val="7"/>
                <w:color w:val="auto"/>
              </w:rPr>
            </w:pPr>
          </w:p>
        </w:tc>
      </w:tr>
      <w:tr>
        <w:trPr>
          <w:trHeight w:val="371"/>
        </w:trPr>
        <w:tc>
          <w:tcPr>
            <w:tcW w:w="1500" w:type="dxa"/>
            <w:vAlign w:val="bottom"/>
            <w:gridSpan w:val="2"/>
          </w:tcPr>
          <w:p>
            <w:pPr>
              <w:ind w:left="1140"/>
              <w:spacing w:after="0"/>
              <w:rPr>
                <w:sz w:val="20"/>
                <w:szCs w:val="20"/>
                <w:color w:val="auto"/>
              </w:rPr>
            </w:pPr>
            <w:r>
              <w:rPr>
                <w:rFonts w:ascii="Arial" w:cs="Arial" w:eastAsia="Arial" w:hAnsi="Arial"/>
                <w:sz w:val="14"/>
                <w:szCs w:val="14"/>
                <w:color w:val="auto"/>
              </w:rPr>
              <w:t>(1)</w:t>
            </w:r>
          </w:p>
        </w:tc>
        <w:tc>
          <w:tcPr>
            <w:tcW w:w="3700" w:type="dxa"/>
            <w:vAlign w:val="bottom"/>
            <w:gridSpan w:val="2"/>
          </w:tcPr>
          <w:p>
            <w:pPr>
              <w:ind w:left="180"/>
              <w:spacing w:after="0"/>
              <w:rPr>
                <w:sz w:val="20"/>
                <w:szCs w:val="20"/>
                <w:color w:val="auto"/>
              </w:rPr>
            </w:pPr>
            <w:r>
              <w:rPr>
                <w:rFonts w:ascii="Arial" w:cs="Arial" w:eastAsia="Arial" w:hAnsi="Arial"/>
                <w:sz w:val="14"/>
                <w:szCs w:val="14"/>
                <w:color w:val="auto"/>
                <w:w w:val="99"/>
              </w:rPr>
              <w:t>This exposure is all related to sub-prime mortgage loans.</w:t>
            </w:r>
          </w:p>
        </w:tc>
        <w:tc>
          <w:tcPr>
            <w:tcW w:w="1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404"/>
        </w:trPr>
        <w:tc>
          <w:tcPr>
            <w:tcW w:w="1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920" w:type="dxa"/>
            <w:vAlign w:val="bottom"/>
          </w:tcPr>
          <w:p>
            <w:pPr>
              <w:spacing w:after="0"/>
              <w:rPr>
                <w:sz w:val="24"/>
                <w:szCs w:val="24"/>
                <w:color w:val="auto"/>
              </w:rPr>
            </w:pPr>
          </w:p>
        </w:tc>
        <w:tc>
          <w:tcPr>
            <w:tcW w:w="1500" w:type="dxa"/>
            <w:vAlign w:val="bottom"/>
          </w:tcPr>
          <w:p>
            <w:pPr>
              <w:jc w:val="right"/>
              <w:ind w:right="826"/>
              <w:spacing w:after="0"/>
              <w:rPr>
                <w:sz w:val="20"/>
                <w:szCs w:val="20"/>
                <w:color w:val="auto"/>
              </w:rPr>
            </w:pPr>
            <w:r>
              <w:rPr>
                <w:rFonts w:ascii="Arial" w:cs="Arial" w:eastAsia="Arial" w:hAnsi="Arial"/>
                <w:sz w:val="18"/>
                <w:szCs w:val="18"/>
                <w:color w:val="auto"/>
              </w:rPr>
              <w:t>69</w:t>
            </w: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780" w:type="dxa"/>
            <w:vAlign w:val="bottom"/>
            <w:tcBorders>
              <w:bottom w:val="single" w:sz="8" w:color="808080"/>
            </w:tcBorders>
          </w:tcPr>
          <w:p>
            <w:pPr>
              <w:spacing w:after="0"/>
              <w:rPr>
                <w:sz w:val="19"/>
                <w:szCs w:val="19"/>
                <w:color w:val="auto"/>
              </w:rPr>
            </w:pPr>
          </w:p>
        </w:tc>
        <w:tc>
          <w:tcPr>
            <w:tcW w:w="2920" w:type="dxa"/>
            <w:vAlign w:val="bottom"/>
            <w:tcBorders>
              <w:bottom w:val="single" w:sz="8" w:color="808080"/>
            </w:tcBorders>
          </w:tcPr>
          <w:p>
            <w:pPr>
              <w:spacing w:after="0"/>
              <w:rPr>
                <w:sz w:val="19"/>
                <w:szCs w:val="19"/>
                <w:color w:val="auto"/>
              </w:rPr>
            </w:pPr>
          </w:p>
        </w:tc>
        <w:tc>
          <w:tcPr>
            <w:tcW w:w="150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6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2" w:name="page73"/>
    <w:bookmarkEnd w:id="7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540" w:type="dxa"/>
            <w:vAlign w:val="bottom"/>
            <w:tcBorders>
              <w:bottom w:val="single" w:sz="8" w:color="auto"/>
            </w:tcBorders>
            <w:gridSpan w:val="4"/>
          </w:tcPr>
          <w:p>
            <w:pPr>
              <w:jc w:val="right"/>
              <w:ind w:right="272"/>
              <w:spacing w:after="0"/>
              <w:rPr>
                <w:sz w:val="20"/>
                <w:szCs w:val="20"/>
                <w:color w:val="auto"/>
              </w:rPr>
            </w:pPr>
            <w:r>
              <w:rPr>
                <w:rFonts w:ascii="Arial" w:cs="Arial" w:eastAsia="Arial" w:hAnsi="Arial"/>
                <w:sz w:val="14"/>
                <w:szCs w:val="14"/>
                <w:b w:val="1"/>
                <w:bCs w:val="1"/>
                <w:color w:val="auto"/>
                <w:w w:val="93"/>
              </w:rPr>
              <w:t>December 31, 2012</w:t>
            </w: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jc w:val="center"/>
              <w:ind w:right="92"/>
              <w:spacing w:after="0" w:line="129" w:lineRule="exact"/>
              <w:rPr>
                <w:sz w:val="20"/>
                <w:szCs w:val="20"/>
                <w:color w:val="auto"/>
              </w:rPr>
            </w:pPr>
            <w:r>
              <w:rPr>
                <w:rFonts w:ascii="Arial" w:cs="Arial" w:eastAsia="Arial" w:hAnsi="Arial"/>
                <w:sz w:val="14"/>
                <w:szCs w:val="14"/>
                <w:b w:val="1"/>
                <w:bCs w:val="1"/>
                <w:color w:val="auto"/>
                <w:w w:val="83"/>
              </w:rPr>
              <w:t>Gross</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jc w:val="right"/>
              <w:ind w:right="152"/>
              <w:spacing w:after="0" w:line="129" w:lineRule="exact"/>
              <w:rPr>
                <w:sz w:val="20"/>
                <w:szCs w:val="20"/>
                <w:color w:val="auto"/>
              </w:rPr>
            </w:pPr>
            <w:r>
              <w:rPr>
                <w:rFonts w:ascii="Arial" w:cs="Arial" w:eastAsia="Arial" w:hAnsi="Arial"/>
                <w:sz w:val="14"/>
                <w:szCs w:val="14"/>
                <w:b w:val="1"/>
                <w:bCs w:val="1"/>
                <w:color w:val="auto"/>
                <w:w w:val="93"/>
              </w:rPr>
              <w:t>Gross</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4420" w:type="dxa"/>
            <w:vAlign w:val="bottom"/>
          </w:tcPr>
          <w:p>
            <w:pPr>
              <w:spacing w:after="0"/>
              <w:rPr>
                <w:sz w:val="12"/>
                <w:szCs w:val="12"/>
                <w:color w:val="auto"/>
              </w:rPr>
            </w:pPr>
          </w:p>
        </w:tc>
        <w:tc>
          <w:tcPr>
            <w:tcW w:w="740" w:type="dxa"/>
            <w:vAlign w:val="bottom"/>
            <w:gridSpan w:val="2"/>
          </w:tcPr>
          <w:p>
            <w:pPr>
              <w:jc w:val="right"/>
              <w:ind w:right="12"/>
              <w:spacing w:after="0" w:line="149" w:lineRule="exact"/>
              <w:rPr>
                <w:sz w:val="20"/>
                <w:szCs w:val="20"/>
                <w:color w:val="auto"/>
              </w:rPr>
            </w:pPr>
            <w:r>
              <w:rPr>
                <w:rFonts w:ascii="Arial" w:cs="Arial" w:eastAsia="Arial" w:hAnsi="Arial"/>
                <w:sz w:val="14"/>
                <w:szCs w:val="14"/>
                <w:b w:val="1"/>
                <w:bCs w:val="1"/>
                <w:color w:val="auto"/>
                <w:w w:val="93"/>
              </w:rPr>
              <w:t>Amortized</w:t>
            </w:r>
          </w:p>
        </w:tc>
        <w:tc>
          <w:tcPr>
            <w:tcW w:w="160" w:type="dxa"/>
            <w:vAlign w:val="bottom"/>
          </w:tcPr>
          <w:p>
            <w:pPr>
              <w:spacing w:after="0"/>
              <w:rPr>
                <w:sz w:val="12"/>
                <w:szCs w:val="12"/>
                <w:color w:val="auto"/>
              </w:rPr>
            </w:pPr>
          </w:p>
        </w:tc>
        <w:tc>
          <w:tcPr>
            <w:tcW w:w="7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unrealized</w:t>
            </w:r>
          </w:p>
        </w:tc>
        <w:tc>
          <w:tcPr>
            <w:tcW w:w="160" w:type="dxa"/>
            <w:vAlign w:val="bottom"/>
          </w:tcPr>
          <w:p>
            <w:pPr>
              <w:spacing w:after="0"/>
              <w:rPr>
                <w:sz w:val="12"/>
                <w:szCs w:val="12"/>
                <w:color w:val="auto"/>
              </w:rPr>
            </w:pPr>
          </w:p>
        </w:tc>
        <w:tc>
          <w:tcPr>
            <w:tcW w:w="760" w:type="dxa"/>
            <w:vAlign w:val="bottom"/>
            <w:gridSpan w:val="2"/>
          </w:tcPr>
          <w:p>
            <w:pPr>
              <w:jc w:val="right"/>
              <w:ind w:right="12"/>
              <w:spacing w:after="0" w:line="149" w:lineRule="exact"/>
              <w:rPr>
                <w:sz w:val="20"/>
                <w:szCs w:val="20"/>
                <w:color w:val="auto"/>
              </w:rPr>
            </w:pPr>
            <w:r>
              <w:rPr>
                <w:rFonts w:ascii="Arial" w:cs="Arial" w:eastAsia="Arial" w:hAnsi="Arial"/>
                <w:sz w:val="14"/>
                <w:szCs w:val="14"/>
                <w:b w:val="1"/>
                <w:bCs w:val="1"/>
                <w:color w:val="auto"/>
                <w:w w:val="95"/>
              </w:rPr>
              <w:t>unrealized</w:t>
            </w:r>
          </w:p>
        </w:tc>
        <w:tc>
          <w:tcPr>
            <w:tcW w:w="160" w:type="dxa"/>
            <w:vAlign w:val="bottom"/>
          </w:tcPr>
          <w:p>
            <w:pPr>
              <w:spacing w:after="0"/>
              <w:rPr>
                <w:sz w:val="12"/>
                <w:szCs w:val="12"/>
                <w:color w:val="auto"/>
              </w:rPr>
            </w:pPr>
          </w:p>
        </w:tc>
        <w:tc>
          <w:tcPr>
            <w:tcW w:w="840" w:type="dxa"/>
            <w:vAlign w:val="bottom"/>
            <w:gridSpan w:val="3"/>
          </w:tcPr>
          <w:p>
            <w:pPr>
              <w:ind w:left="60"/>
              <w:spacing w:after="0" w:line="149" w:lineRule="exact"/>
              <w:rPr>
                <w:sz w:val="20"/>
                <w:szCs w:val="20"/>
                <w:color w:val="auto"/>
              </w:rPr>
            </w:pPr>
            <w:r>
              <w:rPr>
                <w:rFonts w:ascii="Arial" w:cs="Arial" w:eastAsia="Arial" w:hAnsi="Arial"/>
                <w:sz w:val="14"/>
                <w:szCs w:val="14"/>
                <w:b w:val="1"/>
                <w:bCs w:val="1"/>
                <w:color w:val="auto"/>
              </w:rPr>
              <w:t>Carrying</w:t>
            </w:r>
          </w:p>
        </w:tc>
      </w:t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cost</w:t>
            </w: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center"/>
              <w:ind w:right="92"/>
              <w:spacing w:after="0"/>
              <w:rPr>
                <w:sz w:val="20"/>
                <w:szCs w:val="20"/>
                <w:color w:val="auto"/>
              </w:rPr>
            </w:pPr>
            <w:r>
              <w:rPr>
                <w:rFonts w:ascii="Arial" w:cs="Arial" w:eastAsia="Arial" w:hAnsi="Arial"/>
                <w:sz w:val="14"/>
                <w:szCs w:val="14"/>
                <w:b w:val="1"/>
                <w:bCs w:val="1"/>
                <w:color w:val="auto"/>
                <w:w w:val="81"/>
              </w:rPr>
              <w:t>gains</w:t>
            </w: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w w:val="82"/>
              </w:rPr>
              <w:t>losses</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b w:val="1"/>
                <w:bCs w:val="1"/>
                <w:color w:val="auto"/>
                <w:w w:val="86"/>
              </w:rPr>
              <w:t>amount</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4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ind w:right="7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920" w:type="dxa"/>
            <w:vAlign w:val="bottom"/>
            <w:gridSpan w:val="3"/>
          </w:tcPr>
          <w:p>
            <w:pPr>
              <w:jc w:val="center"/>
              <w:ind w:right="472"/>
              <w:spacing w:after="0"/>
              <w:rPr>
                <w:sz w:val="20"/>
                <w:szCs w:val="20"/>
                <w:color w:val="auto"/>
              </w:rPr>
            </w:pPr>
            <w:r>
              <w:rPr>
                <w:rFonts w:ascii="Arial" w:cs="Arial" w:eastAsia="Arial" w:hAnsi="Arial"/>
                <w:sz w:val="12"/>
                <w:szCs w:val="12"/>
                <w:b w:val="1"/>
                <w:bCs w:val="1"/>
                <w:i w:val="1"/>
                <w:iCs w:val="1"/>
                <w:color w:val="auto"/>
                <w:w w:val="76"/>
              </w:rPr>
              <w:t>millions)</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Finance — Banking</w:t>
            </w:r>
          </w:p>
        </w:tc>
        <w:tc>
          <w:tcPr>
            <w:tcW w:w="160" w:type="dxa"/>
            <w:vAlign w:val="bottom"/>
            <w:shd w:val="clear" w:color="auto" w:fill="CCEEFF"/>
          </w:tcPr>
          <w:p>
            <w:pPr>
              <w:jc w:val="right"/>
              <w:ind w:right="44"/>
              <w:spacing w:after="0"/>
              <w:rPr>
                <w:sz w:val="20"/>
                <w:szCs w:val="20"/>
                <w:color w:val="auto"/>
              </w:rPr>
            </w:pPr>
            <w:r>
              <w:rPr>
                <w:rFonts w:ascii="Arial" w:cs="Arial" w:eastAsia="Arial" w:hAnsi="Arial"/>
                <w:sz w:val="10"/>
                <w:szCs w:val="10"/>
                <w:color w:val="auto"/>
                <w:w w:val="71"/>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4,243.6</w:t>
            </w:r>
          </w:p>
        </w:tc>
        <w:tc>
          <w:tcPr>
            <w:tcW w:w="3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219.9</w:t>
            </w:r>
          </w:p>
        </w:tc>
        <w:tc>
          <w:tcPr>
            <w:tcW w:w="300" w:type="dxa"/>
            <w:vAlign w:val="bottom"/>
            <w:gridSpan w:val="2"/>
            <w:shd w:val="clear" w:color="auto" w:fill="CCEEFF"/>
          </w:tcPr>
          <w:p>
            <w:pPr>
              <w:jc w:val="center"/>
              <w:ind w:left="35"/>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234.1</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4,229.4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tcPr>
          <w:p>
            <w:pPr>
              <w:spacing w:after="0" w:line="149" w:lineRule="exact"/>
              <w:rPr>
                <w:sz w:val="20"/>
                <w:szCs w:val="20"/>
                <w:color w:val="auto"/>
              </w:rPr>
            </w:pPr>
            <w:r>
              <w:rPr>
                <w:rFonts w:ascii="Arial" w:cs="Arial" w:eastAsia="Arial" w:hAnsi="Arial"/>
                <w:sz w:val="14"/>
                <w:szCs w:val="14"/>
                <w:color w:val="auto"/>
              </w:rPr>
              <w:t>Finance — Brokerage</w:t>
            </w: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377.2</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31.0</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1.1</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407.1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Finance — Finance Companies</w:t>
            </w: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173.7</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12.2</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185.9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tcPr>
          <w:p>
            <w:pPr>
              <w:spacing w:after="0" w:line="149" w:lineRule="exact"/>
              <w:rPr>
                <w:sz w:val="20"/>
                <w:szCs w:val="20"/>
                <w:color w:val="auto"/>
              </w:rPr>
            </w:pPr>
            <w:r>
              <w:rPr>
                <w:rFonts w:ascii="Arial" w:cs="Arial" w:eastAsia="Arial" w:hAnsi="Arial"/>
                <w:sz w:val="14"/>
                <w:szCs w:val="14"/>
                <w:color w:val="auto"/>
              </w:rPr>
              <w:t>Finance — Financial Other</w:t>
            </w: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519.5</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79.9</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599.4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Finance — Insurance</w:t>
            </w: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2,748.2</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280.2</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11.0</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3,017.4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tcPr>
          <w:p>
            <w:pPr>
              <w:spacing w:after="0" w:line="149" w:lineRule="exact"/>
              <w:rPr>
                <w:sz w:val="20"/>
                <w:szCs w:val="20"/>
                <w:color w:val="auto"/>
              </w:rPr>
            </w:pPr>
            <w:r>
              <w:rPr>
                <w:rFonts w:ascii="Arial" w:cs="Arial" w:eastAsia="Arial" w:hAnsi="Arial"/>
                <w:sz w:val="14"/>
                <w:szCs w:val="14"/>
                <w:color w:val="auto"/>
              </w:rPr>
              <w:t>Finance — REITS</w:t>
            </w: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982.8</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66.3</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4.1</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1,045.0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Industrial — Basic Industry</w:t>
            </w: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1,589.0</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149.7</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1,737.7</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tcPr>
          <w:p>
            <w:pPr>
              <w:spacing w:after="0" w:line="149" w:lineRule="exact"/>
              <w:rPr>
                <w:sz w:val="20"/>
                <w:szCs w:val="20"/>
                <w:color w:val="auto"/>
              </w:rPr>
            </w:pPr>
            <w:r>
              <w:rPr>
                <w:rFonts w:ascii="Arial" w:cs="Arial" w:eastAsia="Arial" w:hAnsi="Arial"/>
                <w:sz w:val="14"/>
                <w:szCs w:val="14"/>
                <w:color w:val="auto"/>
              </w:rPr>
              <w:t>Industrial — Capital Goods</w:t>
            </w: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2,012.7</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188.1</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0.6</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2,200.2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Industrial — Communications</w:t>
            </w: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2,025.7</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242.2</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2,266.0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tcPr>
          <w:p>
            <w:pPr>
              <w:spacing w:after="0" w:line="149" w:lineRule="exact"/>
              <w:rPr>
                <w:sz w:val="20"/>
                <w:szCs w:val="20"/>
                <w:color w:val="auto"/>
              </w:rPr>
            </w:pPr>
            <w:r>
              <w:rPr>
                <w:rFonts w:ascii="Arial" w:cs="Arial" w:eastAsia="Arial" w:hAnsi="Arial"/>
                <w:sz w:val="14"/>
                <w:szCs w:val="14"/>
                <w:color w:val="auto"/>
              </w:rPr>
              <w:t>Industrial — Consumer Cyclical</w:t>
            </w: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1,551.0</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174.1</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2.9</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1,722.2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Industrial — Consumer Non-Cyclical</w:t>
            </w: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3,303.0</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332.5</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3,634.1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tcPr>
          <w:p>
            <w:pPr>
              <w:spacing w:after="0" w:line="149" w:lineRule="exact"/>
              <w:rPr>
                <w:sz w:val="20"/>
                <w:szCs w:val="20"/>
                <w:color w:val="auto"/>
              </w:rPr>
            </w:pPr>
            <w:r>
              <w:rPr>
                <w:rFonts w:ascii="Arial" w:cs="Arial" w:eastAsia="Arial" w:hAnsi="Arial"/>
                <w:sz w:val="14"/>
                <w:szCs w:val="14"/>
                <w:color w:val="auto"/>
              </w:rPr>
              <w:t>Industrial — Energy</w:t>
            </w: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1,985.7</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296.9</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1.6</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2,281.0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Industrial — Other</w:t>
            </w: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477.8</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38.2</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516.0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tcPr>
          <w:p>
            <w:pPr>
              <w:spacing w:after="0" w:line="149" w:lineRule="exact"/>
              <w:rPr>
                <w:sz w:val="20"/>
                <w:szCs w:val="20"/>
                <w:color w:val="auto"/>
              </w:rPr>
            </w:pPr>
            <w:r>
              <w:rPr>
                <w:rFonts w:ascii="Arial" w:cs="Arial" w:eastAsia="Arial" w:hAnsi="Arial"/>
                <w:sz w:val="14"/>
                <w:szCs w:val="14"/>
                <w:color w:val="auto"/>
              </w:rPr>
              <w:t>Industrial — Technology</w:t>
            </w: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904.8</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66.4</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0.4</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970.8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Industrial — Transportation</w:t>
            </w: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730.2</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64.4</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0.7</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793.9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tcPr>
          <w:p>
            <w:pPr>
              <w:spacing w:after="0" w:line="149" w:lineRule="exact"/>
              <w:rPr>
                <w:sz w:val="20"/>
                <w:szCs w:val="20"/>
                <w:color w:val="auto"/>
              </w:rPr>
            </w:pPr>
            <w:r>
              <w:rPr>
                <w:rFonts w:ascii="Arial" w:cs="Arial" w:eastAsia="Arial" w:hAnsi="Arial"/>
                <w:sz w:val="14"/>
                <w:szCs w:val="14"/>
                <w:color w:val="auto"/>
              </w:rPr>
              <w:t>Utility — Electric</w:t>
            </w: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2,739.5</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310.6</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12.1</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3,038.0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Utility — Natural Gas</w:t>
            </w: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1,033.7</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136.4</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0.9</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1,169.2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tcPr>
          <w:p>
            <w:pPr>
              <w:spacing w:after="0" w:line="149" w:lineRule="exact"/>
              <w:rPr>
                <w:sz w:val="20"/>
                <w:szCs w:val="20"/>
                <w:color w:val="auto"/>
              </w:rPr>
            </w:pPr>
            <w:r>
              <w:rPr>
                <w:rFonts w:ascii="Arial" w:cs="Arial" w:eastAsia="Arial" w:hAnsi="Arial"/>
                <w:sz w:val="14"/>
                <w:szCs w:val="14"/>
                <w:color w:val="auto"/>
              </w:rPr>
              <w:t>Utility — Other</w:t>
            </w: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291.1</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34.1</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325.2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Government guaranteed</w:t>
            </w:r>
          </w:p>
        </w:tc>
        <w:tc>
          <w:tcPr>
            <w:tcW w:w="16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1,126.7</w:t>
            </w:r>
          </w:p>
        </w:tc>
        <w:tc>
          <w:tcPr>
            <w:tcW w:w="160" w:type="dxa"/>
            <w:vAlign w:val="bottom"/>
            <w:shd w:val="clear" w:color="auto" w:fill="CCEEFF"/>
          </w:tcPr>
          <w:p>
            <w:pPr>
              <w:spacing w:after="0"/>
              <w:rPr>
                <w:sz w:val="12"/>
                <w:szCs w:val="12"/>
                <w:color w:val="auto"/>
              </w:rPr>
            </w:pPr>
          </w:p>
        </w:tc>
        <w:tc>
          <w:tcPr>
            <w:tcW w:w="140" w:type="dxa"/>
            <w:vAlign w:val="bottom"/>
            <w:tcBorders>
              <w:bottom w:val="single" w:sz="8" w:color="auto"/>
            </w:tcBorders>
            <w:shd w:val="clear" w:color="auto" w:fill="CCEEFF"/>
          </w:tcPr>
          <w:p>
            <w:pPr>
              <w:spacing w:after="0"/>
              <w:rPr>
                <w:sz w:val="12"/>
                <w:szCs w:val="12"/>
                <w:color w:val="auto"/>
              </w:rPr>
            </w:pPr>
          </w:p>
        </w:tc>
        <w:tc>
          <w:tcPr>
            <w:tcW w:w="6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152.8</w:t>
            </w:r>
          </w:p>
        </w:tc>
        <w:tc>
          <w:tcPr>
            <w:tcW w:w="160" w:type="dxa"/>
            <w:vAlign w:val="bottom"/>
            <w:shd w:val="clear" w:color="auto" w:fill="CCEEFF"/>
          </w:tcPr>
          <w:p>
            <w:pPr>
              <w:spacing w:after="0"/>
              <w:rPr>
                <w:sz w:val="12"/>
                <w:szCs w:val="12"/>
                <w:color w:val="auto"/>
              </w:rPr>
            </w:pPr>
          </w:p>
        </w:tc>
        <w:tc>
          <w:tcPr>
            <w:tcW w:w="140" w:type="dxa"/>
            <w:vAlign w:val="bottom"/>
            <w:tcBorders>
              <w:bottom w:val="single" w:sz="8" w:color="auto"/>
            </w:tcBorders>
            <w:shd w:val="clear" w:color="auto" w:fill="CCEEFF"/>
          </w:tcPr>
          <w:p>
            <w:pPr>
              <w:spacing w:after="0"/>
              <w:rPr>
                <w:sz w:val="12"/>
                <w:szCs w:val="12"/>
                <w:color w:val="auto"/>
              </w:rPr>
            </w:pPr>
          </w:p>
        </w:tc>
        <w:tc>
          <w:tcPr>
            <w:tcW w:w="6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1.6</w:t>
            </w:r>
          </w:p>
        </w:tc>
        <w:tc>
          <w:tcPr>
            <w:tcW w:w="16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1,277.9</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5540" w:type="dxa"/>
            <w:vAlign w:val="bottom"/>
            <w:gridSpan w:val="2"/>
          </w:tcPr>
          <w:p>
            <w:pPr>
              <w:ind w:left="140"/>
              <w:spacing w:after="0" w:line="142" w:lineRule="exact"/>
              <w:rPr>
                <w:sz w:val="20"/>
                <w:szCs w:val="20"/>
                <w:color w:val="auto"/>
              </w:rPr>
            </w:pPr>
            <w:r>
              <w:rPr>
                <w:rFonts w:ascii="Arial" w:cs="Arial" w:eastAsia="Arial" w:hAnsi="Arial"/>
                <w:sz w:val="14"/>
                <w:szCs w:val="14"/>
                <w:color w:val="auto"/>
              </w:rPr>
              <w:t>Total corporate securities</w:t>
            </w:r>
          </w:p>
        </w:tc>
        <w:tc>
          <w:tcPr>
            <w:tcW w:w="160" w:type="dxa"/>
            <w:vAlign w:val="bottom"/>
          </w:tcPr>
          <w:p>
            <w:pPr>
              <w:spacing w:after="0"/>
              <w:rPr>
                <w:sz w:val="12"/>
                <w:szCs w:val="12"/>
                <w:color w:val="auto"/>
              </w:rPr>
            </w:pPr>
          </w:p>
        </w:tc>
        <w:tc>
          <w:tcPr>
            <w:tcW w:w="580" w:type="dxa"/>
            <w:vAlign w:val="bottom"/>
          </w:tcPr>
          <w:p>
            <w:pPr>
              <w:jc w:val="right"/>
              <w:spacing w:after="0" w:line="142" w:lineRule="exact"/>
              <w:rPr>
                <w:sz w:val="20"/>
                <w:szCs w:val="20"/>
                <w:color w:val="auto"/>
              </w:rPr>
            </w:pPr>
            <w:r>
              <w:rPr>
                <w:rFonts w:ascii="Arial" w:cs="Arial" w:eastAsia="Arial" w:hAnsi="Arial"/>
                <w:sz w:val="14"/>
                <w:szCs w:val="14"/>
                <w:color w:val="auto"/>
                <w:w w:val="99"/>
              </w:rPr>
              <w:t>28,815.9</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2" w:lineRule="exact"/>
              <w:rPr>
                <w:sz w:val="20"/>
                <w:szCs w:val="20"/>
                <w:color w:val="auto"/>
              </w:rPr>
            </w:pPr>
            <w:r>
              <w:rPr>
                <w:rFonts w:ascii="Arial" w:cs="Arial" w:eastAsia="Arial" w:hAnsi="Arial"/>
                <w:sz w:val="14"/>
                <w:szCs w:val="14"/>
                <w:color w:val="auto"/>
              </w:rPr>
              <w:t>2,875.9</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2" w:lineRule="exact"/>
              <w:rPr>
                <w:sz w:val="20"/>
                <w:szCs w:val="20"/>
                <w:color w:val="auto"/>
              </w:rPr>
            </w:pPr>
            <w:r>
              <w:rPr>
                <w:rFonts w:ascii="Arial" w:cs="Arial" w:eastAsia="Arial" w:hAnsi="Arial"/>
                <w:sz w:val="14"/>
                <w:szCs w:val="14"/>
                <w:color w:val="auto"/>
              </w:rPr>
              <w:t>275.4</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2" w:lineRule="exact"/>
              <w:rPr>
                <w:sz w:val="20"/>
                <w:szCs w:val="20"/>
                <w:color w:val="auto"/>
              </w:rPr>
            </w:pPr>
            <w:r>
              <w:rPr>
                <w:rFonts w:ascii="Arial" w:cs="Arial" w:eastAsia="Arial" w:hAnsi="Arial"/>
                <w:sz w:val="14"/>
                <w:szCs w:val="14"/>
                <w:color w:val="auto"/>
              </w:rPr>
              <w:t>31,416.4</w:t>
            </w:r>
          </w:p>
        </w:tc>
        <w:tc>
          <w:tcPr>
            <w:tcW w:w="160" w:type="dxa"/>
            <w:vAlign w:val="bottom"/>
          </w:tcPr>
          <w:p>
            <w:pPr>
              <w:spacing w:after="0"/>
              <w:rPr>
                <w:sz w:val="12"/>
                <w:szCs w:val="12"/>
                <w:color w:val="auto"/>
              </w:rPr>
            </w:pPr>
          </w:p>
        </w:tc>
      </w:tr>
      <w:tr>
        <w:trPr>
          <w:trHeight w:val="311"/>
        </w:trPr>
        <w:tc>
          <w:tcPr>
            <w:tcW w:w="20" w:type="dxa"/>
            <w:vAlign w:val="bottom"/>
          </w:tcPr>
          <w:p>
            <w:pPr>
              <w:spacing w:after="0"/>
              <w:rPr>
                <w:sz w:val="24"/>
                <w:szCs w:val="24"/>
                <w:color w:val="auto"/>
              </w:rPr>
            </w:pPr>
          </w:p>
        </w:tc>
        <w:tc>
          <w:tcPr>
            <w:tcW w:w="55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Residential mortgage-backed pass-through securities</w:t>
            </w:r>
          </w:p>
        </w:tc>
        <w:tc>
          <w:tcPr>
            <w:tcW w:w="160" w:type="dxa"/>
            <w:vAlign w:val="bottom"/>
            <w:shd w:val="clear" w:color="auto" w:fill="CCEEFF"/>
          </w:tcPr>
          <w:p>
            <w:pPr>
              <w:spacing w:after="0"/>
              <w:rPr>
                <w:sz w:val="24"/>
                <w:szCs w:val="2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2,997.8</w:t>
            </w: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202.3</w:t>
            </w: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0.4</w:t>
            </w: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3,199.7</w:t>
            </w:r>
          </w:p>
        </w:tc>
        <w:tc>
          <w:tcPr>
            <w:tcW w:w="160" w:type="dxa"/>
            <w:vAlign w:val="bottom"/>
            <w:shd w:val="clear" w:color="auto" w:fill="CCEEFF"/>
          </w:tcPr>
          <w:p>
            <w:pPr>
              <w:spacing w:after="0"/>
              <w:rPr>
                <w:sz w:val="24"/>
                <w:szCs w:val="24"/>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tcPr>
          <w:p>
            <w:pPr>
              <w:spacing w:after="0" w:line="149" w:lineRule="exact"/>
              <w:rPr>
                <w:sz w:val="20"/>
                <w:szCs w:val="20"/>
                <w:color w:val="auto"/>
              </w:rPr>
            </w:pPr>
            <w:r>
              <w:rPr>
                <w:rFonts w:ascii="Arial" w:cs="Arial" w:eastAsia="Arial" w:hAnsi="Arial"/>
                <w:sz w:val="14"/>
                <w:szCs w:val="14"/>
                <w:color w:val="auto"/>
              </w:rPr>
              <w:t>Commercial mortgage-backed securities</w:t>
            </w: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4,094.8</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241.7</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439.1</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3,897.4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Residential collateralized mortgage obligations</w:t>
            </w: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1,091.9</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31.2</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8.9</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1,114.2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tcPr>
          <w:p>
            <w:pPr>
              <w:spacing w:after="0" w:line="149" w:lineRule="exact"/>
              <w:rPr>
                <w:sz w:val="20"/>
                <w:szCs w:val="20"/>
                <w:color w:val="auto"/>
              </w:rPr>
            </w:pPr>
            <w:r>
              <w:rPr>
                <w:rFonts w:ascii="Arial" w:cs="Arial" w:eastAsia="Arial" w:hAnsi="Arial"/>
                <w:sz w:val="14"/>
                <w:szCs w:val="14"/>
                <w:color w:val="auto"/>
              </w:rPr>
              <w:t>Asset-backed securities — Home equity (1)</w:t>
            </w: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371.1</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4.7</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42.0</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333.8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Asset-backed securities — All other</w:t>
            </w: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2,293.9</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37.6</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0.3</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2,331.2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tcPr>
          <w:p>
            <w:pPr>
              <w:spacing w:after="0" w:line="149" w:lineRule="exact"/>
              <w:rPr>
                <w:sz w:val="20"/>
                <w:szCs w:val="20"/>
                <w:color w:val="auto"/>
              </w:rPr>
            </w:pPr>
            <w:r>
              <w:rPr>
                <w:rFonts w:ascii="Arial" w:cs="Arial" w:eastAsia="Arial" w:hAnsi="Arial"/>
                <w:sz w:val="14"/>
                <w:szCs w:val="14"/>
                <w:color w:val="auto"/>
              </w:rPr>
              <w:t>Collateralized debt obligations — Credit</w:t>
            </w: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79.3</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40.0</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39.3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Collateralized debt obligations — CMBS</w:t>
            </w: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92.2</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3.4</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15.1</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80.5</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tcPr>
          <w:p>
            <w:pPr>
              <w:spacing w:after="0" w:line="149" w:lineRule="exact"/>
              <w:rPr>
                <w:sz w:val="20"/>
                <w:szCs w:val="20"/>
                <w:color w:val="auto"/>
              </w:rPr>
            </w:pPr>
            <w:r>
              <w:rPr>
                <w:rFonts w:ascii="Arial" w:cs="Arial" w:eastAsia="Arial" w:hAnsi="Arial"/>
                <w:sz w:val="14"/>
                <w:szCs w:val="14"/>
                <w:color w:val="auto"/>
              </w:rPr>
              <w:t>Collateralized debt obligations — Loans</w:t>
            </w: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242.3</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3.6</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1.1</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244.8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Collateralized debt obligations — ABS</w:t>
            </w:r>
          </w:p>
        </w:tc>
        <w:tc>
          <w:tcPr>
            <w:tcW w:w="16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15.0</w:t>
            </w:r>
          </w:p>
        </w:tc>
        <w:tc>
          <w:tcPr>
            <w:tcW w:w="160" w:type="dxa"/>
            <w:vAlign w:val="bottom"/>
            <w:shd w:val="clear" w:color="auto" w:fill="CCEEFF"/>
          </w:tcPr>
          <w:p>
            <w:pPr>
              <w:spacing w:after="0"/>
              <w:rPr>
                <w:sz w:val="12"/>
                <w:szCs w:val="12"/>
                <w:color w:val="auto"/>
              </w:rPr>
            </w:pPr>
          </w:p>
        </w:tc>
        <w:tc>
          <w:tcPr>
            <w:tcW w:w="140" w:type="dxa"/>
            <w:vAlign w:val="bottom"/>
            <w:tcBorders>
              <w:bottom w:val="single" w:sz="8" w:color="auto"/>
            </w:tcBorders>
            <w:shd w:val="clear" w:color="auto" w:fill="CCEEFF"/>
          </w:tcPr>
          <w:p>
            <w:pPr>
              <w:spacing w:after="0"/>
              <w:rPr>
                <w:sz w:val="12"/>
                <w:szCs w:val="12"/>
                <w:color w:val="auto"/>
              </w:rPr>
            </w:pPr>
          </w:p>
        </w:tc>
        <w:tc>
          <w:tcPr>
            <w:tcW w:w="6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40" w:type="dxa"/>
            <w:vAlign w:val="bottom"/>
            <w:tcBorders>
              <w:bottom w:val="single" w:sz="8" w:color="auto"/>
            </w:tcBorders>
            <w:shd w:val="clear" w:color="auto" w:fill="CCEEFF"/>
          </w:tcPr>
          <w:p>
            <w:pPr>
              <w:spacing w:after="0"/>
              <w:rPr>
                <w:sz w:val="12"/>
                <w:szCs w:val="12"/>
                <w:color w:val="auto"/>
              </w:rPr>
            </w:pPr>
          </w:p>
        </w:tc>
        <w:tc>
          <w:tcPr>
            <w:tcW w:w="6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0.4</w:t>
            </w:r>
          </w:p>
        </w:tc>
        <w:tc>
          <w:tcPr>
            <w:tcW w:w="16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14.6</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5540" w:type="dxa"/>
            <w:vAlign w:val="bottom"/>
            <w:gridSpan w:val="2"/>
          </w:tcPr>
          <w:p>
            <w:pPr>
              <w:ind w:left="140"/>
              <w:spacing w:after="0" w:line="142" w:lineRule="exact"/>
              <w:rPr>
                <w:sz w:val="20"/>
                <w:szCs w:val="20"/>
                <w:color w:val="auto"/>
              </w:rPr>
            </w:pPr>
            <w:r>
              <w:rPr>
                <w:rFonts w:ascii="Arial" w:cs="Arial" w:eastAsia="Arial" w:hAnsi="Arial"/>
                <w:sz w:val="14"/>
                <w:szCs w:val="14"/>
                <w:color w:val="auto"/>
              </w:rPr>
              <w:t>Total mortgage-backed and other asset-backed securities</w:t>
            </w:r>
          </w:p>
        </w:tc>
        <w:tc>
          <w:tcPr>
            <w:tcW w:w="160" w:type="dxa"/>
            <w:vAlign w:val="bottom"/>
          </w:tcPr>
          <w:p>
            <w:pPr>
              <w:spacing w:after="0"/>
              <w:rPr>
                <w:sz w:val="12"/>
                <w:szCs w:val="12"/>
                <w:color w:val="auto"/>
              </w:rPr>
            </w:pPr>
          </w:p>
        </w:tc>
        <w:tc>
          <w:tcPr>
            <w:tcW w:w="580" w:type="dxa"/>
            <w:vAlign w:val="bottom"/>
          </w:tcPr>
          <w:p>
            <w:pPr>
              <w:jc w:val="right"/>
              <w:spacing w:after="0" w:line="142" w:lineRule="exact"/>
              <w:rPr>
                <w:sz w:val="20"/>
                <w:szCs w:val="20"/>
                <w:color w:val="auto"/>
              </w:rPr>
            </w:pPr>
            <w:r>
              <w:rPr>
                <w:rFonts w:ascii="Arial" w:cs="Arial" w:eastAsia="Arial" w:hAnsi="Arial"/>
                <w:sz w:val="14"/>
                <w:szCs w:val="14"/>
                <w:color w:val="auto"/>
                <w:w w:val="99"/>
              </w:rPr>
              <w:t>11,278.3</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2" w:lineRule="exact"/>
              <w:rPr>
                <w:sz w:val="20"/>
                <w:szCs w:val="20"/>
                <w:color w:val="auto"/>
              </w:rPr>
            </w:pPr>
            <w:r>
              <w:rPr>
                <w:rFonts w:ascii="Arial" w:cs="Arial" w:eastAsia="Arial" w:hAnsi="Arial"/>
                <w:sz w:val="14"/>
                <w:szCs w:val="14"/>
                <w:color w:val="auto"/>
              </w:rPr>
              <w:t>524.5</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2" w:lineRule="exact"/>
              <w:rPr>
                <w:sz w:val="20"/>
                <w:szCs w:val="20"/>
                <w:color w:val="auto"/>
              </w:rPr>
            </w:pPr>
            <w:r>
              <w:rPr>
                <w:rFonts w:ascii="Arial" w:cs="Arial" w:eastAsia="Arial" w:hAnsi="Arial"/>
                <w:sz w:val="14"/>
                <w:szCs w:val="14"/>
                <w:color w:val="auto"/>
              </w:rPr>
              <w:t>547.3</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2" w:lineRule="exact"/>
              <w:rPr>
                <w:sz w:val="20"/>
                <w:szCs w:val="20"/>
                <w:color w:val="auto"/>
              </w:rPr>
            </w:pPr>
            <w:r>
              <w:rPr>
                <w:rFonts w:ascii="Arial" w:cs="Arial" w:eastAsia="Arial" w:hAnsi="Arial"/>
                <w:sz w:val="14"/>
                <w:szCs w:val="14"/>
                <w:color w:val="auto"/>
              </w:rPr>
              <w:t>11,255.5</w:t>
            </w:r>
          </w:p>
        </w:tc>
        <w:tc>
          <w:tcPr>
            <w:tcW w:w="160" w:type="dxa"/>
            <w:vAlign w:val="bottom"/>
          </w:tcPr>
          <w:p>
            <w:pPr>
              <w:spacing w:after="0"/>
              <w:rPr>
                <w:sz w:val="12"/>
                <w:szCs w:val="12"/>
                <w:color w:val="auto"/>
              </w:rPr>
            </w:pPr>
          </w:p>
        </w:tc>
      </w:tr>
      <w:tr>
        <w:trPr>
          <w:trHeight w:val="311"/>
        </w:trPr>
        <w:tc>
          <w:tcPr>
            <w:tcW w:w="20" w:type="dxa"/>
            <w:vAlign w:val="bottom"/>
          </w:tcPr>
          <w:p>
            <w:pPr>
              <w:spacing w:after="0"/>
              <w:rPr>
                <w:sz w:val="24"/>
                <w:szCs w:val="24"/>
                <w:color w:val="auto"/>
              </w:rPr>
            </w:pPr>
          </w:p>
        </w:tc>
        <w:tc>
          <w:tcPr>
            <w:tcW w:w="55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U.S. government and agencies</w:t>
            </w:r>
          </w:p>
        </w:tc>
        <w:tc>
          <w:tcPr>
            <w:tcW w:w="160" w:type="dxa"/>
            <w:vAlign w:val="bottom"/>
            <w:shd w:val="clear" w:color="auto" w:fill="CCEEFF"/>
          </w:tcPr>
          <w:p>
            <w:pPr>
              <w:spacing w:after="0"/>
              <w:rPr>
                <w:sz w:val="24"/>
                <w:szCs w:val="2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911.4</w:t>
            </w: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33.2</w:t>
            </w: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0.3</w:t>
            </w: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944.3</w:t>
            </w:r>
          </w:p>
        </w:tc>
        <w:tc>
          <w:tcPr>
            <w:tcW w:w="160" w:type="dxa"/>
            <w:vAlign w:val="bottom"/>
            <w:shd w:val="clear" w:color="auto" w:fill="CCEEFF"/>
          </w:tcPr>
          <w:p>
            <w:pPr>
              <w:spacing w:after="0"/>
              <w:rPr>
                <w:sz w:val="24"/>
                <w:szCs w:val="24"/>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tcPr>
          <w:p>
            <w:pPr>
              <w:spacing w:after="0" w:line="149" w:lineRule="exact"/>
              <w:rPr>
                <w:sz w:val="20"/>
                <w:szCs w:val="20"/>
                <w:color w:val="auto"/>
              </w:rPr>
            </w:pPr>
            <w:r>
              <w:rPr>
                <w:rFonts w:ascii="Arial" w:cs="Arial" w:eastAsia="Arial" w:hAnsi="Arial"/>
                <w:sz w:val="14"/>
                <w:szCs w:val="14"/>
                <w:color w:val="auto"/>
              </w:rPr>
              <w:t>States and political subdivisions</w:t>
            </w: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2,940.4</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241.1</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2.7</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3,178.8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5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Non-U.S. governments</w:t>
            </w:r>
          </w:p>
        </w:tc>
        <w:tc>
          <w:tcPr>
            <w:tcW w:w="16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545.5</w:t>
            </w:r>
          </w:p>
        </w:tc>
        <w:tc>
          <w:tcPr>
            <w:tcW w:w="160" w:type="dxa"/>
            <w:vAlign w:val="bottom"/>
            <w:shd w:val="clear" w:color="auto" w:fill="CCEEFF"/>
          </w:tcPr>
          <w:p>
            <w:pPr>
              <w:spacing w:after="0"/>
              <w:rPr>
                <w:sz w:val="12"/>
                <w:szCs w:val="12"/>
                <w:color w:val="auto"/>
              </w:rPr>
            </w:pPr>
          </w:p>
        </w:tc>
        <w:tc>
          <w:tcPr>
            <w:tcW w:w="140" w:type="dxa"/>
            <w:vAlign w:val="bottom"/>
            <w:tcBorders>
              <w:bottom w:val="single" w:sz="8" w:color="auto"/>
            </w:tcBorders>
            <w:shd w:val="clear" w:color="auto" w:fill="CCEEFF"/>
          </w:tcPr>
          <w:p>
            <w:pPr>
              <w:spacing w:after="0"/>
              <w:rPr>
                <w:sz w:val="12"/>
                <w:szCs w:val="12"/>
                <w:color w:val="auto"/>
              </w:rPr>
            </w:pPr>
          </w:p>
        </w:tc>
        <w:tc>
          <w:tcPr>
            <w:tcW w:w="6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117.9</w:t>
            </w:r>
          </w:p>
        </w:tc>
        <w:tc>
          <w:tcPr>
            <w:tcW w:w="160" w:type="dxa"/>
            <w:vAlign w:val="bottom"/>
            <w:shd w:val="clear" w:color="auto" w:fill="CCEEFF"/>
          </w:tcPr>
          <w:p>
            <w:pPr>
              <w:spacing w:after="0"/>
              <w:rPr>
                <w:sz w:val="12"/>
                <w:szCs w:val="12"/>
                <w:color w:val="auto"/>
              </w:rPr>
            </w:pPr>
          </w:p>
        </w:tc>
        <w:tc>
          <w:tcPr>
            <w:tcW w:w="140" w:type="dxa"/>
            <w:vAlign w:val="bottom"/>
            <w:tcBorders>
              <w:bottom w:val="single" w:sz="8" w:color="auto"/>
            </w:tcBorders>
            <w:shd w:val="clear" w:color="auto" w:fill="CCEEFF"/>
          </w:tcPr>
          <w:p>
            <w:pPr>
              <w:spacing w:after="0"/>
              <w:rPr>
                <w:sz w:val="12"/>
                <w:szCs w:val="12"/>
                <w:color w:val="auto"/>
              </w:rPr>
            </w:pPr>
          </w:p>
        </w:tc>
        <w:tc>
          <w:tcPr>
            <w:tcW w:w="6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663.4</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5540" w:type="dxa"/>
            <w:vAlign w:val="bottom"/>
            <w:gridSpan w:val="2"/>
          </w:tcPr>
          <w:p>
            <w:pPr>
              <w:ind w:left="140"/>
              <w:spacing w:after="0" w:line="142" w:lineRule="exact"/>
              <w:rPr>
                <w:sz w:val="20"/>
                <w:szCs w:val="20"/>
                <w:color w:val="auto"/>
              </w:rPr>
            </w:pPr>
            <w:r>
              <w:rPr>
                <w:rFonts w:ascii="Arial" w:cs="Arial" w:eastAsia="Arial" w:hAnsi="Arial"/>
                <w:sz w:val="14"/>
                <w:szCs w:val="14"/>
                <w:color w:val="auto"/>
              </w:rPr>
              <w:t>Total fixed maturities, available-for-sale</w:t>
            </w:r>
          </w:p>
        </w:tc>
        <w:tc>
          <w:tcPr>
            <w:tcW w:w="160" w:type="dxa"/>
            <w:vAlign w:val="bottom"/>
            <w:tcBorders>
              <w:bottom w:val="single" w:sz="8" w:color="auto"/>
            </w:tcBorders>
          </w:tcPr>
          <w:p>
            <w:pPr>
              <w:jc w:val="right"/>
              <w:ind w:right="44"/>
              <w:spacing w:after="0"/>
              <w:rPr>
                <w:sz w:val="20"/>
                <w:szCs w:val="20"/>
                <w:color w:val="auto"/>
              </w:rPr>
            </w:pPr>
            <w:r>
              <w:rPr>
                <w:rFonts w:ascii="Arial" w:cs="Arial" w:eastAsia="Arial" w:hAnsi="Arial"/>
                <w:sz w:val="10"/>
                <w:szCs w:val="10"/>
                <w:color w:val="auto"/>
                <w:w w:val="71"/>
              </w:rPr>
              <w:t>$</w:t>
            </w:r>
          </w:p>
        </w:tc>
        <w:tc>
          <w:tcPr>
            <w:tcW w:w="5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99"/>
              </w:rPr>
              <w:t>44,491.5</w:t>
            </w:r>
          </w:p>
        </w:tc>
        <w:tc>
          <w:tcPr>
            <w:tcW w:w="160" w:type="dxa"/>
            <w:vAlign w:val="bottom"/>
          </w:tcPr>
          <w:p>
            <w:pPr>
              <w:spacing w:after="0"/>
              <w:rPr>
                <w:sz w:val="12"/>
                <w:szCs w:val="12"/>
                <w:color w:val="auto"/>
              </w:rPr>
            </w:pPr>
          </w:p>
        </w:tc>
        <w:tc>
          <w:tcPr>
            <w:tcW w:w="1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6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3,792.6</w:t>
            </w:r>
          </w:p>
        </w:tc>
        <w:tc>
          <w:tcPr>
            <w:tcW w:w="160" w:type="dxa"/>
            <w:vAlign w:val="bottom"/>
          </w:tcPr>
          <w:p>
            <w:pPr>
              <w:spacing w:after="0"/>
              <w:rPr>
                <w:sz w:val="12"/>
                <w:szCs w:val="12"/>
                <w:color w:val="auto"/>
              </w:rPr>
            </w:pPr>
          </w:p>
        </w:tc>
        <w:tc>
          <w:tcPr>
            <w:tcW w:w="14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825.7</w:t>
            </w:r>
          </w:p>
        </w:tc>
        <w:tc>
          <w:tcPr>
            <w:tcW w:w="160" w:type="dxa"/>
            <w:vAlign w:val="bottom"/>
          </w:tcPr>
          <w:p>
            <w:pPr>
              <w:spacing w:after="0"/>
              <w:rPr>
                <w:sz w:val="12"/>
                <w:szCs w:val="12"/>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5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47,458.4</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44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4420" w:type="dxa"/>
            <w:vAlign w:val="bottom"/>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580" w:type="dxa"/>
            <w:vAlign w:val="bottom"/>
          </w:tcPr>
          <w:p>
            <w:pPr>
              <w:spacing w:after="0"/>
              <w:rPr>
                <w:sz w:val="7"/>
                <w:szCs w:val="7"/>
                <w:color w:val="auto"/>
              </w:rPr>
            </w:pPr>
          </w:p>
        </w:tc>
        <w:tc>
          <w:tcPr>
            <w:tcW w:w="160" w:type="dxa"/>
            <w:vAlign w:val="bottom"/>
          </w:tcPr>
          <w:p>
            <w:pPr>
              <w:spacing w:after="0"/>
              <w:rPr>
                <w:sz w:val="7"/>
                <w:szCs w:val="7"/>
                <w:color w:val="auto"/>
              </w:rPr>
            </w:pPr>
          </w:p>
        </w:tc>
      </w:tr>
    </w:tbl>
    <w:p>
      <w:pPr>
        <w:spacing w:after="0" w:line="192" w:lineRule="exact"/>
        <w:rPr>
          <w:sz w:val="20"/>
          <w:szCs w:val="20"/>
          <w:color w:val="auto"/>
        </w:rPr>
      </w:pPr>
    </w:p>
    <w:p>
      <w:pPr>
        <w:ind w:left="1680" w:hanging="531"/>
        <w:spacing w:after="0"/>
        <w:tabs>
          <w:tab w:leader="none" w:pos="1680" w:val="left"/>
        </w:tabs>
        <w:numPr>
          <w:ilvl w:val="0"/>
          <w:numId w:val="36"/>
        </w:numPr>
        <w:rPr>
          <w:rFonts w:ascii="Arial" w:cs="Arial" w:eastAsia="Arial" w:hAnsi="Arial"/>
          <w:sz w:val="14"/>
          <w:szCs w:val="14"/>
          <w:color w:val="auto"/>
        </w:rPr>
      </w:pPr>
      <w:r>
        <w:rPr>
          <w:rFonts w:ascii="Arial" w:cs="Arial" w:eastAsia="Arial" w:hAnsi="Arial"/>
          <w:sz w:val="14"/>
          <w:szCs w:val="14"/>
          <w:color w:val="auto"/>
        </w:rPr>
        <w:t>This exposure is all related to sub-prime mortgage loans.</w:t>
      </w:r>
    </w:p>
    <w:p>
      <w:pPr>
        <w:spacing w:after="0" w:line="206" w:lineRule="exact"/>
        <w:rPr>
          <w:sz w:val="20"/>
          <w:szCs w:val="20"/>
          <w:color w:val="auto"/>
        </w:rPr>
      </w:pPr>
    </w:p>
    <w:p>
      <w:pPr>
        <w:jc w:val="both"/>
        <w:ind w:firstLine="420"/>
        <w:spacing w:after="0" w:line="291" w:lineRule="auto"/>
        <w:rPr>
          <w:sz w:val="20"/>
          <w:szCs w:val="20"/>
          <w:color w:val="auto"/>
        </w:rPr>
      </w:pPr>
      <w:r>
        <w:rPr>
          <w:rFonts w:ascii="Arial" w:cs="Arial" w:eastAsia="Arial" w:hAnsi="Arial"/>
          <w:sz w:val="16"/>
          <w:szCs w:val="16"/>
          <w:color w:val="auto"/>
        </w:rPr>
        <w:t>Of the $753.6 million in gross unrealized losses as of December 31, 2013, there were $2.6 million in losses attributed to securities scheduled to mature in one year or less, $25.9 million attributed to securities scheduled to mature between one to five years, $94.8 million attributed to securities scheduled to mature between five to ten years, $285.4 million attributed to securities scheduled to mature after ten years and $344.9 million related to mortgage-backed and other ABS that are not classified by maturity year. As of December 31, 2013, we were in a $1,584.0 million net unrealized gain position as compared to a $2,966.9 million net unrealized gain position as of December 31, 2012. The $1,382.9 million decrease in net unrealized gains for the year ended December 31, 2013, can primarily be attributed to an approximate 79 basis points increase in interest rates.</w:t>
      </w:r>
    </w:p>
    <w:p>
      <w:pPr>
        <w:spacing w:after="0" w:line="174" w:lineRule="exact"/>
        <w:rPr>
          <w:sz w:val="20"/>
          <w:szCs w:val="20"/>
          <w:color w:val="auto"/>
        </w:rPr>
      </w:pPr>
    </w:p>
    <w:p>
      <w:pPr>
        <w:jc w:val="both"/>
        <w:ind w:firstLine="387"/>
        <w:spacing w:after="0" w:line="306" w:lineRule="auto"/>
        <w:rPr>
          <w:sz w:val="20"/>
          <w:szCs w:val="20"/>
          <w:color w:val="auto"/>
        </w:rPr>
      </w:pPr>
      <w:r>
        <w:rPr>
          <w:rFonts w:ascii="Arial" w:cs="Arial" w:eastAsia="Arial" w:hAnsi="Arial"/>
          <w:sz w:val="16"/>
          <w:szCs w:val="16"/>
          <w:b w:val="1"/>
          <w:bCs w:val="1"/>
          <w:i w:val="1"/>
          <w:iCs w:val="1"/>
          <w:color w:val="auto"/>
        </w:rPr>
        <w:t xml:space="preserve">Fixed Maturities Available-for-Sale Unrealized Losses. </w:t>
      </w:r>
      <w:r>
        <w:rPr>
          <w:rFonts w:ascii="Arial" w:cs="Arial" w:eastAsia="Arial" w:hAnsi="Arial"/>
          <w:sz w:val="16"/>
          <w:szCs w:val="16"/>
          <w:color w:val="auto"/>
        </w:rPr>
        <w:t>We believe that our long-term fixed maturities portfolio is well diversified among industry types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and between publicly traded and privately placed securities. Each year, we direct the majority of our net cash inflows into investment grade fixed maturities. Our current policy is to limit the percentage of cash flow invested in below investment grade assets to 10% of cash flow.</w:t>
      </w:r>
    </w:p>
    <w:p>
      <w:pPr>
        <w:spacing w:after="0" w:line="161" w:lineRule="exact"/>
        <w:rPr>
          <w:sz w:val="20"/>
          <w:szCs w:val="20"/>
          <w:color w:val="auto"/>
        </w:rPr>
      </w:pPr>
    </w:p>
    <w:p>
      <w:pPr>
        <w:jc w:val="both"/>
        <w:ind w:firstLine="365"/>
        <w:spacing w:after="0" w:line="256" w:lineRule="auto"/>
        <w:rPr>
          <w:sz w:val="20"/>
          <w:szCs w:val="20"/>
          <w:color w:val="auto"/>
        </w:rPr>
      </w:pPr>
      <w:r>
        <w:rPr>
          <w:rFonts w:ascii="Arial" w:cs="Arial" w:eastAsia="Arial" w:hAnsi="Arial"/>
          <w:sz w:val="18"/>
          <w:szCs w:val="18"/>
          <w:color w:val="auto"/>
        </w:rPr>
        <w:t>We invest in privately placed fixed maturities to enhance the overall value of the portfolio, increase diversification and obtain higher yields than are possible with comparable quality public market securities. Generally, private placements provide broader access to management information, strengthened negotiated protective covenants, call protection features and, where applicable, a higher level of collateral. They are, however, generally not freely tradable because of restrictions imposed by federal and state securities laws and illiquid trading markets.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3" w:name="page74"/>
    <w:bookmarkEnd w:id="7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The following table presents our fixed maturities available-for-sale by investment grade and below investment grade and the associated gross unrealized gains and losses, including the other-than-temporary impairment losses reported in OCI, as of the periods indicated.</w:t>
      </w:r>
    </w:p>
    <w:p>
      <w:pPr>
        <w:spacing w:after="0" w:line="18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600" w:type="dxa"/>
            <w:vAlign w:val="bottom"/>
            <w:tcBorders>
              <w:bottom w:val="single" w:sz="8" w:color="auto"/>
            </w:tcBorders>
            <w:gridSpan w:val="4"/>
          </w:tcPr>
          <w:p>
            <w:pPr>
              <w:jc w:val="right"/>
              <w:ind w:right="252"/>
              <w:spacing w:after="0"/>
              <w:rPr>
                <w:sz w:val="20"/>
                <w:szCs w:val="20"/>
                <w:color w:val="auto"/>
              </w:rPr>
            </w:pPr>
            <w:r>
              <w:rPr>
                <w:rFonts w:ascii="Arial" w:cs="Arial" w:eastAsia="Arial" w:hAnsi="Arial"/>
                <w:sz w:val="14"/>
                <w:szCs w:val="14"/>
                <w:b w:val="1"/>
                <w:bCs w:val="1"/>
                <w:color w:val="auto"/>
                <w:w w:val="99"/>
              </w:rPr>
              <w:t>December 31, 2013</w:t>
            </w:r>
          </w:p>
        </w:tc>
        <w:tc>
          <w:tcPr>
            <w:tcW w:w="1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600" w:type="dxa"/>
            <w:vAlign w:val="bottom"/>
            <w:tcBorders>
              <w:bottom w:val="single" w:sz="8" w:color="auto"/>
            </w:tcBorders>
            <w:gridSpan w:val="4"/>
          </w:tcPr>
          <w:p>
            <w:pPr>
              <w:jc w:val="right"/>
              <w:ind w:right="252"/>
              <w:spacing w:after="0"/>
              <w:rPr>
                <w:sz w:val="20"/>
                <w:szCs w:val="20"/>
                <w:color w:val="auto"/>
              </w:rPr>
            </w:pPr>
            <w:r>
              <w:rPr>
                <w:rFonts w:ascii="Arial" w:cs="Arial" w:eastAsia="Arial" w:hAnsi="Arial"/>
                <w:sz w:val="14"/>
                <w:szCs w:val="14"/>
                <w:b w:val="1"/>
                <w:bCs w:val="1"/>
                <w:color w:val="auto"/>
                <w:w w:val="99"/>
              </w:rPr>
              <w:t>December 31, 2012</w:t>
            </w:r>
          </w:p>
        </w:tc>
        <w:tc>
          <w:tcPr>
            <w:tcW w:w="1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9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3"/>
              </w:rPr>
              <w:t>Gross</w:t>
            </w: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3"/>
              </w:rPr>
              <w:t>Gross</w:t>
            </w: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jc w:val="center"/>
              <w:ind w:right="32"/>
              <w:spacing w:after="0" w:line="129" w:lineRule="exact"/>
              <w:rPr>
                <w:sz w:val="20"/>
                <w:szCs w:val="20"/>
                <w:color w:val="auto"/>
              </w:rPr>
            </w:pPr>
            <w:r>
              <w:rPr>
                <w:rFonts w:ascii="Arial" w:cs="Arial" w:eastAsia="Arial" w:hAnsi="Arial"/>
                <w:sz w:val="14"/>
                <w:szCs w:val="14"/>
                <w:b w:val="1"/>
                <w:bCs w:val="1"/>
                <w:color w:val="auto"/>
                <w:w w:val="83"/>
              </w:rPr>
              <w:t>Gross</w:t>
            </w: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tcPr>
          <w:p>
            <w:pPr>
              <w:jc w:val="center"/>
              <w:ind w:right="12"/>
              <w:spacing w:after="0" w:line="129" w:lineRule="exact"/>
              <w:rPr>
                <w:sz w:val="20"/>
                <w:szCs w:val="20"/>
                <w:color w:val="auto"/>
              </w:rPr>
            </w:pPr>
            <w:r>
              <w:rPr>
                <w:rFonts w:ascii="Arial" w:cs="Arial" w:eastAsia="Arial" w:hAnsi="Arial"/>
                <w:sz w:val="14"/>
                <w:szCs w:val="14"/>
                <w:b w:val="1"/>
                <w:bCs w:val="1"/>
                <w:color w:val="auto"/>
                <w:w w:val="83"/>
              </w:rPr>
              <w:t>Gross</w:t>
            </w: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gridSpan w:val="2"/>
          </w:tcPr>
          <w:p>
            <w:pPr>
              <w:jc w:val="right"/>
              <w:ind w:right="12"/>
              <w:spacing w:after="0" w:line="149" w:lineRule="exact"/>
              <w:rPr>
                <w:sz w:val="20"/>
                <w:szCs w:val="20"/>
                <w:color w:val="auto"/>
              </w:rPr>
            </w:pPr>
            <w:r>
              <w:rPr>
                <w:rFonts w:ascii="Arial" w:cs="Arial" w:eastAsia="Arial" w:hAnsi="Arial"/>
                <w:sz w:val="14"/>
                <w:szCs w:val="14"/>
                <w:b w:val="1"/>
                <w:bCs w:val="1"/>
                <w:color w:val="auto"/>
                <w:w w:val="96"/>
              </w:rPr>
              <w:t>Amortized</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8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6"/>
              </w:rPr>
              <w:t>unrealized</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8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6"/>
              </w:rPr>
              <w:t>unrealized</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jc w:val="right"/>
              <w:ind w:right="12"/>
              <w:spacing w:after="0" w:line="149" w:lineRule="exact"/>
              <w:rPr>
                <w:sz w:val="20"/>
                <w:szCs w:val="20"/>
                <w:color w:val="auto"/>
              </w:rPr>
            </w:pPr>
            <w:r>
              <w:rPr>
                <w:rFonts w:ascii="Arial" w:cs="Arial" w:eastAsia="Arial" w:hAnsi="Arial"/>
                <w:sz w:val="14"/>
                <w:szCs w:val="14"/>
                <w:b w:val="1"/>
                <w:bCs w:val="1"/>
                <w:color w:val="auto"/>
                <w:w w:val="90"/>
              </w:rPr>
              <w:t>Carrying</w:t>
            </w:r>
          </w:p>
        </w:tc>
        <w:tc>
          <w:tcPr>
            <w:tcW w:w="160" w:type="dxa"/>
            <w:vAlign w:val="bottom"/>
          </w:tcPr>
          <w:p>
            <w:pPr>
              <w:spacing w:after="0"/>
              <w:rPr>
                <w:sz w:val="12"/>
                <w:szCs w:val="12"/>
                <w:color w:val="auto"/>
              </w:rPr>
            </w:pPr>
          </w:p>
        </w:tc>
        <w:tc>
          <w:tcPr>
            <w:tcW w:w="7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96"/>
              </w:rPr>
              <w:t>Amortized</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6"/>
              </w:rPr>
              <w:t>unrealized</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unrealized</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Carrying</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212"/>
              <w:spacing w:after="0"/>
              <w:rPr>
                <w:sz w:val="20"/>
                <w:szCs w:val="20"/>
                <w:color w:val="auto"/>
              </w:rPr>
            </w:pPr>
            <w:r>
              <w:rPr>
                <w:rFonts w:ascii="Arial" w:cs="Arial" w:eastAsia="Arial" w:hAnsi="Arial"/>
                <w:sz w:val="14"/>
                <w:szCs w:val="14"/>
                <w:b w:val="1"/>
                <w:bCs w:val="1"/>
                <w:color w:val="auto"/>
              </w:rPr>
              <w:t>cost</w:t>
            </w: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1"/>
              </w:rPr>
              <w:t>gains</w:t>
            </w:r>
          </w:p>
        </w:tc>
        <w:tc>
          <w:tcPr>
            <w:tcW w:w="18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73"/>
              </w:rPr>
              <w:t>losses</w:t>
            </w:r>
          </w:p>
        </w:tc>
        <w:tc>
          <w:tcPr>
            <w:tcW w:w="18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ind w:right="72"/>
              <w:spacing w:after="0"/>
              <w:rPr>
                <w:sz w:val="20"/>
                <w:szCs w:val="20"/>
                <w:color w:val="auto"/>
              </w:rPr>
            </w:pPr>
            <w:r>
              <w:rPr>
                <w:rFonts w:ascii="Arial" w:cs="Arial" w:eastAsia="Arial" w:hAnsi="Arial"/>
                <w:sz w:val="14"/>
                <w:szCs w:val="14"/>
                <w:b w:val="1"/>
                <w:bCs w:val="1"/>
                <w:color w:val="auto"/>
                <w:w w:val="90"/>
              </w:rPr>
              <w:t>amount</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cost</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1"/>
              </w:rPr>
              <w:t>gains</w:t>
            </w: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73"/>
              </w:rPr>
              <w:t>losses</w:t>
            </w: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72"/>
              <w:spacing w:after="0"/>
              <w:rPr>
                <w:sz w:val="20"/>
                <w:szCs w:val="20"/>
                <w:color w:val="auto"/>
              </w:rPr>
            </w:pPr>
            <w:r>
              <w:rPr>
                <w:rFonts w:ascii="Arial" w:cs="Arial" w:eastAsia="Arial" w:hAnsi="Arial"/>
                <w:sz w:val="14"/>
                <w:szCs w:val="14"/>
                <w:b w:val="1"/>
                <w:bCs w:val="1"/>
                <w:color w:val="auto"/>
                <w:w w:val="94"/>
              </w:rPr>
              <w:t>amount</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9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jc w:val="right"/>
              <w:ind w:right="5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900" w:type="dxa"/>
            <w:vAlign w:val="bottom"/>
            <w:gridSpan w:val="3"/>
          </w:tcPr>
          <w:p>
            <w:pPr>
              <w:jc w:val="right"/>
              <w:ind w:right="412"/>
              <w:spacing w:after="0"/>
              <w:rPr>
                <w:sz w:val="20"/>
                <w:szCs w:val="20"/>
                <w:color w:val="auto"/>
              </w:rPr>
            </w:pPr>
            <w:r>
              <w:rPr>
                <w:rFonts w:ascii="Arial" w:cs="Arial" w:eastAsia="Arial" w:hAnsi="Arial"/>
                <w:sz w:val="12"/>
                <w:szCs w:val="12"/>
                <w:b w:val="1"/>
                <w:bCs w:val="1"/>
                <w:i w:val="1"/>
                <w:iCs w:val="1"/>
                <w:color w:val="auto"/>
                <w:w w:val="80"/>
              </w:rPr>
              <w:t>millions)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Investment grade:</w:t>
            </w:r>
          </w:p>
        </w:tc>
        <w:tc>
          <w:tcPr>
            <w:tcW w:w="1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Pr>
          <w:p>
            <w:pPr>
              <w:ind w:left="140"/>
              <w:spacing w:after="0" w:line="149" w:lineRule="exact"/>
              <w:rPr>
                <w:sz w:val="20"/>
                <w:szCs w:val="20"/>
                <w:color w:val="auto"/>
              </w:rPr>
            </w:pPr>
            <w:r>
              <w:rPr>
                <w:rFonts w:ascii="Arial" w:cs="Arial" w:eastAsia="Arial" w:hAnsi="Arial"/>
                <w:sz w:val="14"/>
                <w:szCs w:val="14"/>
                <w:color w:val="auto"/>
              </w:rPr>
              <w:t>Public</w:t>
            </w:r>
          </w:p>
        </w:tc>
        <w:tc>
          <w:tcPr>
            <w:tcW w:w="300" w:type="dxa"/>
            <w:vAlign w:val="bottom"/>
            <w:gridSpan w:val="2"/>
          </w:tcPr>
          <w:p>
            <w:pPr>
              <w:jc w:val="right"/>
              <w:ind w:right="32"/>
              <w:spacing w:after="0" w:line="149" w:lineRule="exact"/>
              <w:rPr>
                <w:sz w:val="20"/>
                <w:szCs w:val="20"/>
                <w:color w:val="auto"/>
              </w:rPr>
            </w:pPr>
            <w:r>
              <w:rPr>
                <w:rFonts w:ascii="Arial" w:cs="Arial" w:eastAsia="Arial" w:hAnsi="Arial"/>
                <w:sz w:val="14"/>
                <w:szCs w:val="14"/>
                <w:b w:val="1"/>
                <w:bCs w:val="1"/>
                <w:color w:val="auto"/>
              </w:rPr>
              <w:t>$</w:t>
            </w: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27,611.6</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1,560.3</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377.6</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28,794.3</w:t>
            </w:r>
          </w:p>
        </w:tc>
        <w:tc>
          <w:tcPr>
            <w:tcW w:w="320" w:type="dxa"/>
            <w:vAlign w:val="bottom"/>
            <w:gridSpan w:val="2"/>
          </w:tcPr>
          <w:p>
            <w:pPr>
              <w:jc w:val="right"/>
              <w:ind w:right="32"/>
              <w:spacing w:after="0" w:line="149" w:lineRule="exact"/>
              <w:rPr>
                <w:sz w:val="20"/>
                <w:szCs w:val="20"/>
                <w:color w:val="auto"/>
              </w:rPr>
            </w:pPr>
            <w:r>
              <w:rPr>
                <w:rFonts w:ascii="Arial" w:cs="Arial" w:eastAsia="Arial" w:hAnsi="Arial"/>
                <w:sz w:val="14"/>
                <w:szCs w:val="14"/>
                <w:color w:val="auto"/>
              </w:rPr>
              <w:t>$</w:t>
            </w: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28,273.4</w:t>
            </w:r>
          </w:p>
        </w:tc>
        <w:tc>
          <w:tcPr>
            <w:tcW w:w="24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2,604.1</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00" w:type="dxa"/>
            <w:vAlign w:val="bottom"/>
          </w:tcPr>
          <w:p>
            <w:pPr>
              <w:jc w:val="right"/>
              <w:spacing w:after="0" w:line="149" w:lineRule="exact"/>
              <w:rPr>
                <w:sz w:val="20"/>
                <w:szCs w:val="20"/>
                <w:color w:val="auto"/>
              </w:rPr>
            </w:pPr>
            <w:r>
              <w:rPr>
                <w:rFonts w:ascii="Arial" w:cs="Arial" w:eastAsia="Arial" w:hAnsi="Arial"/>
                <w:sz w:val="14"/>
                <w:szCs w:val="14"/>
                <w:color w:val="auto"/>
              </w:rPr>
              <w:t>198.9</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30,678.6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Private</w:t>
            </w:r>
          </w:p>
        </w:tc>
        <w:tc>
          <w:tcPr>
            <w:tcW w:w="1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13,023.7</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666.8</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110.9</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13,579.6</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12,684.2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1,065.2</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142.7</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13,606.7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Pr>
          <w:p>
            <w:pPr>
              <w:spacing w:after="0" w:line="149" w:lineRule="exact"/>
              <w:rPr>
                <w:sz w:val="20"/>
                <w:szCs w:val="20"/>
                <w:color w:val="auto"/>
              </w:rPr>
            </w:pPr>
            <w:r>
              <w:rPr>
                <w:rFonts w:ascii="Arial" w:cs="Arial" w:eastAsia="Arial" w:hAnsi="Arial"/>
                <w:sz w:val="14"/>
                <w:szCs w:val="14"/>
                <w:color w:val="auto"/>
              </w:rPr>
              <w:t>Below investment grade:</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Public</w:t>
            </w:r>
          </w:p>
        </w:tc>
        <w:tc>
          <w:tcPr>
            <w:tcW w:w="1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1,744.3</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54.7</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141.9</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1,657.1</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1,723.1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55.2</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258.8</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1,519.5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Pr>
          <w:p>
            <w:pPr>
              <w:ind w:left="140"/>
              <w:spacing w:after="0" w:line="149" w:lineRule="exact"/>
              <w:rPr>
                <w:sz w:val="20"/>
                <w:szCs w:val="20"/>
                <w:color w:val="auto"/>
              </w:rPr>
            </w:pPr>
            <w:r>
              <w:rPr>
                <w:rFonts w:ascii="Arial" w:cs="Arial" w:eastAsia="Arial" w:hAnsi="Arial"/>
                <w:sz w:val="14"/>
                <w:szCs w:val="14"/>
                <w:color w:val="auto"/>
              </w:rPr>
              <w:t>Private</w:t>
            </w:r>
          </w:p>
        </w:tc>
        <w:tc>
          <w:tcPr>
            <w:tcW w:w="14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1,635.4</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55.8</w:t>
            </w:r>
          </w:p>
        </w:tc>
        <w:tc>
          <w:tcPr>
            <w:tcW w:w="1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123.2</w:t>
            </w:r>
          </w:p>
        </w:tc>
        <w:tc>
          <w:tcPr>
            <w:tcW w:w="1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1,568.0</w:t>
            </w:r>
          </w:p>
        </w:tc>
        <w:tc>
          <w:tcPr>
            <w:tcW w:w="1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1,810.8</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68.1</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225.3</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1,653.6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900" w:type="dxa"/>
            <w:vAlign w:val="bottom"/>
            <w:shd w:val="clear" w:color="auto" w:fill="CCEEFF"/>
          </w:tcPr>
          <w:p>
            <w:pPr>
              <w:spacing w:after="0" w:line="131" w:lineRule="exact"/>
              <w:rPr>
                <w:sz w:val="20"/>
                <w:szCs w:val="20"/>
                <w:color w:val="auto"/>
              </w:rPr>
            </w:pPr>
            <w:r>
              <w:rPr>
                <w:rFonts w:ascii="Arial" w:cs="Arial" w:eastAsia="Arial" w:hAnsi="Arial"/>
                <w:sz w:val="14"/>
                <w:szCs w:val="14"/>
                <w:color w:val="auto"/>
                <w:w w:val="95"/>
              </w:rPr>
              <w:t>Total fixed maturities, available-</w:t>
            </w:r>
          </w:p>
        </w:tc>
        <w:tc>
          <w:tcPr>
            <w:tcW w:w="300" w:type="dxa"/>
            <w:vAlign w:val="bottom"/>
            <w:gridSpan w:val="2"/>
            <w:vMerge w:val="restart"/>
            <w:shd w:val="clear" w:color="auto" w:fill="CCEEFF"/>
          </w:tcPr>
          <w:p>
            <w:pPr>
              <w:jc w:val="right"/>
              <w:ind w:right="32"/>
              <w:spacing w:after="0"/>
              <w:rPr>
                <w:sz w:val="20"/>
                <w:szCs w:val="20"/>
                <w:color w:val="auto"/>
              </w:rPr>
            </w:pPr>
            <w:r>
              <w:rPr>
                <w:rFonts w:ascii="Arial" w:cs="Arial" w:eastAsia="Arial" w:hAnsi="Arial"/>
                <w:sz w:val="14"/>
                <w:szCs w:val="14"/>
                <w:b w:val="1"/>
                <w:bCs w:val="1"/>
                <w:color w:val="auto"/>
              </w:rPr>
              <w:t>$</w:t>
            </w:r>
          </w:p>
        </w:tc>
        <w:tc>
          <w:tcPr>
            <w:tcW w:w="60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44,015.0</w:t>
            </w:r>
          </w:p>
        </w:tc>
        <w:tc>
          <w:tcPr>
            <w:tcW w:w="22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2,337.6</w:t>
            </w:r>
          </w:p>
        </w:tc>
        <w:tc>
          <w:tcPr>
            <w:tcW w:w="24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753.6</w:t>
            </w:r>
          </w:p>
        </w:tc>
        <w:tc>
          <w:tcPr>
            <w:tcW w:w="24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62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45,599.0</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90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for-sale</w:t>
            </w:r>
          </w:p>
        </w:tc>
        <w:tc>
          <w:tcPr>
            <w:tcW w:w="300" w:type="dxa"/>
            <w:vAlign w:val="bottom"/>
            <w:gridSpan w:val="2"/>
            <w:vMerge w:val="continue"/>
            <w:shd w:val="clear" w:color="auto" w:fill="CCEEFF"/>
          </w:tcPr>
          <w:p>
            <w:pPr>
              <w:spacing w:after="0"/>
              <w:rPr>
                <w:sz w:val="13"/>
                <w:szCs w:val="13"/>
                <w:color w:val="auto"/>
              </w:rPr>
            </w:pPr>
          </w:p>
        </w:tc>
        <w:tc>
          <w:tcPr>
            <w:tcW w:w="600" w:type="dxa"/>
            <w:vAlign w:val="bottom"/>
            <w:vMerge w:val="continue"/>
            <w:shd w:val="clear" w:color="auto" w:fill="CCEEFF"/>
          </w:tcPr>
          <w:p>
            <w:pPr>
              <w:spacing w:after="0"/>
              <w:rPr>
                <w:sz w:val="13"/>
                <w:szCs w:val="13"/>
                <w:color w:val="auto"/>
              </w:rPr>
            </w:pPr>
          </w:p>
        </w:tc>
        <w:tc>
          <w:tcPr>
            <w:tcW w:w="220" w:type="dxa"/>
            <w:vAlign w:val="bottom"/>
            <w:gridSpan w:val="2"/>
            <w:vMerge w:val="continue"/>
            <w:shd w:val="clear" w:color="auto" w:fill="CCEEFF"/>
          </w:tcPr>
          <w:p>
            <w:pPr>
              <w:spacing w:after="0"/>
              <w:rPr>
                <w:sz w:val="13"/>
                <w:szCs w:val="13"/>
                <w:color w:val="auto"/>
              </w:rPr>
            </w:pPr>
          </w:p>
        </w:tc>
        <w:tc>
          <w:tcPr>
            <w:tcW w:w="680" w:type="dxa"/>
            <w:vAlign w:val="bottom"/>
            <w:vMerge w:val="continue"/>
            <w:shd w:val="clear" w:color="auto" w:fill="CCEEFF"/>
          </w:tcPr>
          <w:p>
            <w:pPr>
              <w:spacing w:after="0"/>
              <w:rPr>
                <w:sz w:val="13"/>
                <w:szCs w:val="13"/>
                <w:color w:val="auto"/>
              </w:rPr>
            </w:pPr>
          </w:p>
        </w:tc>
        <w:tc>
          <w:tcPr>
            <w:tcW w:w="240" w:type="dxa"/>
            <w:vAlign w:val="bottom"/>
            <w:gridSpan w:val="2"/>
            <w:vMerge w:val="continue"/>
            <w:shd w:val="clear" w:color="auto" w:fill="CCEEFF"/>
          </w:tcPr>
          <w:p>
            <w:pPr>
              <w:spacing w:after="0"/>
              <w:rPr>
                <w:sz w:val="13"/>
                <w:szCs w:val="13"/>
                <w:color w:val="auto"/>
              </w:rPr>
            </w:pPr>
          </w:p>
        </w:tc>
        <w:tc>
          <w:tcPr>
            <w:tcW w:w="680" w:type="dxa"/>
            <w:vAlign w:val="bottom"/>
            <w:vMerge w:val="continue"/>
            <w:shd w:val="clear" w:color="auto" w:fill="CCEEFF"/>
          </w:tcPr>
          <w:p>
            <w:pPr>
              <w:spacing w:after="0"/>
              <w:rPr>
                <w:sz w:val="13"/>
                <w:szCs w:val="13"/>
                <w:color w:val="auto"/>
              </w:rPr>
            </w:pPr>
          </w:p>
        </w:tc>
        <w:tc>
          <w:tcPr>
            <w:tcW w:w="240" w:type="dxa"/>
            <w:vAlign w:val="bottom"/>
            <w:gridSpan w:val="2"/>
            <w:vMerge w:val="continue"/>
            <w:shd w:val="clear" w:color="auto" w:fill="CCEEFF"/>
          </w:tcPr>
          <w:p>
            <w:pPr>
              <w:spacing w:after="0"/>
              <w:rPr>
                <w:sz w:val="13"/>
                <w:szCs w:val="13"/>
                <w:color w:val="auto"/>
              </w:rPr>
            </w:pPr>
          </w:p>
        </w:tc>
        <w:tc>
          <w:tcPr>
            <w:tcW w:w="620" w:type="dxa"/>
            <w:vAlign w:val="bottom"/>
            <w:vMerge w:val="continue"/>
            <w:shd w:val="clear" w:color="auto" w:fill="CCEEFF"/>
          </w:tcPr>
          <w:p>
            <w:pPr>
              <w:spacing w:after="0"/>
              <w:rPr>
                <w:sz w:val="13"/>
                <w:szCs w:val="13"/>
                <w:color w:val="auto"/>
              </w:rPr>
            </w:pPr>
          </w:p>
        </w:tc>
        <w:tc>
          <w:tcPr>
            <w:tcW w:w="320" w:type="dxa"/>
            <w:vAlign w:val="bottom"/>
            <w:gridSpan w:val="2"/>
            <w:shd w:val="clear" w:color="auto" w:fill="CCEEFF"/>
          </w:tcPr>
          <w:p>
            <w:pPr>
              <w:jc w:val="right"/>
              <w:ind w:right="32"/>
              <w:spacing w:after="0" w:line="159" w:lineRule="exact"/>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44,491.5</w:t>
            </w:r>
          </w:p>
        </w:tc>
        <w:tc>
          <w:tcPr>
            <w:tcW w:w="240" w:type="dxa"/>
            <w:vAlign w:val="bottom"/>
            <w:gridSpan w:val="2"/>
            <w:shd w:val="clear" w:color="auto" w:fill="CCEEFF"/>
          </w:tcPr>
          <w:p>
            <w:pPr>
              <w:jc w:val="right"/>
              <w:ind w:right="20"/>
              <w:spacing w:after="0" w:line="15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3,792.6</w:t>
            </w:r>
          </w:p>
        </w:tc>
        <w:tc>
          <w:tcPr>
            <w:tcW w:w="22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825.7</w:t>
            </w:r>
          </w:p>
        </w:tc>
        <w:tc>
          <w:tcPr>
            <w:tcW w:w="22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47,458.4</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The following tables present the carrying amount and the gross unrealized losses, including other-than-temporary impairment losses reported in OCI, on investment grade fixed maturities available-for-sale by aging category as of the periods indicated.</w:t>
      </w:r>
    </w:p>
    <w:p>
      <w:pPr>
        <w:spacing w:after="0" w:line="18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2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gridSpan w:val="4"/>
          </w:tcPr>
          <w:p>
            <w:pPr>
              <w:jc w:val="center"/>
              <w:ind w:right="52"/>
              <w:spacing w:after="0"/>
              <w:rPr>
                <w:sz w:val="20"/>
                <w:szCs w:val="20"/>
                <w:color w:val="auto"/>
              </w:rPr>
            </w:pPr>
            <w:r>
              <w:rPr>
                <w:rFonts w:ascii="Arial" w:cs="Arial" w:eastAsia="Arial" w:hAnsi="Arial"/>
                <w:sz w:val="14"/>
                <w:szCs w:val="14"/>
                <w:b w:val="1"/>
                <w:bCs w:val="1"/>
                <w:color w:val="auto"/>
                <w:w w:val="85"/>
              </w:rPr>
              <w:t>December 31, 2013</w:t>
            </w: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32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900" w:type="dxa"/>
            <w:vAlign w:val="bottom"/>
            <w:tcBorders>
              <w:bottom w:val="single" w:sz="8" w:color="auto"/>
            </w:tcBorders>
            <w:gridSpan w:val="3"/>
          </w:tcPr>
          <w:p>
            <w:pPr>
              <w:ind w:left="520"/>
              <w:spacing w:after="0" w:line="142" w:lineRule="exact"/>
              <w:rPr>
                <w:sz w:val="20"/>
                <w:szCs w:val="20"/>
                <w:color w:val="auto"/>
              </w:rPr>
            </w:pPr>
            <w:r>
              <w:rPr>
                <w:rFonts w:ascii="Arial" w:cs="Arial" w:eastAsia="Arial" w:hAnsi="Arial"/>
                <w:sz w:val="14"/>
                <w:szCs w:val="14"/>
                <w:b w:val="1"/>
                <w:bCs w:val="1"/>
                <w:color w:val="auto"/>
                <w:w w:val="85"/>
              </w:rPr>
              <w:t>Public</w:t>
            </w:r>
          </w:p>
        </w:tc>
        <w:tc>
          <w:tcPr>
            <w:tcW w:w="58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900" w:type="dxa"/>
            <w:vAlign w:val="bottom"/>
            <w:tcBorders>
              <w:bottom w:val="single" w:sz="8" w:color="auto"/>
            </w:tcBorders>
            <w:gridSpan w:val="3"/>
          </w:tcPr>
          <w:p>
            <w:pPr>
              <w:jc w:val="center"/>
              <w:ind w:left="412"/>
              <w:spacing w:after="0" w:line="142" w:lineRule="exact"/>
              <w:rPr>
                <w:sz w:val="20"/>
                <w:szCs w:val="20"/>
                <w:color w:val="auto"/>
              </w:rPr>
            </w:pPr>
            <w:r>
              <w:rPr>
                <w:rFonts w:ascii="Arial" w:cs="Arial" w:eastAsia="Arial" w:hAnsi="Arial"/>
                <w:sz w:val="14"/>
                <w:szCs w:val="14"/>
                <w:b w:val="1"/>
                <w:bCs w:val="1"/>
                <w:color w:val="auto"/>
                <w:w w:val="89"/>
              </w:rPr>
              <w:t>Private</w:t>
            </w:r>
          </w:p>
        </w:tc>
        <w:tc>
          <w:tcPr>
            <w:tcW w:w="58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Total</w:t>
            </w:r>
          </w:p>
        </w:tc>
        <w:tc>
          <w:tcPr>
            <w:tcW w:w="60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29"/>
        </w:trPr>
        <w:tc>
          <w:tcPr>
            <w:tcW w:w="20" w:type="dxa"/>
            <w:vAlign w:val="bottom"/>
          </w:tcPr>
          <w:p>
            <w:pPr>
              <w:spacing w:after="0"/>
              <w:rPr>
                <w:sz w:val="11"/>
                <w:szCs w:val="11"/>
                <w:color w:val="auto"/>
              </w:rPr>
            </w:pPr>
          </w:p>
        </w:tc>
        <w:tc>
          <w:tcPr>
            <w:tcW w:w="32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jc w:val="center"/>
              <w:ind w:right="112"/>
              <w:spacing w:after="0" w:line="129" w:lineRule="exact"/>
              <w:rPr>
                <w:sz w:val="20"/>
                <w:szCs w:val="20"/>
                <w:color w:val="auto"/>
              </w:rPr>
            </w:pPr>
            <w:r>
              <w:rPr>
                <w:rFonts w:ascii="Arial" w:cs="Arial" w:eastAsia="Arial" w:hAnsi="Arial"/>
                <w:sz w:val="14"/>
                <w:szCs w:val="14"/>
                <w:b w:val="1"/>
                <w:bCs w:val="1"/>
                <w:color w:val="auto"/>
                <w:w w:val="78"/>
              </w:rPr>
              <w:t>Gross</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jc w:val="center"/>
              <w:ind w:right="132"/>
              <w:spacing w:after="0" w:line="129" w:lineRule="exact"/>
              <w:rPr>
                <w:sz w:val="20"/>
                <w:szCs w:val="20"/>
                <w:color w:val="auto"/>
              </w:rPr>
            </w:pPr>
            <w:r>
              <w:rPr>
                <w:rFonts w:ascii="Arial" w:cs="Arial" w:eastAsia="Arial" w:hAnsi="Arial"/>
                <w:sz w:val="14"/>
                <w:szCs w:val="14"/>
                <w:b w:val="1"/>
                <w:bCs w:val="1"/>
                <w:color w:val="auto"/>
                <w:w w:val="83"/>
              </w:rPr>
              <w:t>Gross</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jc w:val="center"/>
              <w:ind w:right="92"/>
              <w:spacing w:after="0" w:line="129" w:lineRule="exact"/>
              <w:rPr>
                <w:sz w:val="20"/>
                <w:szCs w:val="20"/>
                <w:color w:val="auto"/>
              </w:rPr>
            </w:pPr>
            <w:r>
              <w:rPr>
                <w:rFonts w:ascii="Arial" w:cs="Arial" w:eastAsia="Arial" w:hAnsi="Arial"/>
                <w:sz w:val="14"/>
                <w:szCs w:val="14"/>
                <w:b w:val="1"/>
                <w:bCs w:val="1"/>
                <w:color w:val="auto"/>
                <w:w w:val="78"/>
              </w:rPr>
              <w:t>Gross</w:t>
            </w: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32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6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0"/>
              </w:rPr>
              <w:t>Carrying</w:t>
            </w:r>
          </w:p>
        </w:tc>
        <w:tc>
          <w:tcPr>
            <w:tcW w:w="180" w:type="dxa"/>
            <w:vAlign w:val="bottom"/>
          </w:tcPr>
          <w:p>
            <w:pPr>
              <w:spacing w:after="0"/>
              <w:rPr>
                <w:sz w:val="12"/>
                <w:szCs w:val="12"/>
                <w:color w:val="auto"/>
              </w:rPr>
            </w:pPr>
          </w:p>
        </w:tc>
        <w:tc>
          <w:tcPr>
            <w:tcW w:w="7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6"/>
              </w:rPr>
              <w:t>unrealized</w:t>
            </w:r>
          </w:p>
        </w:tc>
        <w:tc>
          <w:tcPr>
            <w:tcW w:w="160" w:type="dxa"/>
            <w:vAlign w:val="bottom"/>
          </w:tcPr>
          <w:p>
            <w:pPr>
              <w:spacing w:after="0"/>
              <w:rPr>
                <w:sz w:val="12"/>
                <w:szCs w:val="12"/>
                <w:color w:val="auto"/>
              </w:rPr>
            </w:pPr>
          </w:p>
        </w:tc>
        <w:tc>
          <w:tcPr>
            <w:tcW w:w="6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3"/>
              </w:rPr>
              <w:t>Carrying</w:t>
            </w:r>
          </w:p>
        </w:tc>
        <w:tc>
          <w:tcPr>
            <w:tcW w:w="160" w:type="dxa"/>
            <w:vAlign w:val="bottom"/>
          </w:tcPr>
          <w:p>
            <w:pPr>
              <w:spacing w:after="0"/>
              <w:rPr>
                <w:sz w:val="12"/>
                <w:szCs w:val="12"/>
                <w:color w:val="auto"/>
              </w:rPr>
            </w:pPr>
          </w:p>
        </w:tc>
        <w:tc>
          <w:tcPr>
            <w:tcW w:w="7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unrealized</w:t>
            </w:r>
          </w:p>
        </w:tc>
        <w:tc>
          <w:tcPr>
            <w:tcW w:w="160" w:type="dxa"/>
            <w:vAlign w:val="bottom"/>
          </w:tcPr>
          <w:p>
            <w:pPr>
              <w:spacing w:after="0"/>
              <w:rPr>
                <w:sz w:val="12"/>
                <w:szCs w:val="12"/>
                <w:color w:val="auto"/>
              </w:rPr>
            </w:pPr>
          </w:p>
        </w:tc>
        <w:tc>
          <w:tcPr>
            <w:tcW w:w="6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3"/>
              </w:rPr>
              <w:t>Carrying</w:t>
            </w:r>
          </w:p>
        </w:tc>
        <w:tc>
          <w:tcPr>
            <w:tcW w:w="160" w:type="dxa"/>
            <w:vAlign w:val="bottom"/>
          </w:tcPr>
          <w:p>
            <w:pPr>
              <w:spacing w:after="0"/>
              <w:rPr>
                <w:sz w:val="12"/>
                <w:szCs w:val="12"/>
                <w:color w:val="auto"/>
              </w:rPr>
            </w:pPr>
          </w:p>
        </w:tc>
        <w:tc>
          <w:tcPr>
            <w:tcW w:w="92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6"/>
              </w:rPr>
              <w:t>unrealized</w:t>
            </w:r>
          </w:p>
        </w:tc>
      </w:tr>
      <w:tr>
        <w:trPr>
          <w:trHeight w:val="161"/>
        </w:trPr>
        <w:tc>
          <w:tcPr>
            <w:tcW w:w="20" w:type="dxa"/>
            <w:vAlign w:val="bottom"/>
          </w:tcPr>
          <w:p>
            <w:pPr>
              <w:spacing w:after="0"/>
              <w:rPr>
                <w:sz w:val="14"/>
                <w:szCs w:val="14"/>
                <w:color w:val="auto"/>
              </w:rPr>
            </w:pPr>
          </w:p>
        </w:tc>
        <w:tc>
          <w:tcPr>
            <w:tcW w:w="32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6"/>
              </w:rPr>
              <w:t>amount</w:t>
            </w: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center"/>
              <w:ind w:right="112"/>
              <w:spacing w:after="0"/>
              <w:rPr>
                <w:sz w:val="20"/>
                <w:szCs w:val="20"/>
                <w:color w:val="auto"/>
              </w:rPr>
            </w:pPr>
            <w:r>
              <w:rPr>
                <w:rFonts w:ascii="Arial" w:cs="Arial" w:eastAsia="Arial" w:hAnsi="Arial"/>
                <w:sz w:val="14"/>
                <w:szCs w:val="14"/>
                <w:b w:val="1"/>
                <w:bCs w:val="1"/>
                <w:color w:val="auto"/>
                <w:w w:val="73"/>
              </w:rPr>
              <w:t>losses</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86"/>
              </w:rPr>
              <w:t>amount</w:t>
            </w: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center"/>
              <w:ind w:right="132"/>
              <w:spacing w:after="0"/>
              <w:rPr>
                <w:sz w:val="20"/>
                <w:szCs w:val="20"/>
                <w:color w:val="auto"/>
              </w:rPr>
            </w:pPr>
            <w:r>
              <w:rPr>
                <w:rFonts w:ascii="Arial" w:cs="Arial" w:eastAsia="Arial" w:hAnsi="Arial"/>
                <w:sz w:val="14"/>
                <w:szCs w:val="14"/>
                <w:b w:val="1"/>
                <w:bCs w:val="1"/>
                <w:color w:val="auto"/>
                <w:w w:val="77"/>
              </w:rPr>
              <w:t>losses</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6"/>
              </w:rPr>
              <w:t>amount</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center"/>
              <w:ind w:right="92"/>
              <w:spacing w:after="0"/>
              <w:rPr>
                <w:sz w:val="20"/>
                <w:szCs w:val="20"/>
                <w:color w:val="auto"/>
              </w:rPr>
            </w:pPr>
            <w:r>
              <w:rPr>
                <w:rFonts w:ascii="Arial" w:cs="Arial" w:eastAsia="Arial" w:hAnsi="Arial"/>
                <w:sz w:val="14"/>
                <w:szCs w:val="14"/>
                <w:b w:val="1"/>
                <w:bCs w:val="1"/>
                <w:color w:val="auto"/>
                <w:w w:val="73"/>
              </w:rPr>
              <w:t>losses</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32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920" w:type="dxa"/>
            <w:vAlign w:val="bottom"/>
            <w:gridSpan w:val="3"/>
          </w:tcPr>
          <w:p>
            <w:pPr>
              <w:jc w:val="right"/>
              <w:ind w:right="392"/>
              <w:spacing w:after="0" w:line="142" w:lineRule="exact"/>
              <w:rPr>
                <w:sz w:val="20"/>
                <w:szCs w:val="20"/>
                <w:color w:val="auto"/>
              </w:rPr>
            </w:pPr>
            <w:r>
              <w:rPr>
                <w:rFonts w:ascii="Arial" w:cs="Arial" w:eastAsia="Arial" w:hAnsi="Arial"/>
                <w:sz w:val="14"/>
                <w:szCs w:val="14"/>
                <w:b w:val="1"/>
                <w:bCs w:val="1"/>
                <w:i w:val="1"/>
                <w:iCs w:val="1"/>
                <w:color w:val="auto"/>
                <w:w w:val="76"/>
              </w:rPr>
              <w:t>millions)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Three months or less</w:t>
            </w: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2,047.4</w:t>
            </w:r>
          </w:p>
        </w:tc>
        <w:tc>
          <w:tcPr>
            <w:tcW w:w="340" w:type="dxa"/>
            <w:vAlign w:val="bottom"/>
            <w:gridSpan w:val="2"/>
            <w:shd w:val="clear" w:color="auto" w:fill="CCEEFF"/>
          </w:tcPr>
          <w:p>
            <w:pPr>
              <w:jc w:val="right"/>
              <w:ind w:right="32"/>
              <w:spacing w:after="0" w:line="149" w:lineRule="exact"/>
              <w:rPr>
                <w:sz w:val="20"/>
                <w:szCs w:val="20"/>
                <w:color w:val="auto"/>
              </w:rPr>
            </w:pPr>
            <w:r>
              <w:rPr>
                <w:rFonts w:ascii="Arial" w:cs="Arial" w:eastAsia="Arial" w:hAnsi="Arial"/>
                <w:sz w:val="14"/>
                <w:szCs w:val="14"/>
                <w:b w:val="1"/>
                <w:bCs w:val="1"/>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19.5</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983.5</w:t>
            </w:r>
          </w:p>
        </w:tc>
        <w:tc>
          <w:tcPr>
            <w:tcW w:w="340" w:type="dxa"/>
            <w:vAlign w:val="bottom"/>
            <w:gridSpan w:val="2"/>
            <w:shd w:val="clear" w:color="auto" w:fill="CCEEFF"/>
          </w:tcPr>
          <w:p>
            <w:pPr>
              <w:jc w:val="right"/>
              <w:ind w:right="52"/>
              <w:spacing w:after="0" w:line="149" w:lineRule="exact"/>
              <w:rPr>
                <w:sz w:val="20"/>
                <w:szCs w:val="20"/>
                <w:color w:val="auto"/>
              </w:rPr>
            </w:pPr>
            <w:r>
              <w:rPr>
                <w:rFonts w:ascii="Arial" w:cs="Arial" w:eastAsia="Arial" w:hAnsi="Arial"/>
                <w:sz w:val="14"/>
                <w:szCs w:val="14"/>
                <w:b w:val="1"/>
                <w:bCs w:val="1"/>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9.0</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3,030.9</w:t>
            </w:r>
          </w:p>
        </w:tc>
        <w:tc>
          <w:tcPr>
            <w:tcW w:w="320" w:type="dxa"/>
            <w:vAlign w:val="bottom"/>
            <w:gridSpan w:val="2"/>
            <w:shd w:val="clear" w:color="auto" w:fill="CCEEFF"/>
          </w:tcPr>
          <w:p>
            <w:pPr>
              <w:jc w:val="right"/>
              <w:ind w:right="37"/>
              <w:spacing w:after="0" w:line="149" w:lineRule="exact"/>
              <w:rPr>
                <w:sz w:val="20"/>
                <w:szCs w:val="20"/>
                <w:color w:val="auto"/>
              </w:rPr>
            </w:pPr>
            <w:r>
              <w:rPr>
                <w:rFonts w:ascii="Arial" w:cs="Arial" w:eastAsia="Arial" w:hAnsi="Arial"/>
                <w:sz w:val="14"/>
                <w:szCs w:val="14"/>
                <w:b w:val="1"/>
                <w:bCs w:val="1"/>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28.5</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tcPr>
          <w:p>
            <w:pPr>
              <w:spacing w:after="0" w:line="149" w:lineRule="exact"/>
              <w:rPr>
                <w:sz w:val="20"/>
                <w:szCs w:val="20"/>
                <w:color w:val="auto"/>
              </w:rPr>
            </w:pPr>
            <w:r>
              <w:rPr>
                <w:rFonts w:ascii="Arial" w:cs="Arial" w:eastAsia="Arial" w:hAnsi="Arial"/>
                <w:sz w:val="14"/>
                <w:szCs w:val="14"/>
                <w:color w:val="auto"/>
              </w:rPr>
              <w:t>Greater than three to six months</w:t>
            </w: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190.6</w:t>
            </w: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4.1</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230.5</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421.1</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Greater than six to nine months</w:t>
            </w:r>
          </w:p>
        </w:tc>
        <w:tc>
          <w:tcPr>
            <w:tcW w:w="7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3,605.4</w:t>
            </w:r>
          </w:p>
        </w:tc>
        <w:tc>
          <w:tcPr>
            <w:tcW w:w="1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227.0</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1,222.5</w:t>
            </w: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52.8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4,827.9</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279.8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tcPr>
          <w:p>
            <w:pPr>
              <w:spacing w:after="0" w:line="149" w:lineRule="exact"/>
              <w:rPr>
                <w:sz w:val="20"/>
                <w:szCs w:val="20"/>
                <w:color w:val="auto"/>
              </w:rPr>
            </w:pPr>
            <w:r>
              <w:rPr>
                <w:rFonts w:ascii="Arial" w:cs="Arial" w:eastAsia="Arial" w:hAnsi="Arial"/>
                <w:sz w:val="14"/>
                <w:szCs w:val="14"/>
                <w:color w:val="auto"/>
              </w:rPr>
              <w:t>Greater than nine to twelve months</w:t>
            </w: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172.7</w:t>
            </w: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13.2</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54.8</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2.9</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227.5</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16.1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Greater than twelve to twenty-four months</w:t>
            </w:r>
          </w:p>
        </w:tc>
        <w:tc>
          <w:tcPr>
            <w:tcW w:w="7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187.0</w:t>
            </w:r>
          </w:p>
        </w:tc>
        <w:tc>
          <w:tcPr>
            <w:tcW w:w="1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19.8</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39.3</w:t>
            </w: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226.3</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tcPr>
          <w:p>
            <w:pPr>
              <w:spacing w:after="0" w:line="149" w:lineRule="exact"/>
              <w:rPr>
                <w:sz w:val="20"/>
                <w:szCs w:val="20"/>
                <w:color w:val="auto"/>
              </w:rPr>
            </w:pPr>
            <w:r>
              <w:rPr>
                <w:rFonts w:ascii="Arial" w:cs="Arial" w:eastAsia="Arial" w:hAnsi="Arial"/>
                <w:sz w:val="14"/>
                <w:szCs w:val="14"/>
                <w:color w:val="auto"/>
              </w:rPr>
              <w:t>Greater than twenty-four to thirty-six months</w:t>
            </w: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39.2</w:t>
            </w: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2.7</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42.8</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82.0</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3.7</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Greater than thirty-six months</w:t>
            </w:r>
          </w:p>
        </w:tc>
        <w:tc>
          <w:tcPr>
            <w:tcW w:w="78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523.2</w:t>
            </w:r>
          </w:p>
        </w:tc>
        <w:tc>
          <w:tcPr>
            <w:tcW w:w="18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91.3</w:t>
            </w:r>
          </w:p>
        </w:tc>
        <w:tc>
          <w:tcPr>
            <w:tcW w:w="16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286.9</w:t>
            </w:r>
          </w:p>
        </w:tc>
        <w:tc>
          <w:tcPr>
            <w:tcW w:w="160" w:type="dxa"/>
            <w:vAlign w:val="bottom"/>
            <w:shd w:val="clear" w:color="auto" w:fill="CCEEFF"/>
          </w:tcPr>
          <w:p>
            <w:pPr>
              <w:spacing w:after="0"/>
              <w:rPr>
                <w:sz w:val="12"/>
                <w:szCs w:val="12"/>
                <w:color w:val="auto"/>
              </w:rPr>
            </w:pPr>
          </w:p>
        </w:tc>
        <w:tc>
          <w:tcPr>
            <w:tcW w:w="18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36.2</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810.1</w:t>
            </w:r>
          </w:p>
        </w:tc>
        <w:tc>
          <w:tcPr>
            <w:tcW w:w="16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6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127.5</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200" w:type="dxa"/>
            <w:vAlign w:val="bottom"/>
          </w:tcPr>
          <w:p>
            <w:pPr>
              <w:ind w:left="140"/>
              <w:spacing w:after="0" w:line="142" w:lineRule="exact"/>
              <w:rPr>
                <w:sz w:val="20"/>
                <w:szCs w:val="20"/>
                <w:color w:val="auto"/>
              </w:rPr>
            </w:pPr>
            <w:r>
              <w:rPr>
                <w:rFonts w:ascii="Arial" w:cs="Arial" w:eastAsia="Arial" w:hAnsi="Arial"/>
                <w:sz w:val="14"/>
                <w:szCs w:val="14"/>
                <w:color w:val="auto"/>
              </w:rPr>
              <w:t>Total fixed maturities, available-for-sale</w:t>
            </w:r>
          </w:p>
        </w:tc>
        <w:tc>
          <w:tcPr>
            <w:tcW w:w="780" w:type="dxa"/>
            <w:vAlign w:val="bottom"/>
          </w:tcPr>
          <w:p>
            <w:pPr>
              <w:spacing w:after="0"/>
              <w:rPr>
                <w:sz w:val="12"/>
                <w:szCs w:val="12"/>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6,765.5</w:t>
            </w:r>
          </w:p>
        </w:tc>
        <w:tc>
          <w:tcPr>
            <w:tcW w:w="180" w:type="dxa"/>
            <w:vAlign w:val="bottom"/>
          </w:tcPr>
          <w:p>
            <w:pPr>
              <w:spacing w:after="0"/>
              <w:rPr>
                <w:sz w:val="12"/>
                <w:szCs w:val="12"/>
                <w:color w:val="auto"/>
              </w:rPr>
            </w:pPr>
          </w:p>
        </w:tc>
        <w:tc>
          <w:tcPr>
            <w:tcW w:w="16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rPr>
              <w:t>$</w:t>
            </w:r>
          </w:p>
        </w:tc>
        <w:tc>
          <w:tcPr>
            <w:tcW w:w="5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377.6</w:t>
            </w:r>
          </w:p>
        </w:tc>
        <w:tc>
          <w:tcPr>
            <w:tcW w:w="160" w:type="dxa"/>
            <w:vAlign w:val="bottom"/>
          </w:tcPr>
          <w:p>
            <w:pPr>
              <w:spacing w:after="0"/>
              <w:rPr>
                <w:sz w:val="12"/>
                <w:szCs w:val="12"/>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2,860.3</w:t>
            </w:r>
          </w:p>
        </w:tc>
        <w:tc>
          <w:tcPr>
            <w:tcW w:w="160" w:type="dxa"/>
            <w:vAlign w:val="bottom"/>
          </w:tcPr>
          <w:p>
            <w:pPr>
              <w:spacing w:after="0"/>
              <w:rPr>
                <w:sz w:val="12"/>
                <w:szCs w:val="12"/>
                <w:color w:val="auto"/>
              </w:rPr>
            </w:pPr>
          </w:p>
        </w:tc>
        <w:tc>
          <w:tcPr>
            <w:tcW w:w="18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rPr>
              <w:t>$</w:t>
            </w:r>
          </w:p>
        </w:tc>
        <w:tc>
          <w:tcPr>
            <w:tcW w:w="5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110.9</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76"/>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9,625.8</w:t>
            </w:r>
          </w:p>
        </w:tc>
        <w:tc>
          <w:tcPr>
            <w:tcW w:w="160" w:type="dxa"/>
            <w:vAlign w:val="bottom"/>
          </w:tcPr>
          <w:p>
            <w:pPr>
              <w:spacing w:after="0"/>
              <w:rPr>
                <w:sz w:val="12"/>
                <w:szCs w:val="12"/>
                <w:color w:val="auto"/>
              </w:rPr>
            </w:pPr>
          </w:p>
        </w:tc>
        <w:tc>
          <w:tcPr>
            <w:tcW w:w="160" w:type="dxa"/>
            <w:vAlign w:val="bottom"/>
            <w:tcBorders>
              <w:bottom w:val="single" w:sz="8" w:color="auto"/>
            </w:tcBorders>
          </w:tcPr>
          <w:p>
            <w:pPr>
              <w:jc w:val="right"/>
              <w:ind w:right="37"/>
              <w:spacing w:after="0"/>
              <w:rPr>
                <w:sz w:val="20"/>
                <w:szCs w:val="20"/>
                <w:color w:val="auto"/>
              </w:rPr>
            </w:pPr>
            <w:r>
              <w:rPr>
                <w:rFonts w:ascii="Arial" w:cs="Arial" w:eastAsia="Arial" w:hAnsi="Arial"/>
                <w:sz w:val="10"/>
                <w:szCs w:val="10"/>
                <w:b w:val="1"/>
                <w:bCs w:val="1"/>
                <w:color w:val="auto"/>
                <w:w w:val="71"/>
              </w:rPr>
              <w:t>$</w:t>
            </w:r>
          </w:p>
        </w:tc>
        <w:tc>
          <w:tcPr>
            <w:tcW w:w="6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488.5</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2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777"/>
        </w:trPr>
        <w:tc>
          <w:tcPr>
            <w:tcW w:w="2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gridSpan w:val="4"/>
          </w:tcPr>
          <w:p>
            <w:pPr>
              <w:jc w:val="center"/>
              <w:ind w:right="52"/>
              <w:spacing w:after="0"/>
              <w:rPr>
                <w:sz w:val="20"/>
                <w:szCs w:val="20"/>
                <w:color w:val="auto"/>
              </w:rPr>
            </w:pPr>
            <w:r>
              <w:rPr>
                <w:rFonts w:ascii="Arial" w:cs="Arial" w:eastAsia="Arial" w:hAnsi="Arial"/>
                <w:sz w:val="14"/>
                <w:szCs w:val="14"/>
                <w:b w:val="1"/>
                <w:bCs w:val="1"/>
                <w:color w:val="auto"/>
                <w:w w:val="85"/>
              </w:rPr>
              <w:t>December 31, 2012</w:t>
            </w:r>
          </w:p>
        </w:tc>
        <w:tc>
          <w:tcPr>
            <w:tcW w:w="1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142"/>
        </w:trPr>
        <w:tc>
          <w:tcPr>
            <w:tcW w:w="20" w:type="dxa"/>
            <w:vAlign w:val="bottom"/>
          </w:tcPr>
          <w:p>
            <w:pPr>
              <w:spacing w:after="0"/>
              <w:rPr>
                <w:sz w:val="12"/>
                <w:szCs w:val="12"/>
                <w:color w:val="auto"/>
              </w:rPr>
            </w:pPr>
          </w:p>
        </w:tc>
        <w:tc>
          <w:tcPr>
            <w:tcW w:w="32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900" w:type="dxa"/>
            <w:vAlign w:val="bottom"/>
            <w:tcBorders>
              <w:bottom w:val="single" w:sz="8" w:color="auto"/>
            </w:tcBorders>
            <w:gridSpan w:val="3"/>
          </w:tcPr>
          <w:p>
            <w:pPr>
              <w:ind w:left="520"/>
              <w:spacing w:after="0" w:line="142" w:lineRule="exact"/>
              <w:rPr>
                <w:sz w:val="20"/>
                <w:szCs w:val="20"/>
                <w:color w:val="auto"/>
              </w:rPr>
            </w:pPr>
            <w:r>
              <w:rPr>
                <w:rFonts w:ascii="Arial" w:cs="Arial" w:eastAsia="Arial" w:hAnsi="Arial"/>
                <w:sz w:val="14"/>
                <w:szCs w:val="14"/>
                <w:b w:val="1"/>
                <w:bCs w:val="1"/>
                <w:color w:val="auto"/>
                <w:w w:val="85"/>
              </w:rPr>
              <w:t>Public</w:t>
            </w:r>
          </w:p>
        </w:tc>
        <w:tc>
          <w:tcPr>
            <w:tcW w:w="58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900" w:type="dxa"/>
            <w:vAlign w:val="bottom"/>
            <w:tcBorders>
              <w:bottom w:val="single" w:sz="8" w:color="auto"/>
            </w:tcBorders>
            <w:gridSpan w:val="3"/>
          </w:tcPr>
          <w:p>
            <w:pPr>
              <w:jc w:val="center"/>
              <w:ind w:left="412"/>
              <w:spacing w:after="0" w:line="142" w:lineRule="exact"/>
              <w:rPr>
                <w:sz w:val="20"/>
                <w:szCs w:val="20"/>
                <w:color w:val="auto"/>
              </w:rPr>
            </w:pPr>
            <w:r>
              <w:rPr>
                <w:rFonts w:ascii="Arial" w:cs="Arial" w:eastAsia="Arial" w:hAnsi="Arial"/>
                <w:sz w:val="14"/>
                <w:szCs w:val="14"/>
                <w:b w:val="1"/>
                <w:bCs w:val="1"/>
                <w:color w:val="auto"/>
                <w:w w:val="89"/>
              </w:rPr>
              <w:t>Private</w:t>
            </w:r>
          </w:p>
        </w:tc>
        <w:tc>
          <w:tcPr>
            <w:tcW w:w="58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Total</w:t>
            </w:r>
          </w:p>
        </w:tc>
        <w:tc>
          <w:tcPr>
            <w:tcW w:w="60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29"/>
        </w:trPr>
        <w:tc>
          <w:tcPr>
            <w:tcW w:w="20" w:type="dxa"/>
            <w:vAlign w:val="bottom"/>
          </w:tcPr>
          <w:p>
            <w:pPr>
              <w:spacing w:after="0"/>
              <w:rPr>
                <w:sz w:val="11"/>
                <w:szCs w:val="11"/>
                <w:color w:val="auto"/>
              </w:rPr>
            </w:pPr>
          </w:p>
        </w:tc>
        <w:tc>
          <w:tcPr>
            <w:tcW w:w="32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jc w:val="center"/>
              <w:ind w:right="112"/>
              <w:spacing w:after="0" w:line="129" w:lineRule="exact"/>
              <w:rPr>
                <w:sz w:val="20"/>
                <w:szCs w:val="20"/>
                <w:color w:val="auto"/>
              </w:rPr>
            </w:pPr>
            <w:r>
              <w:rPr>
                <w:rFonts w:ascii="Arial" w:cs="Arial" w:eastAsia="Arial" w:hAnsi="Arial"/>
                <w:sz w:val="14"/>
                <w:szCs w:val="14"/>
                <w:b w:val="1"/>
                <w:bCs w:val="1"/>
                <w:color w:val="auto"/>
                <w:w w:val="78"/>
              </w:rPr>
              <w:t>Gross</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jc w:val="center"/>
              <w:ind w:right="132"/>
              <w:spacing w:after="0" w:line="129" w:lineRule="exact"/>
              <w:rPr>
                <w:sz w:val="20"/>
                <w:szCs w:val="20"/>
                <w:color w:val="auto"/>
              </w:rPr>
            </w:pPr>
            <w:r>
              <w:rPr>
                <w:rFonts w:ascii="Arial" w:cs="Arial" w:eastAsia="Arial" w:hAnsi="Arial"/>
                <w:sz w:val="14"/>
                <w:szCs w:val="14"/>
                <w:b w:val="1"/>
                <w:bCs w:val="1"/>
                <w:color w:val="auto"/>
                <w:w w:val="83"/>
              </w:rPr>
              <w:t>Gross</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jc w:val="center"/>
              <w:ind w:right="92"/>
              <w:spacing w:after="0" w:line="129" w:lineRule="exact"/>
              <w:rPr>
                <w:sz w:val="20"/>
                <w:szCs w:val="20"/>
                <w:color w:val="auto"/>
              </w:rPr>
            </w:pPr>
            <w:r>
              <w:rPr>
                <w:rFonts w:ascii="Arial" w:cs="Arial" w:eastAsia="Arial" w:hAnsi="Arial"/>
                <w:sz w:val="14"/>
                <w:szCs w:val="14"/>
                <w:b w:val="1"/>
                <w:bCs w:val="1"/>
                <w:color w:val="auto"/>
                <w:w w:val="78"/>
              </w:rPr>
              <w:t>Gross</w:t>
            </w: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32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6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0"/>
              </w:rPr>
              <w:t>Carrying</w:t>
            </w:r>
          </w:p>
        </w:tc>
        <w:tc>
          <w:tcPr>
            <w:tcW w:w="180" w:type="dxa"/>
            <w:vAlign w:val="bottom"/>
          </w:tcPr>
          <w:p>
            <w:pPr>
              <w:spacing w:after="0"/>
              <w:rPr>
                <w:sz w:val="12"/>
                <w:szCs w:val="12"/>
                <w:color w:val="auto"/>
              </w:rPr>
            </w:pPr>
          </w:p>
        </w:tc>
        <w:tc>
          <w:tcPr>
            <w:tcW w:w="7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6"/>
              </w:rPr>
              <w:t>unrealized</w:t>
            </w:r>
          </w:p>
        </w:tc>
        <w:tc>
          <w:tcPr>
            <w:tcW w:w="160" w:type="dxa"/>
            <w:vAlign w:val="bottom"/>
          </w:tcPr>
          <w:p>
            <w:pPr>
              <w:spacing w:after="0"/>
              <w:rPr>
                <w:sz w:val="12"/>
                <w:szCs w:val="12"/>
                <w:color w:val="auto"/>
              </w:rPr>
            </w:pPr>
          </w:p>
        </w:tc>
        <w:tc>
          <w:tcPr>
            <w:tcW w:w="6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3"/>
              </w:rPr>
              <w:t>Carrying</w:t>
            </w:r>
          </w:p>
        </w:tc>
        <w:tc>
          <w:tcPr>
            <w:tcW w:w="160" w:type="dxa"/>
            <w:vAlign w:val="bottom"/>
          </w:tcPr>
          <w:p>
            <w:pPr>
              <w:spacing w:after="0"/>
              <w:rPr>
                <w:sz w:val="12"/>
                <w:szCs w:val="12"/>
                <w:color w:val="auto"/>
              </w:rPr>
            </w:pPr>
          </w:p>
        </w:tc>
        <w:tc>
          <w:tcPr>
            <w:tcW w:w="7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unrealized</w:t>
            </w:r>
          </w:p>
        </w:tc>
        <w:tc>
          <w:tcPr>
            <w:tcW w:w="160" w:type="dxa"/>
            <w:vAlign w:val="bottom"/>
          </w:tcPr>
          <w:p>
            <w:pPr>
              <w:spacing w:after="0"/>
              <w:rPr>
                <w:sz w:val="12"/>
                <w:szCs w:val="12"/>
                <w:color w:val="auto"/>
              </w:rPr>
            </w:pPr>
          </w:p>
        </w:tc>
        <w:tc>
          <w:tcPr>
            <w:tcW w:w="6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3"/>
              </w:rPr>
              <w:t>Carrying</w:t>
            </w:r>
          </w:p>
        </w:tc>
        <w:tc>
          <w:tcPr>
            <w:tcW w:w="160" w:type="dxa"/>
            <w:vAlign w:val="bottom"/>
          </w:tcPr>
          <w:p>
            <w:pPr>
              <w:spacing w:after="0"/>
              <w:rPr>
                <w:sz w:val="12"/>
                <w:szCs w:val="12"/>
                <w:color w:val="auto"/>
              </w:rPr>
            </w:pPr>
          </w:p>
        </w:tc>
        <w:tc>
          <w:tcPr>
            <w:tcW w:w="92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6"/>
              </w:rPr>
              <w:t>unrealized</w:t>
            </w:r>
          </w:p>
        </w:tc>
      </w:tr>
      <w:tr>
        <w:trPr>
          <w:trHeight w:val="161"/>
        </w:trPr>
        <w:tc>
          <w:tcPr>
            <w:tcW w:w="20" w:type="dxa"/>
            <w:vAlign w:val="bottom"/>
          </w:tcPr>
          <w:p>
            <w:pPr>
              <w:spacing w:after="0"/>
              <w:rPr>
                <w:sz w:val="14"/>
                <w:szCs w:val="14"/>
                <w:color w:val="auto"/>
              </w:rPr>
            </w:pPr>
          </w:p>
        </w:tc>
        <w:tc>
          <w:tcPr>
            <w:tcW w:w="32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6"/>
              </w:rPr>
              <w:t>amount</w:t>
            </w: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center"/>
              <w:ind w:right="112"/>
              <w:spacing w:after="0"/>
              <w:rPr>
                <w:sz w:val="20"/>
                <w:szCs w:val="20"/>
                <w:color w:val="auto"/>
              </w:rPr>
            </w:pPr>
            <w:r>
              <w:rPr>
                <w:rFonts w:ascii="Arial" w:cs="Arial" w:eastAsia="Arial" w:hAnsi="Arial"/>
                <w:sz w:val="14"/>
                <w:szCs w:val="14"/>
                <w:b w:val="1"/>
                <w:bCs w:val="1"/>
                <w:color w:val="auto"/>
                <w:w w:val="73"/>
              </w:rPr>
              <w:t>losses</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86"/>
              </w:rPr>
              <w:t>amount</w:t>
            </w: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center"/>
              <w:ind w:right="132"/>
              <w:spacing w:after="0"/>
              <w:rPr>
                <w:sz w:val="20"/>
                <w:szCs w:val="20"/>
                <w:color w:val="auto"/>
              </w:rPr>
            </w:pPr>
            <w:r>
              <w:rPr>
                <w:rFonts w:ascii="Arial" w:cs="Arial" w:eastAsia="Arial" w:hAnsi="Arial"/>
                <w:sz w:val="14"/>
                <w:szCs w:val="14"/>
                <w:b w:val="1"/>
                <w:bCs w:val="1"/>
                <w:color w:val="auto"/>
                <w:w w:val="77"/>
              </w:rPr>
              <w:t>losses</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6"/>
              </w:rPr>
              <w:t>amount</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center"/>
              <w:ind w:right="92"/>
              <w:spacing w:after="0"/>
              <w:rPr>
                <w:sz w:val="20"/>
                <w:szCs w:val="20"/>
                <w:color w:val="auto"/>
              </w:rPr>
            </w:pPr>
            <w:r>
              <w:rPr>
                <w:rFonts w:ascii="Arial" w:cs="Arial" w:eastAsia="Arial" w:hAnsi="Arial"/>
                <w:sz w:val="14"/>
                <w:szCs w:val="14"/>
                <w:b w:val="1"/>
                <w:bCs w:val="1"/>
                <w:color w:val="auto"/>
                <w:w w:val="73"/>
              </w:rPr>
              <w:t>losses</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32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920" w:type="dxa"/>
            <w:vAlign w:val="bottom"/>
            <w:gridSpan w:val="3"/>
          </w:tcPr>
          <w:p>
            <w:pPr>
              <w:jc w:val="right"/>
              <w:ind w:right="392"/>
              <w:spacing w:after="0" w:line="142" w:lineRule="exact"/>
              <w:rPr>
                <w:sz w:val="20"/>
                <w:szCs w:val="20"/>
                <w:color w:val="auto"/>
              </w:rPr>
            </w:pPr>
            <w:r>
              <w:rPr>
                <w:rFonts w:ascii="Arial" w:cs="Arial" w:eastAsia="Arial" w:hAnsi="Arial"/>
                <w:sz w:val="14"/>
                <w:szCs w:val="14"/>
                <w:b w:val="1"/>
                <w:bCs w:val="1"/>
                <w:i w:val="1"/>
                <w:iCs w:val="1"/>
                <w:color w:val="auto"/>
                <w:w w:val="76"/>
              </w:rPr>
              <w:t>millions)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Three months or less</w:t>
            </w: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646.6</w:t>
            </w:r>
          </w:p>
        </w:tc>
        <w:tc>
          <w:tcPr>
            <w:tcW w:w="340" w:type="dxa"/>
            <w:vAlign w:val="bottom"/>
            <w:gridSpan w:val="2"/>
            <w:shd w:val="clear" w:color="auto" w:fill="CCEEFF"/>
          </w:tcPr>
          <w:p>
            <w:pPr>
              <w:ind w:left="180"/>
              <w:spacing w:after="0" w:line="149" w:lineRule="exact"/>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227.1</w:t>
            </w:r>
          </w:p>
        </w:tc>
        <w:tc>
          <w:tcPr>
            <w:tcW w:w="34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w:t>
            </w:r>
          </w:p>
        </w:tc>
        <w:tc>
          <w:tcPr>
            <w:tcW w:w="24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w w:val="76"/>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873.7</w:t>
            </w:r>
          </w:p>
        </w:tc>
        <w:tc>
          <w:tcPr>
            <w:tcW w:w="320" w:type="dxa"/>
            <w:vAlign w:val="bottom"/>
            <w:gridSpan w:val="2"/>
            <w:shd w:val="clear" w:color="auto" w:fill="CCEEFF"/>
          </w:tcPr>
          <w:p>
            <w:pPr>
              <w:jc w:val="right"/>
              <w:ind w:right="17"/>
              <w:spacing w:after="0" w:line="149"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tcPr>
          <w:p>
            <w:pPr>
              <w:spacing w:after="0" w:line="149" w:lineRule="exact"/>
              <w:rPr>
                <w:sz w:val="20"/>
                <w:szCs w:val="20"/>
                <w:color w:val="auto"/>
              </w:rPr>
            </w:pPr>
            <w:r>
              <w:rPr>
                <w:rFonts w:ascii="Arial" w:cs="Arial" w:eastAsia="Arial" w:hAnsi="Arial"/>
                <w:sz w:val="14"/>
                <w:szCs w:val="14"/>
                <w:color w:val="auto"/>
              </w:rPr>
              <w:t>Greater than three to six months</w:t>
            </w: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148.4</w:t>
            </w: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2.1</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31.8</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0.4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180.2</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2.5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Greater than six to nine months</w:t>
            </w:r>
          </w:p>
        </w:tc>
        <w:tc>
          <w:tcPr>
            <w:tcW w:w="7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21.3</w:t>
            </w:r>
          </w:p>
        </w:tc>
        <w:tc>
          <w:tcPr>
            <w:tcW w:w="1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0.3</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50.6</w:t>
            </w: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71.9</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tcPr>
          <w:p>
            <w:pPr>
              <w:spacing w:after="0" w:line="149" w:lineRule="exact"/>
              <w:rPr>
                <w:sz w:val="20"/>
                <w:szCs w:val="20"/>
                <w:color w:val="auto"/>
              </w:rPr>
            </w:pPr>
            <w:r>
              <w:rPr>
                <w:rFonts w:ascii="Arial" w:cs="Arial" w:eastAsia="Arial" w:hAnsi="Arial"/>
                <w:sz w:val="14"/>
                <w:szCs w:val="14"/>
                <w:color w:val="auto"/>
              </w:rPr>
              <w:t>Greater than nine to twelve months</w:t>
            </w: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34.6</w:t>
            </w: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1.0</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7.1</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0.1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41.7</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1.1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Greater than twelve to twenty-four months</w:t>
            </w:r>
          </w:p>
        </w:tc>
        <w:tc>
          <w:tcPr>
            <w:tcW w:w="7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205.8</w:t>
            </w:r>
          </w:p>
        </w:tc>
        <w:tc>
          <w:tcPr>
            <w:tcW w:w="1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17.7</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167.6</w:t>
            </w: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373.4</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27.7</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tcPr>
          <w:p>
            <w:pPr>
              <w:spacing w:after="0" w:line="149" w:lineRule="exact"/>
              <w:rPr>
                <w:sz w:val="20"/>
                <w:szCs w:val="20"/>
                <w:color w:val="auto"/>
              </w:rPr>
            </w:pPr>
            <w:r>
              <w:rPr>
                <w:rFonts w:ascii="Arial" w:cs="Arial" w:eastAsia="Arial" w:hAnsi="Arial"/>
                <w:sz w:val="14"/>
                <w:szCs w:val="14"/>
                <w:color w:val="auto"/>
              </w:rPr>
              <w:t>Greater than twenty-four to thirty-six months</w:t>
            </w: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72.2</w:t>
            </w: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8.8</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41.9</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0.9</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114.1</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9.7</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Greater than thirty-six months</w:t>
            </w:r>
          </w:p>
        </w:tc>
        <w:tc>
          <w:tcPr>
            <w:tcW w:w="78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811.6</w:t>
            </w:r>
          </w:p>
        </w:tc>
        <w:tc>
          <w:tcPr>
            <w:tcW w:w="18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165.3</w:t>
            </w:r>
          </w:p>
        </w:tc>
        <w:tc>
          <w:tcPr>
            <w:tcW w:w="16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706.9</w:t>
            </w:r>
          </w:p>
        </w:tc>
        <w:tc>
          <w:tcPr>
            <w:tcW w:w="160" w:type="dxa"/>
            <w:vAlign w:val="bottom"/>
            <w:shd w:val="clear" w:color="auto" w:fill="CCEEFF"/>
          </w:tcPr>
          <w:p>
            <w:pPr>
              <w:spacing w:after="0"/>
              <w:rPr>
                <w:sz w:val="12"/>
                <w:szCs w:val="12"/>
                <w:color w:val="auto"/>
              </w:rPr>
            </w:pPr>
          </w:p>
        </w:tc>
        <w:tc>
          <w:tcPr>
            <w:tcW w:w="18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129.2</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1,518.5</w:t>
            </w:r>
          </w:p>
        </w:tc>
        <w:tc>
          <w:tcPr>
            <w:tcW w:w="16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6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294.5</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200" w:type="dxa"/>
            <w:vAlign w:val="bottom"/>
          </w:tcPr>
          <w:p>
            <w:pPr>
              <w:ind w:left="140"/>
              <w:spacing w:after="0" w:line="142" w:lineRule="exact"/>
              <w:rPr>
                <w:sz w:val="20"/>
                <w:szCs w:val="20"/>
                <w:color w:val="auto"/>
              </w:rPr>
            </w:pPr>
            <w:r>
              <w:rPr>
                <w:rFonts w:ascii="Arial" w:cs="Arial" w:eastAsia="Arial" w:hAnsi="Arial"/>
                <w:sz w:val="14"/>
                <w:szCs w:val="14"/>
                <w:color w:val="auto"/>
              </w:rPr>
              <w:t>Total fixed maturities, available-for-sale</w:t>
            </w:r>
          </w:p>
        </w:tc>
        <w:tc>
          <w:tcPr>
            <w:tcW w:w="780" w:type="dxa"/>
            <w:vAlign w:val="bottom"/>
          </w:tcPr>
          <w:p>
            <w:pPr>
              <w:spacing w:after="0"/>
              <w:rPr>
                <w:sz w:val="12"/>
                <w:szCs w:val="12"/>
                <w:color w:val="auto"/>
              </w:rPr>
            </w:pPr>
          </w:p>
        </w:tc>
        <w:tc>
          <w:tcPr>
            <w:tcW w:w="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1,940.5</w:t>
            </w:r>
          </w:p>
        </w:tc>
        <w:tc>
          <w:tcPr>
            <w:tcW w:w="180" w:type="dxa"/>
            <w:vAlign w:val="bottom"/>
          </w:tcPr>
          <w:p>
            <w:pPr>
              <w:spacing w:after="0"/>
              <w:rPr>
                <w:sz w:val="12"/>
                <w:szCs w:val="12"/>
                <w:color w:val="auto"/>
              </w:rPr>
            </w:pPr>
          </w:p>
        </w:tc>
        <w:tc>
          <w:tcPr>
            <w:tcW w:w="16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color w:val="auto"/>
              </w:rPr>
              <w:t>$</w:t>
            </w:r>
          </w:p>
        </w:tc>
        <w:tc>
          <w:tcPr>
            <w:tcW w:w="5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198.9</w:t>
            </w:r>
          </w:p>
        </w:tc>
        <w:tc>
          <w:tcPr>
            <w:tcW w:w="160" w:type="dxa"/>
            <w:vAlign w:val="bottom"/>
          </w:tcPr>
          <w:p>
            <w:pPr>
              <w:spacing w:after="0"/>
              <w:rPr>
                <w:sz w:val="12"/>
                <w:szCs w:val="12"/>
                <w:color w:val="auto"/>
              </w:rPr>
            </w:pPr>
          </w:p>
        </w:tc>
        <w:tc>
          <w:tcPr>
            <w:tcW w:w="1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1,233.0</w:t>
            </w:r>
          </w:p>
        </w:tc>
        <w:tc>
          <w:tcPr>
            <w:tcW w:w="160" w:type="dxa"/>
            <w:vAlign w:val="bottom"/>
          </w:tcPr>
          <w:p>
            <w:pPr>
              <w:spacing w:after="0"/>
              <w:rPr>
                <w:sz w:val="12"/>
                <w:szCs w:val="12"/>
                <w:color w:val="auto"/>
              </w:rPr>
            </w:pPr>
          </w:p>
        </w:tc>
        <w:tc>
          <w:tcPr>
            <w:tcW w:w="18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color w:val="auto"/>
              </w:rPr>
              <w:t>$</w:t>
            </w:r>
          </w:p>
        </w:tc>
        <w:tc>
          <w:tcPr>
            <w:tcW w:w="5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142.7</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color w:val="auto"/>
                <w:w w:val="76"/>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3,173.5</w:t>
            </w:r>
          </w:p>
        </w:tc>
        <w:tc>
          <w:tcPr>
            <w:tcW w:w="160" w:type="dxa"/>
            <w:vAlign w:val="bottom"/>
          </w:tcPr>
          <w:p>
            <w:pPr>
              <w:spacing w:after="0"/>
              <w:rPr>
                <w:sz w:val="12"/>
                <w:szCs w:val="12"/>
                <w:color w:val="auto"/>
              </w:rPr>
            </w:pPr>
          </w:p>
        </w:tc>
        <w:tc>
          <w:tcPr>
            <w:tcW w:w="160" w:type="dxa"/>
            <w:vAlign w:val="bottom"/>
            <w:tcBorders>
              <w:bottom w:val="single" w:sz="8" w:color="auto"/>
            </w:tcBorders>
          </w:tcPr>
          <w:p>
            <w:pPr>
              <w:jc w:val="right"/>
              <w:ind w:right="17"/>
              <w:spacing w:after="0" w:line="142" w:lineRule="exact"/>
              <w:rPr>
                <w:sz w:val="20"/>
                <w:szCs w:val="20"/>
                <w:color w:val="auto"/>
              </w:rPr>
            </w:pPr>
            <w:r>
              <w:rPr>
                <w:rFonts w:ascii="Arial" w:cs="Arial" w:eastAsia="Arial" w:hAnsi="Arial"/>
                <w:sz w:val="14"/>
                <w:szCs w:val="14"/>
                <w:color w:val="auto"/>
                <w:w w:val="76"/>
              </w:rPr>
              <w:t>$</w:t>
            </w:r>
          </w:p>
        </w:tc>
        <w:tc>
          <w:tcPr>
            <w:tcW w:w="6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341.6</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2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4" w:name="page75"/>
    <w:bookmarkEnd w:id="7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The following tables present the carrying amount and the gross unrealized losses, including other-than-temporary impairment losses reported in OCI, on below investment grade fixed maturities available-for-sale by aging category as of the periods indicated.</w:t>
      </w:r>
    </w:p>
    <w:p>
      <w:pPr>
        <w:spacing w:after="0" w:line="18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2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gridSpan w:val="4"/>
          </w:tcPr>
          <w:p>
            <w:pPr>
              <w:jc w:val="center"/>
              <w:ind w:right="52"/>
              <w:spacing w:after="0"/>
              <w:rPr>
                <w:sz w:val="20"/>
                <w:szCs w:val="20"/>
                <w:color w:val="auto"/>
              </w:rPr>
            </w:pPr>
            <w:r>
              <w:rPr>
                <w:rFonts w:ascii="Arial" w:cs="Arial" w:eastAsia="Arial" w:hAnsi="Arial"/>
                <w:sz w:val="14"/>
                <w:szCs w:val="14"/>
                <w:b w:val="1"/>
                <w:bCs w:val="1"/>
                <w:color w:val="auto"/>
                <w:w w:val="85"/>
              </w:rPr>
              <w:t>December 31, 2013</w:t>
            </w: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32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900" w:type="dxa"/>
            <w:vAlign w:val="bottom"/>
            <w:tcBorders>
              <w:bottom w:val="single" w:sz="8" w:color="auto"/>
            </w:tcBorders>
            <w:gridSpan w:val="3"/>
          </w:tcPr>
          <w:p>
            <w:pPr>
              <w:ind w:left="520"/>
              <w:spacing w:after="0" w:line="142" w:lineRule="exact"/>
              <w:rPr>
                <w:sz w:val="20"/>
                <w:szCs w:val="20"/>
                <w:color w:val="auto"/>
              </w:rPr>
            </w:pPr>
            <w:r>
              <w:rPr>
                <w:rFonts w:ascii="Arial" w:cs="Arial" w:eastAsia="Arial" w:hAnsi="Arial"/>
                <w:sz w:val="14"/>
                <w:szCs w:val="14"/>
                <w:b w:val="1"/>
                <w:bCs w:val="1"/>
                <w:color w:val="auto"/>
                <w:w w:val="85"/>
              </w:rPr>
              <w:t>Public</w:t>
            </w:r>
          </w:p>
        </w:tc>
        <w:tc>
          <w:tcPr>
            <w:tcW w:w="58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900" w:type="dxa"/>
            <w:vAlign w:val="bottom"/>
            <w:tcBorders>
              <w:bottom w:val="single" w:sz="8" w:color="auto"/>
            </w:tcBorders>
            <w:gridSpan w:val="3"/>
          </w:tcPr>
          <w:p>
            <w:pPr>
              <w:jc w:val="center"/>
              <w:ind w:left="412"/>
              <w:spacing w:after="0" w:line="142" w:lineRule="exact"/>
              <w:rPr>
                <w:sz w:val="20"/>
                <w:szCs w:val="20"/>
                <w:color w:val="auto"/>
              </w:rPr>
            </w:pPr>
            <w:r>
              <w:rPr>
                <w:rFonts w:ascii="Arial" w:cs="Arial" w:eastAsia="Arial" w:hAnsi="Arial"/>
                <w:sz w:val="14"/>
                <w:szCs w:val="14"/>
                <w:b w:val="1"/>
                <w:bCs w:val="1"/>
                <w:color w:val="auto"/>
                <w:w w:val="89"/>
              </w:rPr>
              <w:t>Private</w:t>
            </w:r>
          </w:p>
        </w:tc>
        <w:tc>
          <w:tcPr>
            <w:tcW w:w="58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Total</w:t>
            </w:r>
          </w:p>
        </w:tc>
        <w:tc>
          <w:tcPr>
            <w:tcW w:w="60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29"/>
        </w:trPr>
        <w:tc>
          <w:tcPr>
            <w:tcW w:w="20" w:type="dxa"/>
            <w:vAlign w:val="bottom"/>
          </w:tcPr>
          <w:p>
            <w:pPr>
              <w:spacing w:after="0"/>
              <w:rPr>
                <w:sz w:val="11"/>
                <w:szCs w:val="11"/>
                <w:color w:val="auto"/>
              </w:rPr>
            </w:pPr>
          </w:p>
        </w:tc>
        <w:tc>
          <w:tcPr>
            <w:tcW w:w="32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jc w:val="center"/>
              <w:ind w:right="112"/>
              <w:spacing w:after="0" w:line="129" w:lineRule="exact"/>
              <w:rPr>
                <w:sz w:val="20"/>
                <w:szCs w:val="20"/>
                <w:color w:val="auto"/>
              </w:rPr>
            </w:pPr>
            <w:r>
              <w:rPr>
                <w:rFonts w:ascii="Arial" w:cs="Arial" w:eastAsia="Arial" w:hAnsi="Arial"/>
                <w:sz w:val="14"/>
                <w:szCs w:val="14"/>
                <w:b w:val="1"/>
                <w:bCs w:val="1"/>
                <w:color w:val="auto"/>
                <w:w w:val="78"/>
              </w:rPr>
              <w:t>Gross</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jc w:val="center"/>
              <w:ind w:right="132"/>
              <w:spacing w:after="0" w:line="129" w:lineRule="exact"/>
              <w:rPr>
                <w:sz w:val="20"/>
                <w:szCs w:val="20"/>
                <w:color w:val="auto"/>
              </w:rPr>
            </w:pPr>
            <w:r>
              <w:rPr>
                <w:rFonts w:ascii="Arial" w:cs="Arial" w:eastAsia="Arial" w:hAnsi="Arial"/>
                <w:sz w:val="14"/>
                <w:szCs w:val="14"/>
                <w:b w:val="1"/>
                <w:bCs w:val="1"/>
                <w:color w:val="auto"/>
                <w:w w:val="83"/>
              </w:rPr>
              <w:t>Gross</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jc w:val="center"/>
              <w:ind w:right="92"/>
              <w:spacing w:after="0" w:line="129" w:lineRule="exact"/>
              <w:rPr>
                <w:sz w:val="20"/>
                <w:szCs w:val="20"/>
                <w:color w:val="auto"/>
              </w:rPr>
            </w:pPr>
            <w:r>
              <w:rPr>
                <w:rFonts w:ascii="Arial" w:cs="Arial" w:eastAsia="Arial" w:hAnsi="Arial"/>
                <w:sz w:val="14"/>
                <w:szCs w:val="14"/>
                <w:b w:val="1"/>
                <w:bCs w:val="1"/>
                <w:color w:val="auto"/>
                <w:w w:val="78"/>
              </w:rPr>
              <w:t>Gross</w:t>
            </w: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32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6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0"/>
              </w:rPr>
              <w:t>Carrying</w:t>
            </w:r>
          </w:p>
        </w:tc>
        <w:tc>
          <w:tcPr>
            <w:tcW w:w="180" w:type="dxa"/>
            <w:vAlign w:val="bottom"/>
          </w:tcPr>
          <w:p>
            <w:pPr>
              <w:spacing w:after="0"/>
              <w:rPr>
                <w:sz w:val="12"/>
                <w:szCs w:val="12"/>
                <w:color w:val="auto"/>
              </w:rPr>
            </w:pPr>
          </w:p>
        </w:tc>
        <w:tc>
          <w:tcPr>
            <w:tcW w:w="7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6"/>
              </w:rPr>
              <w:t>unrealized</w:t>
            </w:r>
          </w:p>
        </w:tc>
        <w:tc>
          <w:tcPr>
            <w:tcW w:w="160" w:type="dxa"/>
            <w:vAlign w:val="bottom"/>
          </w:tcPr>
          <w:p>
            <w:pPr>
              <w:spacing w:after="0"/>
              <w:rPr>
                <w:sz w:val="12"/>
                <w:szCs w:val="12"/>
                <w:color w:val="auto"/>
              </w:rPr>
            </w:pPr>
          </w:p>
        </w:tc>
        <w:tc>
          <w:tcPr>
            <w:tcW w:w="6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3"/>
              </w:rPr>
              <w:t>Carrying</w:t>
            </w:r>
          </w:p>
        </w:tc>
        <w:tc>
          <w:tcPr>
            <w:tcW w:w="160" w:type="dxa"/>
            <w:vAlign w:val="bottom"/>
          </w:tcPr>
          <w:p>
            <w:pPr>
              <w:spacing w:after="0"/>
              <w:rPr>
                <w:sz w:val="12"/>
                <w:szCs w:val="12"/>
                <w:color w:val="auto"/>
              </w:rPr>
            </w:pPr>
          </w:p>
        </w:tc>
        <w:tc>
          <w:tcPr>
            <w:tcW w:w="7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unrealized</w:t>
            </w:r>
          </w:p>
        </w:tc>
        <w:tc>
          <w:tcPr>
            <w:tcW w:w="160" w:type="dxa"/>
            <w:vAlign w:val="bottom"/>
          </w:tcPr>
          <w:p>
            <w:pPr>
              <w:spacing w:after="0"/>
              <w:rPr>
                <w:sz w:val="12"/>
                <w:szCs w:val="12"/>
                <w:color w:val="auto"/>
              </w:rPr>
            </w:pPr>
          </w:p>
        </w:tc>
        <w:tc>
          <w:tcPr>
            <w:tcW w:w="6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3"/>
              </w:rPr>
              <w:t>Carrying</w:t>
            </w:r>
          </w:p>
        </w:tc>
        <w:tc>
          <w:tcPr>
            <w:tcW w:w="160" w:type="dxa"/>
            <w:vAlign w:val="bottom"/>
          </w:tcPr>
          <w:p>
            <w:pPr>
              <w:spacing w:after="0"/>
              <w:rPr>
                <w:sz w:val="12"/>
                <w:szCs w:val="12"/>
                <w:color w:val="auto"/>
              </w:rPr>
            </w:pPr>
          </w:p>
        </w:tc>
        <w:tc>
          <w:tcPr>
            <w:tcW w:w="92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6"/>
              </w:rPr>
              <w:t>unrealized</w:t>
            </w:r>
          </w:p>
        </w:tc>
      </w:tr>
      <w:tr>
        <w:trPr>
          <w:trHeight w:val="161"/>
        </w:trPr>
        <w:tc>
          <w:tcPr>
            <w:tcW w:w="20" w:type="dxa"/>
            <w:vAlign w:val="bottom"/>
          </w:tcPr>
          <w:p>
            <w:pPr>
              <w:spacing w:after="0"/>
              <w:rPr>
                <w:sz w:val="14"/>
                <w:szCs w:val="14"/>
                <w:color w:val="auto"/>
              </w:rPr>
            </w:pPr>
          </w:p>
        </w:tc>
        <w:tc>
          <w:tcPr>
            <w:tcW w:w="32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6"/>
              </w:rPr>
              <w:t>amount</w:t>
            </w: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center"/>
              <w:ind w:right="112"/>
              <w:spacing w:after="0"/>
              <w:rPr>
                <w:sz w:val="20"/>
                <w:szCs w:val="20"/>
                <w:color w:val="auto"/>
              </w:rPr>
            </w:pPr>
            <w:r>
              <w:rPr>
                <w:rFonts w:ascii="Arial" w:cs="Arial" w:eastAsia="Arial" w:hAnsi="Arial"/>
                <w:sz w:val="14"/>
                <w:szCs w:val="14"/>
                <w:b w:val="1"/>
                <w:bCs w:val="1"/>
                <w:color w:val="auto"/>
                <w:w w:val="73"/>
              </w:rPr>
              <w:t>losses</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86"/>
              </w:rPr>
              <w:t>amount</w:t>
            </w: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center"/>
              <w:ind w:right="132"/>
              <w:spacing w:after="0"/>
              <w:rPr>
                <w:sz w:val="20"/>
                <w:szCs w:val="20"/>
                <w:color w:val="auto"/>
              </w:rPr>
            </w:pPr>
            <w:r>
              <w:rPr>
                <w:rFonts w:ascii="Arial" w:cs="Arial" w:eastAsia="Arial" w:hAnsi="Arial"/>
                <w:sz w:val="14"/>
                <w:szCs w:val="14"/>
                <w:b w:val="1"/>
                <w:bCs w:val="1"/>
                <w:color w:val="auto"/>
                <w:w w:val="77"/>
              </w:rPr>
              <w:t>losses</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6"/>
              </w:rPr>
              <w:t>amount</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center"/>
              <w:ind w:right="92"/>
              <w:spacing w:after="0"/>
              <w:rPr>
                <w:sz w:val="20"/>
                <w:szCs w:val="20"/>
                <w:color w:val="auto"/>
              </w:rPr>
            </w:pPr>
            <w:r>
              <w:rPr>
                <w:rFonts w:ascii="Arial" w:cs="Arial" w:eastAsia="Arial" w:hAnsi="Arial"/>
                <w:sz w:val="14"/>
                <w:szCs w:val="14"/>
                <w:b w:val="1"/>
                <w:bCs w:val="1"/>
                <w:color w:val="auto"/>
                <w:w w:val="73"/>
              </w:rPr>
              <w:t>losses</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32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920" w:type="dxa"/>
            <w:vAlign w:val="bottom"/>
            <w:gridSpan w:val="3"/>
          </w:tcPr>
          <w:p>
            <w:pPr>
              <w:jc w:val="right"/>
              <w:ind w:right="392"/>
              <w:spacing w:after="0" w:line="142" w:lineRule="exact"/>
              <w:rPr>
                <w:sz w:val="20"/>
                <w:szCs w:val="20"/>
                <w:color w:val="auto"/>
              </w:rPr>
            </w:pPr>
            <w:r>
              <w:rPr>
                <w:rFonts w:ascii="Arial" w:cs="Arial" w:eastAsia="Arial" w:hAnsi="Arial"/>
                <w:sz w:val="14"/>
                <w:szCs w:val="14"/>
                <w:b w:val="1"/>
                <w:bCs w:val="1"/>
                <w:i w:val="1"/>
                <w:iCs w:val="1"/>
                <w:color w:val="auto"/>
                <w:w w:val="76"/>
              </w:rPr>
              <w:t>millions)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Three months or less</w:t>
            </w: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157.6</w:t>
            </w:r>
          </w:p>
        </w:tc>
        <w:tc>
          <w:tcPr>
            <w:tcW w:w="340" w:type="dxa"/>
            <w:vAlign w:val="bottom"/>
            <w:gridSpan w:val="2"/>
            <w:shd w:val="clear" w:color="auto" w:fill="CCEEFF"/>
          </w:tcPr>
          <w:p>
            <w:pPr>
              <w:jc w:val="right"/>
              <w:ind w:right="32"/>
              <w:spacing w:after="0" w:line="149" w:lineRule="exact"/>
              <w:rPr>
                <w:sz w:val="20"/>
                <w:szCs w:val="20"/>
                <w:color w:val="auto"/>
              </w:rPr>
            </w:pPr>
            <w:r>
              <w:rPr>
                <w:rFonts w:ascii="Arial" w:cs="Arial" w:eastAsia="Arial" w:hAnsi="Arial"/>
                <w:sz w:val="14"/>
                <w:szCs w:val="14"/>
                <w:b w:val="1"/>
                <w:bCs w:val="1"/>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2.3</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103.8</w:t>
            </w:r>
          </w:p>
        </w:tc>
        <w:tc>
          <w:tcPr>
            <w:tcW w:w="340" w:type="dxa"/>
            <w:vAlign w:val="bottom"/>
            <w:gridSpan w:val="2"/>
            <w:shd w:val="clear" w:color="auto" w:fill="CCEEFF"/>
          </w:tcPr>
          <w:p>
            <w:pPr>
              <w:jc w:val="right"/>
              <w:ind w:right="52"/>
              <w:spacing w:after="0" w:line="149" w:lineRule="exact"/>
              <w:rPr>
                <w:sz w:val="20"/>
                <w:szCs w:val="20"/>
                <w:color w:val="auto"/>
              </w:rPr>
            </w:pPr>
            <w:r>
              <w:rPr>
                <w:rFonts w:ascii="Arial" w:cs="Arial" w:eastAsia="Arial" w:hAnsi="Arial"/>
                <w:sz w:val="14"/>
                <w:szCs w:val="14"/>
                <w:b w:val="1"/>
                <w:bCs w:val="1"/>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2.7</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261.4</w:t>
            </w:r>
          </w:p>
        </w:tc>
        <w:tc>
          <w:tcPr>
            <w:tcW w:w="320" w:type="dxa"/>
            <w:vAlign w:val="bottom"/>
            <w:gridSpan w:val="2"/>
            <w:shd w:val="clear" w:color="auto" w:fill="CCEEFF"/>
          </w:tcPr>
          <w:p>
            <w:pPr>
              <w:jc w:val="right"/>
              <w:ind w:right="37"/>
              <w:spacing w:after="0" w:line="149" w:lineRule="exact"/>
              <w:rPr>
                <w:sz w:val="20"/>
                <w:szCs w:val="20"/>
                <w:color w:val="auto"/>
              </w:rPr>
            </w:pPr>
            <w:r>
              <w:rPr>
                <w:rFonts w:ascii="Arial" w:cs="Arial" w:eastAsia="Arial" w:hAnsi="Arial"/>
                <w:sz w:val="14"/>
                <w:szCs w:val="14"/>
                <w:b w:val="1"/>
                <w:bCs w:val="1"/>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tcPr>
          <w:p>
            <w:pPr>
              <w:spacing w:after="0" w:line="149" w:lineRule="exact"/>
              <w:rPr>
                <w:sz w:val="20"/>
                <w:szCs w:val="20"/>
                <w:color w:val="auto"/>
              </w:rPr>
            </w:pPr>
            <w:r>
              <w:rPr>
                <w:rFonts w:ascii="Arial" w:cs="Arial" w:eastAsia="Arial" w:hAnsi="Arial"/>
                <w:sz w:val="14"/>
                <w:szCs w:val="14"/>
                <w:color w:val="auto"/>
              </w:rPr>
              <w:t>Greater than three to six months</w:t>
            </w: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23.2</w:t>
            </w: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0.8</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50.5</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73.7</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Greater than six to nine months</w:t>
            </w:r>
          </w:p>
        </w:tc>
        <w:tc>
          <w:tcPr>
            <w:tcW w:w="7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79.6</w:t>
            </w:r>
          </w:p>
        </w:tc>
        <w:tc>
          <w:tcPr>
            <w:tcW w:w="1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104.0</w:t>
            </w: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183.6</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6.6</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tcPr>
          <w:p>
            <w:pPr>
              <w:spacing w:after="0" w:line="149" w:lineRule="exact"/>
              <w:rPr>
                <w:sz w:val="20"/>
                <w:szCs w:val="20"/>
                <w:color w:val="auto"/>
              </w:rPr>
            </w:pPr>
            <w:r>
              <w:rPr>
                <w:rFonts w:ascii="Arial" w:cs="Arial" w:eastAsia="Arial" w:hAnsi="Arial"/>
                <w:sz w:val="14"/>
                <w:szCs w:val="14"/>
                <w:color w:val="auto"/>
              </w:rPr>
              <w:t>Greater than nine to twelve months</w:t>
            </w: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19.4</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19.4</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Greater than twelve to twenty-four months</w:t>
            </w:r>
          </w:p>
        </w:tc>
        <w:tc>
          <w:tcPr>
            <w:tcW w:w="7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12.4</w:t>
            </w: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12.4</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tcPr>
          <w:p>
            <w:pPr>
              <w:spacing w:after="0" w:line="149" w:lineRule="exact"/>
              <w:rPr>
                <w:sz w:val="20"/>
                <w:szCs w:val="20"/>
                <w:color w:val="auto"/>
              </w:rPr>
            </w:pPr>
            <w:r>
              <w:rPr>
                <w:rFonts w:ascii="Arial" w:cs="Arial" w:eastAsia="Arial" w:hAnsi="Arial"/>
                <w:sz w:val="14"/>
                <w:szCs w:val="14"/>
                <w:color w:val="auto"/>
              </w:rPr>
              <w:t>Greater than twenty-four to thirty-six months</w:t>
            </w: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41.8</w:t>
            </w: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2.8</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12.5</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54.3</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Greater than thirty-six months</w:t>
            </w:r>
          </w:p>
        </w:tc>
        <w:tc>
          <w:tcPr>
            <w:tcW w:w="78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452.5</w:t>
            </w:r>
          </w:p>
        </w:tc>
        <w:tc>
          <w:tcPr>
            <w:tcW w:w="18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133.7</w:t>
            </w:r>
          </w:p>
        </w:tc>
        <w:tc>
          <w:tcPr>
            <w:tcW w:w="16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275.5</w:t>
            </w:r>
          </w:p>
        </w:tc>
        <w:tc>
          <w:tcPr>
            <w:tcW w:w="160" w:type="dxa"/>
            <w:vAlign w:val="bottom"/>
            <w:shd w:val="clear" w:color="auto" w:fill="CCEEFF"/>
          </w:tcPr>
          <w:p>
            <w:pPr>
              <w:spacing w:after="0"/>
              <w:rPr>
                <w:sz w:val="12"/>
                <w:szCs w:val="12"/>
                <w:color w:val="auto"/>
              </w:rPr>
            </w:pPr>
          </w:p>
        </w:tc>
        <w:tc>
          <w:tcPr>
            <w:tcW w:w="18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110.6</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728.0</w:t>
            </w:r>
          </w:p>
        </w:tc>
        <w:tc>
          <w:tcPr>
            <w:tcW w:w="16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6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244.3</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200" w:type="dxa"/>
            <w:vAlign w:val="bottom"/>
          </w:tcPr>
          <w:p>
            <w:pPr>
              <w:ind w:left="140"/>
              <w:spacing w:after="0" w:line="142" w:lineRule="exact"/>
              <w:rPr>
                <w:sz w:val="20"/>
                <w:szCs w:val="20"/>
                <w:color w:val="auto"/>
              </w:rPr>
            </w:pPr>
            <w:r>
              <w:rPr>
                <w:rFonts w:ascii="Arial" w:cs="Arial" w:eastAsia="Arial" w:hAnsi="Arial"/>
                <w:sz w:val="14"/>
                <w:szCs w:val="14"/>
                <w:color w:val="auto"/>
              </w:rPr>
              <w:t>Total fixed maturities, available-for-sale</w:t>
            </w:r>
          </w:p>
        </w:tc>
        <w:tc>
          <w:tcPr>
            <w:tcW w:w="780" w:type="dxa"/>
            <w:vAlign w:val="bottom"/>
          </w:tcPr>
          <w:p>
            <w:pPr>
              <w:spacing w:after="0"/>
              <w:rPr>
                <w:sz w:val="12"/>
                <w:szCs w:val="12"/>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754.7</w:t>
            </w:r>
          </w:p>
        </w:tc>
        <w:tc>
          <w:tcPr>
            <w:tcW w:w="180" w:type="dxa"/>
            <w:vAlign w:val="bottom"/>
          </w:tcPr>
          <w:p>
            <w:pPr>
              <w:spacing w:after="0"/>
              <w:rPr>
                <w:sz w:val="12"/>
                <w:szCs w:val="12"/>
                <w:color w:val="auto"/>
              </w:rPr>
            </w:pPr>
          </w:p>
        </w:tc>
        <w:tc>
          <w:tcPr>
            <w:tcW w:w="16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rPr>
              <w:t>$</w:t>
            </w:r>
          </w:p>
        </w:tc>
        <w:tc>
          <w:tcPr>
            <w:tcW w:w="5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141.9</w:t>
            </w:r>
          </w:p>
        </w:tc>
        <w:tc>
          <w:tcPr>
            <w:tcW w:w="160" w:type="dxa"/>
            <w:vAlign w:val="bottom"/>
          </w:tcPr>
          <w:p>
            <w:pPr>
              <w:spacing w:after="0"/>
              <w:rPr>
                <w:sz w:val="12"/>
                <w:szCs w:val="12"/>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578.1</w:t>
            </w:r>
          </w:p>
        </w:tc>
        <w:tc>
          <w:tcPr>
            <w:tcW w:w="160" w:type="dxa"/>
            <w:vAlign w:val="bottom"/>
          </w:tcPr>
          <w:p>
            <w:pPr>
              <w:spacing w:after="0"/>
              <w:rPr>
                <w:sz w:val="12"/>
                <w:szCs w:val="12"/>
                <w:color w:val="auto"/>
              </w:rPr>
            </w:pPr>
          </w:p>
        </w:tc>
        <w:tc>
          <w:tcPr>
            <w:tcW w:w="18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rPr>
              <w:t>$</w:t>
            </w:r>
          </w:p>
        </w:tc>
        <w:tc>
          <w:tcPr>
            <w:tcW w:w="5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123.2</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76"/>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1,332.8</w:t>
            </w:r>
          </w:p>
        </w:tc>
        <w:tc>
          <w:tcPr>
            <w:tcW w:w="160" w:type="dxa"/>
            <w:vAlign w:val="bottom"/>
          </w:tcPr>
          <w:p>
            <w:pPr>
              <w:spacing w:after="0"/>
              <w:rPr>
                <w:sz w:val="12"/>
                <w:szCs w:val="12"/>
                <w:color w:val="auto"/>
              </w:rPr>
            </w:pPr>
          </w:p>
        </w:tc>
        <w:tc>
          <w:tcPr>
            <w:tcW w:w="160" w:type="dxa"/>
            <w:vAlign w:val="bottom"/>
            <w:tcBorders>
              <w:bottom w:val="single" w:sz="8" w:color="auto"/>
            </w:tcBorders>
          </w:tcPr>
          <w:p>
            <w:pPr>
              <w:jc w:val="right"/>
              <w:ind w:right="37"/>
              <w:spacing w:after="0"/>
              <w:rPr>
                <w:sz w:val="20"/>
                <w:szCs w:val="20"/>
                <w:color w:val="auto"/>
              </w:rPr>
            </w:pPr>
            <w:r>
              <w:rPr>
                <w:rFonts w:ascii="Arial" w:cs="Arial" w:eastAsia="Arial" w:hAnsi="Arial"/>
                <w:sz w:val="10"/>
                <w:szCs w:val="10"/>
                <w:b w:val="1"/>
                <w:bCs w:val="1"/>
                <w:color w:val="auto"/>
                <w:w w:val="71"/>
              </w:rPr>
              <w:t>$</w:t>
            </w:r>
          </w:p>
        </w:tc>
        <w:tc>
          <w:tcPr>
            <w:tcW w:w="6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265.1</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2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777"/>
        </w:trPr>
        <w:tc>
          <w:tcPr>
            <w:tcW w:w="2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gridSpan w:val="4"/>
          </w:tcPr>
          <w:p>
            <w:pPr>
              <w:jc w:val="center"/>
              <w:ind w:right="52"/>
              <w:spacing w:after="0"/>
              <w:rPr>
                <w:sz w:val="20"/>
                <w:szCs w:val="20"/>
                <w:color w:val="auto"/>
              </w:rPr>
            </w:pPr>
            <w:r>
              <w:rPr>
                <w:rFonts w:ascii="Arial" w:cs="Arial" w:eastAsia="Arial" w:hAnsi="Arial"/>
                <w:sz w:val="14"/>
                <w:szCs w:val="14"/>
                <w:b w:val="1"/>
                <w:bCs w:val="1"/>
                <w:color w:val="auto"/>
                <w:w w:val="85"/>
              </w:rPr>
              <w:t>December 31, 2012</w:t>
            </w:r>
          </w:p>
        </w:tc>
        <w:tc>
          <w:tcPr>
            <w:tcW w:w="1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142"/>
        </w:trPr>
        <w:tc>
          <w:tcPr>
            <w:tcW w:w="20" w:type="dxa"/>
            <w:vAlign w:val="bottom"/>
          </w:tcPr>
          <w:p>
            <w:pPr>
              <w:spacing w:after="0"/>
              <w:rPr>
                <w:sz w:val="12"/>
                <w:szCs w:val="12"/>
                <w:color w:val="auto"/>
              </w:rPr>
            </w:pPr>
          </w:p>
        </w:tc>
        <w:tc>
          <w:tcPr>
            <w:tcW w:w="32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900" w:type="dxa"/>
            <w:vAlign w:val="bottom"/>
            <w:tcBorders>
              <w:bottom w:val="single" w:sz="8" w:color="auto"/>
            </w:tcBorders>
            <w:gridSpan w:val="3"/>
          </w:tcPr>
          <w:p>
            <w:pPr>
              <w:ind w:left="520"/>
              <w:spacing w:after="0" w:line="142" w:lineRule="exact"/>
              <w:rPr>
                <w:sz w:val="20"/>
                <w:szCs w:val="20"/>
                <w:color w:val="auto"/>
              </w:rPr>
            </w:pPr>
            <w:r>
              <w:rPr>
                <w:rFonts w:ascii="Arial" w:cs="Arial" w:eastAsia="Arial" w:hAnsi="Arial"/>
                <w:sz w:val="14"/>
                <w:szCs w:val="14"/>
                <w:b w:val="1"/>
                <w:bCs w:val="1"/>
                <w:color w:val="auto"/>
                <w:w w:val="85"/>
              </w:rPr>
              <w:t>Public</w:t>
            </w:r>
          </w:p>
        </w:tc>
        <w:tc>
          <w:tcPr>
            <w:tcW w:w="58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900" w:type="dxa"/>
            <w:vAlign w:val="bottom"/>
            <w:tcBorders>
              <w:bottom w:val="single" w:sz="8" w:color="auto"/>
            </w:tcBorders>
            <w:gridSpan w:val="3"/>
          </w:tcPr>
          <w:p>
            <w:pPr>
              <w:jc w:val="center"/>
              <w:ind w:left="412"/>
              <w:spacing w:after="0" w:line="142" w:lineRule="exact"/>
              <w:rPr>
                <w:sz w:val="20"/>
                <w:szCs w:val="20"/>
                <w:color w:val="auto"/>
              </w:rPr>
            </w:pPr>
            <w:r>
              <w:rPr>
                <w:rFonts w:ascii="Arial" w:cs="Arial" w:eastAsia="Arial" w:hAnsi="Arial"/>
                <w:sz w:val="14"/>
                <w:szCs w:val="14"/>
                <w:b w:val="1"/>
                <w:bCs w:val="1"/>
                <w:color w:val="auto"/>
                <w:w w:val="89"/>
              </w:rPr>
              <w:t>Private</w:t>
            </w:r>
          </w:p>
        </w:tc>
        <w:tc>
          <w:tcPr>
            <w:tcW w:w="58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Total</w:t>
            </w:r>
          </w:p>
        </w:tc>
        <w:tc>
          <w:tcPr>
            <w:tcW w:w="60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29"/>
        </w:trPr>
        <w:tc>
          <w:tcPr>
            <w:tcW w:w="20" w:type="dxa"/>
            <w:vAlign w:val="bottom"/>
          </w:tcPr>
          <w:p>
            <w:pPr>
              <w:spacing w:after="0"/>
              <w:rPr>
                <w:sz w:val="11"/>
                <w:szCs w:val="11"/>
                <w:color w:val="auto"/>
              </w:rPr>
            </w:pPr>
          </w:p>
        </w:tc>
        <w:tc>
          <w:tcPr>
            <w:tcW w:w="32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jc w:val="center"/>
              <w:ind w:right="112"/>
              <w:spacing w:after="0" w:line="129" w:lineRule="exact"/>
              <w:rPr>
                <w:sz w:val="20"/>
                <w:szCs w:val="20"/>
                <w:color w:val="auto"/>
              </w:rPr>
            </w:pPr>
            <w:r>
              <w:rPr>
                <w:rFonts w:ascii="Arial" w:cs="Arial" w:eastAsia="Arial" w:hAnsi="Arial"/>
                <w:sz w:val="14"/>
                <w:szCs w:val="14"/>
                <w:b w:val="1"/>
                <w:bCs w:val="1"/>
                <w:color w:val="auto"/>
                <w:w w:val="78"/>
              </w:rPr>
              <w:t>Gross</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jc w:val="center"/>
              <w:ind w:right="132"/>
              <w:spacing w:after="0" w:line="129" w:lineRule="exact"/>
              <w:rPr>
                <w:sz w:val="20"/>
                <w:szCs w:val="20"/>
                <w:color w:val="auto"/>
              </w:rPr>
            </w:pPr>
            <w:r>
              <w:rPr>
                <w:rFonts w:ascii="Arial" w:cs="Arial" w:eastAsia="Arial" w:hAnsi="Arial"/>
                <w:sz w:val="14"/>
                <w:szCs w:val="14"/>
                <w:b w:val="1"/>
                <w:bCs w:val="1"/>
                <w:color w:val="auto"/>
                <w:w w:val="83"/>
              </w:rPr>
              <w:t>Gross</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jc w:val="center"/>
              <w:ind w:right="92"/>
              <w:spacing w:after="0" w:line="129" w:lineRule="exact"/>
              <w:rPr>
                <w:sz w:val="20"/>
                <w:szCs w:val="20"/>
                <w:color w:val="auto"/>
              </w:rPr>
            </w:pPr>
            <w:r>
              <w:rPr>
                <w:rFonts w:ascii="Arial" w:cs="Arial" w:eastAsia="Arial" w:hAnsi="Arial"/>
                <w:sz w:val="14"/>
                <w:szCs w:val="14"/>
                <w:b w:val="1"/>
                <w:bCs w:val="1"/>
                <w:color w:val="auto"/>
                <w:w w:val="78"/>
              </w:rPr>
              <w:t>Gross</w:t>
            </w: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32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6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0"/>
              </w:rPr>
              <w:t>Carrying</w:t>
            </w:r>
          </w:p>
        </w:tc>
        <w:tc>
          <w:tcPr>
            <w:tcW w:w="180" w:type="dxa"/>
            <w:vAlign w:val="bottom"/>
          </w:tcPr>
          <w:p>
            <w:pPr>
              <w:spacing w:after="0"/>
              <w:rPr>
                <w:sz w:val="12"/>
                <w:szCs w:val="12"/>
                <w:color w:val="auto"/>
              </w:rPr>
            </w:pPr>
          </w:p>
        </w:tc>
        <w:tc>
          <w:tcPr>
            <w:tcW w:w="7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6"/>
              </w:rPr>
              <w:t>unrealized</w:t>
            </w:r>
          </w:p>
        </w:tc>
        <w:tc>
          <w:tcPr>
            <w:tcW w:w="160" w:type="dxa"/>
            <w:vAlign w:val="bottom"/>
          </w:tcPr>
          <w:p>
            <w:pPr>
              <w:spacing w:after="0"/>
              <w:rPr>
                <w:sz w:val="12"/>
                <w:szCs w:val="12"/>
                <w:color w:val="auto"/>
              </w:rPr>
            </w:pPr>
          </w:p>
        </w:tc>
        <w:tc>
          <w:tcPr>
            <w:tcW w:w="6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3"/>
              </w:rPr>
              <w:t>Carrying</w:t>
            </w:r>
          </w:p>
        </w:tc>
        <w:tc>
          <w:tcPr>
            <w:tcW w:w="160" w:type="dxa"/>
            <w:vAlign w:val="bottom"/>
          </w:tcPr>
          <w:p>
            <w:pPr>
              <w:spacing w:after="0"/>
              <w:rPr>
                <w:sz w:val="12"/>
                <w:szCs w:val="12"/>
                <w:color w:val="auto"/>
              </w:rPr>
            </w:pPr>
          </w:p>
        </w:tc>
        <w:tc>
          <w:tcPr>
            <w:tcW w:w="7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unrealized</w:t>
            </w:r>
          </w:p>
        </w:tc>
        <w:tc>
          <w:tcPr>
            <w:tcW w:w="160" w:type="dxa"/>
            <w:vAlign w:val="bottom"/>
          </w:tcPr>
          <w:p>
            <w:pPr>
              <w:spacing w:after="0"/>
              <w:rPr>
                <w:sz w:val="12"/>
                <w:szCs w:val="12"/>
                <w:color w:val="auto"/>
              </w:rPr>
            </w:pPr>
          </w:p>
        </w:tc>
        <w:tc>
          <w:tcPr>
            <w:tcW w:w="6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3"/>
              </w:rPr>
              <w:t>Carrying</w:t>
            </w:r>
          </w:p>
        </w:tc>
        <w:tc>
          <w:tcPr>
            <w:tcW w:w="160" w:type="dxa"/>
            <w:vAlign w:val="bottom"/>
          </w:tcPr>
          <w:p>
            <w:pPr>
              <w:spacing w:after="0"/>
              <w:rPr>
                <w:sz w:val="12"/>
                <w:szCs w:val="12"/>
                <w:color w:val="auto"/>
              </w:rPr>
            </w:pPr>
          </w:p>
        </w:tc>
        <w:tc>
          <w:tcPr>
            <w:tcW w:w="92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6"/>
              </w:rPr>
              <w:t>unrealized</w:t>
            </w:r>
          </w:p>
        </w:tc>
      </w:tr>
      <w:tr>
        <w:trPr>
          <w:trHeight w:val="161"/>
        </w:trPr>
        <w:tc>
          <w:tcPr>
            <w:tcW w:w="20" w:type="dxa"/>
            <w:vAlign w:val="bottom"/>
          </w:tcPr>
          <w:p>
            <w:pPr>
              <w:spacing w:after="0"/>
              <w:rPr>
                <w:sz w:val="14"/>
                <w:szCs w:val="14"/>
                <w:color w:val="auto"/>
              </w:rPr>
            </w:pPr>
          </w:p>
        </w:tc>
        <w:tc>
          <w:tcPr>
            <w:tcW w:w="32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6"/>
              </w:rPr>
              <w:t>amount</w:t>
            </w: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center"/>
              <w:ind w:right="112"/>
              <w:spacing w:after="0"/>
              <w:rPr>
                <w:sz w:val="20"/>
                <w:szCs w:val="20"/>
                <w:color w:val="auto"/>
              </w:rPr>
            </w:pPr>
            <w:r>
              <w:rPr>
                <w:rFonts w:ascii="Arial" w:cs="Arial" w:eastAsia="Arial" w:hAnsi="Arial"/>
                <w:sz w:val="14"/>
                <w:szCs w:val="14"/>
                <w:b w:val="1"/>
                <w:bCs w:val="1"/>
                <w:color w:val="auto"/>
                <w:w w:val="73"/>
              </w:rPr>
              <w:t>losses</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86"/>
              </w:rPr>
              <w:t>amount</w:t>
            </w: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center"/>
              <w:ind w:right="132"/>
              <w:spacing w:after="0"/>
              <w:rPr>
                <w:sz w:val="20"/>
                <w:szCs w:val="20"/>
                <w:color w:val="auto"/>
              </w:rPr>
            </w:pPr>
            <w:r>
              <w:rPr>
                <w:rFonts w:ascii="Arial" w:cs="Arial" w:eastAsia="Arial" w:hAnsi="Arial"/>
                <w:sz w:val="14"/>
                <w:szCs w:val="14"/>
                <w:b w:val="1"/>
                <w:bCs w:val="1"/>
                <w:color w:val="auto"/>
                <w:w w:val="77"/>
              </w:rPr>
              <w:t>losses</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6"/>
              </w:rPr>
              <w:t>amount</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center"/>
              <w:ind w:right="92"/>
              <w:spacing w:after="0"/>
              <w:rPr>
                <w:sz w:val="20"/>
                <w:szCs w:val="20"/>
                <w:color w:val="auto"/>
              </w:rPr>
            </w:pPr>
            <w:r>
              <w:rPr>
                <w:rFonts w:ascii="Arial" w:cs="Arial" w:eastAsia="Arial" w:hAnsi="Arial"/>
                <w:sz w:val="14"/>
                <w:szCs w:val="14"/>
                <w:b w:val="1"/>
                <w:bCs w:val="1"/>
                <w:color w:val="auto"/>
                <w:w w:val="73"/>
              </w:rPr>
              <w:t>losses</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32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920" w:type="dxa"/>
            <w:vAlign w:val="bottom"/>
            <w:gridSpan w:val="3"/>
          </w:tcPr>
          <w:p>
            <w:pPr>
              <w:jc w:val="right"/>
              <w:ind w:right="392"/>
              <w:spacing w:after="0" w:line="142" w:lineRule="exact"/>
              <w:rPr>
                <w:sz w:val="20"/>
                <w:szCs w:val="20"/>
                <w:color w:val="auto"/>
              </w:rPr>
            </w:pPr>
            <w:r>
              <w:rPr>
                <w:rFonts w:ascii="Arial" w:cs="Arial" w:eastAsia="Arial" w:hAnsi="Arial"/>
                <w:sz w:val="14"/>
                <w:szCs w:val="14"/>
                <w:b w:val="1"/>
                <w:bCs w:val="1"/>
                <w:i w:val="1"/>
                <w:iCs w:val="1"/>
                <w:color w:val="auto"/>
                <w:w w:val="76"/>
              </w:rPr>
              <w:t>millions)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Three months or less</w:t>
            </w: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32.9</w:t>
            </w:r>
          </w:p>
        </w:tc>
        <w:tc>
          <w:tcPr>
            <w:tcW w:w="340" w:type="dxa"/>
            <w:vAlign w:val="bottom"/>
            <w:gridSpan w:val="2"/>
            <w:shd w:val="clear" w:color="auto" w:fill="CCEEFF"/>
          </w:tcPr>
          <w:p>
            <w:pPr>
              <w:ind w:left="180"/>
              <w:spacing w:after="0" w:line="149" w:lineRule="exact"/>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0.4</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47.6</w:t>
            </w:r>
          </w:p>
        </w:tc>
        <w:tc>
          <w:tcPr>
            <w:tcW w:w="34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0.8</w:t>
            </w:r>
          </w:p>
        </w:tc>
        <w:tc>
          <w:tcPr>
            <w:tcW w:w="24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w w:val="76"/>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80.5</w:t>
            </w:r>
          </w:p>
        </w:tc>
        <w:tc>
          <w:tcPr>
            <w:tcW w:w="320" w:type="dxa"/>
            <w:vAlign w:val="bottom"/>
            <w:gridSpan w:val="2"/>
            <w:shd w:val="clear" w:color="auto" w:fill="CCEEFF"/>
          </w:tcPr>
          <w:p>
            <w:pPr>
              <w:jc w:val="right"/>
              <w:ind w:right="17"/>
              <w:spacing w:after="0" w:line="149"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tcPr>
          <w:p>
            <w:pPr>
              <w:spacing w:after="0" w:line="149" w:lineRule="exact"/>
              <w:rPr>
                <w:sz w:val="20"/>
                <w:szCs w:val="20"/>
                <w:color w:val="auto"/>
              </w:rPr>
            </w:pPr>
            <w:r>
              <w:rPr>
                <w:rFonts w:ascii="Arial" w:cs="Arial" w:eastAsia="Arial" w:hAnsi="Arial"/>
                <w:sz w:val="14"/>
                <w:szCs w:val="14"/>
                <w:color w:val="auto"/>
              </w:rPr>
              <w:t>Greater than three to six months</w:t>
            </w: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7.5</w:t>
            </w: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0.1</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76.1</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1.6</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83.6</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1.7</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Greater than six to nine months</w:t>
            </w:r>
          </w:p>
        </w:tc>
        <w:tc>
          <w:tcPr>
            <w:tcW w:w="7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11.0</w:t>
            </w:r>
          </w:p>
        </w:tc>
        <w:tc>
          <w:tcPr>
            <w:tcW w:w="1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17.1</w:t>
            </w: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28.1</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tcPr>
          <w:p>
            <w:pPr>
              <w:spacing w:after="0" w:line="149" w:lineRule="exact"/>
              <w:rPr>
                <w:sz w:val="20"/>
                <w:szCs w:val="20"/>
                <w:color w:val="auto"/>
              </w:rPr>
            </w:pPr>
            <w:r>
              <w:rPr>
                <w:rFonts w:ascii="Arial" w:cs="Arial" w:eastAsia="Arial" w:hAnsi="Arial"/>
                <w:sz w:val="14"/>
                <w:szCs w:val="14"/>
                <w:color w:val="auto"/>
              </w:rPr>
              <w:t>Greater than nine to twelve months</w:t>
            </w: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26.7</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1.6</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26.7</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1.6</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Greater than twelve to twenty-four months</w:t>
            </w:r>
          </w:p>
        </w:tc>
        <w:tc>
          <w:tcPr>
            <w:tcW w:w="7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17.7</w:t>
            </w:r>
          </w:p>
        </w:tc>
        <w:tc>
          <w:tcPr>
            <w:tcW w:w="1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5.1</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33.5</w:t>
            </w: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51.2</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tcPr>
          <w:p>
            <w:pPr>
              <w:spacing w:after="0" w:line="149" w:lineRule="exact"/>
              <w:rPr>
                <w:sz w:val="20"/>
                <w:szCs w:val="20"/>
                <w:color w:val="auto"/>
              </w:rPr>
            </w:pPr>
            <w:r>
              <w:rPr>
                <w:rFonts w:ascii="Arial" w:cs="Arial" w:eastAsia="Arial" w:hAnsi="Arial"/>
                <w:sz w:val="14"/>
                <w:szCs w:val="14"/>
                <w:color w:val="auto"/>
              </w:rPr>
              <w:t>Greater than twenty-four to thirty-six months</w:t>
            </w: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6.8</w:t>
            </w: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0.3</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12.4</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8.4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19.2</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8.7</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Greater than thirty-six months</w:t>
            </w:r>
          </w:p>
        </w:tc>
        <w:tc>
          <w:tcPr>
            <w:tcW w:w="78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556.2</w:t>
            </w:r>
          </w:p>
        </w:tc>
        <w:tc>
          <w:tcPr>
            <w:tcW w:w="18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251.7</w:t>
            </w:r>
          </w:p>
        </w:tc>
        <w:tc>
          <w:tcPr>
            <w:tcW w:w="16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400.4</w:t>
            </w:r>
          </w:p>
        </w:tc>
        <w:tc>
          <w:tcPr>
            <w:tcW w:w="160" w:type="dxa"/>
            <w:vAlign w:val="bottom"/>
            <w:shd w:val="clear" w:color="auto" w:fill="CCEEFF"/>
          </w:tcPr>
          <w:p>
            <w:pPr>
              <w:spacing w:after="0"/>
              <w:rPr>
                <w:sz w:val="12"/>
                <w:szCs w:val="12"/>
                <w:color w:val="auto"/>
              </w:rPr>
            </w:pPr>
          </w:p>
        </w:tc>
        <w:tc>
          <w:tcPr>
            <w:tcW w:w="18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208.7</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956.6</w:t>
            </w:r>
          </w:p>
        </w:tc>
        <w:tc>
          <w:tcPr>
            <w:tcW w:w="16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6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460.4</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200" w:type="dxa"/>
            <w:vAlign w:val="bottom"/>
          </w:tcPr>
          <w:p>
            <w:pPr>
              <w:ind w:left="140"/>
              <w:spacing w:after="0" w:line="142" w:lineRule="exact"/>
              <w:rPr>
                <w:sz w:val="20"/>
                <w:szCs w:val="20"/>
                <w:color w:val="auto"/>
              </w:rPr>
            </w:pPr>
            <w:r>
              <w:rPr>
                <w:rFonts w:ascii="Arial" w:cs="Arial" w:eastAsia="Arial" w:hAnsi="Arial"/>
                <w:sz w:val="14"/>
                <w:szCs w:val="14"/>
                <w:color w:val="auto"/>
              </w:rPr>
              <w:t>Total fixed maturities, available-for-sale</w:t>
            </w:r>
          </w:p>
        </w:tc>
        <w:tc>
          <w:tcPr>
            <w:tcW w:w="780" w:type="dxa"/>
            <w:vAlign w:val="bottom"/>
          </w:tcPr>
          <w:p>
            <w:pPr>
              <w:spacing w:after="0"/>
              <w:rPr>
                <w:sz w:val="12"/>
                <w:szCs w:val="12"/>
                <w:color w:val="auto"/>
              </w:rPr>
            </w:pPr>
          </w:p>
        </w:tc>
        <w:tc>
          <w:tcPr>
            <w:tcW w:w="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632.1</w:t>
            </w:r>
          </w:p>
        </w:tc>
        <w:tc>
          <w:tcPr>
            <w:tcW w:w="180" w:type="dxa"/>
            <w:vAlign w:val="bottom"/>
          </w:tcPr>
          <w:p>
            <w:pPr>
              <w:spacing w:after="0"/>
              <w:rPr>
                <w:sz w:val="12"/>
                <w:szCs w:val="12"/>
                <w:color w:val="auto"/>
              </w:rPr>
            </w:pPr>
          </w:p>
        </w:tc>
        <w:tc>
          <w:tcPr>
            <w:tcW w:w="16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color w:val="auto"/>
              </w:rPr>
              <w:t>$</w:t>
            </w:r>
          </w:p>
        </w:tc>
        <w:tc>
          <w:tcPr>
            <w:tcW w:w="5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258.8</w:t>
            </w:r>
          </w:p>
        </w:tc>
        <w:tc>
          <w:tcPr>
            <w:tcW w:w="160" w:type="dxa"/>
            <w:vAlign w:val="bottom"/>
          </w:tcPr>
          <w:p>
            <w:pPr>
              <w:spacing w:after="0"/>
              <w:rPr>
                <w:sz w:val="12"/>
                <w:szCs w:val="12"/>
                <w:color w:val="auto"/>
              </w:rPr>
            </w:pPr>
          </w:p>
        </w:tc>
        <w:tc>
          <w:tcPr>
            <w:tcW w:w="1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613.8</w:t>
            </w:r>
          </w:p>
        </w:tc>
        <w:tc>
          <w:tcPr>
            <w:tcW w:w="160" w:type="dxa"/>
            <w:vAlign w:val="bottom"/>
          </w:tcPr>
          <w:p>
            <w:pPr>
              <w:spacing w:after="0"/>
              <w:rPr>
                <w:sz w:val="12"/>
                <w:szCs w:val="12"/>
                <w:color w:val="auto"/>
              </w:rPr>
            </w:pPr>
          </w:p>
        </w:tc>
        <w:tc>
          <w:tcPr>
            <w:tcW w:w="18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color w:val="auto"/>
              </w:rPr>
              <w:t>$</w:t>
            </w:r>
          </w:p>
        </w:tc>
        <w:tc>
          <w:tcPr>
            <w:tcW w:w="5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225.3</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color w:val="auto"/>
                <w:w w:val="76"/>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1,245.9</w:t>
            </w:r>
          </w:p>
        </w:tc>
        <w:tc>
          <w:tcPr>
            <w:tcW w:w="160" w:type="dxa"/>
            <w:vAlign w:val="bottom"/>
          </w:tcPr>
          <w:p>
            <w:pPr>
              <w:spacing w:after="0"/>
              <w:rPr>
                <w:sz w:val="12"/>
                <w:szCs w:val="12"/>
                <w:color w:val="auto"/>
              </w:rPr>
            </w:pPr>
          </w:p>
        </w:tc>
        <w:tc>
          <w:tcPr>
            <w:tcW w:w="160" w:type="dxa"/>
            <w:vAlign w:val="bottom"/>
            <w:tcBorders>
              <w:bottom w:val="single" w:sz="8" w:color="auto"/>
            </w:tcBorders>
          </w:tcPr>
          <w:p>
            <w:pPr>
              <w:jc w:val="right"/>
              <w:ind w:right="17"/>
              <w:spacing w:after="0" w:line="142" w:lineRule="exact"/>
              <w:rPr>
                <w:sz w:val="20"/>
                <w:szCs w:val="20"/>
                <w:color w:val="auto"/>
              </w:rPr>
            </w:pPr>
            <w:r>
              <w:rPr>
                <w:rFonts w:ascii="Arial" w:cs="Arial" w:eastAsia="Arial" w:hAnsi="Arial"/>
                <w:sz w:val="14"/>
                <w:szCs w:val="14"/>
                <w:color w:val="auto"/>
                <w:w w:val="76"/>
              </w:rPr>
              <w:t>$</w:t>
            </w:r>
          </w:p>
        </w:tc>
        <w:tc>
          <w:tcPr>
            <w:tcW w:w="6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484.1</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2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firstLine="456"/>
        <w:spacing w:after="0" w:line="332" w:lineRule="auto"/>
        <w:rPr>
          <w:sz w:val="20"/>
          <w:szCs w:val="20"/>
          <w:color w:val="auto"/>
        </w:rPr>
      </w:pPr>
      <w:r>
        <w:rPr>
          <w:rFonts w:ascii="Arial" w:cs="Arial" w:eastAsia="Arial" w:hAnsi="Arial"/>
          <w:sz w:val="16"/>
          <w:szCs w:val="16"/>
          <w:color w:val="auto"/>
        </w:rPr>
        <w:t>The following tables present the carrying amount and the gross unrealized losses, including other-than-temporary impairment losses reported in OCI, on fixed maturities available-for-sale where the estimated fair value had declined and remained below amortized cost by 20% or more as of the periods indicated.</w:t>
      </w:r>
    </w:p>
    <w:p>
      <w:pPr>
        <w:spacing w:after="0" w:line="135"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gridSpan w:val="4"/>
          </w:tcPr>
          <w:p>
            <w:pPr>
              <w:jc w:val="center"/>
              <w:ind w:right="52"/>
              <w:spacing w:after="0"/>
              <w:rPr>
                <w:sz w:val="20"/>
                <w:szCs w:val="20"/>
                <w:color w:val="auto"/>
              </w:rPr>
            </w:pPr>
            <w:r>
              <w:rPr>
                <w:rFonts w:ascii="Arial" w:cs="Arial" w:eastAsia="Arial" w:hAnsi="Arial"/>
                <w:sz w:val="14"/>
                <w:szCs w:val="14"/>
                <w:b w:val="1"/>
                <w:bCs w:val="1"/>
                <w:color w:val="auto"/>
                <w:w w:val="85"/>
              </w:rPr>
              <w:t>December 31, 2013</w:t>
            </w: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3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80" w:type="dxa"/>
            <w:vAlign w:val="bottom"/>
            <w:gridSpan w:val="4"/>
          </w:tcPr>
          <w:p>
            <w:pPr>
              <w:jc w:val="center"/>
              <w:ind w:right="12"/>
              <w:spacing w:after="0" w:line="129" w:lineRule="exact"/>
              <w:rPr>
                <w:sz w:val="20"/>
                <w:szCs w:val="20"/>
                <w:color w:val="auto"/>
              </w:rPr>
            </w:pPr>
            <w:r>
              <w:rPr>
                <w:rFonts w:ascii="Arial" w:cs="Arial" w:eastAsia="Arial" w:hAnsi="Arial"/>
                <w:sz w:val="14"/>
                <w:szCs w:val="14"/>
                <w:b w:val="1"/>
                <w:bCs w:val="1"/>
                <w:color w:val="auto"/>
                <w:w w:val="88"/>
              </w:rPr>
              <w:t>Problem, potential</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40" w:type="dxa"/>
            <w:vAlign w:val="bottom"/>
            <w:gridSpan w:val="3"/>
          </w:tcPr>
          <w:p>
            <w:pPr>
              <w:jc w:val="center"/>
              <w:ind w:left="152"/>
              <w:spacing w:after="0" w:line="129" w:lineRule="exact"/>
              <w:rPr>
                <w:sz w:val="20"/>
                <w:szCs w:val="20"/>
                <w:color w:val="auto"/>
              </w:rPr>
            </w:pPr>
            <w:r>
              <w:rPr>
                <w:rFonts w:ascii="Arial" w:cs="Arial" w:eastAsia="Arial" w:hAnsi="Arial"/>
                <w:sz w:val="14"/>
                <w:szCs w:val="14"/>
                <w:b w:val="1"/>
                <w:bCs w:val="1"/>
                <w:color w:val="auto"/>
                <w:w w:val="89"/>
              </w:rPr>
              <w:t>All other fixed</w:t>
            </w: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3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80" w:type="dxa"/>
            <w:vAlign w:val="bottom"/>
            <w:gridSpan w:val="4"/>
          </w:tcPr>
          <w:p>
            <w:pPr>
              <w:jc w:val="center"/>
              <w:ind w:right="12"/>
              <w:spacing w:after="0" w:line="149" w:lineRule="exact"/>
              <w:rPr>
                <w:sz w:val="20"/>
                <w:szCs w:val="20"/>
                <w:color w:val="auto"/>
              </w:rPr>
            </w:pPr>
            <w:r>
              <w:rPr>
                <w:rFonts w:ascii="Arial" w:cs="Arial" w:eastAsia="Arial" w:hAnsi="Arial"/>
                <w:sz w:val="14"/>
                <w:szCs w:val="14"/>
                <w:b w:val="1"/>
                <w:bCs w:val="1"/>
                <w:color w:val="auto"/>
                <w:w w:val="86"/>
              </w:rPr>
              <w:t>problem, and</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3"/>
          </w:tcPr>
          <w:p>
            <w:pPr>
              <w:jc w:val="center"/>
              <w:ind w:left="172"/>
              <w:spacing w:after="0" w:line="149" w:lineRule="exact"/>
              <w:rPr>
                <w:sz w:val="20"/>
                <w:szCs w:val="20"/>
                <w:color w:val="auto"/>
              </w:rPr>
            </w:pPr>
            <w:r>
              <w:rPr>
                <w:rFonts w:ascii="Arial" w:cs="Arial" w:eastAsia="Arial" w:hAnsi="Arial"/>
                <w:sz w:val="14"/>
                <w:szCs w:val="14"/>
                <w:b w:val="1"/>
                <w:bCs w:val="1"/>
                <w:color w:val="auto"/>
                <w:w w:val="90"/>
              </w:rPr>
              <w:t>maturity</w:t>
            </w: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61"/>
        </w:trPr>
        <w:tc>
          <w:tcPr>
            <w:tcW w:w="20" w:type="dxa"/>
            <w:vAlign w:val="bottom"/>
          </w:tcPr>
          <w:p>
            <w:pPr>
              <w:spacing w:after="0"/>
              <w:rPr>
                <w:sz w:val="14"/>
                <w:szCs w:val="14"/>
                <w:color w:val="auto"/>
              </w:rPr>
            </w:pPr>
          </w:p>
        </w:tc>
        <w:tc>
          <w:tcPr>
            <w:tcW w:w="3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gridSpan w:val="4"/>
          </w:tcPr>
          <w:p>
            <w:pPr>
              <w:jc w:val="center"/>
              <w:ind w:right="12"/>
              <w:spacing w:after="0"/>
              <w:rPr>
                <w:sz w:val="20"/>
                <w:szCs w:val="20"/>
                <w:color w:val="auto"/>
              </w:rPr>
            </w:pPr>
            <w:r>
              <w:rPr>
                <w:rFonts w:ascii="Arial" w:cs="Arial" w:eastAsia="Arial" w:hAnsi="Arial"/>
                <w:sz w:val="14"/>
                <w:szCs w:val="14"/>
                <w:b w:val="1"/>
                <w:bCs w:val="1"/>
                <w:color w:val="auto"/>
                <w:w w:val="87"/>
              </w:rPr>
              <w:t>restructured</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gridSpan w:val="3"/>
          </w:tcPr>
          <w:p>
            <w:pPr>
              <w:jc w:val="center"/>
              <w:ind w:left="172"/>
              <w:spacing w:after="0"/>
              <w:rPr>
                <w:sz w:val="20"/>
                <w:szCs w:val="20"/>
                <w:color w:val="auto"/>
              </w:rPr>
            </w:pPr>
            <w:r>
              <w:rPr>
                <w:rFonts w:ascii="Arial" w:cs="Arial" w:eastAsia="Arial" w:hAnsi="Arial"/>
                <w:sz w:val="14"/>
                <w:szCs w:val="14"/>
                <w:b w:val="1"/>
                <w:bCs w:val="1"/>
                <w:color w:val="auto"/>
                <w:w w:val="82"/>
              </w:rPr>
              <w:t>securities</w:t>
            </w:r>
          </w:p>
        </w:tc>
        <w:tc>
          <w:tcPr>
            <w:tcW w:w="3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Total</w:t>
            </w:r>
          </w:p>
        </w:tc>
        <w:tc>
          <w:tcPr>
            <w:tcW w:w="6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3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jc w:val="center"/>
              <w:ind w:right="72"/>
              <w:spacing w:after="0" w:line="129" w:lineRule="exact"/>
              <w:rPr>
                <w:sz w:val="20"/>
                <w:szCs w:val="20"/>
                <w:color w:val="auto"/>
              </w:rPr>
            </w:pPr>
            <w:r>
              <w:rPr>
                <w:rFonts w:ascii="Arial" w:cs="Arial" w:eastAsia="Arial" w:hAnsi="Arial"/>
                <w:sz w:val="14"/>
                <w:szCs w:val="14"/>
                <w:b w:val="1"/>
                <w:bCs w:val="1"/>
                <w:color w:val="auto"/>
                <w:w w:val="78"/>
              </w:rPr>
              <w:t>Gross</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83"/>
              </w:rPr>
              <w:t>Gross</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jc w:val="center"/>
              <w:ind w:right="92"/>
              <w:spacing w:after="0" w:line="129" w:lineRule="exact"/>
              <w:rPr>
                <w:sz w:val="20"/>
                <w:szCs w:val="20"/>
                <w:color w:val="auto"/>
              </w:rPr>
            </w:pPr>
            <w:r>
              <w:rPr>
                <w:rFonts w:ascii="Arial" w:cs="Arial" w:eastAsia="Arial" w:hAnsi="Arial"/>
                <w:sz w:val="14"/>
                <w:szCs w:val="14"/>
                <w:b w:val="1"/>
                <w:bCs w:val="1"/>
                <w:color w:val="auto"/>
                <w:w w:val="78"/>
              </w:rPr>
              <w:t>Gross</w:t>
            </w: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3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6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0"/>
              </w:rPr>
              <w:t>Carrying</w:t>
            </w:r>
          </w:p>
        </w:tc>
        <w:tc>
          <w:tcPr>
            <w:tcW w:w="180" w:type="dxa"/>
            <w:vAlign w:val="bottom"/>
          </w:tcPr>
          <w:p>
            <w:pPr>
              <w:spacing w:after="0"/>
              <w:rPr>
                <w:sz w:val="12"/>
                <w:szCs w:val="12"/>
                <w:color w:val="auto"/>
              </w:rPr>
            </w:pPr>
          </w:p>
        </w:tc>
        <w:tc>
          <w:tcPr>
            <w:tcW w:w="7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6"/>
              </w:rPr>
              <w:t>unrealized</w:t>
            </w:r>
          </w:p>
        </w:tc>
        <w:tc>
          <w:tcPr>
            <w:tcW w:w="160" w:type="dxa"/>
            <w:vAlign w:val="bottom"/>
          </w:tcPr>
          <w:p>
            <w:pPr>
              <w:spacing w:after="0"/>
              <w:rPr>
                <w:sz w:val="12"/>
                <w:szCs w:val="12"/>
                <w:color w:val="auto"/>
              </w:rPr>
            </w:pPr>
          </w:p>
        </w:tc>
        <w:tc>
          <w:tcPr>
            <w:tcW w:w="6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3"/>
              </w:rPr>
              <w:t>Carrying</w:t>
            </w:r>
          </w:p>
        </w:tc>
        <w:tc>
          <w:tcPr>
            <w:tcW w:w="160" w:type="dxa"/>
            <w:vAlign w:val="bottom"/>
          </w:tcPr>
          <w:p>
            <w:pPr>
              <w:spacing w:after="0"/>
              <w:rPr>
                <w:sz w:val="12"/>
                <w:szCs w:val="12"/>
                <w:color w:val="auto"/>
              </w:rPr>
            </w:pPr>
          </w:p>
        </w:tc>
        <w:tc>
          <w:tcPr>
            <w:tcW w:w="7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unrealized</w:t>
            </w:r>
          </w:p>
        </w:tc>
        <w:tc>
          <w:tcPr>
            <w:tcW w:w="160" w:type="dxa"/>
            <w:vAlign w:val="bottom"/>
          </w:tcPr>
          <w:p>
            <w:pPr>
              <w:spacing w:after="0"/>
              <w:rPr>
                <w:sz w:val="12"/>
                <w:szCs w:val="12"/>
                <w:color w:val="auto"/>
              </w:rPr>
            </w:pPr>
          </w:p>
        </w:tc>
        <w:tc>
          <w:tcPr>
            <w:tcW w:w="6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3"/>
              </w:rPr>
              <w:t>Carrying</w:t>
            </w:r>
          </w:p>
        </w:tc>
        <w:tc>
          <w:tcPr>
            <w:tcW w:w="160" w:type="dxa"/>
            <w:vAlign w:val="bottom"/>
          </w:tcPr>
          <w:p>
            <w:pPr>
              <w:spacing w:after="0"/>
              <w:rPr>
                <w:sz w:val="12"/>
                <w:szCs w:val="12"/>
                <w:color w:val="auto"/>
              </w:rPr>
            </w:pPr>
          </w:p>
        </w:tc>
        <w:tc>
          <w:tcPr>
            <w:tcW w:w="92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6"/>
              </w:rPr>
              <w:t>unrealized</w:t>
            </w:r>
          </w:p>
        </w:tc>
      </w:tr>
      <w:tr>
        <w:trPr>
          <w:trHeight w:val="161"/>
        </w:trPr>
        <w:tc>
          <w:tcPr>
            <w:tcW w:w="20" w:type="dxa"/>
            <w:vAlign w:val="bottom"/>
          </w:tcPr>
          <w:p>
            <w:pPr>
              <w:spacing w:after="0"/>
              <w:rPr>
                <w:sz w:val="14"/>
                <w:szCs w:val="14"/>
                <w:color w:val="auto"/>
              </w:rPr>
            </w:pPr>
          </w:p>
        </w:tc>
        <w:tc>
          <w:tcPr>
            <w:tcW w:w="3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6"/>
              </w:rPr>
              <w:t>amount</w:t>
            </w:r>
          </w:p>
        </w:tc>
        <w:tc>
          <w:tcPr>
            <w:tcW w:w="1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center"/>
              <w:ind w:right="72"/>
              <w:spacing w:after="0"/>
              <w:rPr>
                <w:sz w:val="20"/>
                <w:szCs w:val="20"/>
                <w:color w:val="auto"/>
              </w:rPr>
            </w:pPr>
            <w:r>
              <w:rPr>
                <w:rFonts w:ascii="Arial" w:cs="Arial" w:eastAsia="Arial" w:hAnsi="Arial"/>
                <w:sz w:val="14"/>
                <w:szCs w:val="14"/>
                <w:b w:val="1"/>
                <w:bCs w:val="1"/>
                <w:color w:val="auto"/>
                <w:w w:val="73"/>
              </w:rPr>
              <w:t>losses</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86"/>
              </w:rPr>
              <w:t>amount</w:t>
            </w:r>
          </w:p>
        </w:tc>
        <w:tc>
          <w:tcPr>
            <w:tcW w:w="160" w:type="dxa"/>
            <w:vAlign w:val="bottom"/>
          </w:tcPr>
          <w:p>
            <w:pPr>
              <w:spacing w:after="0"/>
              <w:rPr>
                <w:sz w:val="14"/>
                <w:szCs w:val="14"/>
                <w:color w:val="auto"/>
              </w:rPr>
            </w:pPr>
          </w:p>
        </w:tc>
        <w:tc>
          <w:tcPr>
            <w:tcW w:w="7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77"/>
              </w:rPr>
              <w:t>losses</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6"/>
              </w:rPr>
              <w:t>amount</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center"/>
              <w:ind w:right="92"/>
              <w:spacing w:after="0"/>
              <w:rPr>
                <w:sz w:val="20"/>
                <w:szCs w:val="20"/>
                <w:color w:val="auto"/>
              </w:rPr>
            </w:pPr>
            <w:r>
              <w:rPr>
                <w:rFonts w:ascii="Arial" w:cs="Arial" w:eastAsia="Arial" w:hAnsi="Arial"/>
                <w:sz w:val="14"/>
                <w:szCs w:val="14"/>
                <w:b w:val="1"/>
                <w:bCs w:val="1"/>
                <w:color w:val="auto"/>
                <w:w w:val="73"/>
              </w:rPr>
              <w:t>losses</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3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580" w:type="dxa"/>
            <w:vAlign w:val="bottom"/>
            <w:gridSpan w:val="2"/>
          </w:tcPr>
          <w:p>
            <w:pPr>
              <w:spacing w:after="0" w:line="142" w:lineRule="exact"/>
              <w:rPr>
                <w:sz w:val="20"/>
                <w:szCs w:val="20"/>
                <w:color w:val="auto"/>
              </w:rPr>
            </w:pPr>
            <w:r>
              <w:rPr>
                <w:rFonts w:ascii="Arial" w:cs="Arial" w:eastAsia="Arial" w:hAnsi="Arial"/>
                <w:sz w:val="14"/>
                <w:szCs w:val="14"/>
                <w:b w:val="1"/>
                <w:bCs w:val="1"/>
                <w:i w:val="1"/>
                <w:iCs w:val="1"/>
                <w:color w:val="auto"/>
                <w:w w:val="97"/>
              </w:rPr>
              <w:t>millions)</w:t>
            </w: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1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Three months or less</w:t>
            </w:r>
          </w:p>
        </w:tc>
        <w:tc>
          <w:tcPr>
            <w:tcW w:w="9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0.7</w:t>
            </w:r>
          </w:p>
        </w:tc>
        <w:tc>
          <w:tcPr>
            <w:tcW w:w="3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0.2</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28.3</w:t>
            </w:r>
          </w:p>
        </w:tc>
        <w:tc>
          <w:tcPr>
            <w:tcW w:w="580" w:type="dxa"/>
            <w:vAlign w:val="bottom"/>
            <w:gridSpan w:val="2"/>
            <w:shd w:val="clear" w:color="auto" w:fill="CCEEFF"/>
          </w:tcPr>
          <w:p>
            <w:pPr>
              <w:jc w:val="right"/>
              <w:ind w:right="292"/>
              <w:spacing w:after="0" w:line="149" w:lineRule="exact"/>
              <w:rPr>
                <w:sz w:val="20"/>
                <w:szCs w:val="20"/>
                <w:color w:val="auto"/>
              </w:rPr>
            </w:pPr>
            <w:r>
              <w:rPr>
                <w:rFonts w:ascii="Arial" w:cs="Arial" w:eastAsia="Arial" w:hAnsi="Arial"/>
                <w:sz w:val="14"/>
                <w:szCs w:val="14"/>
                <w:b w:val="1"/>
                <w:bCs w:val="1"/>
                <w:color w:val="auto"/>
              </w:rPr>
              <w:t>$</w:t>
            </w:r>
          </w:p>
        </w:tc>
        <w:tc>
          <w:tcPr>
            <w:tcW w:w="3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9.3</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29.0</w:t>
            </w:r>
          </w:p>
        </w:tc>
        <w:tc>
          <w:tcPr>
            <w:tcW w:w="320" w:type="dxa"/>
            <w:vAlign w:val="bottom"/>
            <w:gridSpan w:val="2"/>
            <w:shd w:val="clear" w:color="auto" w:fill="CCEEFF"/>
          </w:tcPr>
          <w:p>
            <w:pPr>
              <w:jc w:val="right"/>
              <w:ind w:right="37"/>
              <w:spacing w:after="0" w:line="149" w:lineRule="exact"/>
              <w:rPr>
                <w:sz w:val="20"/>
                <w:szCs w:val="20"/>
                <w:color w:val="auto"/>
              </w:rPr>
            </w:pPr>
            <w:r>
              <w:rPr>
                <w:rFonts w:ascii="Arial" w:cs="Arial" w:eastAsia="Arial" w:hAnsi="Arial"/>
                <w:sz w:val="14"/>
                <w:szCs w:val="14"/>
                <w:b w:val="1"/>
                <w:bCs w:val="1"/>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9.5</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140" w:type="dxa"/>
            <w:vAlign w:val="bottom"/>
          </w:tcPr>
          <w:p>
            <w:pPr>
              <w:spacing w:after="0" w:line="149" w:lineRule="exact"/>
              <w:rPr>
                <w:sz w:val="20"/>
                <w:szCs w:val="20"/>
                <w:color w:val="auto"/>
              </w:rPr>
            </w:pPr>
            <w:r>
              <w:rPr>
                <w:rFonts w:ascii="Arial" w:cs="Arial" w:eastAsia="Arial" w:hAnsi="Arial"/>
                <w:sz w:val="14"/>
                <w:szCs w:val="14"/>
                <w:color w:val="auto"/>
              </w:rPr>
              <w:t>Greater than three to six months</w:t>
            </w: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4.1</w:t>
            </w: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1.6</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4.1</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1.6</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1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Greater than six to nine months</w:t>
            </w:r>
          </w:p>
        </w:tc>
        <w:tc>
          <w:tcPr>
            <w:tcW w:w="8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13.3</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4.1</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w:t>
            </w:r>
          </w:p>
        </w:tc>
        <w:tc>
          <w:tcPr>
            <w:tcW w:w="16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3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14.7</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140" w:type="dxa"/>
            <w:vAlign w:val="bottom"/>
          </w:tcPr>
          <w:p>
            <w:pPr>
              <w:spacing w:after="0" w:line="149" w:lineRule="exact"/>
              <w:rPr>
                <w:sz w:val="20"/>
                <w:szCs w:val="20"/>
                <w:color w:val="auto"/>
              </w:rPr>
            </w:pPr>
            <w:r>
              <w:rPr>
                <w:rFonts w:ascii="Arial" w:cs="Arial" w:eastAsia="Arial" w:hAnsi="Arial"/>
                <w:sz w:val="14"/>
                <w:szCs w:val="14"/>
                <w:color w:val="auto"/>
              </w:rPr>
              <w:t>Greater than nine to twelve months</w:t>
            </w: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5.0</w:t>
            </w: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5.0</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1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Greater than twelve months</w:t>
            </w:r>
          </w:p>
        </w:tc>
        <w:tc>
          <w:tcPr>
            <w:tcW w:w="84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127.7</w:t>
            </w:r>
          </w:p>
        </w:tc>
        <w:tc>
          <w:tcPr>
            <w:tcW w:w="18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6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169.7</w:t>
            </w:r>
          </w:p>
        </w:tc>
        <w:tc>
          <w:tcPr>
            <w:tcW w:w="16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271.3</w:t>
            </w:r>
          </w:p>
        </w:tc>
        <w:tc>
          <w:tcPr>
            <w:tcW w:w="160" w:type="dxa"/>
            <w:vAlign w:val="bottom"/>
            <w:shd w:val="clear" w:color="auto" w:fill="CCEEFF"/>
          </w:tcPr>
          <w:p>
            <w:pPr>
              <w:spacing w:after="0"/>
              <w:rPr>
                <w:sz w:val="12"/>
                <w:szCs w:val="12"/>
                <w:color w:val="auto"/>
              </w:rPr>
            </w:pPr>
          </w:p>
        </w:tc>
        <w:tc>
          <w:tcPr>
            <w:tcW w:w="420" w:type="dxa"/>
            <w:vAlign w:val="bottom"/>
            <w:tcBorders>
              <w:bottom w:val="single" w:sz="8" w:color="auto"/>
            </w:tcBorders>
            <w:shd w:val="clear" w:color="auto" w:fill="CCEEFF"/>
          </w:tcPr>
          <w:p>
            <w:pPr>
              <w:spacing w:after="0"/>
              <w:rPr>
                <w:sz w:val="12"/>
                <w:szCs w:val="12"/>
                <w:color w:val="auto"/>
              </w:rPr>
            </w:pPr>
          </w:p>
        </w:tc>
        <w:tc>
          <w:tcPr>
            <w:tcW w:w="3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85"/>
              </w:rPr>
              <w:t>108.6</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399.0</w:t>
            </w:r>
          </w:p>
        </w:tc>
        <w:tc>
          <w:tcPr>
            <w:tcW w:w="16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6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278.3</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140" w:type="dxa"/>
            <w:vAlign w:val="bottom"/>
          </w:tcPr>
          <w:p>
            <w:pPr>
              <w:ind w:left="140"/>
              <w:spacing w:after="0" w:line="142" w:lineRule="exact"/>
              <w:rPr>
                <w:sz w:val="20"/>
                <w:szCs w:val="20"/>
                <w:color w:val="auto"/>
              </w:rPr>
            </w:pPr>
            <w:r>
              <w:rPr>
                <w:rFonts w:ascii="Arial" w:cs="Arial" w:eastAsia="Arial" w:hAnsi="Arial"/>
                <w:sz w:val="14"/>
                <w:szCs w:val="14"/>
                <w:color w:val="auto"/>
              </w:rPr>
              <w:t>Total fixed maturities, available-for-sale</w:t>
            </w:r>
          </w:p>
        </w:tc>
        <w:tc>
          <w:tcPr>
            <w:tcW w:w="840" w:type="dxa"/>
            <w:vAlign w:val="bottom"/>
          </w:tcPr>
          <w:p>
            <w:pPr>
              <w:spacing w:after="0"/>
              <w:rPr>
                <w:sz w:val="12"/>
                <w:szCs w:val="12"/>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141.7</w:t>
            </w:r>
          </w:p>
        </w:tc>
        <w:tc>
          <w:tcPr>
            <w:tcW w:w="180" w:type="dxa"/>
            <w:vAlign w:val="bottom"/>
          </w:tcPr>
          <w:p>
            <w:pPr>
              <w:spacing w:after="0"/>
              <w:rPr>
                <w:sz w:val="12"/>
                <w:szCs w:val="12"/>
                <w:color w:val="auto"/>
              </w:rPr>
            </w:pPr>
          </w:p>
        </w:tc>
        <w:tc>
          <w:tcPr>
            <w:tcW w:w="12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rPr>
              <w:t>$</w:t>
            </w:r>
          </w:p>
        </w:tc>
        <w:tc>
          <w:tcPr>
            <w:tcW w:w="6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174.0</w:t>
            </w:r>
          </w:p>
        </w:tc>
        <w:tc>
          <w:tcPr>
            <w:tcW w:w="160" w:type="dxa"/>
            <w:vAlign w:val="bottom"/>
          </w:tcPr>
          <w:p>
            <w:pPr>
              <w:spacing w:after="0"/>
              <w:rPr>
                <w:sz w:val="12"/>
                <w:szCs w:val="12"/>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310.1</w:t>
            </w:r>
          </w:p>
        </w:tc>
        <w:tc>
          <w:tcPr>
            <w:tcW w:w="160" w:type="dxa"/>
            <w:vAlign w:val="bottom"/>
          </w:tcPr>
          <w:p>
            <w:pPr>
              <w:spacing w:after="0"/>
              <w:rPr>
                <w:sz w:val="12"/>
                <w:szCs w:val="12"/>
                <w:color w:val="auto"/>
              </w:rPr>
            </w:pPr>
          </w:p>
        </w:tc>
        <w:tc>
          <w:tcPr>
            <w:tcW w:w="42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rPr>
              <w:t>$</w:t>
            </w:r>
          </w:p>
        </w:tc>
        <w:tc>
          <w:tcPr>
            <w:tcW w:w="3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5"/>
              </w:rPr>
              <w:t>122.3</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76"/>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451.8</w:t>
            </w:r>
          </w:p>
        </w:tc>
        <w:tc>
          <w:tcPr>
            <w:tcW w:w="160" w:type="dxa"/>
            <w:vAlign w:val="bottom"/>
          </w:tcPr>
          <w:p>
            <w:pPr>
              <w:spacing w:after="0"/>
              <w:rPr>
                <w:sz w:val="12"/>
                <w:szCs w:val="12"/>
                <w:color w:val="auto"/>
              </w:rPr>
            </w:pPr>
          </w:p>
        </w:tc>
        <w:tc>
          <w:tcPr>
            <w:tcW w:w="160" w:type="dxa"/>
            <w:vAlign w:val="bottom"/>
            <w:tcBorders>
              <w:bottom w:val="single" w:sz="8" w:color="auto"/>
            </w:tcBorders>
          </w:tcPr>
          <w:p>
            <w:pPr>
              <w:jc w:val="right"/>
              <w:ind w:right="37"/>
              <w:spacing w:after="0"/>
              <w:rPr>
                <w:sz w:val="20"/>
                <w:szCs w:val="20"/>
                <w:color w:val="auto"/>
              </w:rPr>
            </w:pPr>
            <w:r>
              <w:rPr>
                <w:rFonts w:ascii="Arial" w:cs="Arial" w:eastAsia="Arial" w:hAnsi="Arial"/>
                <w:sz w:val="10"/>
                <w:szCs w:val="10"/>
                <w:b w:val="1"/>
                <w:bCs w:val="1"/>
                <w:color w:val="auto"/>
                <w:w w:val="71"/>
              </w:rPr>
              <w:t>$</w:t>
            </w:r>
          </w:p>
        </w:tc>
        <w:tc>
          <w:tcPr>
            <w:tcW w:w="6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296.3</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777"/>
        </w:trPr>
        <w:tc>
          <w:tcPr>
            <w:tcW w:w="20" w:type="dxa"/>
            <w:vAlign w:val="bottom"/>
          </w:tcPr>
          <w:p>
            <w:pPr>
              <w:spacing w:after="0"/>
              <w:rPr>
                <w:sz w:val="24"/>
                <w:szCs w:val="24"/>
                <w:color w:val="auto"/>
              </w:rPr>
            </w:pPr>
          </w:p>
        </w:tc>
        <w:tc>
          <w:tcPr>
            <w:tcW w:w="3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gridSpan w:val="4"/>
          </w:tcPr>
          <w:p>
            <w:pPr>
              <w:jc w:val="center"/>
              <w:ind w:right="52"/>
              <w:spacing w:after="0"/>
              <w:rPr>
                <w:sz w:val="20"/>
                <w:szCs w:val="20"/>
                <w:color w:val="auto"/>
              </w:rPr>
            </w:pPr>
            <w:r>
              <w:rPr>
                <w:rFonts w:ascii="Arial" w:cs="Arial" w:eastAsia="Arial" w:hAnsi="Arial"/>
                <w:sz w:val="14"/>
                <w:szCs w:val="14"/>
                <w:b w:val="1"/>
                <w:bCs w:val="1"/>
                <w:color w:val="auto"/>
                <w:w w:val="85"/>
              </w:rPr>
              <w:t>December 31, 2012</w:t>
            </w:r>
          </w:p>
        </w:tc>
        <w:tc>
          <w:tcPr>
            <w:tcW w:w="1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129"/>
        </w:trPr>
        <w:tc>
          <w:tcPr>
            <w:tcW w:w="20" w:type="dxa"/>
            <w:vAlign w:val="bottom"/>
          </w:tcPr>
          <w:p>
            <w:pPr>
              <w:spacing w:after="0"/>
              <w:rPr>
                <w:sz w:val="11"/>
                <w:szCs w:val="11"/>
                <w:color w:val="auto"/>
              </w:rPr>
            </w:pPr>
          </w:p>
        </w:tc>
        <w:tc>
          <w:tcPr>
            <w:tcW w:w="3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80" w:type="dxa"/>
            <w:vAlign w:val="bottom"/>
            <w:gridSpan w:val="4"/>
          </w:tcPr>
          <w:p>
            <w:pPr>
              <w:jc w:val="center"/>
              <w:ind w:right="12"/>
              <w:spacing w:after="0" w:line="129" w:lineRule="exact"/>
              <w:rPr>
                <w:sz w:val="20"/>
                <w:szCs w:val="20"/>
                <w:color w:val="auto"/>
              </w:rPr>
            </w:pPr>
            <w:r>
              <w:rPr>
                <w:rFonts w:ascii="Arial" w:cs="Arial" w:eastAsia="Arial" w:hAnsi="Arial"/>
                <w:sz w:val="14"/>
                <w:szCs w:val="14"/>
                <w:b w:val="1"/>
                <w:bCs w:val="1"/>
                <w:color w:val="auto"/>
                <w:w w:val="88"/>
              </w:rPr>
              <w:t>Problem, potential</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40" w:type="dxa"/>
            <w:vAlign w:val="bottom"/>
            <w:gridSpan w:val="3"/>
          </w:tcPr>
          <w:p>
            <w:pPr>
              <w:jc w:val="center"/>
              <w:ind w:left="152"/>
              <w:spacing w:after="0" w:line="129" w:lineRule="exact"/>
              <w:rPr>
                <w:sz w:val="20"/>
                <w:szCs w:val="20"/>
                <w:color w:val="auto"/>
              </w:rPr>
            </w:pPr>
            <w:r>
              <w:rPr>
                <w:rFonts w:ascii="Arial" w:cs="Arial" w:eastAsia="Arial" w:hAnsi="Arial"/>
                <w:sz w:val="14"/>
                <w:szCs w:val="14"/>
                <w:b w:val="1"/>
                <w:bCs w:val="1"/>
                <w:color w:val="auto"/>
                <w:w w:val="89"/>
              </w:rPr>
              <w:t>All other fixed</w:t>
            </w: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3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80" w:type="dxa"/>
            <w:vAlign w:val="bottom"/>
            <w:gridSpan w:val="4"/>
          </w:tcPr>
          <w:p>
            <w:pPr>
              <w:jc w:val="center"/>
              <w:ind w:right="12"/>
              <w:spacing w:after="0" w:line="149" w:lineRule="exact"/>
              <w:rPr>
                <w:sz w:val="20"/>
                <w:szCs w:val="20"/>
                <w:color w:val="auto"/>
              </w:rPr>
            </w:pPr>
            <w:r>
              <w:rPr>
                <w:rFonts w:ascii="Arial" w:cs="Arial" w:eastAsia="Arial" w:hAnsi="Arial"/>
                <w:sz w:val="14"/>
                <w:szCs w:val="14"/>
                <w:b w:val="1"/>
                <w:bCs w:val="1"/>
                <w:color w:val="auto"/>
                <w:w w:val="86"/>
              </w:rPr>
              <w:t>problem, and</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3"/>
          </w:tcPr>
          <w:p>
            <w:pPr>
              <w:jc w:val="center"/>
              <w:ind w:left="172"/>
              <w:spacing w:after="0" w:line="149" w:lineRule="exact"/>
              <w:rPr>
                <w:sz w:val="20"/>
                <w:szCs w:val="20"/>
                <w:color w:val="auto"/>
              </w:rPr>
            </w:pPr>
            <w:r>
              <w:rPr>
                <w:rFonts w:ascii="Arial" w:cs="Arial" w:eastAsia="Arial" w:hAnsi="Arial"/>
                <w:sz w:val="14"/>
                <w:szCs w:val="14"/>
                <w:b w:val="1"/>
                <w:bCs w:val="1"/>
                <w:color w:val="auto"/>
                <w:w w:val="90"/>
              </w:rPr>
              <w:t>maturity</w:t>
            </w: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61"/>
        </w:trPr>
        <w:tc>
          <w:tcPr>
            <w:tcW w:w="20" w:type="dxa"/>
            <w:vAlign w:val="bottom"/>
          </w:tcPr>
          <w:p>
            <w:pPr>
              <w:spacing w:after="0"/>
              <w:rPr>
                <w:sz w:val="14"/>
                <w:szCs w:val="14"/>
                <w:color w:val="auto"/>
              </w:rPr>
            </w:pPr>
          </w:p>
        </w:tc>
        <w:tc>
          <w:tcPr>
            <w:tcW w:w="3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gridSpan w:val="4"/>
          </w:tcPr>
          <w:p>
            <w:pPr>
              <w:jc w:val="center"/>
              <w:ind w:right="12"/>
              <w:spacing w:after="0"/>
              <w:rPr>
                <w:sz w:val="20"/>
                <w:szCs w:val="20"/>
                <w:color w:val="auto"/>
              </w:rPr>
            </w:pPr>
            <w:r>
              <w:rPr>
                <w:rFonts w:ascii="Arial" w:cs="Arial" w:eastAsia="Arial" w:hAnsi="Arial"/>
                <w:sz w:val="14"/>
                <w:szCs w:val="14"/>
                <w:b w:val="1"/>
                <w:bCs w:val="1"/>
                <w:color w:val="auto"/>
                <w:w w:val="87"/>
              </w:rPr>
              <w:t>restructured</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gridSpan w:val="3"/>
          </w:tcPr>
          <w:p>
            <w:pPr>
              <w:jc w:val="center"/>
              <w:ind w:left="172"/>
              <w:spacing w:after="0"/>
              <w:rPr>
                <w:sz w:val="20"/>
                <w:szCs w:val="20"/>
                <w:color w:val="auto"/>
              </w:rPr>
            </w:pPr>
            <w:r>
              <w:rPr>
                <w:rFonts w:ascii="Arial" w:cs="Arial" w:eastAsia="Arial" w:hAnsi="Arial"/>
                <w:sz w:val="14"/>
                <w:szCs w:val="14"/>
                <w:b w:val="1"/>
                <w:bCs w:val="1"/>
                <w:color w:val="auto"/>
                <w:w w:val="82"/>
              </w:rPr>
              <w:t>securities</w:t>
            </w:r>
          </w:p>
        </w:tc>
        <w:tc>
          <w:tcPr>
            <w:tcW w:w="3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Total</w:t>
            </w:r>
          </w:p>
        </w:tc>
        <w:tc>
          <w:tcPr>
            <w:tcW w:w="6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3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jc w:val="center"/>
              <w:ind w:right="72"/>
              <w:spacing w:after="0" w:line="129" w:lineRule="exact"/>
              <w:rPr>
                <w:sz w:val="20"/>
                <w:szCs w:val="20"/>
                <w:color w:val="auto"/>
              </w:rPr>
            </w:pPr>
            <w:r>
              <w:rPr>
                <w:rFonts w:ascii="Arial" w:cs="Arial" w:eastAsia="Arial" w:hAnsi="Arial"/>
                <w:sz w:val="14"/>
                <w:szCs w:val="14"/>
                <w:b w:val="1"/>
                <w:bCs w:val="1"/>
                <w:color w:val="auto"/>
                <w:w w:val="78"/>
              </w:rPr>
              <w:t>Gross</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83"/>
              </w:rPr>
              <w:t>Gross</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jc w:val="center"/>
              <w:ind w:right="92"/>
              <w:spacing w:after="0" w:line="129" w:lineRule="exact"/>
              <w:rPr>
                <w:sz w:val="20"/>
                <w:szCs w:val="20"/>
                <w:color w:val="auto"/>
              </w:rPr>
            </w:pPr>
            <w:r>
              <w:rPr>
                <w:rFonts w:ascii="Arial" w:cs="Arial" w:eastAsia="Arial" w:hAnsi="Arial"/>
                <w:sz w:val="14"/>
                <w:szCs w:val="14"/>
                <w:b w:val="1"/>
                <w:bCs w:val="1"/>
                <w:color w:val="auto"/>
                <w:w w:val="78"/>
              </w:rPr>
              <w:t>Gross</w:t>
            </w: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3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6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0"/>
              </w:rPr>
              <w:t>Carrying</w:t>
            </w:r>
          </w:p>
        </w:tc>
        <w:tc>
          <w:tcPr>
            <w:tcW w:w="180" w:type="dxa"/>
            <w:vAlign w:val="bottom"/>
          </w:tcPr>
          <w:p>
            <w:pPr>
              <w:spacing w:after="0"/>
              <w:rPr>
                <w:sz w:val="12"/>
                <w:szCs w:val="12"/>
                <w:color w:val="auto"/>
              </w:rPr>
            </w:pPr>
          </w:p>
        </w:tc>
        <w:tc>
          <w:tcPr>
            <w:tcW w:w="7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6"/>
              </w:rPr>
              <w:t>unrealized</w:t>
            </w:r>
          </w:p>
        </w:tc>
        <w:tc>
          <w:tcPr>
            <w:tcW w:w="160" w:type="dxa"/>
            <w:vAlign w:val="bottom"/>
          </w:tcPr>
          <w:p>
            <w:pPr>
              <w:spacing w:after="0"/>
              <w:rPr>
                <w:sz w:val="12"/>
                <w:szCs w:val="12"/>
                <w:color w:val="auto"/>
              </w:rPr>
            </w:pPr>
          </w:p>
        </w:tc>
        <w:tc>
          <w:tcPr>
            <w:tcW w:w="6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3"/>
              </w:rPr>
              <w:t>Carrying</w:t>
            </w:r>
          </w:p>
        </w:tc>
        <w:tc>
          <w:tcPr>
            <w:tcW w:w="160" w:type="dxa"/>
            <w:vAlign w:val="bottom"/>
          </w:tcPr>
          <w:p>
            <w:pPr>
              <w:spacing w:after="0"/>
              <w:rPr>
                <w:sz w:val="12"/>
                <w:szCs w:val="12"/>
                <w:color w:val="auto"/>
              </w:rPr>
            </w:pPr>
          </w:p>
        </w:tc>
        <w:tc>
          <w:tcPr>
            <w:tcW w:w="7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unrealized</w:t>
            </w:r>
          </w:p>
        </w:tc>
        <w:tc>
          <w:tcPr>
            <w:tcW w:w="160" w:type="dxa"/>
            <w:vAlign w:val="bottom"/>
          </w:tcPr>
          <w:p>
            <w:pPr>
              <w:spacing w:after="0"/>
              <w:rPr>
                <w:sz w:val="12"/>
                <w:szCs w:val="12"/>
                <w:color w:val="auto"/>
              </w:rPr>
            </w:pPr>
          </w:p>
        </w:tc>
        <w:tc>
          <w:tcPr>
            <w:tcW w:w="6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3"/>
              </w:rPr>
              <w:t>Carrying</w:t>
            </w:r>
          </w:p>
        </w:tc>
        <w:tc>
          <w:tcPr>
            <w:tcW w:w="160" w:type="dxa"/>
            <w:vAlign w:val="bottom"/>
          </w:tcPr>
          <w:p>
            <w:pPr>
              <w:spacing w:after="0"/>
              <w:rPr>
                <w:sz w:val="12"/>
                <w:szCs w:val="12"/>
                <w:color w:val="auto"/>
              </w:rPr>
            </w:pPr>
          </w:p>
        </w:tc>
        <w:tc>
          <w:tcPr>
            <w:tcW w:w="92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6"/>
              </w:rPr>
              <w:t>unrealized</w:t>
            </w:r>
          </w:p>
        </w:tc>
      </w:tr>
      <w:tr>
        <w:trPr>
          <w:trHeight w:val="161"/>
        </w:trPr>
        <w:tc>
          <w:tcPr>
            <w:tcW w:w="20" w:type="dxa"/>
            <w:vAlign w:val="bottom"/>
          </w:tcPr>
          <w:p>
            <w:pPr>
              <w:spacing w:after="0"/>
              <w:rPr>
                <w:sz w:val="14"/>
                <w:szCs w:val="14"/>
                <w:color w:val="auto"/>
              </w:rPr>
            </w:pPr>
          </w:p>
        </w:tc>
        <w:tc>
          <w:tcPr>
            <w:tcW w:w="3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6"/>
              </w:rPr>
              <w:t>amount</w:t>
            </w:r>
          </w:p>
        </w:tc>
        <w:tc>
          <w:tcPr>
            <w:tcW w:w="1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center"/>
              <w:ind w:right="72"/>
              <w:spacing w:after="0"/>
              <w:rPr>
                <w:sz w:val="20"/>
                <w:szCs w:val="20"/>
                <w:color w:val="auto"/>
              </w:rPr>
            </w:pPr>
            <w:r>
              <w:rPr>
                <w:rFonts w:ascii="Arial" w:cs="Arial" w:eastAsia="Arial" w:hAnsi="Arial"/>
                <w:sz w:val="14"/>
                <w:szCs w:val="14"/>
                <w:b w:val="1"/>
                <w:bCs w:val="1"/>
                <w:color w:val="auto"/>
                <w:w w:val="73"/>
              </w:rPr>
              <w:t>losses</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86"/>
              </w:rPr>
              <w:t>amount</w:t>
            </w:r>
          </w:p>
        </w:tc>
        <w:tc>
          <w:tcPr>
            <w:tcW w:w="160" w:type="dxa"/>
            <w:vAlign w:val="bottom"/>
          </w:tcPr>
          <w:p>
            <w:pPr>
              <w:spacing w:after="0"/>
              <w:rPr>
                <w:sz w:val="14"/>
                <w:szCs w:val="14"/>
                <w:color w:val="auto"/>
              </w:rPr>
            </w:pPr>
          </w:p>
        </w:tc>
        <w:tc>
          <w:tcPr>
            <w:tcW w:w="7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77"/>
              </w:rPr>
              <w:t>losses</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6"/>
              </w:rPr>
              <w:t>amount</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center"/>
              <w:ind w:right="92"/>
              <w:spacing w:after="0"/>
              <w:rPr>
                <w:sz w:val="20"/>
                <w:szCs w:val="20"/>
                <w:color w:val="auto"/>
              </w:rPr>
            </w:pPr>
            <w:r>
              <w:rPr>
                <w:rFonts w:ascii="Arial" w:cs="Arial" w:eastAsia="Arial" w:hAnsi="Arial"/>
                <w:sz w:val="14"/>
                <w:szCs w:val="14"/>
                <w:b w:val="1"/>
                <w:bCs w:val="1"/>
                <w:color w:val="auto"/>
                <w:w w:val="73"/>
              </w:rPr>
              <w:t>losses</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3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580" w:type="dxa"/>
            <w:vAlign w:val="bottom"/>
            <w:gridSpan w:val="2"/>
          </w:tcPr>
          <w:p>
            <w:pPr>
              <w:spacing w:after="0" w:line="142" w:lineRule="exact"/>
              <w:rPr>
                <w:sz w:val="20"/>
                <w:szCs w:val="20"/>
                <w:color w:val="auto"/>
              </w:rPr>
            </w:pPr>
            <w:r>
              <w:rPr>
                <w:rFonts w:ascii="Arial" w:cs="Arial" w:eastAsia="Arial" w:hAnsi="Arial"/>
                <w:sz w:val="14"/>
                <w:szCs w:val="14"/>
                <w:b w:val="1"/>
                <w:bCs w:val="1"/>
                <w:i w:val="1"/>
                <w:iCs w:val="1"/>
                <w:color w:val="auto"/>
                <w:w w:val="97"/>
              </w:rPr>
              <w:t>millions)</w:t>
            </w: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1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Three months or less</w:t>
            </w:r>
          </w:p>
        </w:tc>
        <w:tc>
          <w:tcPr>
            <w:tcW w:w="9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300" w:type="dxa"/>
            <w:vAlign w:val="bottom"/>
            <w:gridSpan w:val="2"/>
            <w:shd w:val="clear" w:color="auto" w:fill="CCEEFF"/>
          </w:tcPr>
          <w:p>
            <w:pPr>
              <w:ind w:left="180"/>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7.7</w:t>
            </w:r>
          </w:p>
        </w:tc>
        <w:tc>
          <w:tcPr>
            <w:tcW w:w="58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w:t>
            </w:r>
          </w:p>
        </w:tc>
        <w:tc>
          <w:tcPr>
            <w:tcW w:w="24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w w:val="76"/>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7.7</w:t>
            </w:r>
          </w:p>
        </w:tc>
        <w:tc>
          <w:tcPr>
            <w:tcW w:w="320" w:type="dxa"/>
            <w:vAlign w:val="bottom"/>
            <w:gridSpan w:val="2"/>
            <w:shd w:val="clear" w:color="auto" w:fill="CCEEFF"/>
          </w:tcPr>
          <w:p>
            <w:pPr>
              <w:jc w:val="right"/>
              <w:ind w:right="17"/>
              <w:spacing w:after="0" w:line="149"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140" w:type="dxa"/>
            <w:vAlign w:val="bottom"/>
          </w:tcPr>
          <w:p>
            <w:pPr>
              <w:spacing w:after="0" w:line="149" w:lineRule="exact"/>
              <w:rPr>
                <w:sz w:val="20"/>
                <w:szCs w:val="20"/>
                <w:color w:val="auto"/>
              </w:rPr>
            </w:pPr>
            <w:r>
              <w:rPr>
                <w:rFonts w:ascii="Arial" w:cs="Arial" w:eastAsia="Arial" w:hAnsi="Arial"/>
                <w:sz w:val="14"/>
                <w:szCs w:val="14"/>
                <w:color w:val="auto"/>
              </w:rPr>
              <w:t>Greater than three to six months</w:t>
            </w: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1.1</w:t>
            </w: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40" w:type="dxa"/>
            <w:vAlign w:val="bottom"/>
          </w:tcPr>
          <w:p>
            <w:pPr>
              <w:jc w:val="right"/>
              <w:spacing w:after="0" w:line="149" w:lineRule="exact"/>
              <w:rPr>
                <w:sz w:val="20"/>
                <w:szCs w:val="20"/>
                <w:color w:val="auto"/>
              </w:rPr>
            </w:pPr>
            <w:r>
              <w:rPr>
                <w:rFonts w:ascii="Arial" w:cs="Arial" w:eastAsia="Arial" w:hAnsi="Arial"/>
                <w:sz w:val="14"/>
                <w:szCs w:val="14"/>
                <w:color w:val="auto"/>
              </w:rPr>
              <w:t>0.7</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1.1</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0.7</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1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Greater than six to nine months</w:t>
            </w:r>
          </w:p>
        </w:tc>
        <w:tc>
          <w:tcPr>
            <w:tcW w:w="8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0.4</w:t>
            </w:r>
          </w:p>
        </w:tc>
        <w:tc>
          <w:tcPr>
            <w:tcW w:w="16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3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0.4</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140" w:type="dxa"/>
            <w:vAlign w:val="bottom"/>
          </w:tcPr>
          <w:p>
            <w:pPr>
              <w:spacing w:after="0" w:line="149" w:lineRule="exact"/>
              <w:rPr>
                <w:sz w:val="20"/>
                <w:szCs w:val="20"/>
                <w:color w:val="auto"/>
              </w:rPr>
            </w:pPr>
            <w:r>
              <w:rPr>
                <w:rFonts w:ascii="Arial" w:cs="Arial" w:eastAsia="Arial" w:hAnsi="Arial"/>
                <w:sz w:val="14"/>
                <w:szCs w:val="14"/>
                <w:color w:val="auto"/>
              </w:rPr>
              <w:t>Greater than nine to twelve months</w:t>
            </w: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3.0</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2.5</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17.6</w:t>
            </w: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40" w:type="dxa"/>
            <w:vAlign w:val="bottom"/>
          </w:tcPr>
          <w:p>
            <w:pPr>
              <w:jc w:val="right"/>
              <w:spacing w:after="0" w:line="149" w:lineRule="exact"/>
              <w:rPr>
                <w:sz w:val="20"/>
                <w:szCs w:val="20"/>
                <w:color w:val="auto"/>
              </w:rPr>
            </w:pPr>
            <w:r>
              <w:rPr>
                <w:rFonts w:ascii="Arial" w:cs="Arial" w:eastAsia="Arial" w:hAnsi="Arial"/>
                <w:sz w:val="14"/>
                <w:szCs w:val="14"/>
                <w:color w:val="auto"/>
              </w:rPr>
              <w:t>5.7</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20.6</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8.2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1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Greater than twelve months</w:t>
            </w:r>
          </w:p>
        </w:tc>
        <w:tc>
          <w:tcPr>
            <w:tcW w:w="84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194.1</w:t>
            </w:r>
          </w:p>
        </w:tc>
        <w:tc>
          <w:tcPr>
            <w:tcW w:w="18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6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269.0</w:t>
            </w:r>
          </w:p>
        </w:tc>
        <w:tc>
          <w:tcPr>
            <w:tcW w:w="16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457.0</w:t>
            </w:r>
          </w:p>
        </w:tc>
        <w:tc>
          <w:tcPr>
            <w:tcW w:w="160" w:type="dxa"/>
            <w:vAlign w:val="bottom"/>
            <w:shd w:val="clear" w:color="auto" w:fill="CCEEFF"/>
          </w:tcPr>
          <w:p>
            <w:pPr>
              <w:spacing w:after="0"/>
              <w:rPr>
                <w:sz w:val="12"/>
                <w:szCs w:val="12"/>
                <w:color w:val="auto"/>
              </w:rPr>
            </w:pPr>
          </w:p>
        </w:tc>
        <w:tc>
          <w:tcPr>
            <w:tcW w:w="420" w:type="dxa"/>
            <w:vAlign w:val="bottom"/>
            <w:tcBorders>
              <w:bottom w:val="single" w:sz="8" w:color="auto"/>
            </w:tcBorders>
            <w:shd w:val="clear" w:color="auto" w:fill="CCEEFF"/>
          </w:tcPr>
          <w:p>
            <w:pPr>
              <w:spacing w:after="0"/>
              <w:rPr>
                <w:sz w:val="12"/>
                <w:szCs w:val="12"/>
                <w:color w:val="auto"/>
              </w:rPr>
            </w:pPr>
          </w:p>
        </w:tc>
        <w:tc>
          <w:tcPr>
            <w:tcW w:w="3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w w:val="85"/>
              </w:rPr>
              <w:t>379.5</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651.1</w:t>
            </w:r>
          </w:p>
        </w:tc>
        <w:tc>
          <w:tcPr>
            <w:tcW w:w="16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6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648.5</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140" w:type="dxa"/>
            <w:vAlign w:val="bottom"/>
          </w:tcPr>
          <w:p>
            <w:pPr>
              <w:ind w:left="140"/>
              <w:spacing w:after="0" w:line="142" w:lineRule="exact"/>
              <w:rPr>
                <w:sz w:val="20"/>
                <w:szCs w:val="20"/>
                <w:color w:val="auto"/>
              </w:rPr>
            </w:pPr>
            <w:r>
              <w:rPr>
                <w:rFonts w:ascii="Arial" w:cs="Arial" w:eastAsia="Arial" w:hAnsi="Arial"/>
                <w:sz w:val="14"/>
                <w:szCs w:val="14"/>
                <w:color w:val="auto"/>
              </w:rPr>
              <w:t>Total fixed maturities, available-for-sale</w:t>
            </w:r>
          </w:p>
        </w:tc>
        <w:tc>
          <w:tcPr>
            <w:tcW w:w="840" w:type="dxa"/>
            <w:vAlign w:val="bottom"/>
          </w:tcPr>
          <w:p>
            <w:pPr>
              <w:spacing w:after="0"/>
              <w:rPr>
                <w:sz w:val="12"/>
                <w:szCs w:val="12"/>
                <w:color w:val="auto"/>
              </w:rPr>
            </w:pPr>
          </w:p>
        </w:tc>
        <w:tc>
          <w:tcPr>
            <w:tcW w:w="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197.1</w:t>
            </w:r>
          </w:p>
        </w:tc>
        <w:tc>
          <w:tcPr>
            <w:tcW w:w="180" w:type="dxa"/>
            <w:vAlign w:val="bottom"/>
          </w:tcPr>
          <w:p>
            <w:pPr>
              <w:spacing w:after="0"/>
              <w:rPr>
                <w:sz w:val="12"/>
                <w:szCs w:val="12"/>
                <w:color w:val="auto"/>
              </w:rPr>
            </w:pPr>
          </w:p>
        </w:tc>
        <w:tc>
          <w:tcPr>
            <w:tcW w:w="12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271.5</w:t>
            </w:r>
          </w:p>
        </w:tc>
        <w:tc>
          <w:tcPr>
            <w:tcW w:w="160" w:type="dxa"/>
            <w:vAlign w:val="bottom"/>
          </w:tcPr>
          <w:p>
            <w:pPr>
              <w:spacing w:after="0"/>
              <w:rPr>
                <w:sz w:val="12"/>
                <w:szCs w:val="12"/>
                <w:color w:val="auto"/>
              </w:rPr>
            </w:pPr>
          </w:p>
        </w:tc>
        <w:tc>
          <w:tcPr>
            <w:tcW w:w="1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483.8</w:t>
            </w:r>
          </w:p>
        </w:tc>
        <w:tc>
          <w:tcPr>
            <w:tcW w:w="160" w:type="dxa"/>
            <w:vAlign w:val="bottom"/>
          </w:tcPr>
          <w:p>
            <w:pPr>
              <w:spacing w:after="0"/>
              <w:rPr>
                <w:sz w:val="12"/>
                <w:szCs w:val="12"/>
                <w:color w:val="auto"/>
              </w:rPr>
            </w:pPr>
          </w:p>
        </w:tc>
        <w:tc>
          <w:tcPr>
            <w:tcW w:w="42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color w:val="auto"/>
              </w:rPr>
              <w:t>$</w:t>
            </w:r>
          </w:p>
        </w:tc>
        <w:tc>
          <w:tcPr>
            <w:tcW w:w="3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85"/>
              </w:rPr>
              <w:t>388.6</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color w:val="auto"/>
                <w:w w:val="76"/>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680.9</w:t>
            </w:r>
          </w:p>
        </w:tc>
        <w:tc>
          <w:tcPr>
            <w:tcW w:w="160" w:type="dxa"/>
            <w:vAlign w:val="bottom"/>
          </w:tcPr>
          <w:p>
            <w:pPr>
              <w:spacing w:after="0"/>
              <w:rPr>
                <w:sz w:val="12"/>
                <w:szCs w:val="12"/>
                <w:color w:val="auto"/>
              </w:rPr>
            </w:pPr>
          </w:p>
        </w:tc>
        <w:tc>
          <w:tcPr>
            <w:tcW w:w="160" w:type="dxa"/>
            <w:vAlign w:val="bottom"/>
            <w:tcBorders>
              <w:bottom w:val="single" w:sz="8" w:color="auto"/>
            </w:tcBorders>
          </w:tcPr>
          <w:p>
            <w:pPr>
              <w:jc w:val="right"/>
              <w:ind w:right="17"/>
              <w:spacing w:after="0" w:line="142" w:lineRule="exact"/>
              <w:rPr>
                <w:sz w:val="20"/>
                <w:szCs w:val="20"/>
                <w:color w:val="auto"/>
              </w:rPr>
            </w:pPr>
            <w:r>
              <w:rPr>
                <w:rFonts w:ascii="Arial" w:cs="Arial" w:eastAsia="Arial" w:hAnsi="Arial"/>
                <w:sz w:val="14"/>
                <w:szCs w:val="14"/>
                <w:color w:val="auto"/>
                <w:w w:val="76"/>
              </w:rPr>
              <w:t>$</w:t>
            </w:r>
          </w:p>
        </w:tc>
        <w:tc>
          <w:tcPr>
            <w:tcW w:w="6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660.1</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5" w:name="page76"/>
    <w:bookmarkEnd w:id="7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Mortgage Loans</w:t>
      </w:r>
    </w:p>
    <w:p>
      <w:pPr>
        <w:spacing w:after="0" w:line="225" w:lineRule="exact"/>
        <w:rPr>
          <w:sz w:val="20"/>
          <w:szCs w:val="20"/>
          <w:color w:val="auto"/>
        </w:rPr>
      </w:pPr>
    </w:p>
    <w:p>
      <w:pPr>
        <w:jc w:val="both"/>
        <w:ind w:firstLine="385"/>
        <w:spacing w:after="0" w:line="306" w:lineRule="auto"/>
        <w:rPr>
          <w:sz w:val="20"/>
          <w:szCs w:val="20"/>
          <w:color w:val="auto"/>
        </w:rPr>
      </w:pPr>
      <w:r>
        <w:rPr>
          <w:rFonts w:ascii="Arial" w:cs="Arial" w:eastAsia="Arial" w:hAnsi="Arial"/>
          <w:sz w:val="16"/>
          <w:szCs w:val="16"/>
          <w:color w:val="auto"/>
        </w:rPr>
        <w:t>Mortgage loans consist of commercial mortgage loans on real estate and residential mortgage loans. The carrying amount of our commercial mortgage loan portfolio was $10,253.8 million and $10,167.7 million as of December 31, 2013 and December 31, 2012, respectively. The carrying amount of our residential mortgage loan portfolio was $565.4 million and $657.7 million as of December 31, 2013 and December 31, 2012, respectively.</w:t>
      </w:r>
    </w:p>
    <w:p>
      <w:pPr>
        <w:spacing w:after="0" w:line="161" w:lineRule="exact"/>
        <w:rPr>
          <w:sz w:val="20"/>
          <w:szCs w:val="20"/>
          <w:color w:val="auto"/>
        </w:rPr>
      </w:pPr>
    </w:p>
    <w:p>
      <w:pPr>
        <w:jc w:val="both"/>
        <w:ind w:firstLine="362"/>
        <w:spacing w:after="0" w:line="268" w:lineRule="auto"/>
        <w:rPr>
          <w:sz w:val="20"/>
          <w:szCs w:val="20"/>
          <w:color w:val="auto"/>
        </w:rPr>
      </w:pPr>
      <w:r>
        <w:rPr>
          <w:rFonts w:ascii="Arial" w:cs="Arial" w:eastAsia="Arial" w:hAnsi="Arial"/>
          <w:sz w:val="18"/>
          <w:szCs w:val="18"/>
          <w:b w:val="1"/>
          <w:bCs w:val="1"/>
          <w:i w:val="1"/>
          <w:iCs w:val="1"/>
          <w:color w:val="auto"/>
        </w:rPr>
        <w:t xml:space="preserve">Commercial Mortgage Loans. </w:t>
      </w:r>
      <w:r>
        <w:rPr>
          <w:rFonts w:ascii="Arial" w:cs="Arial" w:eastAsia="Arial" w:hAnsi="Arial"/>
          <w:sz w:val="18"/>
          <w:szCs w:val="18"/>
          <w:color w:val="auto"/>
        </w:rPr>
        <w:t>We generally report commercial mortgage loans on real estate at cost adjusted for amortization of premiums and accrual 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discounts, computed using the interest method and net of valuation allowances.</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Commercial mortgage loans play an important role in our investment strategy by:</w:t>
      </w:r>
    </w:p>
    <w:p>
      <w:pPr>
        <w:spacing w:after="0" w:line="239" w:lineRule="exact"/>
        <w:rPr>
          <w:sz w:val="20"/>
          <w:szCs w:val="20"/>
          <w:color w:val="auto"/>
        </w:rPr>
      </w:pPr>
    </w:p>
    <w:p>
      <w:pPr>
        <w:ind w:left="1080" w:hanging="532"/>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providing strong risk-adjusted relative value in comparison to other investment alternatives;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enhancing total returns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providing strategic portfolio diversification.</w:t>
      </w:r>
    </w:p>
    <w:p>
      <w:pPr>
        <w:spacing w:after="0" w:line="225" w:lineRule="exact"/>
        <w:rPr>
          <w:sz w:val="20"/>
          <w:szCs w:val="20"/>
          <w:color w:val="auto"/>
        </w:rPr>
      </w:pPr>
    </w:p>
    <w:p>
      <w:pPr>
        <w:jc w:val="both"/>
        <w:ind w:firstLine="376"/>
        <w:spacing w:after="0" w:line="268" w:lineRule="auto"/>
        <w:rPr>
          <w:sz w:val="20"/>
          <w:szCs w:val="20"/>
          <w:color w:val="auto"/>
        </w:rPr>
      </w:pPr>
      <w:r>
        <w:rPr>
          <w:rFonts w:ascii="Arial" w:cs="Arial" w:eastAsia="Arial" w:hAnsi="Arial"/>
          <w:sz w:val="18"/>
          <w:szCs w:val="18"/>
          <w:color w:val="auto"/>
        </w:rPr>
        <w:t>As a result, we have focused on constructing a solid, high quality portfolio of mortgages. Our portfolio is generally comprised of mortgages originated with conservative loan-to-value ratios, high debt service coverages and general purpose property types with a strong credit tenancy.</w:t>
      </w:r>
    </w:p>
    <w:p>
      <w:pPr>
        <w:spacing w:after="0" w:line="186" w:lineRule="exact"/>
        <w:rPr>
          <w:sz w:val="20"/>
          <w:szCs w:val="20"/>
          <w:color w:val="auto"/>
        </w:rPr>
      </w:pPr>
    </w:p>
    <w:p>
      <w:pPr>
        <w:jc w:val="both"/>
        <w:ind w:firstLine="471"/>
        <w:spacing w:after="0" w:line="332" w:lineRule="auto"/>
        <w:rPr>
          <w:sz w:val="20"/>
          <w:szCs w:val="20"/>
          <w:color w:val="auto"/>
        </w:rPr>
      </w:pPr>
      <w:r>
        <w:rPr>
          <w:rFonts w:ascii="Arial" w:cs="Arial" w:eastAsia="Arial" w:hAnsi="Arial"/>
          <w:sz w:val="16"/>
          <w:szCs w:val="16"/>
          <w:color w:val="auto"/>
        </w:rPr>
        <w:t>Our commercial mortgage loan portfolio consists primarily of non-recourse, fixed rate mortgages on fully or near fully leased properties. The mortgage portfolio is comprised primarily of well anchored retail properties, office properties, general-purpose industrial properties and apartments.</w:t>
      </w:r>
    </w:p>
    <w:p>
      <w:pPr>
        <w:spacing w:after="0" w:line="139" w:lineRule="exact"/>
        <w:rPr>
          <w:sz w:val="20"/>
          <w:szCs w:val="20"/>
          <w:color w:val="auto"/>
        </w:rPr>
      </w:pPr>
    </w:p>
    <w:p>
      <w:pPr>
        <w:jc w:val="both"/>
        <w:ind w:firstLine="479"/>
        <w:spacing w:after="0" w:line="290" w:lineRule="auto"/>
        <w:rPr>
          <w:sz w:val="20"/>
          <w:szCs w:val="20"/>
          <w:color w:val="auto"/>
        </w:rPr>
      </w:pPr>
      <w:r>
        <w:rPr>
          <w:rFonts w:ascii="Arial" w:cs="Arial" w:eastAsia="Arial" w:hAnsi="Arial"/>
          <w:sz w:val="16"/>
          <w:szCs w:val="16"/>
          <w:color w:val="auto"/>
        </w:rPr>
        <w:t>Our commercial mortgage loan portfolio is diversified by geography and specific collateral property type. Commercial mortgage lending in the state of California accounted for 21% and 20% of our commercial mortgage loan portfolio as of December 31, 2013 and December 31, 2012, respectively. We are, therefore, exposed to potential losses resulting from the risk of catastrophes, such as earthquakes, that may affect the region. Like other lenders, we generally do not require earthquake insurance for properties on which we make commercial mortgage loans. With respect to California properties, however, we obtain an engineering report specific to each property. The report assesses the building's design specifications, whether it has been upgraded to meet seismic building codes and the maximum loss that is likely to result from a variety of different seismic events. We also obtain a report that assesses, by building and geographic fault lines, the amount of loss our commercial mortgage loan portfolio might suffer under a variety of seismic events.</w:t>
      </w:r>
    </w:p>
    <w:p>
      <w:pPr>
        <w:spacing w:after="0" w:line="172" w:lineRule="exact"/>
        <w:rPr>
          <w:sz w:val="20"/>
          <w:szCs w:val="20"/>
          <w:color w:val="auto"/>
        </w:rPr>
      </w:pPr>
    </w:p>
    <w:p>
      <w:pPr>
        <w:jc w:val="both"/>
        <w:ind w:firstLine="361"/>
        <w:spacing w:after="0" w:line="256" w:lineRule="auto"/>
        <w:rPr>
          <w:sz w:val="20"/>
          <w:szCs w:val="20"/>
          <w:color w:val="auto"/>
        </w:rPr>
      </w:pPr>
      <w:r>
        <w:rPr>
          <w:rFonts w:ascii="Arial" w:cs="Arial" w:eastAsia="Arial" w:hAnsi="Arial"/>
          <w:sz w:val="18"/>
          <w:szCs w:val="18"/>
          <w:color w:val="auto"/>
        </w:rPr>
        <w:t>The typical borrower in our commercial loan portfolio is a single purpose entity or single asset entity. As of December 31, 2013 and December 31, 2012, the total number of commercial mortgage loans outstanding was 953 and 977, of which 66% and 68% were for loans with principal balances less than $10 million, respectively. The average loan size of our commercial mortgage portfolio was $10.8 million and $10.4 million as of December 31, 2013 and December 31, 2012, respectively.</w:t>
      </w:r>
    </w:p>
    <w:p>
      <w:pPr>
        <w:spacing w:after="0" w:line="197" w:lineRule="exact"/>
        <w:rPr>
          <w:sz w:val="20"/>
          <w:szCs w:val="20"/>
          <w:color w:val="auto"/>
        </w:rPr>
      </w:pPr>
    </w:p>
    <w:p>
      <w:pPr>
        <w:jc w:val="both"/>
        <w:ind w:firstLine="486"/>
        <w:spacing w:after="0" w:line="332" w:lineRule="auto"/>
        <w:rPr>
          <w:sz w:val="20"/>
          <w:szCs w:val="20"/>
          <w:color w:val="auto"/>
        </w:rPr>
      </w:pPr>
      <w:r>
        <w:rPr>
          <w:rFonts w:ascii="Arial" w:cs="Arial" w:eastAsia="Arial" w:hAnsi="Arial"/>
          <w:sz w:val="16"/>
          <w:szCs w:val="16"/>
          <w:b w:val="1"/>
          <w:bCs w:val="1"/>
          <w:i w:val="1"/>
          <w:iCs w:val="1"/>
          <w:color w:val="auto"/>
        </w:rPr>
        <w:t xml:space="preserve">Commercial Mortgage Loan Credit Monitoring. </w:t>
      </w:r>
      <w:r>
        <w:rPr>
          <w:rFonts w:ascii="Arial" w:cs="Arial" w:eastAsia="Arial" w:hAnsi="Arial"/>
          <w:sz w:val="16"/>
          <w:szCs w:val="16"/>
          <w:color w:val="auto"/>
        </w:rPr>
        <w:t>For further details on monitoring and management of our commercial mortgage loan portfolio, see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Item 8. "Financial Statements and Supplementary Data, Notes to Consolidated Financial Statements, Note 5, Investments — Mortgage Loan Credit Monitoring."</w:t>
      </w:r>
    </w:p>
    <w:p>
      <w:pPr>
        <w:spacing w:after="0" w:line="139" w:lineRule="exact"/>
        <w:rPr>
          <w:sz w:val="20"/>
          <w:szCs w:val="20"/>
          <w:color w:val="auto"/>
        </w:rPr>
      </w:pPr>
    </w:p>
    <w:p>
      <w:pPr>
        <w:jc w:val="both"/>
        <w:ind w:firstLine="423"/>
        <w:spacing w:after="0" w:line="290" w:lineRule="auto"/>
        <w:rPr>
          <w:sz w:val="20"/>
          <w:szCs w:val="20"/>
          <w:color w:val="auto"/>
        </w:rPr>
      </w:pPr>
      <w:r>
        <w:rPr>
          <w:rFonts w:ascii="Arial" w:cs="Arial" w:eastAsia="Arial" w:hAnsi="Arial"/>
          <w:sz w:val="16"/>
          <w:szCs w:val="16"/>
          <w:color w:val="auto"/>
        </w:rPr>
        <w:t>We categorize loans that are 60 days or more delinquent, loans in process of foreclosure and loans with borrowers or credit tenants in bankruptcy that are delinquent as "problem" loans. Valuation allowances or charge-offs have been recognized on most problem loans. We categorize loans that are delinquent less than 60 days where the default is expected to be cured and loans with borrowers or credit tenants in bankruptcy that are current as "potential problem" loans. The decision whether to classify a loan delinquent less than 60 days as a potential problem involves significant subjective judgments by management as to the likely future economic conditions and developments with respect to the borrower. We categorize loans for which the original note rate has been reduced below market and loans for which the principal has been reduced as "restructured" loans. We also consider loans that are refinanced more than one year beyond the original maturity or call date at below market rates as restructured.</w:t>
      </w:r>
    </w:p>
    <w:p>
      <w:pPr>
        <w:spacing w:after="0" w:line="172" w:lineRule="exact"/>
        <w:rPr>
          <w:sz w:val="20"/>
          <w:szCs w:val="20"/>
          <w:color w:val="auto"/>
        </w:rPr>
      </w:pPr>
    </w:p>
    <w:p>
      <w:pPr>
        <w:jc w:val="both"/>
        <w:ind w:firstLine="358"/>
        <w:spacing w:after="0" w:line="332" w:lineRule="auto"/>
        <w:rPr>
          <w:sz w:val="20"/>
          <w:szCs w:val="20"/>
          <w:color w:val="auto"/>
        </w:rPr>
      </w:pPr>
      <w:r>
        <w:rPr>
          <w:rFonts w:ascii="Arial" w:cs="Arial" w:eastAsia="Arial" w:hAnsi="Arial"/>
          <w:sz w:val="16"/>
          <w:szCs w:val="16"/>
          <w:color w:val="auto"/>
        </w:rPr>
        <w:t>There has been a decrease in the total level of problem, potential problem and restructured commercial mortgages during 2013 primarily due to loan payoffs, foreclosures and improvement in general market fundamentals such as increases in employment, falling vacancies and relatively little new construction.</w:t>
      </w:r>
    </w:p>
    <w:p>
      <w:pPr>
        <w:spacing w:after="0" w:line="1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6" w:name="page77"/>
    <w:bookmarkEnd w:id="7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390"/>
        <w:spacing w:after="0" w:line="268" w:lineRule="auto"/>
        <w:rPr>
          <w:sz w:val="20"/>
          <w:szCs w:val="20"/>
          <w:color w:val="auto"/>
        </w:rPr>
      </w:pPr>
      <w:r>
        <w:rPr>
          <w:rFonts w:ascii="Arial" w:cs="Arial" w:eastAsia="Arial" w:hAnsi="Arial"/>
          <w:sz w:val="18"/>
          <w:szCs w:val="18"/>
          <w:color w:val="auto"/>
        </w:rPr>
        <w:t>The following table presents the carrying amounts of problem, potential problem and restructured commercial mortgages relative to the carrying amount of all commercial mortgages for the periods indicated.</w:t>
      </w:r>
    </w:p>
    <w:p>
      <w:pPr>
        <w:spacing w:after="0" w:line="18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9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2013</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2012</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49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2" w:lineRule="exact"/>
              <w:rPr>
                <w:sz w:val="20"/>
                <w:szCs w:val="20"/>
                <w:color w:val="auto"/>
              </w:rPr>
            </w:pPr>
            <w:r>
              <w:rPr>
                <w:rFonts w:ascii="Arial" w:cs="Arial" w:eastAsia="Arial" w:hAnsi="Arial"/>
                <w:sz w:val="14"/>
                <w:szCs w:val="14"/>
                <w:b w:val="1"/>
                <w:bCs w:val="1"/>
                <w:i w:val="1"/>
                <w:iCs w:val="1"/>
                <w:color w:val="auto"/>
              </w:rPr>
              <w:t>($ in</w:t>
            </w:r>
          </w:p>
        </w:tc>
        <w:tc>
          <w:tcPr>
            <w:tcW w:w="1420" w:type="dxa"/>
            <w:vAlign w:val="bottom"/>
            <w:gridSpan w:val="4"/>
          </w:tcPr>
          <w:p>
            <w:pPr>
              <w:jc w:val="right"/>
              <w:ind w:right="892"/>
              <w:spacing w:after="0" w:line="142" w:lineRule="exact"/>
              <w:rPr>
                <w:sz w:val="20"/>
                <w:szCs w:val="20"/>
                <w:color w:val="auto"/>
              </w:rPr>
            </w:pPr>
            <w:r>
              <w:rPr>
                <w:rFonts w:ascii="Arial" w:cs="Arial" w:eastAsia="Arial" w:hAnsi="Arial"/>
                <w:sz w:val="14"/>
                <w:szCs w:val="14"/>
                <w:b w:val="1"/>
                <w:bCs w:val="1"/>
                <w:i w:val="1"/>
                <w:iCs w:val="1"/>
                <w:color w:val="auto"/>
                <w:w w:val="76"/>
              </w:rPr>
              <w:t>millions)</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0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Total commercial mortgages</w:t>
            </w:r>
          </w:p>
        </w:tc>
        <w:tc>
          <w:tcPr>
            <w:tcW w:w="2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10,253.8</w:t>
            </w:r>
          </w:p>
        </w:tc>
        <w:tc>
          <w:tcPr>
            <w:tcW w:w="140" w:type="dxa"/>
            <w:vAlign w:val="bottom"/>
            <w:shd w:val="clear" w:color="auto" w:fill="CCEEFF"/>
          </w:tcPr>
          <w:p>
            <w:pPr>
              <w:spacing w:after="0"/>
              <w:rPr>
                <w:sz w:val="12"/>
                <w:szCs w:val="12"/>
                <w:color w:val="auto"/>
              </w:rPr>
            </w:pPr>
          </w:p>
        </w:tc>
        <w:tc>
          <w:tcPr>
            <w:tcW w:w="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10,167.7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6080" w:type="dxa"/>
            <w:vAlign w:val="bottom"/>
            <w:gridSpan w:val="3"/>
            <w:vMerge w:val="restart"/>
          </w:tcPr>
          <w:p>
            <w:pPr>
              <w:spacing w:after="0"/>
              <w:rPr>
                <w:sz w:val="20"/>
                <w:szCs w:val="20"/>
                <w:color w:val="auto"/>
              </w:rPr>
            </w:pPr>
            <w:r>
              <w:rPr>
                <w:rFonts w:ascii="Arial" w:cs="Arial" w:eastAsia="Arial" w:hAnsi="Arial"/>
                <w:sz w:val="14"/>
                <w:szCs w:val="14"/>
                <w:color w:val="auto"/>
              </w:rPr>
              <w:t>Problem commercial mortgages (1)</w:t>
            </w: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6080" w:type="dxa"/>
            <w:vAlign w:val="bottom"/>
            <w:gridSpan w:val="3"/>
            <w:vMerge w:val="continue"/>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jc w:val="right"/>
              <w:spacing w:after="0"/>
              <w:rPr>
                <w:sz w:val="20"/>
                <w:szCs w:val="20"/>
                <w:color w:val="auto"/>
              </w:rPr>
            </w:pPr>
            <w:r>
              <w:rPr>
                <w:rFonts w:ascii="Arial" w:cs="Arial" w:eastAsia="Arial" w:hAnsi="Arial"/>
                <w:sz w:val="10"/>
                <w:szCs w:val="10"/>
                <w:b w:val="1"/>
                <w:bCs w:val="1"/>
                <w:color w:val="auto"/>
                <w:w w:val="71"/>
              </w:rPr>
              <w:t>$</w:t>
            </w:r>
          </w:p>
        </w:tc>
        <w:tc>
          <w:tcPr>
            <w:tcW w:w="1200" w:type="dxa"/>
            <w:vAlign w:val="bottom"/>
          </w:tcPr>
          <w:p>
            <w:pPr>
              <w:jc w:val="right"/>
              <w:spacing w:after="0" w:line="129" w:lineRule="exact"/>
              <w:rPr>
                <w:sz w:val="20"/>
                <w:szCs w:val="20"/>
                <w:color w:val="auto"/>
              </w:rPr>
            </w:pPr>
            <w:r>
              <w:rPr>
                <w:rFonts w:ascii="Arial" w:cs="Arial" w:eastAsia="Arial" w:hAnsi="Arial"/>
                <w:sz w:val="14"/>
                <w:szCs w:val="14"/>
                <w:b w:val="1"/>
                <w:bCs w:val="1"/>
                <w:color w:val="auto"/>
              </w:rPr>
              <w:t>30.8</w:t>
            </w:r>
          </w:p>
        </w:tc>
        <w:tc>
          <w:tcPr>
            <w:tcW w:w="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200" w:type="dxa"/>
            <w:vAlign w:val="bottom"/>
          </w:tcPr>
          <w:p>
            <w:pPr>
              <w:jc w:val="right"/>
              <w:spacing w:after="0" w:line="129" w:lineRule="exact"/>
              <w:rPr>
                <w:sz w:val="20"/>
                <w:szCs w:val="20"/>
                <w:color w:val="auto"/>
              </w:rPr>
            </w:pPr>
            <w:r>
              <w:rPr>
                <w:rFonts w:ascii="Arial" w:cs="Arial" w:eastAsia="Arial" w:hAnsi="Arial"/>
                <w:sz w:val="14"/>
                <w:szCs w:val="14"/>
                <w:color w:val="auto"/>
              </w:rPr>
              <w:t>40.1</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0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Potential problem commercial mortgages</w:t>
            </w: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34.0</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177.6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060" w:type="dxa"/>
            <w:vAlign w:val="bottom"/>
            <w:gridSpan w:val="2"/>
          </w:tcPr>
          <w:p>
            <w:pPr>
              <w:spacing w:after="0" w:line="149" w:lineRule="exact"/>
              <w:rPr>
                <w:sz w:val="20"/>
                <w:szCs w:val="20"/>
                <w:color w:val="auto"/>
              </w:rPr>
            </w:pPr>
            <w:r>
              <w:rPr>
                <w:rFonts w:ascii="Arial" w:cs="Arial" w:eastAsia="Arial" w:hAnsi="Arial"/>
                <w:sz w:val="14"/>
                <w:szCs w:val="14"/>
                <w:color w:val="auto"/>
              </w:rPr>
              <w:t>Restructured problem commercial mortgages</w:t>
            </w:r>
          </w:p>
        </w:tc>
        <w:tc>
          <w:tcPr>
            <w:tcW w:w="20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25.0</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060" w:type="dxa"/>
            <w:vAlign w:val="bottom"/>
            <w:gridSpan w:val="2"/>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problem, potential problem and restructured commercial mortgages</w:t>
            </w:r>
          </w:p>
        </w:tc>
        <w:tc>
          <w:tcPr>
            <w:tcW w:w="28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89.8</w:t>
            </w:r>
          </w:p>
        </w:tc>
        <w:tc>
          <w:tcPr>
            <w:tcW w:w="140" w:type="dxa"/>
            <w:vAlign w:val="bottom"/>
            <w:shd w:val="clear" w:color="auto" w:fill="CCEEFF"/>
          </w:tcPr>
          <w:p>
            <w:pPr>
              <w:spacing w:after="0"/>
              <w:rPr>
                <w:sz w:val="12"/>
                <w:szCs w:val="12"/>
                <w:color w:val="auto"/>
              </w:rPr>
            </w:pPr>
          </w:p>
        </w:tc>
        <w:tc>
          <w:tcPr>
            <w:tcW w:w="8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217.7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60" w:type="dxa"/>
            <w:vAlign w:val="bottom"/>
            <w:gridSpan w:val="2"/>
            <w:vMerge w:val="restart"/>
          </w:tcPr>
          <w:p>
            <w:pPr>
              <w:ind w:left="140"/>
              <w:spacing w:after="0" w:line="158" w:lineRule="exact"/>
              <w:rPr>
                <w:sz w:val="20"/>
                <w:szCs w:val="20"/>
                <w:color w:val="auto"/>
              </w:rPr>
            </w:pPr>
            <w:r>
              <w:rPr>
                <w:rFonts w:ascii="Arial" w:cs="Arial" w:eastAsia="Arial" w:hAnsi="Arial"/>
                <w:sz w:val="14"/>
                <w:szCs w:val="14"/>
                <w:color w:val="auto"/>
                <w:w w:val="90"/>
              </w:rPr>
              <w:t>Total problem, potential problem and restructured commercial mortgages as a percent of total commercial</w:t>
            </w: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8"/>
        </w:trPr>
        <w:tc>
          <w:tcPr>
            <w:tcW w:w="20" w:type="dxa"/>
            <w:vAlign w:val="bottom"/>
          </w:tcPr>
          <w:p>
            <w:pPr>
              <w:spacing w:after="0"/>
              <w:rPr>
                <w:sz w:val="10"/>
                <w:szCs w:val="10"/>
                <w:color w:val="auto"/>
              </w:rPr>
            </w:pPr>
          </w:p>
        </w:tc>
        <w:tc>
          <w:tcPr>
            <w:tcW w:w="606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34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0.88%</w:t>
            </w: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6060" w:type="dxa"/>
            <w:vAlign w:val="bottom"/>
            <w:gridSpan w:val="2"/>
          </w:tcPr>
          <w:p>
            <w:pPr>
              <w:ind w:left="280"/>
              <w:spacing w:after="0"/>
              <w:rPr>
                <w:sz w:val="20"/>
                <w:szCs w:val="20"/>
                <w:color w:val="auto"/>
              </w:rPr>
            </w:pPr>
            <w:r>
              <w:rPr>
                <w:rFonts w:ascii="Arial" w:cs="Arial" w:eastAsia="Arial" w:hAnsi="Arial"/>
                <w:sz w:val="14"/>
                <w:szCs w:val="14"/>
                <w:color w:val="auto"/>
              </w:rPr>
              <w:t>mortgages</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40" w:type="dxa"/>
            <w:vAlign w:val="bottom"/>
            <w:gridSpan w:val="2"/>
            <w:vMerge w:val="continue"/>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360" w:type="dxa"/>
            <w:vAlign w:val="bottom"/>
            <w:gridSpan w:val="2"/>
          </w:tcPr>
          <w:p>
            <w:pPr>
              <w:jc w:val="right"/>
              <w:ind w:right="60"/>
              <w:spacing w:after="0"/>
              <w:rPr>
                <w:sz w:val="20"/>
                <w:szCs w:val="20"/>
                <w:color w:val="auto"/>
              </w:rPr>
            </w:pPr>
            <w:r>
              <w:rPr>
                <w:rFonts w:ascii="Arial" w:cs="Arial" w:eastAsia="Arial" w:hAnsi="Arial"/>
                <w:sz w:val="14"/>
                <w:szCs w:val="14"/>
                <w:color w:val="auto"/>
              </w:rPr>
              <w:t>2.14%</w:t>
            </w: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120" w:type="dxa"/>
            <w:vAlign w:val="bottom"/>
            <w:tcBorders>
              <w:bottom w:val="single" w:sz="8" w:color="auto"/>
            </w:tcBorders>
          </w:tcPr>
          <w:p>
            <w:pPr>
              <w:spacing w:after="0"/>
              <w:rPr>
                <w:sz w:val="8"/>
                <w:szCs w:val="8"/>
                <w:color w:val="auto"/>
              </w:rPr>
            </w:pPr>
          </w:p>
        </w:tc>
        <w:tc>
          <w:tcPr>
            <w:tcW w:w="49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ind w:left="1680" w:hanging="531"/>
        <w:spacing w:after="0"/>
        <w:tabs>
          <w:tab w:leader="none" w:pos="1680" w:val="left"/>
        </w:tabs>
        <w:numPr>
          <w:ilvl w:val="0"/>
          <w:numId w:val="38"/>
        </w:numPr>
        <w:rPr>
          <w:rFonts w:ascii="Arial" w:cs="Arial" w:eastAsia="Arial" w:hAnsi="Arial"/>
          <w:sz w:val="14"/>
          <w:szCs w:val="14"/>
          <w:color w:val="auto"/>
        </w:rPr>
      </w:pPr>
      <w:r>
        <w:rPr>
          <w:rFonts w:ascii="Arial" w:cs="Arial" w:eastAsia="Arial" w:hAnsi="Arial"/>
          <w:sz w:val="14"/>
          <w:szCs w:val="14"/>
          <w:color w:val="auto"/>
        </w:rPr>
        <w:t>Includes $8.0 million of commercial mortgage loans in foreclosure as of December 31, 2013.</w:t>
      </w:r>
    </w:p>
    <w:p>
      <w:pPr>
        <w:spacing w:after="0" w:line="206" w:lineRule="exact"/>
        <w:rPr>
          <w:sz w:val="20"/>
          <w:szCs w:val="20"/>
          <w:color w:val="auto"/>
        </w:rPr>
      </w:pPr>
    </w:p>
    <w:p>
      <w:pPr>
        <w:jc w:val="both"/>
        <w:ind w:firstLine="378"/>
        <w:spacing w:after="0" w:line="298" w:lineRule="auto"/>
        <w:rPr>
          <w:sz w:val="20"/>
          <w:szCs w:val="20"/>
          <w:color w:val="auto"/>
        </w:rPr>
      </w:pPr>
      <w:r>
        <w:rPr>
          <w:rFonts w:ascii="Arial" w:cs="Arial" w:eastAsia="Arial" w:hAnsi="Arial"/>
          <w:sz w:val="16"/>
          <w:szCs w:val="16"/>
          <w:b w:val="1"/>
          <w:bCs w:val="1"/>
          <w:i w:val="1"/>
          <w:iCs w:val="1"/>
          <w:color w:val="auto"/>
        </w:rPr>
        <w:t xml:space="preserve">Commercial Mortgage Loan Valuation Allowance. </w:t>
      </w:r>
      <w:r>
        <w:rPr>
          <w:rFonts w:ascii="Arial" w:cs="Arial" w:eastAsia="Arial" w:hAnsi="Arial"/>
          <w:sz w:val="16"/>
          <w:szCs w:val="16"/>
          <w:color w:val="auto"/>
        </w:rPr>
        <w:t>The valuation allowance for commercial mortgage loans includes loan specific reserves for loans that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are deemed to be impaired as well as reserves for pools of loans with similar risk characteristics where a property risk or market specific risk has not been identified but for which we anticipate a loss may occur. For further details on the commercial mortgage valuation allowance, see Item 8. "Financial Statements and Supplementary Data, Notes to Consolidated Financial Statements, Note 5, Investments — Mortgage Loan Valuation Allowance."</w:t>
      </w:r>
    </w:p>
    <w:p>
      <w:pPr>
        <w:spacing w:after="0" w:line="167" w:lineRule="exact"/>
        <w:rPr>
          <w:sz w:val="20"/>
          <w:szCs w:val="20"/>
          <w:color w:val="auto"/>
        </w:rPr>
      </w:pPr>
    </w:p>
    <w:p>
      <w:pPr>
        <w:jc w:val="both"/>
        <w:ind w:firstLine="351"/>
        <w:spacing w:after="0" w:line="306" w:lineRule="auto"/>
        <w:rPr>
          <w:sz w:val="20"/>
          <w:szCs w:val="20"/>
          <w:color w:val="auto"/>
        </w:rPr>
      </w:pPr>
      <w:r>
        <w:rPr>
          <w:rFonts w:ascii="Arial" w:cs="Arial" w:eastAsia="Arial" w:hAnsi="Arial"/>
          <w:sz w:val="16"/>
          <w:szCs w:val="16"/>
          <w:color w:val="auto"/>
        </w:rPr>
        <w:t>The valuation allowance decreased $23.1 million for the year ended December 31, 2013, and decreased $13.0 million for the year ended December 31, 2012. The decrease in the level of valuation allowance during 2013 and 2012 was related to the same market factors as those causing the decrease in the level of problem, potential problem and restructured commercial mortgages for the year ended December 31, 2013.</w:t>
      </w:r>
    </w:p>
    <w:p>
      <w:pPr>
        <w:spacing w:after="0" w:line="16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represents our commercial mortgage valuation allowance for the periods indicated.</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72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2013</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2012</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720" w:type="dxa"/>
            <w:vAlign w:val="bottom"/>
          </w:tcPr>
          <w:p>
            <w:pPr>
              <w:spacing w:after="0"/>
              <w:rPr>
                <w:sz w:val="12"/>
                <w:szCs w:val="12"/>
                <w:color w:val="auto"/>
              </w:rPr>
            </w:pPr>
          </w:p>
        </w:tc>
        <w:tc>
          <w:tcPr>
            <w:tcW w:w="1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2" w:lineRule="exact"/>
              <w:rPr>
                <w:sz w:val="20"/>
                <w:szCs w:val="20"/>
                <w:color w:val="auto"/>
              </w:rPr>
            </w:pPr>
            <w:r>
              <w:rPr>
                <w:rFonts w:ascii="Arial" w:cs="Arial" w:eastAsia="Arial" w:hAnsi="Arial"/>
                <w:sz w:val="14"/>
                <w:szCs w:val="14"/>
                <w:b w:val="1"/>
                <w:bCs w:val="1"/>
                <w:i w:val="1"/>
                <w:iCs w:val="1"/>
                <w:color w:val="auto"/>
              </w:rPr>
              <w:t>($ in</w:t>
            </w:r>
          </w:p>
        </w:tc>
        <w:tc>
          <w:tcPr>
            <w:tcW w:w="1420" w:type="dxa"/>
            <w:vAlign w:val="bottom"/>
            <w:gridSpan w:val="4"/>
          </w:tcPr>
          <w:p>
            <w:pPr>
              <w:jc w:val="right"/>
              <w:ind w:right="892"/>
              <w:spacing w:after="0" w:line="142" w:lineRule="exact"/>
              <w:rPr>
                <w:sz w:val="20"/>
                <w:szCs w:val="20"/>
                <w:color w:val="auto"/>
              </w:rPr>
            </w:pPr>
            <w:r>
              <w:rPr>
                <w:rFonts w:ascii="Arial" w:cs="Arial" w:eastAsia="Arial" w:hAnsi="Arial"/>
                <w:sz w:val="14"/>
                <w:szCs w:val="14"/>
                <w:b w:val="1"/>
                <w:bCs w:val="1"/>
                <w:i w:val="1"/>
                <w:iCs w:val="1"/>
                <w:color w:val="auto"/>
                <w:w w:val="76"/>
              </w:rPr>
              <w:t>millions)</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Balance, beginning of period</w:t>
            </w:r>
          </w:p>
        </w:tc>
        <w:tc>
          <w:tcPr>
            <w:tcW w:w="162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51.8</w:t>
            </w:r>
          </w:p>
        </w:tc>
        <w:tc>
          <w:tcPr>
            <w:tcW w:w="140" w:type="dxa"/>
            <w:vAlign w:val="bottom"/>
            <w:shd w:val="clear" w:color="auto" w:fill="CCEEFF"/>
          </w:tcPr>
          <w:p>
            <w:pPr>
              <w:spacing w:after="0"/>
              <w:rPr>
                <w:sz w:val="12"/>
                <w:szCs w:val="12"/>
                <w:color w:val="auto"/>
              </w:rPr>
            </w:pPr>
          </w:p>
        </w:tc>
        <w:tc>
          <w:tcPr>
            <w:tcW w:w="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64.8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tcPr>
          <w:p>
            <w:pPr>
              <w:spacing w:after="0" w:line="149" w:lineRule="exact"/>
              <w:rPr>
                <w:sz w:val="20"/>
                <w:szCs w:val="20"/>
                <w:color w:val="auto"/>
              </w:rPr>
            </w:pPr>
            <w:r>
              <w:rPr>
                <w:rFonts w:ascii="Arial" w:cs="Arial" w:eastAsia="Arial" w:hAnsi="Arial"/>
                <w:sz w:val="14"/>
                <w:szCs w:val="14"/>
                <w:color w:val="auto"/>
              </w:rPr>
              <w:t>Provision</w:t>
            </w:r>
          </w:p>
        </w:tc>
        <w:tc>
          <w:tcPr>
            <w:tcW w:w="1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4.1</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13.5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Charge-offs</w:t>
            </w:r>
          </w:p>
        </w:tc>
        <w:tc>
          <w:tcPr>
            <w:tcW w:w="15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32"/>
              <w:spacing w:after="0" w:line="149" w:lineRule="exact"/>
              <w:rPr>
                <w:sz w:val="20"/>
                <w:szCs w:val="20"/>
                <w:color w:val="auto"/>
              </w:rPr>
            </w:pPr>
            <w:r>
              <w:rPr>
                <w:rFonts w:ascii="Arial" w:cs="Arial" w:eastAsia="Arial" w:hAnsi="Arial"/>
                <w:sz w:val="14"/>
                <w:szCs w:val="14"/>
                <w:b w:val="1"/>
                <w:bCs w:val="1"/>
                <w:color w:val="auto"/>
              </w:rPr>
              <w:t>(28.0)</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(26.7)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tcPr>
          <w:p>
            <w:pPr>
              <w:spacing w:after="0" w:line="149" w:lineRule="exact"/>
              <w:rPr>
                <w:sz w:val="20"/>
                <w:szCs w:val="20"/>
                <w:color w:val="auto"/>
              </w:rPr>
            </w:pPr>
            <w:r>
              <w:rPr>
                <w:rFonts w:ascii="Arial" w:cs="Arial" w:eastAsia="Arial" w:hAnsi="Arial"/>
                <w:sz w:val="14"/>
                <w:szCs w:val="14"/>
                <w:color w:val="auto"/>
              </w:rPr>
              <w:t>Recoveries</w:t>
            </w:r>
          </w:p>
        </w:tc>
        <w:tc>
          <w:tcPr>
            <w:tcW w:w="154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0.8</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0.2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7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Balance, end of period</w:t>
            </w:r>
          </w:p>
        </w:tc>
        <w:tc>
          <w:tcPr>
            <w:tcW w:w="162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28.7</w:t>
            </w:r>
          </w:p>
        </w:tc>
        <w:tc>
          <w:tcPr>
            <w:tcW w:w="140" w:type="dxa"/>
            <w:vAlign w:val="bottom"/>
            <w:shd w:val="clear" w:color="auto" w:fill="CCEEFF"/>
          </w:tcPr>
          <w:p>
            <w:pPr>
              <w:spacing w:after="0"/>
              <w:rPr>
                <w:sz w:val="12"/>
                <w:szCs w:val="12"/>
                <w:color w:val="auto"/>
              </w:rPr>
            </w:pPr>
          </w:p>
        </w:tc>
        <w:tc>
          <w:tcPr>
            <w:tcW w:w="8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51.8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740" w:type="dxa"/>
            <w:vAlign w:val="bottom"/>
            <w:gridSpan w:val="2"/>
            <w:vMerge w:val="restart"/>
          </w:tcPr>
          <w:p>
            <w:pPr>
              <w:spacing w:after="0"/>
              <w:rPr>
                <w:sz w:val="20"/>
                <w:szCs w:val="20"/>
                <w:color w:val="auto"/>
              </w:rPr>
            </w:pPr>
            <w:r>
              <w:rPr>
                <w:rFonts w:ascii="Arial" w:cs="Arial" w:eastAsia="Arial" w:hAnsi="Arial"/>
                <w:sz w:val="14"/>
                <w:szCs w:val="14"/>
                <w:color w:val="auto"/>
              </w:rPr>
              <w:t>Valuation allowance as % of carrying value before reserves</w:t>
            </w:r>
          </w:p>
        </w:tc>
        <w:tc>
          <w:tcPr>
            <w:tcW w:w="15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4740" w:type="dxa"/>
            <w:vAlign w:val="bottom"/>
            <w:gridSpan w:val="2"/>
            <w:vMerge w:val="continue"/>
          </w:tcPr>
          <w:p>
            <w:pPr>
              <w:spacing w:after="0"/>
              <w:rPr>
                <w:sz w:val="13"/>
                <w:szCs w:val="13"/>
                <w:color w:val="auto"/>
              </w:rPr>
            </w:pPr>
          </w:p>
        </w:tc>
        <w:tc>
          <w:tcPr>
            <w:tcW w:w="1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340" w:type="dxa"/>
            <w:vAlign w:val="bottom"/>
            <w:gridSpan w:val="2"/>
          </w:tcPr>
          <w:p>
            <w:pPr>
              <w:jc w:val="right"/>
              <w:spacing w:after="0" w:line="155" w:lineRule="exact"/>
              <w:rPr>
                <w:sz w:val="20"/>
                <w:szCs w:val="20"/>
                <w:color w:val="auto"/>
              </w:rPr>
            </w:pPr>
            <w:r>
              <w:rPr>
                <w:rFonts w:ascii="Arial" w:cs="Arial" w:eastAsia="Arial" w:hAnsi="Arial"/>
                <w:sz w:val="14"/>
                <w:szCs w:val="14"/>
                <w:b w:val="1"/>
                <w:bCs w:val="1"/>
                <w:color w:val="auto"/>
              </w:rPr>
              <w:t>0.28%</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360" w:type="dxa"/>
            <w:vAlign w:val="bottom"/>
            <w:gridSpan w:val="2"/>
          </w:tcPr>
          <w:p>
            <w:pPr>
              <w:jc w:val="right"/>
              <w:ind w:right="60"/>
              <w:spacing w:after="0" w:line="155" w:lineRule="exact"/>
              <w:rPr>
                <w:sz w:val="20"/>
                <w:szCs w:val="20"/>
                <w:color w:val="auto"/>
              </w:rPr>
            </w:pPr>
            <w:r>
              <w:rPr>
                <w:rFonts w:ascii="Arial" w:cs="Arial" w:eastAsia="Arial" w:hAnsi="Arial"/>
                <w:sz w:val="14"/>
                <w:szCs w:val="14"/>
                <w:color w:val="auto"/>
              </w:rPr>
              <w:t>0.51%</w:t>
            </w:r>
          </w:p>
        </w:tc>
        <w:tc>
          <w:tcPr>
            <w:tcW w:w="0" w:type="dxa"/>
            <w:vAlign w:val="bottom"/>
          </w:tcPr>
          <w:p>
            <w:pPr>
              <w:spacing w:after="0"/>
              <w:rPr>
                <w:sz w:val="1"/>
                <w:szCs w:val="1"/>
                <w:color w:val="auto"/>
              </w:rPr>
            </w:pPr>
          </w:p>
        </w:tc>
      </w:tr>
    </w:tbl>
    <w:p>
      <w:pPr>
        <w:spacing w:after="0" w:line="182" w:lineRule="exact"/>
        <w:rPr>
          <w:sz w:val="20"/>
          <w:szCs w:val="20"/>
          <w:color w:val="auto"/>
        </w:rPr>
      </w:pPr>
    </w:p>
    <w:p>
      <w:pPr>
        <w:jc w:val="both"/>
        <w:ind w:firstLine="351"/>
        <w:spacing w:after="0" w:line="255" w:lineRule="auto"/>
        <w:rPr>
          <w:sz w:val="20"/>
          <w:szCs w:val="20"/>
          <w:color w:val="auto"/>
        </w:rPr>
      </w:pPr>
      <w:r>
        <w:rPr>
          <w:rFonts w:ascii="Arial" w:cs="Arial" w:eastAsia="Arial" w:hAnsi="Arial"/>
          <w:sz w:val="18"/>
          <w:szCs w:val="18"/>
          <w:b w:val="1"/>
          <w:bCs w:val="1"/>
          <w:i w:val="1"/>
          <w:iCs w:val="1"/>
          <w:color w:val="auto"/>
        </w:rPr>
        <w:t xml:space="preserve">Residential Mortgage Loans. </w:t>
      </w:r>
      <w:r>
        <w:rPr>
          <w:rFonts w:ascii="Arial" w:cs="Arial" w:eastAsia="Arial" w:hAnsi="Arial"/>
          <w:sz w:val="18"/>
          <w:szCs w:val="18"/>
          <w:color w:val="auto"/>
        </w:rPr>
        <w:t>The residential mortgage loan portfolio is composed of home equity mortgages with an amortized cost of $394.9 million and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$495.7 million and first lien mortgages with an amortized cost of $210.8 million and $206.4 million as of December 31, 2013 and December 31, 2012, respectively. The home equity loans are generally second lien mortgages made up of closed-end loans and lines of credit. Non-performing residential mortgage loans, which are defined as loans 90 days or greater delinquent plus non-accrual loans, totaled $23.8 million and $32.3 million as of December 31, 2013 and December 31, 2012, respectively.</w:t>
      </w:r>
    </w:p>
    <w:p>
      <w:pPr>
        <w:spacing w:after="0" w:line="197" w:lineRule="exact"/>
        <w:rPr>
          <w:sz w:val="20"/>
          <w:szCs w:val="20"/>
          <w:color w:val="auto"/>
        </w:rPr>
      </w:pPr>
    </w:p>
    <w:p>
      <w:pPr>
        <w:jc w:val="both"/>
        <w:ind w:firstLine="390"/>
        <w:spacing w:after="0" w:line="298" w:lineRule="auto"/>
        <w:rPr>
          <w:sz w:val="20"/>
          <w:szCs w:val="20"/>
          <w:color w:val="auto"/>
        </w:rPr>
      </w:pPr>
      <w:r>
        <w:rPr>
          <w:rFonts w:ascii="Arial" w:cs="Arial" w:eastAsia="Arial" w:hAnsi="Arial"/>
          <w:sz w:val="16"/>
          <w:szCs w:val="16"/>
          <w:color w:val="auto"/>
        </w:rPr>
        <w:t>We establish the residential mortgage loan valuation allowance at levels considered adequate to absorb estimated probable losses within the portfolio based on management's evaluation of the size and current risk characteristics of the portfolio. Such evaluation considers numerous factors, including, but not limited to net charge-off trends, loss forecasts, collateral values, geographic location, borrower credit scores, delinquency rates, industry condition and economic trends. The changes in the valuation allowance are reported in net realized capital gains (losses) on our consolidated statements of operations.</w:t>
      </w:r>
    </w:p>
    <w:p>
      <w:pPr>
        <w:spacing w:after="0" w:line="167" w:lineRule="exact"/>
        <w:rPr>
          <w:sz w:val="20"/>
          <w:szCs w:val="20"/>
          <w:color w:val="auto"/>
        </w:rPr>
      </w:pPr>
    </w:p>
    <w:p>
      <w:pPr>
        <w:jc w:val="both"/>
        <w:ind w:firstLine="429"/>
        <w:spacing w:after="0" w:line="256" w:lineRule="auto"/>
        <w:rPr>
          <w:sz w:val="20"/>
          <w:szCs w:val="20"/>
          <w:color w:val="auto"/>
        </w:rPr>
      </w:pPr>
      <w:r>
        <w:rPr>
          <w:rFonts w:ascii="Arial" w:cs="Arial" w:eastAsia="Arial" w:hAnsi="Arial"/>
          <w:sz w:val="18"/>
          <w:szCs w:val="18"/>
          <w:color w:val="auto"/>
        </w:rPr>
        <w:t>Our residential mortgage loan portfolio, and in particular our home equity loan portfolio, experienced an increase in loss severity from sustained elevated levels of unemployment along with continued depressed collateral values beginning in 2010. While these factors continue to drive charge-offs, loss rates overall have stabilized and the portfolio balance continues to decline. The following table represents our residential mortgage valuation allowance for the periods indicated.</w:t>
      </w:r>
    </w:p>
    <w:p>
      <w:pPr>
        <w:spacing w:after="0" w:line="193"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72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2013</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2012</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720" w:type="dxa"/>
            <w:vAlign w:val="bottom"/>
          </w:tcPr>
          <w:p>
            <w:pPr>
              <w:spacing w:after="0"/>
              <w:rPr>
                <w:sz w:val="12"/>
                <w:szCs w:val="12"/>
                <w:color w:val="auto"/>
              </w:rPr>
            </w:pPr>
          </w:p>
        </w:tc>
        <w:tc>
          <w:tcPr>
            <w:tcW w:w="1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2" w:lineRule="exact"/>
              <w:rPr>
                <w:sz w:val="20"/>
                <w:szCs w:val="20"/>
                <w:color w:val="auto"/>
              </w:rPr>
            </w:pPr>
            <w:r>
              <w:rPr>
                <w:rFonts w:ascii="Arial" w:cs="Arial" w:eastAsia="Arial" w:hAnsi="Arial"/>
                <w:sz w:val="14"/>
                <w:szCs w:val="14"/>
                <w:b w:val="1"/>
                <w:bCs w:val="1"/>
                <w:i w:val="1"/>
                <w:iCs w:val="1"/>
                <w:color w:val="auto"/>
              </w:rPr>
              <w:t>($ in</w:t>
            </w:r>
          </w:p>
        </w:tc>
        <w:tc>
          <w:tcPr>
            <w:tcW w:w="1420" w:type="dxa"/>
            <w:vAlign w:val="bottom"/>
            <w:gridSpan w:val="4"/>
          </w:tcPr>
          <w:p>
            <w:pPr>
              <w:jc w:val="right"/>
              <w:ind w:right="892"/>
              <w:spacing w:after="0" w:line="142" w:lineRule="exact"/>
              <w:rPr>
                <w:sz w:val="20"/>
                <w:szCs w:val="20"/>
                <w:color w:val="auto"/>
              </w:rPr>
            </w:pPr>
            <w:r>
              <w:rPr>
                <w:rFonts w:ascii="Arial" w:cs="Arial" w:eastAsia="Arial" w:hAnsi="Arial"/>
                <w:sz w:val="14"/>
                <w:szCs w:val="14"/>
                <w:b w:val="1"/>
                <w:bCs w:val="1"/>
                <w:i w:val="1"/>
                <w:iCs w:val="1"/>
                <w:color w:val="auto"/>
                <w:w w:val="76"/>
              </w:rPr>
              <w:t>millions)</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Balance, beginning of period</w:t>
            </w:r>
          </w:p>
        </w:tc>
        <w:tc>
          <w:tcPr>
            <w:tcW w:w="162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44.4</w:t>
            </w:r>
          </w:p>
        </w:tc>
        <w:tc>
          <w:tcPr>
            <w:tcW w:w="140" w:type="dxa"/>
            <w:vAlign w:val="bottom"/>
            <w:shd w:val="clear" w:color="auto" w:fill="CCEEFF"/>
          </w:tcPr>
          <w:p>
            <w:pPr>
              <w:spacing w:after="0"/>
              <w:rPr>
                <w:sz w:val="12"/>
                <w:szCs w:val="12"/>
                <w:color w:val="auto"/>
              </w:rPr>
            </w:pPr>
          </w:p>
        </w:tc>
        <w:tc>
          <w:tcPr>
            <w:tcW w:w="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36.0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tcPr>
          <w:p>
            <w:pPr>
              <w:spacing w:after="0" w:line="149" w:lineRule="exact"/>
              <w:rPr>
                <w:sz w:val="20"/>
                <w:szCs w:val="20"/>
                <w:color w:val="auto"/>
              </w:rPr>
            </w:pPr>
            <w:r>
              <w:rPr>
                <w:rFonts w:ascii="Arial" w:cs="Arial" w:eastAsia="Arial" w:hAnsi="Arial"/>
                <w:sz w:val="14"/>
                <w:szCs w:val="14"/>
                <w:color w:val="auto"/>
              </w:rPr>
              <w:t>Provision</w:t>
            </w:r>
          </w:p>
        </w:tc>
        <w:tc>
          <w:tcPr>
            <w:tcW w:w="1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11.1</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39.9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Charge-offs</w:t>
            </w:r>
          </w:p>
        </w:tc>
        <w:tc>
          <w:tcPr>
            <w:tcW w:w="15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32"/>
              <w:spacing w:after="0" w:line="149" w:lineRule="exact"/>
              <w:rPr>
                <w:sz w:val="20"/>
                <w:szCs w:val="20"/>
                <w:color w:val="auto"/>
              </w:rPr>
            </w:pPr>
            <w:r>
              <w:rPr>
                <w:rFonts w:ascii="Arial" w:cs="Arial" w:eastAsia="Arial" w:hAnsi="Arial"/>
                <w:sz w:val="14"/>
                <w:szCs w:val="14"/>
                <w:b w:val="1"/>
                <w:bCs w:val="1"/>
                <w:color w:val="auto"/>
              </w:rPr>
              <w:t>(18.3)</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(35.1)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tcPr>
          <w:p>
            <w:pPr>
              <w:spacing w:after="0" w:line="149" w:lineRule="exact"/>
              <w:rPr>
                <w:sz w:val="20"/>
                <w:szCs w:val="20"/>
                <w:color w:val="auto"/>
              </w:rPr>
            </w:pPr>
            <w:r>
              <w:rPr>
                <w:rFonts w:ascii="Arial" w:cs="Arial" w:eastAsia="Arial" w:hAnsi="Arial"/>
                <w:sz w:val="14"/>
                <w:szCs w:val="14"/>
                <w:color w:val="auto"/>
              </w:rPr>
              <w:t>Recoveries</w:t>
            </w:r>
          </w:p>
        </w:tc>
        <w:tc>
          <w:tcPr>
            <w:tcW w:w="154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3.1</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7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Balance, end of period</w:t>
            </w:r>
          </w:p>
        </w:tc>
        <w:tc>
          <w:tcPr>
            <w:tcW w:w="162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40.3</w:t>
            </w:r>
          </w:p>
        </w:tc>
        <w:tc>
          <w:tcPr>
            <w:tcW w:w="140" w:type="dxa"/>
            <w:vAlign w:val="bottom"/>
            <w:shd w:val="clear" w:color="auto" w:fill="CCEEFF"/>
          </w:tcPr>
          <w:p>
            <w:pPr>
              <w:spacing w:after="0"/>
              <w:rPr>
                <w:sz w:val="12"/>
                <w:szCs w:val="12"/>
                <w:color w:val="auto"/>
              </w:rPr>
            </w:pPr>
          </w:p>
        </w:tc>
        <w:tc>
          <w:tcPr>
            <w:tcW w:w="8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44.4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740" w:type="dxa"/>
            <w:vAlign w:val="bottom"/>
            <w:gridSpan w:val="2"/>
            <w:vMerge w:val="restart"/>
          </w:tcPr>
          <w:p>
            <w:pPr>
              <w:spacing w:after="0"/>
              <w:rPr>
                <w:sz w:val="20"/>
                <w:szCs w:val="20"/>
                <w:color w:val="auto"/>
              </w:rPr>
            </w:pPr>
            <w:r>
              <w:rPr>
                <w:rFonts w:ascii="Arial" w:cs="Arial" w:eastAsia="Arial" w:hAnsi="Arial"/>
                <w:sz w:val="14"/>
                <w:szCs w:val="14"/>
                <w:color w:val="auto"/>
              </w:rPr>
              <w:t>Valuation allowance as % of carrying value before reserves</w:t>
            </w:r>
          </w:p>
        </w:tc>
        <w:tc>
          <w:tcPr>
            <w:tcW w:w="15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4740" w:type="dxa"/>
            <w:vAlign w:val="bottom"/>
            <w:gridSpan w:val="2"/>
            <w:vMerge w:val="continue"/>
          </w:tcPr>
          <w:p>
            <w:pPr>
              <w:spacing w:after="0"/>
              <w:rPr>
                <w:sz w:val="13"/>
                <w:szCs w:val="13"/>
                <w:color w:val="auto"/>
              </w:rPr>
            </w:pPr>
          </w:p>
        </w:tc>
        <w:tc>
          <w:tcPr>
            <w:tcW w:w="1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340" w:type="dxa"/>
            <w:vAlign w:val="bottom"/>
            <w:gridSpan w:val="2"/>
          </w:tcPr>
          <w:p>
            <w:pPr>
              <w:jc w:val="right"/>
              <w:spacing w:after="0" w:line="155" w:lineRule="exact"/>
              <w:rPr>
                <w:sz w:val="20"/>
                <w:szCs w:val="20"/>
                <w:color w:val="auto"/>
              </w:rPr>
            </w:pPr>
            <w:r>
              <w:rPr>
                <w:rFonts w:ascii="Arial" w:cs="Arial" w:eastAsia="Arial" w:hAnsi="Arial"/>
                <w:sz w:val="14"/>
                <w:szCs w:val="14"/>
                <w:b w:val="1"/>
                <w:bCs w:val="1"/>
                <w:color w:val="auto"/>
              </w:rPr>
              <w:t>6.7%</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360" w:type="dxa"/>
            <w:vAlign w:val="bottom"/>
            <w:gridSpan w:val="2"/>
          </w:tcPr>
          <w:p>
            <w:pPr>
              <w:jc w:val="right"/>
              <w:ind w:right="60"/>
              <w:spacing w:after="0" w:line="155" w:lineRule="exact"/>
              <w:rPr>
                <w:sz w:val="20"/>
                <w:szCs w:val="20"/>
                <w:color w:val="auto"/>
              </w:rPr>
            </w:pPr>
            <w:r>
              <w:rPr>
                <w:rFonts w:ascii="Arial" w:cs="Arial" w:eastAsia="Arial" w:hAnsi="Arial"/>
                <w:sz w:val="14"/>
                <w:szCs w:val="14"/>
                <w:color w:val="auto"/>
              </w:rPr>
              <w:t>6.3%</w:t>
            </w:r>
          </w:p>
        </w:tc>
        <w:tc>
          <w:tcPr>
            <w:tcW w:w="0" w:type="dxa"/>
            <w:vAlign w:val="bottom"/>
          </w:tcPr>
          <w:p>
            <w:pPr>
              <w:spacing w:after="0"/>
              <w:rPr>
                <w:sz w:val="1"/>
                <w:szCs w:val="1"/>
                <w:color w:val="auto"/>
              </w:rPr>
            </w:pPr>
          </w:p>
        </w:tc>
      </w:tr>
    </w:tbl>
    <w:p>
      <w:pPr>
        <w:spacing w:after="0" w:line="1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7" w:name="page78"/>
    <w:bookmarkEnd w:id="7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Real Estate</w:t>
      </w:r>
    </w:p>
    <w:p>
      <w:pPr>
        <w:spacing w:after="0" w:line="225" w:lineRule="exact"/>
        <w:rPr>
          <w:sz w:val="20"/>
          <w:szCs w:val="20"/>
          <w:color w:val="auto"/>
        </w:rPr>
      </w:pPr>
    </w:p>
    <w:p>
      <w:pPr>
        <w:jc w:val="both"/>
        <w:ind w:firstLine="432"/>
        <w:spacing w:after="0" w:line="306" w:lineRule="auto"/>
        <w:rPr>
          <w:sz w:val="20"/>
          <w:szCs w:val="20"/>
          <w:color w:val="auto"/>
        </w:rPr>
      </w:pPr>
      <w:r>
        <w:rPr>
          <w:rFonts w:ascii="Arial" w:cs="Arial" w:eastAsia="Arial" w:hAnsi="Arial"/>
          <w:sz w:val="16"/>
          <w:szCs w:val="16"/>
          <w:color w:val="auto"/>
        </w:rPr>
        <w:t>Real estate consists primarily of commercial equity real estate. As of December 31, 2013 and December 31, 2012, the carrying amount of our equity real estate investment was $1,266.4 million, or 2%, and $1,172.5 million, or 2%, of U.S. invested assets, respectively. Our commercial equity real estate is held in the form of wholly owned real estate, real estate acquired upon foreclosure of commercial mortgage loans and majority owned interests in real estate joint ventures.</w:t>
      </w:r>
    </w:p>
    <w:p>
      <w:pPr>
        <w:spacing w:after="0" w:line="161" w:lineRule="exact"/>
        <w:rPr>
          <w:sz w:val="20"/>
          <w:szCs w:val="20"/>
          <w:color w:val="auto"/>
        </w:rPr>
      </w:pPr>
    </w:p>
    <w:p>
      <w:pPr>
        <w:jc w:val="both"/>
        <w:ind w:firstLine="637"/>
        <w:spacing w:after="0" w:line="255" w:lineRule="auto"/>
        <w:rPr>
          <w:sz w:val="20"/>
          <w:szCs w:val="20"/>
          <w:color w:val="auto"/>
        </w:rPr>
      </w:pPr>
      <w:r>
        <w:rPr>
          <w:rFonts w:ascii="Arial" w:cs="Arial" w:eastAsia="Arial" w:hAnsi="Arial"/>
          <w:sz w:val="18"/>
          <w:szCs w:val="18"/>
          <w:color w:val="auto"/>
        </w:rPr>
        <w:t>Equity real estate is categorized as either "real estate held for investment" or "real estate held for sale." Real estate held for investment totaled $1,086.9 million and $1,092.5 million as of December 31, 2013 and December 31, 2012, respectively. The carrying value of real estate held for investment is generally adjusted for impairment whenever events or changes in circumstances indicate that the carrying amount of the asset may not be recoverable. Such impairment adjustments are recorded as net realized losses and, accordingly, are reflected in our consolidated results of operations. For the year ended December 31, 2013 and 2012, there were no such impairment adjustments.</w:t>
      </w:r>
    </w:p>
    <w:p>
      <w:pPr>
        <w:spacing w:after="0" w:line="197" w:lineRule="exact"/>
        <w:rPr>
          <w:sz w:val="20"/>
          <w:szCs w:val="20"/>
          <w:color w:val="auto"/>
        </w:rPr>
      </w:pPr>
    </w:p>
    <w:p>
      <w:pPr>
        <w:jc w:val="both"/>
        <w:ind w:firstLine="374"/>
        <w:spacing w:after="0" w:line="298" w:lineRule="auto"/>
        <w:rPr>
          <w:sz w:val="20"/>
          <w:szCs w:val="20"/>
          <w:color w:val="auto"/>
        </w:rPr>
      </w:pPr>
      <w:r>
        <w:rPr>
          <w:rFonts w:ascii="Arial" w:cs="Arial" w:eastAsia="Arial" w:hAnsi="Arial"/>
          <w:sz w:val="16"/>
          <w:szCs w:val="16"/>
          <w:color w:val="auto"/>
        </w:rPr>
        <w:t>The carrying amount of real estate held for sale was $179.5 million and $80.0 million as of December 31, 2013 and December 31, 2012, respectively. There were no valuation allowances as of December 31, 2013 or December 31, 2012. Once we identify a real estate property to be sold and commence a plan for marketing the property, we classify the property as held for sale. We establish a valuation allowance subject to periodic revisions, if necessary, to adjust the carrying value of the property to reflect the lower of its current carrying value or the fair value, less associated selling costs.</w:t>
      </w:r>
    </w:p>
    <w:p>
      <w:pPr>
        <w:spacing w:after="0" w:line="167" w:lineRule="exact"/>
        <w:rPr>
          <w:sz w:val="20"/>
          <w:szCs w:val="20"/>
          <w:color w:val="auto"/>
        </w:rPr>
      </w:pPr>
    </w:p>
    <w:p>
      <w:pPr>
        <w:jc w:val="both"/>
        <w:ind w:firstLine="359"/>
        <w:spacing w:after="0" w:line="268" w:lineRule="auto"/>
        <w:rPr>
          <w:sz w:val="20"/>
          <w:szCs w:val="20"/>
          <w:color w:val="auto"/>
        </w:rPr>
      </w:pPr>
      <w:r>
        <w:rPr>
          <w:rFonts w:ascii="Arial" w:cs="Arial" w:eastAsia="Arial" w:hAnsi="Arial"/>
          <w:sz w:val="18"/>
          <w:szCs w:val="18"/>
          <w:color w:val="auto"/>
        </w:rPr>
        <w:t>We use research, both internal and external, to recommend appropriate product and geographic allocations and changes to the equity real estate portfolio. We monitor product, geographic and industry diversification separately and together to determine the most appropriate mix.</w:t>
      </w:r>
    </w:p>
    <w:p>
      <w:pPr>
        <w:spacing w:after="0" w:line="186" w:lineRule="exact"/>
        <w:rPr>
          <w:sz w:val="20"/>
          <w:szCs w:val="20"/>
          <w:color w:val="auto"/>
        </w:rPr>
      </w:pPr>
    </w:p>
    <w:p>
      <w:pPr>
        <w:jc w:val="both"/>
        <w:ind w:firstLine="505"/>
        <w:spacing w:after="0" w:line="259" w:lineRule="auto"/>
        <w:rPr>
          <w:sz w:val="20"/>
          <w:szCs w:val="20"/>
          <w:color w:val="auto"/>
        </w:rPr>
      </w:pPr>
      <w:r>
        <w:rPr>
          <w:rFonts w:ascii="Arial" w:cs="Arial" w:eastAsia="Arial" w:hAnsi="Arial"/>
          <w:sz w:val="18"/>
          <w:szCs w:val="18"/>
          <w:color w:val="auto"/>
        </w:rPr>
        <w:t>Equity real estate is distributed across geographic regions of the country with 76% of the concentration in the Pacific, West South Central, and South Atlantic regions of the United States as of December 31, 2013. By property type, there is a concentration in office that represented approximately 42% of the equity real estate portfolio as of December 31, 2013.</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Investments</w:t>
      </w:r>
    </w:p>
    <w:p>
      <w:pPr>
        <w:spacing w:after="0" w:line="225" w:lineRule="exact"/>
        <w:rPr>
          <w:sz w:val="20"/>
          <w:szCs w:val="20"/>
          <w:color w:val="auto"/>
        </w:rPr>
      </w:pPr>
    </w:p>
    <w:p>
      <w:pPr>
        <w:jc w:val="both"/>
        <w:ind w:firstLine="545"/>
        <w:spacing w:after="0" w:line="306" w:lineRule="auto"/>
        <w:rPr>
          <w:sz w:val="20"/>
          <w:szCs w:val="20"/>
          <w:color w:val="auto"/>
        </w:rPr>
      </w:pPr>
      <w:r>
        <w:rPr>
          <w:rFonts w:ascii="Arial" w:cs="Arial" w:eastAsia="Arial" w:hAnsi="Arial"/>
          <w:sz w:val="16"/>
          <w:szCs w:val="16"/>
          <w:color w:val="auto"/>
        </w:rPr>
        <w:t>Our other investments totaled $1,495.7 million as of December 31, 2013, compared to $1,847.4 million as of December 31, 2012. Derivative assets accounted for $651.1 million and $996.0 million in other investments as of December 31, 2013 and December 31, 2012, respectively. The remaining invested assets include equity method investments, which include real estate properties owned jointly with venture partners and operated by the partners.</w:t>
      </w: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International Investment Operations</w:t>
      </w:r>
    </w:p>
    <w:p>
      <w:pPr>
        <w:spacing w:after="0" w:line="231" w:lineRule="exact"/>
        <w:rPr>
          <w:sz w:val="20"/>
          <w:szCs w:val="20"/>
          <w:color w:val="auto"/>
        </w:rPr>
      </w:pPr>
    </w:p>
    <w:p>
      <w:pPr>
        <w:jc w:val="both"/>
        <w:ind w:firstLine="425"/>
        <w:spacing w:after="0" w:line="298" w:lineRule="auto"/>
        <w:rPr>
          <w:sz w:val="20"/>
          <w:szCs w:val="20"/>
          <w:color w:val="auto"/>
        </w:rPr>
      </w:pPr>
      <w:r>
        <w:rPr>
          <w:rFonts w:ascii="Arial" w:cs="Arial" w:eastAsia="Arial" w:hAnsi="Arial"/>
          <w:sz w:val="16"/>
          <w:szCs w:val="16"/>
          <w:color w:val="auto"/>
        </w:rPr>
        <w:t>Of our invested assets, $6,110.9 million were held by our Principal International segment as of December 31, 2013. The assets are managed by either our Principal Global Investors segment or by the local Principal International affiliate. Due to the regulatory constraints in each country, each company maintains its own investment policies. As shown in the following table, the major category of international invested assets as of December 31, 2013 and December 31, 2012, was fixed maturities. The following table excludes invested assets of the separate accounts.</w:t>
      </w:r>
    </w:p>
    <w:p>
      <w:pPr>
        <w:spacing w:after="0" w:line="16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7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20" w:type="dxa"/>
            <w:vAlign w:val="bottom"/>
            <w:gridSpan w:val="5"/>
          </w:tcPr>
          <w:p>
            <w:pPr>
              <w:jc w:val="right"/>
              <w:ind w:right="720"/>
              <w:spacing w:after="0"/>
              <w:rPr>
                <w:sz w:val="20"/>
                <w:szCs w:val="20"/>
                <w:color w:val="auto"/>
              </w:rPr>
            </w:pPr>
            <w:r>
              <w:rPr>
                <w:rFonts w:ascii="Arial" w:cs="Arial" w:eastAsia="Arial" w:hAnsi="Arial"/>
                <w:sz w:val="14"/>
                <w:szCs w:val="14"/>
                <w:b w:val="1"/>
                <w:bCs w:val="1"/>
                <w:color w:val="auto"/>
              </w:rPr>
              <w:t>December 31, 2013</w:t>
            </w:r>
          </w:p>
        </w:tc>
        <w:tc>
          <w:tcPr>
            <w:tcW w:w="2140" w:type="dxa"/>
            <w:vAlign w:val="bottom"/>
            <w:gridSpan w:val="4"/>
          </w:tcPr>
          <w:p>
            <w:pPr>
              <w:jc w:val="right"/>
              <w:ind w:right="640"/>
              <w:spacing w:after="0"/>
              <w:rPr>
                <w:sz w:val="20"/>
                <w:szCs w:val="20"/>
                <w:color w:val="auto"/>
              </w:rPr>
            </w:pPr>
            <w:r>
              <w:rPr>
                <w:rFonts w:ascii="Arial" w:cs="Arial" w:eastAsia="Arial" w:hAnsi="Arial"/>
                <w:sz w:val="14"/>
                <w:szCs w:val="14"/>
                <w:b w:val="1"/>
                <w:bCs w:val="1"/>
                <w:color w:val="auto"/>
              </w:rPr>
              <w:t>December 31, 2012</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7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1120" w:type="dxa"/>
            <w:vAlign w:val="bottom"/>
            <w:tcBorders>
              <w:top w:val="single" w:sz="8" w:color="auto"/>
              <w:bottom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w w:val="89"/>
              </w:rPr>
              <w:t>Carrying amount</w:t>
            </w:r>
          </w:p>
        </w:tc>
        <w:tc>
          <w:tcPr>
            <w:tcW w:w="160" w:type="dxa"/>
            <w:vAlign w:val="bottom"/>
            <w:tcBorders>
              <w:top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8"/>
              </w:rPr>
              <w:t>% of total</w:t>
            </w:r>
          </w:p>
        </w:tc>
        <w:tc>
          <w:tcPr>
            <w:tcW w:w="18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110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w w:val="89"/>
              </w:rPr>
              <w:t>Carrying amount</w:t>
            </w:r>
          </w:p>
        </w:tc>
        <w:tc>
          <w:tcPr>
            <w:tcW w:w="160" w:type="dxa"/>
            <w:vAlign w:val="bottom"/>
            <w:tcBorders>
              <w:top w:val="single" w:sz="8" w:color="auto"/>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w w:val="98"/>
              </w:rPr>
              <w:t>% of total</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7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jc w:val="right"/>
              <w:spacing w:after="0" w:line="142" w:lineRule="exact"/>
              <w:rPr>
                <w:sz w:val="20"/>
                <w:szCs w:val="20"/>
                <w:color w:val="auto"/>
              </w:rPr>
            </w:pPr>
            <w:r>
              <w:rPr>
                <w:rFonts w:ascii="Arial" w:cs="Arial" w:eastAsia="Arial" w:hAnsi="Arial"/>
                <w:sz w:val="14"/>
                <w:szCs w:val="14"/>
                <w:b w:val="1"/>
                <w:bCs w:val="1"/>
                <w:i w:val="1"/>
                <w:iCs w:val="1"/>
                <w:color w:val="auto"/>
              </w:rPr>
              <w:t>($ in</w:t>
            </w:r>
          </w:p>
        </w:tc>
        <w:tc>
          <w:tcPr>
            <w:tcW w:w="1340" w:type="dxa"/>
            <w:vAlign w:val="bottom"/>
            <w:gridSpan w:val="3"/>
          </w:tcPr>
          <w:p>
            <w:pPr>
              <w:jc w:val="right"/>
              <w:ind w:right="792"/>
              <w:spacing w:after="0" w:line="142" w:lineRule="exact"/>
              <w:rPr>
                <w:sz w:val="20"/>
                <w:szCs w:val="20"/>
                <w:color w:val="auto"/>
              </w:rPr>
            </w:pPr>
            <w:r>
              <w:rPr>
                <w:rFonts w:ascii="Arial" w:cs="Arial" w:eastAsia="Arial" w:hAnsi="Arial"/>
                <w:sz w:val="14"/>
                <w:szCs w:val="14"/>
                <w:b w:val="1"/>
                <w:bCs w:val="1"/>
                <w:i w:val="1"/>
                <w:iCs w:val="1"/>
                <w:color w:val="auto"/>
                <w:w w:val="79"/>
              </w:rPr>
              <w:t>millions)</w:t>
            </w: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maturities:</w:t>
            </w:r>
          </w:p>
        </w:tc>
        <w:tc>
          <w:tcPr>
            <w:tcW w:w="9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80" w:type="dxa"/>
            <w:vAlign w:val="bottom"/>
          </w:tcPr>
          <w:p>
            <w:pPr>
              <w:ind w:left="140"/>
              <w:spacing w:after="0" w:line="149" w:lineRule="exact"/>
              <w:rPr>
                <w:sz w:val="20"/>
                <w:szCs w:val="20"/>
                <w:color w:val="auto"/>
              </w:rPr>
            </w:pPr>
            <w:r>
              <w:rPr>
                <w:rFonts w:ascii="Arial" w:cs="Arial" w:eastAsia="Arial" w:hAnsi="Arial"/>
                <w:sz w:val="14"/>
                <w:szCs w:val="14"/>
                <w:color w:val="auto"/>
              </w:rPr>
              <w:t>Public</w:t>
            </w:r>
          </w:p>
        </w:tc>
        <w:tc>
          <w:tcPr>
            <w:tcW w:w="9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3,361.5</w:t>
            </w:r>
          </w:p>
        </w:tc>
        <w:tc>
          <w:tcPr>
            <w:tcW w:w="1100" w:type="dxa"/>
            <w:vAlign w:val="bottom"/>
            <w:gridSpan w:val="4"/>
          </w:tcPr>
          <w:p>
            <w:pPr>
              <w:jc w:val="right"/>
              <w:spacing w:after="0" w:line="149" w:lineRule="exact"/>
              <w:rPr>
                <w:sz w:val="20"/>
                <w:szCs w:val="20"/>
                <w:color w:val="auto"/>
              </w:rPr>
            </w:pPr>
            <w:r>
              <w:rPr>
                <w:rFonts w:ascii="Arial" w:cs="Arial" w:eastAsia="Arial" w:hAnsi="Arial"/>
                <w:sz w:val="14"/>
                <w:szCs w:val="14"/>
                <w:b w:val="1"/>
                <w:bCs w:val="1"/>
                <w:color w:val="auto"/>
              </w:rPr>
              <w:t xml:space="preserve">55% </w:t>
            </w:r>
            <w:r>
              <w:rPr>
                <w:rFonts w:ascii="Arial" w:cs="Arial" w:eastAsia="Arial" w:hAnsi="Arial"/>
                <w:sz w:val="14"/>
                <w:szCs w:val="14"/>
                <w:color w:val="auto"/>
              </w:rPr>
              <w:t>$</w:t>
            </w: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3,698.7</w:t>
            </w:r>
          </w:p>
        </w:tc>
        <w:tc>
          <w:tcPr>
            <w:tcW w:w="104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62%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Private</w:t>
            </w:r>
          </w:p>
        </w:tc>
        <w:tc>
          <w:tcPr>
            <w:tcW w:w="9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w:t>
            </w:r>
          </w:p>
        </w:tc>
        <w:tc>
          <w:tcPr>
            <w:tcW w:w="160" w:type="dxa"/>
            <w:vAlign w:val="bottom"/>
            <w:shd w:val="clear" w:color="auto" w:fill="CCEEFF"/>
          </w:tcPr>
          <w:p>
            <w:pPr>
              <w:spacing w:after="0"/>
              <w:rPr>
                <w:sz w:val="12"/>
                <w:szCs w:val="12"/>
                <w:color w:val="auto"/>
              </w:rPr>
            </w:pPr>
          </w:p>
        </w:tc>
        <w:tc>
          <w:tcPr>
            <w:tcW w:w="940" w:type="dxa"/>
            <w:vAlign w:val="bottom"/>
            <w:gridSpan w:val="3"/>
            <w:shd w:val="clear" w:color="auto" w:fill="CCEEFF"/>
          </w:tcPr>
          <w:p>
            <w:pPr>
              <w:jc w:val="right"/>
              <w:ind w:right="240"/>
              <w:spacing w:after="0" w:line="149" w:lineRule="exact"/>
              <w:rPr>
                <w:sz w:val="20"/>
                <w:szCs w:val="20"/>
                <w:color w:val="auto"/>
              </w:rPr>
            </w:pPr>
            <w:r>
              <w:rPr>
                <w:rFonts w:ascii="Arial" w:cs="Arial" w:eastAsia="Arial" w:hAnsi="Arial"/>
                <w:sz w:val="14"/>
                <w:szCs w:val="14"/>
                <w:b w:val="1"/>
                <w:bCs w:val="1"/>
                <w:color w:val="auto"/>
              </w:rPr>
              <w:t>—</w:t>
            </w: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80" w:type="dxa"/>
            <w:vAlign w:val="bottom"/>
          </w:tcPr>
          <w:p>
            <w:pPr>
              <w:spacing w:after="0" w:line="149" w:lineRule="exact"/>
              <w:rPr>
                <w:sz w:val="20"/>
                <w:szCs w:val="20"/>
                <w:color w:val="auto"/>
              </w:rPr>
            </w:pPr>
            <w:r>
              <w:rPr>
                <w:rFonts w:ascii="Arial" w:cs="Arial" w:eastAsia="Arial" w:hAnsi="Arial"/>
                <w:sz w:val="14"/>
                <w:szCs w:val="14"/>
                <w:color w:val="auto"/>
              </w:rPr>
              <w:t>Equity securities</w:t>
            </w:r>
          </w:p>
        </w:tc>
        <w:tc>
          <w:tcPr>
            <w:tcW w:w="9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555.1</w:t>
            </w:r>
          </w:p>
        </w:tc>
        <w:tc>
          <w:tcPr>
            <w:tcW w:w="8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9</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126.1</w:t>
            </w: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Mortgage loans:</w:t>
            </w:r>
          </w:p>
        </w:tc>
        <w:tc>
          <w:tcPr>
            <w:tcW w:w="9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80" w:type="dxa"/>
            <w:vAlign w:val="bottom"/>
          </w:tcPr>
          <w:p>
            <w:pPr>
              <w:ind w:left="140"/>
              <w:spacing w:after="0" w:line="149" w:lineRule="exact"/>
              <w:rPr>
                <w:sz w:val="20"/>
                <w:szCs w:val="20"/>
                <w:color w:val="auto"/>
              </w:rPr>
            </w:pPr>
            <w:r>
              <w:rPr>
                <w:rFonts w:ascii="Arial" w:cs="Arial" w:eastAsia="Arial" w:hAnsi="Arial"/>
                <w:sz w:val="14"/>
                <w:szCs w:val="14"/>
                <w:color w:val="auto"/>
              </w:rPr>
              <w:t>Commercial</w:t>
            </w:r>
          </w:p>
        </w:tc>
        <w:tc>
          <w:tcPr>
            <w:tcW w:w="9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45.2</w:t>
            </w:r>
          </w:p>
        </w:tc>
        <w:tc>
          <w:tcPr>
            <w:tcW w:w="8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15.6</w:t>
            </w:r>
          </w:p>
        </w:tc>
        <w:tc>
          <w:tcPr>
            <w:tcW w:w="160" w:type="dxa"/>
            <w:vAlign w:val="bottom"/>
          </w:tcPr>
          <w:p>
            <w:pPr>
              <w:spacing w:after="0"/>
              <w:rPr>
                <w:sz w:val="12"/>
                <w:szCs w:val="12"/>
                <w:color w:val="auto"/>
              </w:rPr>
            </w:pPr>
          </w:p>
        </w:tc>
        <w:tc>
          <w:tcPr>
            <w:tcW w:w="8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Residential</w:t>
            </w:r>
          </w:p>
        </w:tc>
        <w:tc>
          <w:tcPr>
            <w:tcW w:w="9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669.2</w:t>
            </w: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678.7</w:t>
            </w: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80" w:type="dxa"/>
            <w:vAlign w:val="bottom"/>
          </w:tcPr>
          <w:p>
            <w:pPr>
              <w:spacing w:after="0" w:line="149" w:lineRule="exact"/>
              <w:rPr>
                <w:sz w:val="20"/>
                <w:szCs w:val="20"/>
                <w:color w:val="auto"/>
              </w:rPr>
            </w:pPr>
            <w:r>
              <w:rPr>
                <w:rFonts w:ascii="Arial" w:cs="Arial" w:eastAsia="Arial" w:hAnsi="Arial"/>
                <w:sz w:val="14"/>
                <w:szCs w:val="14"/>
                <w:color w:val="auto"/>
              </w:rPr>
              <w:t>Real estate held for sale</w:t>
            </w:r>
          </w:p>
        </w:tc>
        <w:tc>
          <w:tcPr>
            <w:tcW w:w="9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2.8</w:t>
            </w:r>
          </w:p>
        </w:tc>
        <w:tc>
          <w:tcPr>
            <w:tcW w:w="160" w:type="dxa"/>
            <w:vAlign w:val="bottom"/>
          </w:tcPr>
          <w:p>
            <w:pPr>
              <w:spacing w:after="0"/>
              <w:rPr>
                <w:sz w:val="12"/>
                <w:szCs w:val="12"/>
                <w:color w:val="auto"/>
              </w:rPr>
            </w:pPr>
          </w:p>
        </w:tc>
        <w:tc>
          <w:tcPr>
            <w:tcW w:w="940" w:type="dxa"/>
            <w:vAlign w:val="bottom"/>
            <w:gridSpan w:val="3"/>
          </w:tcPr>
          <w:p>
            <w:pPr>
              <w:jc w:val="right"/>
              <w:ind w:right="240"/>
              <w:spacing w:after="0" w:line="149" w:lineRule="exact"/>
              <w:rPr>
                <w:sz w:val="20"/>
                <w:szCs w:val="20"/>
                <w:color w:val="auto"/>
              </w:rPr>
            </w:pPr>
            <w:r>
              <w:rPr>
                <w:rFonts w:ascii="Arial" w:cs="Arial" w:eastAsia="Arial" w:hAnsi="Arial"/>
                <w:sz w:val="14"/>
                <w:szCs w:val="14"/>
                <w:b w:val="1"/>
                <w:bCs w:val="1"/>
                <w:color w:val="auto"/>
              </w:rPr>
              <w:t>—</w:t>
            </w: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7.0</w:t>
            </w:r>
          </w:p>
        </w:tc>
        <w:tc>
          <w:tcPr>
            <w:tcW w:w="160" w:type="dxa"/>
            <w:vAlign w:val="bottom"/>
          </w:tcPr>
          <w:p>
            <w:pPr>
              <w:spacing w:after="0"/>
              <w:rPr>
                <w:sz w:val="12"/>
                <w:szCs w:val="12"/>
                <w:color w:val="auto"/>
              </w:rPr>
            </w:pPr>
          </w:p>
        </w:tc>
        <w:tc>
          <w:tcPr>
            <w:tcW w:w="8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Real estate held for investment</w:t>
            </w:r>
          </w:p>
        </w:tc>
        <w:tc>
          <w:tcPr>
            <w:tcW w:w="9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2.4</w:t>
            </w:r>
          </w:p>
        </w:tc>
        <w:tc>
          <w:tcPr>
            <w:tcW w:w="160" w:type="dxa"/>
            <w:vAlign w:val="bottom"/>
            <w:shd w:val="clear" w:color="auto" w:fill="CCEEFF"/>
          </w:tcPr>
          <w:p>
            <w:pPr>
              <w:spacing w:after="0"/>
              <w:rPr>
                <w:sz w:val="12"/>
                <w:szCs w:val="12"/>
                <w:color w:val="auto"/>
              </w:rPr>
            </w:pPr>
          </w:p>
        </w:tc>
        <w:tc>
          <w:tcPr>
            <w:tcW w:w="940" w:type="dxa"/>
            <w:vAlign w:val="bottom"/>
            <w:gridSpan w:val="3"/>
            <w:shd w:val="clear" w:color="auto" w:fill="CCEEFF"/>
          </w:tcPr>
          <w:p>
            <w:pPr>
              <w:jc w:val="right"/>
              <w:ind w:right="240"/>
              <w:spacing w:after="0" w:line="149" w:lineRule="exact"/>
              <w:rPr>
                <w:sz w:val="20"/>
                <w:szCs w:val="20"/>
                <w:color w:val="auto"/>
              </w:rPr>
            </w:pPr>
            <w:r>
              <w:rPr>
                <w:rFonts w:ascii="Arial" w:cs="Arial" w:eastAsia="Arial" w:hAnsi="Arial"/>
                <w:sz w:val="14"/>
                <w:szCs w:val="14"/>
                <w:b w:val="1"/>
                <w:bCs w:val="1"/>
                <w:color w:val="auto"/>
              </w:rPr>
              <w:t>—</w:t>
            </w: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0.8</w:t>
            </w:r>
          </w:p>
        </w:tc>
        <w:tc>
          <w:tcPr>
            <w:tcW w:w="16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80" w:type="dxa"/>
            <w:vAlign w:val="bottom"/>
          </w:tcPr>
          <w:p>
            <w:pPr>
              <w:spacing w:after="0" w:line="149" w:lineRule="exact"/>
              <w:rPr>
                <w:sz w:val="20"/>
                <w:szCs w:val="20"/>
                <w:color w:val="auto"/>
              </w:rPr>
            </w:pPr>
            <w:r>
              <w:rPr>
                <w:rFonts w:ascii="Arial" w:cs="Arial" w:eastAsia="Arial" w:hAnsi="Arial"/>
                <w:sz w:val="14"/>
                <w:szCs w:val="14"/>
                <w:color w:val="auto"/>
              </w:rPr>
              <w:t>Policy loans</w:t>
            </w:r>
          </w:p>
        </w:tc>
        <w:tc>
          <w:tcPr>
            <w:tcW w:w="9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24.8</w:t>
            </w:r>
          </w:p>
        </w:tc>
        <w:tc>
          <w:tcPr>
            <w:tcW w:w="160" w:type="dxa"/>
            <w:vAlign w:val="bottom"/>
          </w:tcPr>
          <w:p>
            <w:pPr>
              <w:spacing w:after="0"/>
              <w:rPr>
                <w:sz w:val="12"/>
                <w:szCs w:val="12"/>
                <w:color w:val="auto"/>
              </w:rPr>
            </w:pPr>
          </w:p>
        </w:tc>
        <w:tc>
          <w:tcPr>
            <w:tcW w:w="940" w:type="dxa"/>
            <w:vAlign w:val="bottom"/>
            <w:gridSpan w:val="3"/>
          </w:tcPr>
          <w:p>
            <w:pPr>
              <w:jc w:val="right"/>
              <w:ind w:right="240"/>
              <w:spacing w:after="0" w:line="149" w:lineRule="exact"/>
              <w:rPr>
                <w:sz w:val="20"/>
                <w:szCs w:val="20"/>
                <w:color w:val="auto"/>
              </w:rPr>
            </w:pPr>
            <w:r>
              <w:rPr>
                <w:rFonts w:ascii="Arial" w:cs="Arial" w:eastAsia="Arial" w:hAnsi="Arial"/>
                <w:sz w:val="14"/>
                <w:szCs w:val="14"/>
                <w:b w:val="1"/>
                <w:bCs w:val="1"/>
                <w:color w:val="auto"/>
              </w:rPr>
              <w:t>—</w:t>
            </w: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26.7</w:t>
            </w: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investments:</w:t>
            </w:r>
          </w:p>
        </w:tc>
        <w:tc>
          <w:tcPr>
            <w:tcW w:w="9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80" w:type="dxa"/>
            <w:vAlign w:val="bottom"/>
          </w:tcPr>
          <w:p>
            <w:pPr>
              <w:ind w:left="140"/>
              <w:spacing w:after="0" w:line="149" w:lineRule="exact"/>
              <w:rPr>
                <w:sz w:val="20"/>
                <w:szCs w:val="20"/>
                <w:color w:val="auto"/>
              </w:rPr>
            </w:pPr>
            <w:r>
              <w:rPr>
                <w:rFonts w:ascii="Arial" w:cs="Arial" w:eastAsia="Arial" w:hAnsi="Arial"/>
                <w:sz w:val="14"/>
                <w:szCs w:val="14"/>
                <w:color w:val="auto"/>
              </w:rPr>
              <w:t>Investment in equity method subsidiaries</w:t>
            </w:r>
          </w:p>
        </w:tc>
        <w:tc>
          <w:tcPr>
            <w:tcW w:w="9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646.3</w:t>
            </w:r>
          </w:p>
        </w:tc>
        <w:tc>
          <w:tcPr>
            <w:tcW w:w="8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11</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718.0</w:t>
            </w: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Direct financing leases</w:t>
            </w:r>
          </w:p>
        </w:tc>
        <w:tc>
          <w:tcPr>
            <w:tcW w:w="9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720.2</w:t>
            </w: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655.1</w:t>
            </w: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80" w:type="dxa"/>
            <w:vAlign w:val="bottom"/>
          </w:tcPr>
          <w:p>
            <w:pPr>
              <w:ind w:left="140"/>
              <w:spacing w:after="0" w:line="149" w:lineRule="exact"/>
              <w:rPr>
                <w:sz w:val="20"/>
                <w:szCs w:val="20"/>
                <w:color w:val="auto"/>
              </w:rPr>
            </w:pPr>
            <w:r>
              <w:rPr>
                <w:rFonts w:ascii="Arial" w:cs="Arial" w:eastAsia="Arial" w:hAnsi="Arial"/>
                <w:sz w:val="14"/>
                <w:szCs w:val="14"/>
                <w:color w:val="auto"/>
              </w:rPr>
              <w:t>Derivative assets and other short-term investments</w:t>
            </w:r>
          </w:p>
        </w:tc>
        <w:tc>
          <w:tcPr>
            <w:tcW w:w="92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1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82.2</w:t>
            </w:r>
          </w:p>
        </w:tc>
        <w:tc>
          <w:tcPr>
            <w:tcW w:w="160" w:type="dxa"/>
            <w:vAlign w:val="bottom"/>
          </w:tcPr>
          <w:p>
            <w:pPr>
              <w:spacing w:after="0"/>
              <w:rPr>
                <w:sz w:val="12"/>
                <w:szCs w:val="12"/>
                <w:color w:val="auto"/>
              </w:rPr>
            </w:pPr>
          </w:p>
        </w:tc>
        <w:tc>
          <w:tcPr>
            <w:tcW w:w="7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w:t>
            </w:r>
          </w:p>
        </w:tc>
        <w:tc>
          <w:tcPr>
            <w:tcW w:w="1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1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70.6</w:t>
            </w:r>
          </w:p>
        </w:tc>
        <w:tc>
          <w:tcPr>
            <w:tcW w:w="160" w:type="dxa"/>
            <w:vAlign w:val="bottom"/>
          </w:tcPr>
          <w:p>
            <w:pPr>
              <w:spacing w:after="0"/>
              <w:rPr>
                <w:sz w:val="12"/>
                <w:szCs w:val="12"/>
                <w:color w:val="auto"/>
              </w:rPr>
            </w:pPr>
          </w:p>
        </w:tc>
        <w:tc>
          <w:tcPr>
            <w:tcW w:w="7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780" w:type="dxa"/>
            <w:vAlign w:val="bottom"/>
            <w:shd w:val="clear" w:color="auto" w:fill="CCEEFF"/>
          </w:tcPr>
          <w:p>
            <w:pPr>
              <w:ind w:left="280"/>
              <w:spacing w:after="0" w:line="142" w:lineRule="exact"/>
              <w:rPr>
                <w:sz w:val="20"/>
                <w:szCs w:val="20"/>
                <w:color w:val="auto"/>
              </w:rPr>
            </w:pPr>
            <w:r>
              <w:rPr>
                <w:rFonts w:ascii="Arial" w:cs="Arial" w:eastAsia="Arial" w:hAnsi="Arial"/>
                <w:sz w:val="14"/>
                <w:szCs w:val="14"/>
                <w:color w:val="auto"/>
              </w:rPr>
              <w:t>Total invested assets</w:t>
            </w:r>
          </w:p>
        </w:tc>
        <w:tc>
          <w:tcPr>
            <w:tcW w:w="9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6,110.9</w:t>
            </w:r>
          </w:p>
        </w:tc>
        <w:tc>
          <w:tcPr>
            <w:tcW w:w="1040" w:type="dxa"/>
            <w:vAlign w:val="bottom"/>
            <w:gridSpan w:val="3"/>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100%</w:t>
            </w:r>
          </w:p>
        </w:tc>
        <w:tc>
          <w:tcPr>
            <w:tcW w:w="6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5,997.3</w:t>
            </w:r>
          </w:p>
        </w:tc>
        <w:tc>
          <w:tcPr>
            <w:tcW w:w="1040" w:type="dxa"/>
            <w:vAlign w:val="bottom"/>
            <w:gridSpan w:val="3"/>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20"/>
        </w:trPr>
        <w:tc>
          <w:tcPr>
            <w:tcW w:w="3800" w:type="dxa"/>
            <w:vAlign w:val="bottom"/>
            <w:gridSpan w:val="2"/>
            <w:vMerge w:val="restart"/>
          </w:tcPr>
          <w:p>
            <w:pPr>
              <w:spacing w:after="0"/>
              <w:rPr>
                <w:sz w:val="20"/>
                <w:szCs w:val="20"/>
                <w:color w:val="auto"/>
              </w:rPr>
            </w:pPr>
            <w:r>
              <w:rPr>
                <w:rFonts w:ascii="Arial" w:cs="Arial" w:eastAsia="Arial" w:hAnsi="Arial"/>
                <w:sz w:val="14"/>
                <w:szCs w:val="14"/>
                <w:color w:val="auto"/>
              </w:rPr>
              <w:t>Cash and cash equivalents</w:t>
            </w:r>
          </w:p>
        </w:tc>
        <w:tc>
          <w:tcPr>
            <w:tcW w:w="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1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105.0</w:t>
            </w:r>
          </w:p>
        </w:tc>
        <w:tc>
          <w:tcPr>
            <w:tcW w:w="16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100" w:type="dxa"/>
            <w:vAlign w:val="bottom"/>
            <w:vMerge w:val="restart"/>
          </w:tcPr>
          <w:p>
            <w:pPr>
              <w:jc w:val="right"/>
              <w:spacing w:after="0"/>
              <w:rPr>
                <w:sz w:val="20"/>
                <w:szCs w:val="20"/>
                <w:color w:val="auto"/>
              </w:rPr>
            </w:pPr>
            <w:r>
              <w:rPr>
                <w:rFonts w:ascii="Arial" w:cs="Arial" w:eastAsia="Arial" w:hAnsi="Arial"/>
                <w:sz w:val="14"/>
                <w:szCs w:val="14"/>
                <w:color w:val="auto"/>
              </w:rPr>
              <w:t>105.4</w:t>
            </w:r>
          </w:p>
        </w:tc>
        <w:tc>
          <w:tcPr>
            <w:tcW w:w="16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3800" w:type="dxa"/>
            <w:vAlign w:val="bottom"/>
            <w:gridSpan w:val="2"/>
            <w:vMerge w:val="continue"/>
          </w:tcPr>
          <w:p>
            <w:pPr>
              <w:spacing w:after="0"/>
              <w:rPr>
                <w:sz w:val="11"/>
                <w:szCs w:val="11"/>
                <w:color w:val="auto"/>
              </w:rPr>
            </w:pPr>
          </w:p>
        </w:tc>
        <w:tc>
          <w:tcPr>
            <w:tcW w:w="920" w:type="dxa"/>
            <w:vAlign w:val="bottom"/>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1120" w:type="dxa"/>
            <w:vAlign w:val="bottom"/>
            <w:tcBorders>
              <w:bottom w:val="single" w:sz="8" w:color="auto"/>
            </w:tcBorders>
            <w:vMerge w:val="continue"/>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1100" w:type="dxa"/>
            <w:vAlign w:val="bottom"/>
            <w:tcBorders>
              <w:bottom w:val="single" w:sz="8" w:color="auto"/>
            </w:tcBorders>
            <w:vMerge w:val="continue"/>
          </w:tcPr>
          <w:p>
            <w:pPr>
              <w:spacing w:after="0"/>
              <w:rPr>
                <w:sz w:val="11"/>
                <w:szCs w:val="11"/>
                <w:color w:val="auto"/>
              </w:rPr>
            </w:pPr>
          </w:p>
        </w:tc>
        <w:tc>
          <w:tcPr>
            <w:tcW w:w="1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78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invested assets and cash</w:t>
            </w:r>
          </w:p>
        </w:tc>
        <w:tc>
          <w:tcPr>
            <w:tcW w:w="98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1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6,215.9</w:t>
            </w:r>
          </w:p>
        </w:tc>
        <w:tc>
          <w:tcPr>
            <w:tcW w:w="1100" w:type="dxa"/>
            <w:vAlign w:val="bottom"/>
            <w:gridSpan w:val="4"/>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6,102.7</w:t>
            </w: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firstLine="507"/>
        <w:spacing w:after="0" w:line="259" w:lineRule="auto"/>
        <w:rPr>
          <w:sz w:val="20"/>
          <w:szCs w:val="20"/>
          <w:color w:val="auto"/>
        </w:rPr>
      </w:pPr>
      <w:r>
        <w:rPr>
          <w:rFonts w:ascii="Arial" w:cs="Arial" w:eastAsia="Arial" w:hAnsi="Arial"/>
          <w:sz w:val="18"/>
          <w:szCs w:val="18"/>
          <w:color w:val="auto"/>
        </w:rPr>
        <w:t>Regulations in certain locations require mandatory investment in the funds we manage. These mandatory required investments are classified as equity securities, trading within our consolidated statement of financial position, with all mark-to-market changes reflected in net investment income. Per Chilean regulation, in order to offer its pension</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8" w:name="page79"/>
    <w:bookmarkEnd w:id="7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products, Cuprum is required to hold a 1% investment ("encaje") in each of the five funds it manages for its clients. Cuprum's investment in the encaje is dictated by client activity and all investment performance from encaje is retained by Cuprum. We acquired $340.5 million of encaje assets in conjunction with our February 4, 2013, acquisition of Cuprum.</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Fixed Maturities Exposure</w:t>
      </w:r>
    </w:p>
    <w:p>
      <w:pPr>
        <w:spacing w:after="0" w:line="225" w:lineRule="exact"/>
        <w:rPr>
          <w:sz w:val="20"/>
          <w:szCs w:val="20"/>
          <w:color w:val="auto"/>
        </w:rPr>
      </w:pPr>
    </w:p>
    <w:p>
      <w:pPr>
        <w:jc w:val="both"/>
        <w:ind w:firstLine="559"/>
        <w:spacing w:after="0" w:line="291" w:lineRule="auto"/>
        <w:rPr>
          <w:sz w:val="20"/>
          <w:szCs w:val="20"/>
          <w:color w:val="auto"/>
        </w:rPr>
      </w:pPr>
      <w:r>
        <w:rPr>
          <w:rFonts w:ascii="Arial" w:cs="Arial" w:eastAsia="Arial" w:hAnsi="Arial"/>
          <w:sz w:val="16"/>
          <w:szCs w:val="16"/>
          <w:color w:val="auto"/>
        </w:rPr>
        <w:t>Economic and fiscal conditions in select European countries, including Greece, Ireland, Italy, Portugal and Spain, continue to cause credit concerns particularly to financial institutions and banks with exposure to the European periphery region. Our exposure to the region within our International investment operations fixed maturities portfolio is manageable, representing 5.8% and 6.2% of our total International invested assets as of December 31, 2013 and December 31, 2012, respectively. Portfolio holdings with exposure to this region consist of fixed maturities issued in the same countries as our International operations by local subsidiaries of the European parent. Nearly all of the exposure is to bonds issued in Chile. In addition, we did not hold any sovereign debt issuances of the selected countries and had not bought or sold credit protection on sovereign issuances as of December 31, 2013 and December 31, 2012.</w:t>
      </w:r>
    </w:p>
    <w:p>
      <w:pPr>
        <w:spacing w:after="0" w:line="174" w:lineRule="exact"/>
        <w:rPr>
          <w:sz w:val="20"/>
          <w:szCs w:val="20"/>
          <w:color w:val="auto"/>
        </w:rPr>
      </w:pPr>
    </w:p>
    <w:p>
      <w:pPr>
        <w:jc w:val="both"/>
        <w:ind w:firstLine="370"/>
        <w:spacing w:after="0" w:line="294" w:lineRule="auto"/>
        <w:rPr>
          <w:sz w:val="20"/>
          <w:szCs w:val="20"/>
          <w:color w:val="auto"/>
        </w:rPr>
      </w:pPr>
      <w:r>
        <w:rPr>
          <w:rFonts w:ascii="Arial" w:cs="Arial" w:eastAsia="Arial" w:hAnsi="Arial"/>
          <w:sz w:val="16"/>
          <w:szCs w:val="16"/>
          <w:color w:val="auto"/>
        </w:rPr>
        <w:t>Financial sector exposure is to local subsidiary banks, subject to local capital requirements and banking regulation. The current financial exposure carries an average AA- local rating from S&amp;P and the average time to maturity is 17 years. Non-financial sector exposure consists primarily of infrastructure bonds, which are backed by the project itself, often with minimum revenue guarantees from the government. The current non-financial exposure carries an average AA- local rating from S&amp;P. The current Italian exposure has an average time to maturity of 14 years. In addition, the current Spanish exposure has an average time to maturity of 13 years. As of December 31, 2013, our total portfolio exposure had an average price of 107 (carrying value/amortized cost).</w:t>
      </w:r>
    </w:p>
    <w:p>
      <w:pPr>
        <w:spacing w:after="0" w:line="17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presents the carrying amount of our European periphery zone fixed maturities exposure for the periods indicated.</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506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Select European Exposure</w:t>
            </w: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720" w:type="dxa"/>
            <w:vAlign w:val="bottom"/>
            <w:gridSpan w:val="7"/>
          </w:tcPr>
          <w:p>
            <w:pPr>
              <w:jc w:val="right"/>
              <w:ind w:right="292"/>
              <w:spacing w:after="0"/>
              <w:rPr>
                <w:sz w:val="20"/>
                <w:szCs w:val="20"/>
                <w:color w:val="auto"/>
              </w:rPr>
            </w:pPr>
            <w:r>
              <w:rPr>
                <w:rFonts w:ascii="Arial" w:cs="Arial" w:eastAsia="Arial" w:hAnsi="Arial"/>
                <w:sz w:val="14"/>
                <w:szCs w:val="14"/>
                <w:b w:val="1"/>
                <w:bCs w:val="1"/>
                <w:color w:val="auto"/>
              </w:rPr>
              <w:t>December 31, 2013</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80" w:type="dxa"/>
            <w:vAlign w:val="bottom"/>
            <w:gridSpan w:val="8"/>
          </w:tcPr>
          <w:p>
            <w:pPr>
              <w:ind w:left="280"/>
              <w:spacing w:after="0"/>
              <w:rPr>
                <w:sz w:val="20"/>
                <w:szCs w:val="20"/>
                <w:color w:val="auto"/>
              </w:rPr>
            </w:pPr>
            <w:r>
              <w:rPr>
                <w:rFonts w:ascii="Arial" w:cs="Arial" w:eastAsia="Arial" w:hAnsi="Arial"/>
                <w:sz w:val="14"/>
                <w:szCs w:val="14"/>
                <w:b w:val="1"/>
                <w:bCs w:val="1"/>
                <w:color w:val="auto"/>
              </w:rPr>
              <w:t>December 31, 2012</w:t>
            </w:r>
          </w:p>
        </w:tc>
        <w:tc>
          <w:tcPr>
            <w:tcW w:w="0" w:type="dxa"/>
            <w:vAlign w:val="bottom"/>
          </w:tcPr>
          <w:p>
            <w:pPr>
              <w:spacing w:after="0"/>
              <w:rPr>
                <w:sz w:val="1"/>
                <w:szCs w:val="1"/>
                <w:color w:val="auto"/>
              </w:rPr>
            </w:pPr>
          </w:p>
        </w:tc>
      </w:tr>
      <w:tr>
        <w:trPr>
          <w:trHeight w:val="142"/>
        </w:trPr>
        <w:tc>
          <w:tcPr>
            <w:tcW w:w="506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380" w:type="dxa"/>
            <w:vAlign w:val="bottom"/>
            <w:tcBorders>
              <w:top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w w:val="92"/>
              </w:rPr>
              <w:t>Italy</w:t>
            </w:r>
          </w:p>
        </w:tc>
        <w:tc>
          <w:tcPr>
            <w:tcW w:w="16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w w:val="89"/>
              </w:rPr>
              <w:t>Spain</w:t>
            </w:r>
          </w:p>
        </w:tc>
        <w:tc>
          <w:tcPr>
            <w:tcW w:w="18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420" w:type="dxa"/>
            <w:vAlign w:val="bottom"/>
            <w:tcBorders>
              <w:top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3"/>
              </w:rPr>
              <w:t>Total</w:t>
            </w: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380" w:type="dxa"/>
            <w:vAlign w:val="bottom"/>
            <w:tcBorders>
              <w:top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w w:val="92"/>
              </w:rPr>
              <w:t>Italy</w:t>
            </w:r>
          </w:p>
        </w:tc>
        <w:tc>
          <w:tcPr>
            <w:tcW w:w="16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w w:val="89"/>
              </w:rPr>
              <w:t>Spain</w:t>
            </w:r>
          </w:p>
        </w:tc>
        <w:tc>
          <w:tcPr>
            <w:tcW w:w="18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420" w:type="dxa"/>
            <w:vAlign w:val="bottom"/>
            <w:tcBorders>
              <w:top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3"/>
              </w:rPr>
              <w:t>Total</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gridSpan w:val="2"/>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50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ind w:right="3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620" w:type="dxa"/>
            <w:vAlign w:val="bottom"/>
            <w:gridSpan w:val="3"/>
          </w:tcPr>
          <w:p>
            <w:pPr>
              <w:jc w:val="center"/>
              <w:ind w:right="132"/>
              <w:spacing w:after="0" w:line="142" w:lineRule="exact"/>
              <w:rPr>
                <w:sz w:val="20"/>
                <w:szCs w:val="20"/>
                <w:color w:val="auto"/>
              </w:rPr>
            </w:pPr>
            <w:r>
              <w:rPr>
                <w:rFonts w:ascii="Arial" w:cs="Arial" w:eastAsia="Arial" w:hAnsi="Arial"/>
                <w:sz w:val="14"/>
                <w:szCs w:val="14"/>
                <w:b w:val="1"/>
                <w:bCs w:val="1"/>
                <w:i w:val="1"/>
                <w:iCs w:val="1"/>
                <w:color w:val="auto"/>
                <w:w w:val="72"/>
              </w:rPr>
              <w:t>millions)</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0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Non-Sovereign:</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040" w:type="dxa"/>
            <w:vAlign w:val="bottom"/>
          </w:tcPr>
          <w:p>
            <w:pPr>
              <w:ind w:left="140"/>
              <w:spacing w:after="0" w:line="149" w:lineRule="exact"/>
              <w:rPr>
                <w:sz w:val="20"/>
                <w:szCs w:val="20"/>
                <w:color w:val="auto"/>
              </w:rPr>
            </w:pPr>
            <w:r>
              <w:rPr>
                <w:rFonts w:ascii="Arial" w:cs="Arial" w:eastAsia="Arial" w:hAnsi="Arial"/>
                <w:sz w:val="14"/>
                <w:szCs w:val="14"/>
                <w:color w:val="auto"/>
              </w:rPr>
              <w:t>Financial institutions</w:t>
            </w:r>
          </w:p>
        </w:tc>
        <w:tc>
          <w:tcPr>
            <w:tcW w:w="240" w:type="dxa"/>
            <w:vAlign w:val="bottom"/>
            <w:gridSpan w:val="3"/>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3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4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215.5</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4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215.5</w:t>
            </w:r>
          </w:p>
        </w:tc>
        <w:tc>
          <w:tcPr>
            <w:tcW w:w="240" w:type="dxa"/>
            <w:vAlign w:val="bottom"/>
            <w:gridSpan w:val="2"/>
          </w:tcPr>
          <w:p>
            <w:pPr>
              <w:jc w:val="center"/>
              <w:ind w:left="72"/>
              <w:spacing w:after="0" w:line="149" w:lineRule="exact"/>
              <w:rPr>
                <w:sz w:val="20"/>
                <w:szCs w:val="20"/>
                <w:color w:val="auto"/>
              </w:rPr>
            </w:pPr>
            <w:r>
              <w:rPr>
                <w:rFonts w:ascii="Arial" w:cs="Arial" w:eastAsia="Arial" w:hAnsi="Arial"/>
                <w:sz w:val="14"/>
                <w:szCs w:val="14"/>
                <w:color w:val="auto"/>
                <w:w w:val="76"/>
              </w:rPr>
              <w:t>$</w:t>
            </w:r>
          </w:p>
        </w:tc>
        <w:tc>
          <w:tcPr>
            <w:tcW w:w="3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440" w:type="dxa"/>
            <w:vAlign w:val="bottom"/>
          </w:tcPr>
          <w:p>
            <w:pPr>
              <w:jc w:val="right"/>
              <w:spacing w:after="0" w:line="149" w:lineRule="exact"/>
              <w:rPr>
                <w:sz w:val="20"/>
                <w:szCs w:val="20"/>
                <w:color w:val="auto"/>
              </w:rPr>
            </w:pPr>
            <w:r>
              <w:rPr>
                <w:rFonts w:ascii="Arial" w:cs="Arial" w:eastAsia="Arial" w:hAnsi="Arial"/>
                <w:sz w:val="14"/>
                <w:szCs w:val="14"/>
                <w:color w:val="auto"/>
              </w:rPr>
              <w:t>237.3</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237.3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0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Non-financial institutions</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3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14.2</w:t>
            </w:r>
          </w:p>
        </w:tc>
        <w:tc>
          <w:tcPr>
            <w:tcW w:w="16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4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122.7</w:t>
            </w:r>
          </w:p>
        </w:tc>
        <w:tc>
          <w:tcPr>
            <w:tcW w:w="18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4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136.9</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3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11.1</w:t>
            </w:r>
          </w:p>
        </w:tc>
        <w:tc>
          <w:tcPr>
            <w:tcW w:w="16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4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125.4</w:t>
            </w:r>
          </w:p>
        </w:tc>
        <w:tc>
          <w:tcPr>
            <w:tcW w:w="18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4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136.5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040" w:type="dxa"/>
            <w:vAlign w:val="bottom"/>
          </w:tcPr>
          <w:p>
            <w:pPr>
              <w:ind w:left="280"/>
              <w:spacing w:after="0" w:line="142" w:lineRule="exact"/>
              <w:rPr>
                <w:sz w:val="20"/>
                <w:szCs w:val="20"/>
                <w:color w:val="auto"/>
              </w:rPr>
            </w:pPr>
            <w:r>
              <w:rPr>
                <w:rFonts w:ascii="Arial" w:cs="Arial" w:eastAsia="Arial" w:hAnsi="Arial"/>
                <w:sz w:val="14"/>
                <w:szCs w:val="14"/>
                <w:color w:val="auto"/>
              </w:rPr>
              <w:t>Total</w:t>
            </w:r>
          </w:p>
        </w:tc>
        <w:tc>
          <w:tcPr>
            <w:tcW w:w="160" w:type="dxa"/>
            <w:vAlign w:val="bottom"/>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5"/>
                <w:szCs w:val="5"/>
                <w:b w:val="1"/>
                <w:bCs w:val="1"/>
                <w:color w:val="auto"/>
                <w:w w:val="70"/>
              </w:rPr>
              <w:t>$</w:t>
            </w:r>
          </w:p>
        </w:tc>
        <w:tc>
          <w:tcPr>
            <w:tcW w:w="3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14.2</w:t>
            </w:r>
          </w:p>
        </w:tc>
        <w:tc>
          <w:tcPr>
            <w:tcW w:w="160" w:type="dxa"/>
            <w:vAlign w:val="bottom"/>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4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338.2</w:t>
            </w:r>
          </w:p>
        </w:tc>
        <w:tc>
          <w:tcPr>
            <w:tcW w:w="180" w:type="dxa"/>
            <w:vAlign w:val="bottom"/>
          </w:tcPr>
          <w:p>
            <w:pPr>
              <w:spacing w:after="0"/>
              <w:rPr>
                <w:sz w:val="12"/>
                <w:szCs w:val="12"/>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4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352.4</w:t>
            </w:r>
          </w:p>
        </w:tc>
        <w:tc>
          <w:tcPr>
            <w:tcW w:w="160" w:type="dxa"/>
            <w:vAlign w:val="bottom"/>
          </w:tcPr>
          <w:p>
            <w:pPr>
              <w:spacing w:after="0"/>
              <w:rPr>
                <w:sz w:val="12"/>
                <w:szCs w:val="12"/>
                <w:color w:val="auto"/>
              </w:rPr>
            </w:pPr>
          </w:p>
        </w:tc>
        <w:tc>
          <w:tcPr>
            <w:tcW w:w="8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color w:val="auto"/>
                <w:w w:val="76"/>
              </w:rPr>
              <w:t>$</w:t>
            </w:r>
          </w:p>
        </w:tc>
        <w:tc>
          <w:tcPr>
            <w:tcW w:w="3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11.1</w:t>
            </w:r>
          </w:p>
        </w:tc>
        <w:tc>
          <w:tcPr>
            <w:tcW w:w="160" w:type="dxa"/>
            <w:vAlign w:val="bottom"/>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362.7</w:t>
            </w:r>
          </w:p>
        </w:tc>
        <w:tc>
          <w:tcPr>
            <w:tcW w:w="180" w:type="dxa"/>
            <w:vAlign w:val="bottom"/>
          </w:tcPr>
          <w:p>
            <w:pPr>
              <w:spacing w:after="0"/>
              <w:rPr>
                <w:sz w:val="12"/>
                <w:szCs w:val="12"/>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373.8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For further details on our U.S. investment operations exposure to these European countries, see "U.S. Investment Operations — Fixed Maturities."</w:t>
      </w:r>
    </w:p>
    <w:p>
      <w:pPr>
        <w:spacing w:after="0" w:line="242" w:lineRule="exact"/>
        <w:rPr>
          <w:sz w:val="20"/>
          <w:szCs w:val="20"/>
          <w:color w:val="auto"/>
        </w:rPr>
      </w:pPr>
    </w:p>
    <w:p>
      <w:pPr>
        <w:spacing w:after="0"/>
        <w:tabs>
          <w:tab w:leader="none" w:pos="820" w:val="left"/>
        </w:tabs>
        <w:rPr>
          <w:sz w:val="20"/>
          <w:szCs w:val="20"/>
          <w:color w:val="auto"/>
        </w:rPr>
      </w:pPr>
      <w:r>
        <w:rPr>
          <w:rFonts w:ascii="Arial" w:cs="Arial" w:eastAsia="Arial" w:hAnsi="Arial"/>
          <w:sz w:val="18"/>
          <w:szCs w:val="18"/>
          <w:b w:val="1"/>
          <w:bCs w:val="1"/>
          <w:color w:val="auto"/>
        </w:rPr>
        <w:t>Item 7A.</w:t>
      </w:r>
      <w:r>
        <w:rPr>
          <w:sz w:val="20"/>
          <w:szCs w:val="20"/>
          <w:color w:val="auto"/>
        </w:rPr>
        <w:tab/>
      </w:r>
      <w:r>
        <w:rPr>
          <w:rFonts w:ascii="Arial" w:cs="Arial" w:eastAsia="Arial" w:hAnsi="Arial"/>
          <w:sz w:val="16"/>
          <w:szCs w:val="16"/>
          <w:b w:val="1"/>
          <w:bCs w:val="1"/>
          <w:color w:val="auto"/>
        </w:rPr>
        <w:t>Quantitative and Qualitative Disclosures About Market Risk</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 Risk Exposures and Risk Management</w:t>
      </w:r>
    </w:p>
    <w:p>
      <w:pPr>
        <w:spacing w:after="0" w:line="231" w:lineRule="exact"/>
        <w:rPr>
          <w:sz w:val="20"/>
          <w:szCs w:val="20"/>
          <w:color w:val="auto"/>
        </w:rPr>
      </w:pPr>
    </w:p>
    <w:p>
      <w:pPr>
        <w:jc w:val="both"/>
        <w:ind w:firstLine="431"/>
        <w:spacing w:after="0" w:line="259" w:lineRule="auto"/>
        <w:rPr>
          <w:sz w:val="20"/>
          <w:szCs w:val="20"/>
          <w:color w:val="auto"/>
        </w:rPr>
      </w:pPr>
      <w:r>
        <w:rPr>
          <w:rFonts w:ascii="Arial" w:cs="Arial" w:eastAsia="Arial" w:hAnsi="Arial"/>
          <w:sz w:val="18"/>
          <w:szCs w:val="18"/>
          <w:color w:val="auto"/>
        </w:rPr>
        <w:t>Market risk is the risk we will incur losses due to adverse fluctuations in market rates and prices. Our primary market risk exposures are to interest rates, equity markets, foreign currency exchange rates, and credit risk. The active management of market risk is an integral part of our operations. We manage our overall market risk exposure within established risk tolerance ranges by using the following approaches:</w:t>
      </w:r>
    </w:p>
    <w:p>
      <w:pPr>
        <w:spacing w:after="0" w:line="208" w:lineRule="exact"/>
        <w:rPr>
          <w:sz w:val="20"/>
          <w:szCs w:val="20"/>
          <w:color w:val="auto"/>
        </w:rPr>
      </w:pPr>
    </w:p>
    <w:p>
      <w:pPr>
        <w:ind w:left="1080" w:hanging="532"/>
        <w:spacing w:after="0"/>
        <w:tabs>
          <w:tab w:leader="none" w:pos="10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rebalance our existing asset or liability portfolios;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control the risk structure of newly acquired assets and liabilities 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9"/>
        </w:numPr>
        <w:rPr>
          <w:rFonts w:ascii="Arial" w:cs="Arial" w:eastAsia="Arial" w:hAnsi="Arial"/>
          <w:sz w:val="16"/>
          <w:szCs w:val="16"/>
          <w:color w:val="auto"/>
        </w:rPr>
      </w:pPr>
      <w:r>
        <w:rPr>
          <w:rFonts w:ascii="Arial" w:cs="Arial" w:eastAsia="Arial" w:hAnsi="Arial"/>
          <w:sz w:val="16"/>
          <w:szCs w:val="16"/>
          <w:color w:val="auto"/>
        </w:rPr>
        <w:t>use derivative instruments to modify the market risk characteristics of existing assets or liabilities or assets expected to be purchased.</w:t>
      </w:r>
    </w:p>
    <w:p>
      <w:pPr>
        <w:spacing w:after="0" w:line="200" w:lineRule="exact"/>
        <w:rPr>
          <w:sz w:val="20"/>
          <w:szCs w:val="20"/>
          <w:color w:val="auto"/>
        </w:rPr>
      </w:pP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Rate Risk</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5"/>
          <w:szCs w:val="15"/>
          <w:color w:val="auto"/>
        </w:rPr>
        <w:t>Interest rate risk is the risk we will incur economic losses due to adverse changes in interest rates. We are exposed to interest rate risk from several sources:</w:t>
      </w:r>
    </w:p>
    <w:p>
      <w:pPr>
        <w:spacing w:after="0" w:line="273" w:lineRule="exact"/>
        <w:rPr>
          <w:sz w:val="20"/>
          <w:szCs w:val="20"/>
          <w:color w:val="auto"/>
        </w:rPr>
      </w:pPr>
    </w:p>
    <w:p>
      <w:pPr>
        <w:ind w:left="1080" w:hanging="532"/>
        <w:spacing w:after="0" w:line="332" w:lineRule="auto"/>
        <w:tabs>
          <w:tab w:leader="none" w:pos="1080" w:val="left"/>
        </w:tabs>
        <w:numPr>
          <w:ilvl w:val="0"/>
          <w:numId w:val="40"/>
        </w:numPr>
        <w:rPr>
          <w:rFonts w:ascii="Arial" w:cs="Arial" w:eastAsia="Arial" w:hAnsi="Arial"/>
          <w:sz w:val="16"/>
          <w:szCs w:val="16"/>
          <w:color w:val="auto"/>
        </w:rPr>
      </w:pPr>
      <w:r>
        <w:rPr>
          <w:rFonts w:ascii="Arial" w:cs="Arial" w:eastAsia="Arial" w:hAnsi="Arial"/>
          <w:sz w:val="16"/>
          <w:szCs w:val="16"/>
          <w:color w:val="auto"/>
        </w:rPr>
        <w:t>Due to the inherent difficulty in obtaining assets that mature or have their rate reset at the exact same time as the liabilities they support, assets may have to be reinvested or sold in the future to meet the liability cash flows in unknown interest rate environments.</w:t>
      </w:r>
    </w:p>
    <w:p>
      <w:pPr>
        <w:spacing w:after="0" w:line="166" w:lineRule="exact"/>
        <w:rPr>
          <w:rFonts w:ascii="Arial" w:cs="Arial" w:eastAsia="Arial" w:hAnsi="Arial"/>
          <w:sz w:val="16"/>
          <w:szCs w:val="16"/>
          <w:color w:val="auto"/>
        </w:rPr>
      </w:pPr>
    </w:p>
    <w:p>
      <w:pPr>
        <w:ind w:left="1080" w:hanging="532"/>
        <w:spacing w:after="0" w:line="268" w:lineRule="auto"/>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There may be timing differences between when new liabilities are priced and when assets are purchased or procured that can cause fluctuations in profitability if interest rates move materially in the interim.</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40"/>
        </w:numPr>
        <w:rPr>
          <w:rFonts w:ascii="Arial" w:cs="Arial" w:eastAsia="Arial" w:hAnsi="Arial"/>
          <w:sz w:val="16"/>
          <w:szCs w:val="16"/>
          <w:color w:val="auto"/>
        </w:rPr>
      </w:pPr>
      <w:r>
        <w:rPr>
          <w:rFonts w:ascii="Arial" w:cs="Arial" w:eastAsia="Arial" w:hAnsi="Arial"/>
          <w:sz w:val="16"/>
          <w:szCs w:val="16"/>
          <w:color w:val="auto"/>
        </w:rPr>
        <w:t>Prepayment options embedded within asset and liability contracts can alter the cash flow profiles from what was originally expected.</w:t>
      </w:r>
    </w:p>
    <w:p>
      <w:pPr>
        <w:spacing w:after="0" w:line="261" w:lineRule="exact"/>
        <w:rPr>
          <w:rFonts w:ascii="Arial" w:cs="Arial" w:eastAsia="Arial" w:hAnsi="Arial"/>
          <w:sz w:val="16"/>
          <w:szCs w:val="16"/>
          <w:color w:val="auto"/>
        </w:rPr>
      </w:pPr>
    </w:p>
    <w:p>
      <w:pPr>
        <w:ind w:left="1080" w:hanging="532"/>
        <w:spacing w:after="0" w:line="268" w:lineRule="auto"/>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spreads between the investment income we earn and the interest we credit to customers who own products with guaranteed minimum interest rates may decrease (or potentially become negative) during periods of sustained low interest rates.</w:t>
      </w:r>
    </w:p>
    <w:p>
      <w:pPr>
        <w:sectPr>
          <w:pgSz w:w="11900" w:h="16838" w:orient="portrait"/>
          <w:cols w:equalWidth="0" w:num="1">
            <w:col w:w="11420"/>
          </w:cols>
          <w:pgMar w:left="240" w:top="131" w:right="239" w:bottom="1440" w:gutter="0" w:footer="0" w:header="0"/>
        </w:sectPr>
      </w:pP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79" w:name="page80"/>
    <w:bookmarkEnd w:id="7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jc w:val="both"/>
        <w:ind w:left="1080" w:hanging="532"/>
        <w:spacing w:after="0" w:line="259" w:lineRule="auto"/>
        <w:tabs>
          <w:tab w:leader="none" w:pos="10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During periods of sustained low interest rates, the interest rates that we earn on our assets may be lower than the rates assumed in pricing our insurance products, thereby reducing our profitability. If interest rates remain low over a sustained period of time, this may result in increases in our reserves and/or unlocking of our DAC asset and other actuarial balances.</w:t>
      </w:r>
    </w:p>
    <w:p>
      <w:pPr>
        <w:spacing w:after="0" w:line="221" w:lineRule="exact"/>
        <w:rPr>
          <w:rFonts w:ascii="Arial" w:cs="Arial" w:eastAsia="Arial" w:hAnsi="Arial"/>
          <w:sz w:val="18"/>
          <w:szCs w:val="18"/>
          <w:color w:val="auto"/>
        </w:rPr>
      </w:pPr>
    </w:p>
    <w:p>
      <w:pPr>
        <w:jc w:val="both"/>
        <w:ind w:left="1080" w:hanging="532"/>
        <w:spacing w:after="0" w:line="306" w:lineRule="auto"/>
        <w:tabs>
          <w:tab w:leader="none" w:pos="1080" w:val="left"/>
        </w:tabs>
        <w:numPr>
          <w:ilvl w:val="0"/>
          <w:numId w:val="41"/>
        </w:numPr>
        <w:rPr>
          <w:rFonts w:ascii="Arial" w:cs="Arial" w:eastAsia="Arial" w:hAnsi="Arial"/>
          <w:sz w:val="16"/>
          <w:szCs w:val="16"/>
          <w:color w:val="auto"/>
        </w:rPr>
      </w:pPr>
      <w:r>
        <w:rPr>
          <w:rFonts w:ascii="Arial" w:cs="Arial" w:eastAsia="Arial" w:hAnsi="Arial"/>
          <w:sz w:val="16"/>
          <w:szCs w:val="16"/>
          <w:color w:val="auto"/>
        </w:rPr>
        <w:t>During periods of rising interest rates, policy surrenders, withdrawals, and requests for policy loans may increase as customers seek to achieve higher returns. This may result in unlocking of our DAC and other actuarial balances. We may be required to sell assets to raise the cash necessary to respond to such surrenders, withdrawals and loans, thereby realizing capital losses on the assets sold.</w:t>
      </w:r>
    </w:p>
    <w:p>
      <w:pPr>
        <w:spacing w:after="0" w:line="174" w:lineRule="exact"/>
        <w:rPr>
          <w:rFonts w:ascii="Arial" w:cs="Arial" w:eastAsia="Arial" w:hAnsi="Arial"/>
          <w:sz w:val="16"/>
          <w:szCs w:val="16"/>
          <w:color w:val="auto"/>
        </w:rPr>
      </w:pPr>
    </w:p>
    <w:p>
      <w:pPr>
        <w:ind w:left="1080" w:hanging="532"/>
        <w:spacing w:after="0" w:line="268" w:lineRule="auto"/>
        <w:tabs>
          <w:tab w:leader="none" w:pos="10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For our long-term borrowings, we are exposed to interest rate risk at the time of maturity or early redemption, when we may be required to refinance our obligations.</w:t>
      </w:r>
    </w:p>
    <w:p>
      <w:pPr>
        <w:spacing w:after="0" w:line="199"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We are exposed to interest rate risk based upon the discount rate assumption used for purposes of valuing our pension and other postretirement benefit obligations.</w:t>
      </w:r>
    </w:p>
    <w:p>
      <w:pPr>
        <w:spacing w:after="0" w:line="186" w:lineRule="exact"/>
        <w:rPr>
          <w:sz w:val="20"/>
          <w:szCs w:val="20"/>
          <w:color w:val="auto"/>
        </w:rPr>
      </w:pPr>
    </w:p>
    <w:p>
      <w:pPr>
        <w:jc w:val="both"/>
        <w:ind w:firstLine="347"/>
        <w:spacing w:after="0" w:line="289" w:lineRule="auto"/>
        <w:rPr>
          <w:sz w:val="20"/>
          <w:szCs w:val="20"/>
          <w:color w:val="auto"/>
        </w:rPr>
      </w:pPr>
      <w:r>
        <w:rPr>
          <w:rFonts w:ascii="Arial" w:cs="Arial" w:eastAsia="Arial" w:hAnsi="Arial"/>
          <w:sz w:val="16"/>
          <w:szCs w:val="16"/>
          <w:color w:val="auto"/>
        </w:rPr>
        <w:t>An increase in market interest rates may cause the fair value of our financial assets to decline. The reduction in the fair value of our financial assets would be partly offset by a corresponding reduction in the fair value of our financial liabilities. The following tables show the net estimated potential loss in fair value at total company level from a hypothetical 100 basis point immediate, parallel increase in interest rates as of December 31, 2013, and December 31, 2012. Our selection of a 100 basis point immediate, parallel increase in interest rates is a hypothetical rate scenario we use to demonstrate potential risk. While a 100 basis point immediate, parallel increase does not represent our view of future market changes, it is a near term reasonably possible hypothetical change that illustrates the potential impact of such events. While these fair value measurements provide a representation of interest rate sensitivity, they are based on our portfolio exposures at a point in time and may not be representative of future market results. These exposures will change as a result of ongoing portfolio transactions in response to new business, management's assessment of changing market conditions and available investment opportunities.</w:t>
      </w:r>
    </w:p>
    <w:p>
      <w:pPr>
        <w:spacing w:after="0" w:line="16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3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540" w:type="dxa"/>
            <w:vAlign w:val="bottom"/>
            <w:tcBorders>
              <w:bottom w:val="single" w:sz="8" w:color="auto"/>
            </w:tcBorders>
            <w:gridSpan w:val="6"/>
          </w:tcPr>
          <w:p>
            <w:pPr>
              <w:jc w:val="right"/>
              <w:ind w:right="540"/>
              <w:spacing w:after="0"/>
              <w:rPr>
                <w:sz w:val="20"/>
                <w:szCs w:val="20"/>
                <w:color w:val="auto"/>
              </w:rPr>
            </w:pPr>
            <w:r>
              <w:rPr>
                <w:rFonts w:ascii="Arial" w:cs="Arial" w:eastAsia="Arial" w:hAnsi="Arial"/>
                <w:sz w:val="14"/>
                <w:szCs w:val="14"/>
                <w:b w:val="1"/>
                <w:bCs w:val="1"/>
                <w:color w:val="auto"/>
              </w:rPr>
              <w:t>As of December 31, 2013</w:t>
            </w:r>
          </w:p>
        </w:tc>
        <w:tc>
          <w:tcPr>
            <w:tcW w:w="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33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20" w:type="dxa"/>
            <w:vAlign w:val="bottom"/>
            <w:gridSpan w:val="2"/>
          </w:tcPr>
          <w:p>
            <w:pPr>
              <w:jc w:val="center"/>
              <w:ind w:right="180"/>
              <w:spacing w:after="0" w:line="129" w:lineRule="exact"/>
              <w:rPr>
                <w:sz w:val="20"/>
                <w:szCs w:val="20"/>
                <w:color w:val="auto"/>
              </w:rPr>
            </w:pPr>
            <w:r>
              <w:rPr>
                <w:rFonts w:ascii="Arial" w:cs="Arial" w:eastAsia="Arial" w:hAnsi="Arial"/>
                <w:sz w:val="14"/>
                <w:szCs w:val="14"/>
                <w:b w:val="1"/>
                <w:bCs w:val="1"/>
                <w:color w:val="auto"/>
                <w:w w:val="89"/>
              </w:rPr>
              <w:t>Hypothetical fair</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33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value after +100</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Hypothetical</w:t>
            </w:r>
          </w:p>
        </w:tc>
      </w:tr>
      <w:tr>
        <w:trPr>
          <w:trHeight w:val="149"/>
        </w:trPr>
        <w:tc>
          <w:tcPr>
            <w:tcW w:w="20" w:type="dxa"/>
            <w:vAlign w:val="bottom"/>
          </w:tcPr>
          <w:p>
            <w:pPr>
              <w:spacing w:after="0"/>
              <w:rPr>
                <w:sz w:val="12"/>
                <w:szCs w:val="12"/>
                <w:color w:val="auto"/>
              </w:rPr>
            </w:pPr>
          </w:p>
        </w:tc>
        <w:tc>
          <w:tcPr>
            <w:tcW w:w="33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gridSpan w:val="2"/>
          </w:tcPr>
          <w:p>
            <w:pPr>
              <w:jc w:val="right"/>
              <w:ind w:right="132"/>
              <w:spacing w:after="0" w:line="149" w:lineRule="exact"/>
              <w:rPr>
                <w:sz w:val="20"/>
                <w:szCs w:val="20"/>
                <w:color w:val="auto"/>
              </w:rPr>
            </w:pPr>
            <w:r>
              <w:rPr>
                <w:rFonts w:ascii="Arial" w:cs="Arial" w:eastAsia="Arial" w:hAnsi="Arial"/>
                <w:sz w:val="14"/>
                <w:szCs w:val="14"/>
                <w:b w:val="1"/>
                <w:bCs w:val="1"/>
                <w:color w:val="auto"/>
                <w:w w:val="86"/>
              </w:rPr>
              <w:t>Asset (liability)</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6"/>
              </w:rPr>
              <w:t>basis point parallel</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4"/>
              </w:rPr>
              <w:t>changes in</w:t>
            </w:r>
          </w:p>
        </w:tc>
      </w:tr>
      <w:tr>
        <w:trPr>
          <w:trHeight w:val="161"/>
        </w:trPr>
        <w:tc>
          <w:tcPr>
            <w:tcW w:w="20" w:type="dxa"/>
            <w:vAlign w:val="bottom"/>
          </w:tcPr>
          <w:p>
            <w:pPr>
              <w:spacing w:after="0"/>
              <w:rPr>
                <w:sz w:val="14"/>
                <w:szCs w:val="14"/>
                <w:color w:val="auto"/>
              </w:rPr>
            </w:pPr>
          </w:p>
        </w:tc>
        <w:tc>
          <w:tcPr>
            <w:tcW w:w="33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20" w:type="dxa"/>
            <w:vAlign w:val="bottom"/>
          </w:tcPr>
          <w:p>
            <w:pPr>
              <w:jc w:val="right"/>
              <w:ind w:right="32"/>
              <w:spacing w:after="0"/>
              <w:rPr>
                <w:sz w:val="20"/>
                <w:szCs w:val="20"/>
                <w:color w:val="auto"/>
              </w:rPr>
            </w:pPr>
            <w:r>
              <w:rPr>
                <w:rFonts w:ascii="Arial" w:cs="Arial" w:eastAsia="Arial" w:hAnsi="Arial"/>
                <w:sz w:val="14"/>
                <w:szCs w:val="14"/>
                <w:b w:val="1"/>
                <w:bCs w:val="1"/>
                <w:color w:val="auto"/>
                <w:w w:val="89"/>
              </w:rPr>
              <w:t>Notional</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80" w:type="dxa"/>
            <w:vAlign w:val="bottom"/>
            <w:gridSpan w:val="2"/>
          </w:tcPr>
          <w:p>
            <w:pPr>
              <w:jc w:val="right"/>
              <w:ind w:right="292"/>
              <w:spacing w:after="0"/>
              <w:rPr>
                <w:sz w:val="20"/>
                <w:szCs w:val="20"/>
                <w:color w:val="auto"/>
              </w:rPr>
            </w:pPr>
            <w:r>
              <w:rPr>
                <w:rFonts w:ascii="Arial" w:cs="Arial" w:eastAsia="Arial" w:hAnsi="Arial"/>
                <w:sz w:val="14"/>
                <w:szCs w:val="14"/>
                <w:b w:val="1"/>
                <w:bCs w:val="1"/>
                <w:color w:val="auto"/>
              </w:rPr>
              <w:t>fair value</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6"/>
              </w:rPr>
              <w:t>yield curve shift</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7"/>
              </w:rPr>
              <w:t>fair value</w:t>
            </w:r>
          </w:p>
        </w:tc>
      </w:tr>
      <w:tr>
        <w:trPr>
          <w:trHeight w:val="142"/>
        </w:trPr>
        <w:tc>
          <w:tcPr>
            <w:tcW w:w="20" w:type="dxa"/>
            <w:vAlign w:val="bottom"/>
          </w:tcPr>
          <w:p>
            <w:pPr>
              <w:spacing w:after="0"/>
              <w:rPr>
                <w:sz w:val="12"/>
                <w:szCs w:val="12"/>
                <w:color w:val="auto"/>
              </w:rPr>
            </w:pPr>
          </w:p>
        </w:tc>
        <w:tc>
          <w:tcPr>
            <w:tcW w:w="33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6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980" w:type="dxa"/>
            <w:vAlign w:val="bottom"/>
            <w:tcBorders>
              <w:top w:val="single" w:sz="8" w:color="auto"/>
            </w:tcBorders>
          </w:tcPr>
          <w:p>
            <w:pPr>
              <w:spacing w:after="0"/>
              <w:rPr>
                <w:sz w:val="12"/>
                <w:szCs w:val="12"/>
                <w:color w:val="auto"/>
              </w:rPr>
            </w:pPr>
          </w:p>
        </w:tc>
        <w:tc>
          <w:tcPr>
            <w:tcW w:w="160" w:type="dxa"/>
            <w:vAlign w:val="bottom"/>
            <w:gridSpan w:val="2"/>
          </w:tcPr>
          <w:p>
            <w:pPr>
              <w:spacing w:after="0" w:line="142" w:lineRule="exact"/>
              <w:rPr>
                <w:sz w:val="20"/>
                <w:szCs w:val="20"/>
                <w:color w:val="auto"/>
              </w:rPr>
            </w:pPr>
            <w:r>
              <w:rPr>
                <w:rFonts w:ascii="Arial" w:cs="Arial" w:eastAsia="Arial" w:hAnsi="Arial"/>
                <w:sz w:val="14"/>
                <w:szCs w:val="14"/>
                <w:b w:val="1"/>
                <w:bCs w:val="1"/>
                <w:i w:val="1"/>
                <w:iCs w:val="1"/>
                <w:color w:val="auto"/>
                <w:w w:val="81"/>
              </w:rPr>
              <w:t>(in</w:t>
            </w:r>
          </w:p>
        </w:tc>
        <w:tc>
          <w:tcPr>
            <w:tcW w:w="1320" w:type="dxa"/>
            <w:vAlign w:val="bottom"/>
            <w:tcBorders>
              <w:top w:val="single" w:sz="8" w:color="auto"/>
            </w:tcBorders>
            <w:gridSpan w:val="2"/>
          </w:tcPr>
          <w:p>
            <w:pPr>
              <w:spacing w:after="0" w:line="142" w:lineRule="exact"/>
              <w:rPr>
                <w:sz w:val="20"/>
                <w:szCs w:val="20"/>
                <w:color w:val="auto"/>
              </w:rPr>
            </w:pPr>
            <w:r>
              <w:rPr>
                <w:rFonts w:ascii="Arial" w:cs="Arial" w:eastAsia="Arial" w:hAnsi="Arial"/>
                <w:sz w:val="14"/>
                <w:szCs w:val="14"/>
                <w:b w:val="1"/>
                <w:bCs w:val="1"/>
                <w:i w:val="1"/>
                <w:iCs w:val="1"/>
                <w:color w:val="auto"/>
              </w:rPr>
              <w:t>millions)</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3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Financial assets with interest rate risk:</w:t>
            </w:r>
          </w:p>
        </w:tc>
        <w:tc>
          <w:tcPr>
            <w:tcW w:w="1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380" w:type="dxa"/>
            <w:vAlign w:val="bottom"/>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1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9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48,757.1</w:t>
            </w:r>
          </w:p>
        </w:tc>
        <w:tc>
          <w:tcPr>
            <w:tcW w:w="100" w:type="dxa"/>
            <w:vAlign w:val="bottom"/>
          </w:tcPr>
          <w:p>
            <w:pPr>
              <w:spacing w:after="0"/>
              <w:rPr>
                <w:sz w:val="12"/>
                <w:szCs w:val="12"/>
                <w:color w:val="auto"/>
              </w:rPr>
            </w:pPr>
          </w:p>
        </w:tc>
        <w:tc>
          <w:tcPr>
            <w:tcW w:w="14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w w:val="76"/>
              </w:rPr>
              <w:t>$</w:t>
            </w:r>
          </w:p>
        </w:tc>
        <w:tc>
          <w:tcPr>
            <w:tcW w:w="12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46,522.2</w:t>
            </w:r>
          </w:p>
        </w:tc>
        <w:tc>
          <w:tcPr>
            <w:tcW w:w="80" w:type="dxa"/>
            <w:vAlign w:val="bottom"/>
          </w:tcPr>
          <w:p>
            <w:pPr>
              <w:spacing w:after="0"/>
              <w:rPr>
                <w:sz w:val="12"/>
                <w:szCs w:val="12"/>
                <w:color w:val="auto"/>
              </w:rPr>
            </w:pP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8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(2,234.9)</w:t>
            </w:r>
          </w:p>
        </w:tc>
      </w:tr>
      <w:tr>
        <w:trPr>
          <w:trHeight w:val="149"/>
        </w:trPr>
        <w:tc>
          <w:tcPr>
            <w:tcW w:w="20" w:type="dxa"/>
            <w:vAlign w:val="bottom"/>
          </w:tcPr>
          <w:p>
            <w:pPr>
              <w:spacing w:after="0"/>
              <w:rPr>
                <w:sz w:val="12"/>
                <w:szCs w:val="12"/>
                <w:color w:val="auto"/>
              </w:rPr>
            </w:pPr>
          </w:p>
        </w:tc>
        <w:tc>
          <w:tcPr>
            <w:tcW w:w="3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Fixed maturities, trading</w:t>
            </w:r>
          </w:p>
        </w:tc>
        <w:tc>
          <w:tcPr>
            <w:tcW w:w="1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563.1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540.4</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(22.7)</w:t>
            </w:r>
          </w:p>
        </w:tc>
      </w:tr>
      <w:tr>
        <w:trPr>
          <w:trHeight w:val="149"/>
        </w:trPr>
        <w:tc>
          <w:tcPr>
            <w:tcW w:w="20" w:type="dxa"/>
            <w:vAlign w:val="bottom"/>
          </w:tcPr>
          <w:p>
            <w:pPr>
              <w:spacing w:after="0"/>
              <w:rPr>
                <w:sz w:val="12"/>
                <w:szCs w:val="12"/>
                <w:color w:val="auto"/>
              </w:rPr>
            </w:pPr>
          </w:p>
        </w:tc>
        <w:tc>
          <w:tcPr>
            <w:tcW w:w="3380" w:type="dxa"/>
            <w:vAlign w:val="bottom"/>
          </w:tcPr>
          <w:p>
            <w:pPr>
              <w:ind w:left="140"/>
              <w:spacing w:after="0" w:line="149" w:lineRule="exact"/>
              <w:rPr>
                <w:sz w:val="20"/>
                <w:szCs w:val="20"/>
                <w:color w:val="auto"/>
              </w:rPr>
            </w:pPr>
            <w:r>
              <w:rPr>
                <w:rFonts w:ascii="Arial" w:cs="Arial" w:eastAsia="Arial" w:hAnsi="Arial"/>
                <w:sz w:val="14"/>
                <w:szCs w:val="14"/>
                <w:color w:val="auto"/>
              </w:rPr>
              <w:t>Mortgage loans</w:t>
            </w:r>
          </w:p>
        </w:tc>
        <w:tc>
          <w:tcPr>
            <w:tcW w:w="1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11,773.5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11,291.1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8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(482.4)</w:t>
            </w:r>
          </w:p>
        </w:tc>
      </w:tr>
      <w:tr>
        <w:trPr>
          <w:trHeight w:val="149"/>
        </w:trPr>
        <w:tc>
          <w:tcPr>
            <w:tcW w:w="20" w:type="dxa"/>
            <w:vAlign w:val="bottom"/>
          </w:tcPr>
          <w:p>
            <w:pPr>
              <w:spacing w:after="0"/>
              <w:rPr>
                <w:sz w:val="12"/>
                <w:szCs w:val="12"/>
                <w:color w:val="auto"/>
              </w:rPr>
            </w:pPr>
          </w:p>
        </w:tc>
        <w:tc>
          <w:tcPr>
            <w:tcW w:w="3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Policy loans</w:t>
            </w:r>
          </w:p>
        </w:tc>
        <w:tc>
          <w:tcPr>
            <w:tcW w:w="1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963.3</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891.3</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(72.0)</w:t>
            </w:r>
          </w:p>
        </w:tc>
      </w:tr>
      <w:tr>
        <w:trPr>
          <w:trHeight w:val="149"/>
        </w:trPr>
        <w:tc>
          <w:tcPr>
            <w:tcW w:w="20" w:type="dxa"/>
            <w:vAlign w:val="bottom"/>
          </w:tcPr>
          <w:p>
            <w:pPr>
              <w:spacing w:after="0"/>
              <w:rPr>
                <w:sz w:val="12"/>
                <w:szCs w:val="12"/>
                <w:color w:val="auto"/>
              </w:rPr>
            </w:pPr>
          </w:p>
        </w:tc>
        <w:tc>
          <w:tcPr>
            <w:tcW w:w="3380" w:type="dxa"/>
            <w:vAlign w:val="bottom"/>
          </w:tcPr>
          <w:p>
            <w:pPr>
              <w:ind w:left="140"/>
              <w:spacing w:after="0" w:line="149" w:lineRule="exact"/>
              <w:rPr>
                <w:sz w:val="20"/>
                <w:szCs w:val="20"/>
                <w:color w:val="auto"/>
              </w:rPr>
            </w:pPr>
            <w:r>
              <w:rPr>
                <w:rFonts w:ascii="Arial" w:cs="Arial" w:eastAsia="Arial" w:hAnsi="Arial"/>
                <w:sz w:val="14"/>
                <w:szCs w:val="14"/>
                <w:color w:val="auto"/>
              </w:rPr>
              <w:t>Equity securities, trading</w:t>
            </w:r>
          </w:p>
        </w:tc>
        <w:tc>
          <w:tcPr>
            <w:tcW w:w="1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416.5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400.4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8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(16.1)</w:t>
            </w:r>
          </w:p>
        </w:tc>
      </w:tr>
      <w:tr>
        <w:trPr>
          <w:trHeight w:val="149"/>
        </w:trPr>
        <w:tc>
          <w:tcPr>
            <w:tcW w:w="20" w:type="dxa"/>
            <w:vAlign w:val="bottom"/>
          </w:tcPr>
          <w:p>
            <w:pPr>
              <w:spacing w:after="0"/>
              <w:rPr>
                <w:sz w:val="12"/>
                <w:szCs w:val="12"/>
                <w:color w:val="auto"/>
              </w:rPr>
            </w:pPr>
          </w:p>
        </w:tc>
        <w:tc>
          <w:tcPr>
            <w:tcW w:w="3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Other investments</w:t>
            </w:r>
          </w:p>
        </w:tc>
        <w:tc>
          <w:tcPr>
            <w:tcW w:w="1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118.0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120.8</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2.8</w:t>
            </w:r>
          </w:p>
        </w:tc>
        <w:tc>
          <w:tcPr>
            <w:tcW w:w="160" w:type="dxa"/>
            <w:vAlign w:val="bottom"/>
            <w:shd w:val="clear" w:color="auto" w:fill="CCEEFF"/>
          </w:tcPr>
          <w:p>
            <w:pPr>
              <w:spacing w:after="0"/>
              <w:rPr>
                <w:sz w:val="12"/>
                <w:szCs w:val="12"/>
                <w:color w:val="auto"/>
              </w:rPr>
            </w:pPr>
          </w:p>
        </w:tc>
      </w:tr>
      <w:tr>
        <w:trPr>
          <w:trHeight w:val="311"/>
        </w:trPr>
        <w:tc>
          <w:tcPr>
            <w:tcW w:w="3400" w:type="dxa"/>
            <w:vAlign w:val="bottom"/>
            <w:gridSpan w:val="2"/>
          </w:tcPr>
          <w:p>
            <w:pPr>
              <w:spacing w:after="0"/>
              <w:rPr>
                <w:sz w:val="20"/>
                <w:szCs w:val="20"/>
                <w:color w:val="auto"/>
              </w:rPr>
            </w:pPr>
            <w:r>
              <w:rPr>
                <w:rFonts w:ascii="Arial" w:cs="Arial" w:eastAsia="Arial" w:hAnsi="Arial"/>
                <w:sz w:val="14"/>
                <w:szCs w:val="14"/>
                <w:color w:val="auto"/>
              </w:rPr>
              <w:t>Financial liabilities with interest rate risk:</w:t>
            </w:r>
          </w:p>
        </w:tc>
        <w:tc>
          <w:tcPr>
            <w:tcW w:w="1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149"/>
        </w:trPr>
        <w:tc>
          <w:tcPr>
            <w:tcW w:w="20" w:type="dxa"/>
            <w:vAlign w:val="bottom"/>
          </w:tcPr>
          <w:p>
            <w:pPr>
              <w:spacing w:after="0"/>
              <w:rPr>
                <w:sz w:val="12"/>
                <w:szCs w:val="12"/>
                <w:color w:val="auto"/>
              </w:rPr>
            </w:pPr>
          </w:p>
        </w:tc>
        <w:tc>
          <w:tcPr>
            <w:tcW w:w="3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Investment-type insurance contracts</w:t>
            </w:r>
          </w:p>
        </w:tc>
        <w:tc>
          <w:tcPr>
            <w:tcW w:w="1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(30,100.0)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3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(29,274.0)</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826.0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380" w:type="dxa"/>
            <w:vAlign w:val="bottom"/>
          </w:tcPr>
          <w:p>
            <w:pPr>
              <w:ind w:left="140"/>
              <w:spacing w:after="0" w:line="149" w:lineRule="exact"/>
              <w:rPr>
                <w:sz w:val="20"/>
                <w:szCs w:val="20"/>
                <w:color w:val="auto"/>
              </w:rPr>
            </w:pPr>
            <w:r>
              <w:rPr>
                <w:rFonts w:ascii="Arial" w:cs="Arial" w:eastAsia="Arial" w:hAnsi="Arial"/>
                <w:sz w:val="14"/>
                <w:szCs w:val="14"/>
                <w:color w:val="auto"/>
              </w:rPr>
              <w:t>Long-term debt</w:t>
            </w:r>
          </w:p>
        </w:tc>
        <w:tc>
          <w:tcPr>
            <w:tcW w:w="1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(2,692.1)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(2,455.9)</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236.2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Bank deposits</w:t>
            </w:r>
          </w:p>
        </w:tc>
        <w:tc>
          <w:tcPr>
            <w:tcW w:w="1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(1,951.1)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3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(1,941.7)</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9.4</w:t>
            </w:r>
          </w:p>
        </w:tc>
        <w:tc>
          <w:tcPr>
            <w:tcW w:w="160" w:type="dxa"/>
            <w:vAlign w:val="bottom"/>
            <w:shd w:val="clear" w:color="auto" w:fill="CCEEFF"/>
          </w:tcPr>
          <w:p>
            <w:pPr>
              <w:spacing w:after="0"/>
              <w:rPr>
                <w:sz w:val="12"/>
                <w:szCs w:val="12"/>
                <w:color w:val="auto"/>
              </w:rPr>
            </w:pPr>
          </w:p>
        </w:tc>
      </w:tr>
      <w:tr>
        <w:trPr>
          <w:trHeight w:val="311"/>
        </w:trPr>
        <w:tc>
          <w:tcPr>
            <w:tcW w:w="3400" w:type="dxa"/>
            <w:vAlign w:val="bottom"/>
            <w:gridSpan w:val="2"/>
          </w:tcPr>
          <w:p>
            <w:pPr>
              <w:spacing w:after="0"/>
              <w:rPr>
                <w:sz w:val="20"/>
                <w:szCs w:val="20"/>
                <w:color w:val="auto"/>
              </w:rPr>
            </w:pPr>
            <w:r>
              <w:rPr>
                <w:rFonts w:ascii="Arial" w:cs="Arial" w:eastAsia="Arial" w:hAnsi="Arial"/>
                <w:sz w:val="14"/>
                <w:szCs w:val="14"/>
                <w:color w:val="auto"/>
              </w:rPr>
              <w:t>Derivatives with interest rate risk</w:t>
            </w:r>
          </w:p>
        </w:tc>
        <w:tc>
          <w:tcPr>
            <w:tcW w:w="1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149"/>
        </w:trPr>
        <w:tc>
          <w:tcPr>
            <w:tcW w:w="20" w:type="dxa"/>
            <w:vAlign w:val="bottom"/>
          </w:tcPr>
          <w:p>
            <w:pPr>
              <w:spacing w:after="0"/>
              <w:rPr>
                <w:sz w:val="12"/>
                <w:szCs w:val="12"/>
                <w:color w:val="auto"/>
              </w:rPr>
            </w:pPr>
          </w:p>
        </w:tc>
        <w:tc>
          <w:tcPr>
            <w:tcW w:w="3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Interest rate swaps</w:t>
            </w:r>
          </w:p>
        </w:tc>
        <w:tc>
          <w:tcPr>
            <w:tcW w:w="12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20,570.8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(365.4)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3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(459.3)</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(93.9)</w:t>
            </w:r>
          </w:p>
        </w:tc>
      </w:tr>
      <w:tr>
        <w:trPr>
          <w:trHeight w:val="149"/>
        </w:trPr>
        <w:tc>
          <w:tcPr>
            <w:tcW w:w="20" w:type="dxa"/>
            <w:vAlign w:val="bottom"/>
          </w:tcPr>
          <w:p>
            <w:pPr>
              <w:spacing w:after="0"/>
              <w:rPr>
                <w:sz w:val="12"/>
                <w:szCs w:val="12"/>
                <w:color w:val="auto"/>
              </w:rPr>
            </w:pPr>
          </w:p>
        </w:tc>
        <w:tc>
          <w:tcPr>
            <w:tcW w:w="3380" w:type="dxa"/>
            <w:vAlign w:val="bottom"/>
          </w:tcPr>
          <w:p>
            <w:pPr>
              <w:ind w:left="140"/>
              <w:spacing w:after="0" w:line="149" w:lineRule="exact"/>
              <w:rPr>
                <w:sz w:val="20"/>
                <w:szCs w:val="20"/>
                <w:color w:val="auto"/>
              </w:rPr>
            </w:pPr>
            <w:r>
              <w:rPr>
                <w:rFonts w:ascii="Arial" w:cs="Arial" w:eastAsia="Arial" w:hAnsi="Arial"/>
                <w:sz w:val="14"/>
                <w:szCs w:val="14"/>
                <w:color w:val="auto"/>
              </w:rPr>
              <w:t>Currency swaps</w:t>
            </w:r>
          </w:p>
        </w:tc>
        <w:tc>
          <w:tcPr>
            <w:tcW w:w="1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2,367.5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106.0</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110.8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Equity options</w:t>
            </w:r>
          </w:p>
        </w:tc>
        <w:tc>
          <w:tcPr>
            <w:tcW w:w="1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1,719.7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(125.4)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3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(152.1)</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(26.7)</w:t>
            </w:r>
          </w:p>
        </w:tc>
      </w:tr>
      <w:tr>
        <w:trPr>
          <w:trHeight w:val="149"/>
        </w:trPr>
        <w:tc>
          <w:tcPr>
            <w:tcW w:w="20" w:type="dxa"/>
            <w:vAlign w:val="bottom"/>
          </w:tcPr>
          <w:p>
            <w:pPr>
              <w:spacing w:after="0"/>
              <w:rPr>
                <w:sz w:val="12"/>
                <w:szCs w:val="12"/>
                <w:color w:val="auto"/>
              </w:rPr>
            </w:pPr>
          </w:p>
        </w:tc>
        <w:tc>
          <w:tcPr>
            <w:tcW w:w="3380" w:type="dxa"/>
            <w:vAlign w:val="bottom"/>
          </w:tcPr>
          <w:p>
            <w:pPr>
              <w:ind w:left="140"/>
              <w:spacing w:after="0" w:line="149" w:lineRule="exact"/>
              <w:rPr>
                <w:sz w:val="20"/>
                <w:szCs w:val="20"/>
                <w:color w:val="auto"/>
              </w:rPr>
            </w:pPr>
            <w:r>
              <w:rPr>
                <w:rFonts w:ascii="Arial" w:cs="Arial" w:eastAsia="Arial" w:hAnsi="Arial"/>
                <w:sz w:val="14"/>
                <w:szCs w:val="14"/>
                <w:color w:val="auto"/>
              </w:rPr>
              <w:t>Interest rate options</w:t>
            </w:r>
          </w:p>
        </w:tc>
        <w:tc>
          <w:tcPr>
            <w:tcW w:w="1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4,100.0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41.7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57.5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15.8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Swaptions</w:t>
            </w:r>
          </w:p>
        </w:tc>
        <w:tc>
          <w:tcPr>
            <w:tcW w:w="1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325.0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3.5</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2.5</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380" w:type="dxa"/>
            <w:vAlign w:val="bottom"/>
          </w:tcPr>
          <w:p>
            <w:pPr>
              <w:ind w:left="140"/>
              <w:spacing w:after="0" w:line="149" w:lineRule="exact"/>
              <w:rPr>
                <w:sz w:val="20"/>
                <w:szCs w:val="20"/>
                <w:color w:val="auto"/>
              </w:rPr>
            </w:pPr>
            <w:r>
              <w:rPr>
                <w:rFonts w:ascii="Arial" w:cs="Arial" w:eastAsia="Arial" w:hAnsi="Arial"/>
                <w:sz w:val="14"/>
                <w:szCs w:val="14"/>
                <w:color w:val="auto"/>
              </w:rPr>
              <w:t>Interest rate futures</w:t>
            </w:r>
          </w:p>
        </w:tc>
        <w:tc>
          <w:tcPr>
            <w:tcW w:w="1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92.5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4.1</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3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estimated potential loss in fair value</w:t>
            </w:r>
          </w:p>
        </w:tc>
        <w:tc>
          <w:tcPr>
            <w:tcW w:w="1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98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b w:val="1"/>
                <w:bCs w:val="1"/>
                <w:color w:val="auto"/>
              </w:rPr>
              <w:t>(1,847.1)</w:t>
            </w:r>
          </w:p>
        </w:tc>
      </w:tr>
      <w:tr>
        <w:trPr>
          <w:trHeight w:val="20"/>
        </w:trPr>
        <w:tc>
          <w:tcPr>
            <w:tcW w:w="20" w:type="dxa"/>
            <w:vAlign w:val="bottom"/>
          </w:tcPr>
          <w:p>
            <w:pPr>
              <w:spacing w:after="0" w:line="20" w:lineRule="exact"/>
              <w:rPr>
                <w:sz w:val="1"/>
                <w:szCs w:val="1"/>
                <w:color w:val="auto"/>
              </w:rPr>
            </w:pPr>
          </w:p>
        </w:tc>
        <w:tc>
          <w:tcPr>
            <w:tcW w:w="338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0" w:name="page81"/>
    <w:bookmarkEnd w:id="8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5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20" w:type="dxa"/>
            <w:vAlign w:val="bottom"/>
            <w:tcBorders>
              <w:bottom w:val="single" w:sz="8" w:color="auto"/>
            </w:tcBorders>
            <w:gridSpan w:val="5"/>
          </w:tcPr>
          <w:p>
            <w:pPr>
              <w:jc w:val="right"/>
              <w:ind w:right="620"/>
              <w:spacing w:after="0"/>
              <w:rPr>
                <w:sz w:val="20"/>
                <w:szCs w:val="20"/>
                <w:color w:val="auto"/>
              </w:rPr>
            </w:pPr>
            <w:r>
              <w:rPr>
                <w:rFonts w:ascii="Arial" w:cs="Arial" w:eastAsia="Arial" w:hAnsi="Arial"/>
                <w:sz w:val="14"/>
                <w:szCs w:val="14"/>
                <w:b w:val="1"/>
                <w:bCs w:val="1"/>
                <w:color w:val="auto"/>
              </w:rPr>
              <w:t>As of December 31, 2012</w:t>
            </w:r>
          </w:p>
        </w:tc>
        <w:tc>
          <w:tcPr>
            <w:tcW w:w="10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4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0" w:type="dxa"/>
            <w:vAlign w:val="bottom"/>
            <w:gridSpan w:val="2"/>
          </w:tcPr>
          <w:p>
            <w:pPr>
              <w:jc w:val="center"/>
              <w:ind w:right="260"/>
              <w:spacing w:after="0" w:line="129" w:lineRule="exact"/>
              <w:rPr>
                <w:sz w:val="20"/>
                <w:szCs w:val="20"/>
                <w:color w:val="auto"/>
              </w:rPr>
            </w:pPr>
            <w:r>
              <w:rPr>
                <w:rFonts w:ascii="Arial" w:cs="Arial" w:eastAsia="Arial" w:hAnsi="Arial"/>
                <w:sz w:val="14"/>
                <w:szCs w:val="14"/>
                <w:b w:val="1"/>
                <w:bCs w:val="1"/>
                <w:color w:val="auto"/>
                <w:w w:val="89"/>
              </w:rPr>
              <w:t>Hypothetical fair</w:t>
            </w: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4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9"/>
              </w:rPr>
              <w:t>value after +100</w:t>
            </w:r>
          </w:p>
        </w:tc>
        <w:tc>
          <w:tcPr>
            <w:tcW w:w="104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Hypothetical</w:t>
            </w:r>
          </w:p>
        </w:tc>
      </w:tr>
      <w:tr>
        <w:trPr>
          <w:trHeight w:val="149"/>
        </w:trPr>
        <w:tc>
          <w:tcPr>
            <w:tcW w:w="20" w:type="dxa"/>
            <w:vAlign w:val="bottom"/>
          </w:tcPr>
          <w:p>
            <w:pPr>
              <w:spacing w:after="0"/>
              <w:rPr>
                <w:sz w:val="12"/>
                <w:szCs w:val="12"/>
                <w:color w:val="auto"/>
              </w:rPr>
            </w:pPr>
          </w:p>
        </w:tc>
        <w:tc>
          <w:tcPr>
            <w:tcW w:w="4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40" w:type="dxa"/>
            <w:vAlign w:val="bottom"/>
            <w:gridSpan w:val="2"/>
          </w:tcPr>
          <w:p>
            <w:pPr>
              <w:jc w:val="right"/>
              <w:ind w:right="204"/>
              <w:spacing w:after="0" w:line="149" w:lineRule="exact"/>
              <w:rPr>
                <w:sz w:val="20"/>
                <w:szCs w:val="20"/>
                <w:color w:val="auto"/>
              </w:rPr>
            </w:pPr>
            <w:r>
              <w:rPr>
                <w:rFonts w:ascii="Arial" w:cs="Arial" w:eastAsia="Arial" w:hAnsi="Arial"/>
                <w:sz w:val="14"/>
                <w:szCs w:val="14"/>
                <w:b w:val="1"/>
                <w:bCs w:val="1"/>
                <w:color w:val="auto"/>
                <w:w w:val="86"/>
              </w:rPr>
              <w:t>Asset (liability)</w:t>
            </w:r>
          </w:p>
        </w:tc>
        <w:tc>
          <w:tcPr>
            <w:tcW w:w="80" w:type="dxa"/>
            <w:vAlign w:val="bottom"/>
          </w:tcPr>
          <w:p>
            <w:pPr>
              <w:spacing w:after="0"/>
              <w:rPr>
                <w:sz w:val="12"/>
                <w:szCs w:val="12"/>
                <w:color w:val="auto"/>
              </w:rPr>
            </w:pPr>
          </w:p>
        </w:tc>
        <w:tc>
          <w:tcPr>
            <w:tcW w:w="14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6"/>
              </w:rPr>
              <w:t>basis point parallel</w:t>
            </w:r>
          </w:p>
        </w:tc>
        <w:tc>
          <w:tcPr>
            <w:tcW w:w="100" w:type="dxa"/>
            <w:vAlign w:val="bottom"/>
          </w:tcPr>
          <w:p>
            <w:pPr>
              <w:spacing w:after="0"/>
              <w:rPr>
                <w:sz w:val="12"/>
                <w:szCs w:val="12"/>
                <w:color w:val="auto"/>
              </w:rPr>
            </w:pPr>
          </w:p>
        </w:tc>
        <w:tc>
          <w:tcPr>
            <w:tcW w:w="9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4"/>
              </w:rPr>
              <w:t>changes in</w:t>
            </w:r>
          </w:p>
        </w:tc>
      </w:tr>
      <w:tr>
        <w:trPr>
          <w:trHeight w:val="161"/>
        </w:trPr>
        <w:tc>
          <w:tcPr>
            <w:tcW w:w="20" w:type="dxa"/>
            <w:vAlign w:val="bottom"/>
          </w:tcPr>
          <w:p>
            <w:pPr>
              <w:spacing w:after="0"/>
              <w:rPr>
                <w:sz w:val="14"/>
                <w:szCs w:val="14"/>
                <w:color w:val="auto"/>
              </w:rPr>
            </w:pPr>
          </w:p>
        </w:tc>
        <w:tc>
          <w:tcPr>
            <w:tcW w:w="4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jc w:val="right"/>
              <w:ind w:right="32"/>
              <w:spacing w:after="0"/>
              <w:rPr>
                <w:sz w:val="20"/>
                <w:szCs w:val="20"/>
                <w:color w:val="auto"/>
              </w:rPr>
            </w:pPr>
            <w:r>
              <w:rPr>
                <w:rFonts w:ascii="Arial" w:cs="Arial" w:eastAsia="Arial" w:hAnsi="Arial"/>
                <w:sz w:val="14"/>
                <w:szCs w:val="14"/>
                <w:b w:val="1"/>
                <w:bCs w:val="1"/>
                <w:color w:val="auto"/>
                <w:w w:val="85"/>
              </w:rPr>
              <w:t>Notional</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40" w:type="dxa"/>
            <w:vAlign w:val="bottom"/>
            <w:gridSpan w:val="2"/>
          </w:tcPr>
          <w:p>
            <w:pPr>
              <w:jc w:val="right"/>
              <w:ind w:right="364"/>
              <w:spacing w:after="0"/>
              <w:rPr>
                <w:sz w:val="20"/>
                <w:szCs w:val="20"/>
                <w:color w:val="auto"/>
              </w:rPr>
            </w:pPr>
            <w:r>
              <w:rPr>
                <w:rFonts w:ascii="Arial" w:cs="Arial" w:eastAsia="Arial" w:hAnsi="Arial"/>
                <w:sz w:val="14"/>
                <w:szCs w:val="14"/>
                <w:b w:val="1"/>
                <w:bCs w:val="1"/>
                <w:color w:val="auto"/>
              </w:rPr>
              <w:t>fair value</w:t>
            </w:r>
          </w:p>
        </w:tc>
        <w:tc>
          <w:tcPr>
            <w:tcW w:w="80" w:type="dxa"/>
            <w:vAlign w:val="bottom"/>
          </w:tcPr>
          <w:p>
            <w:pPr>
              <w:spacing w:after="0"/>
              <w:rPr>
                <w:sz w:val="14"/>
                <w:szCs w:val="14"/>
                <w:color w:val="auto"/>
              </w:rPr>
            </w:pPr>
          </w:p>
        </w:tc>
        <w:tc>
          <w:tcPr>
            <w:tcW w:w="14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6"/>
              </w:rPr>
              <w:t>yield curve shift</w:t>
            </w:r>
          </w:p>
        </w:tc>
        <w:tc>
          <w:tcPr>
            <w:tcW w:w="100" w:type="dxa"/>
            <w:vAlign w:val="bottom"/>
          </w:tcPr>
          <w:p>
            <w:pPr>
              <w:spacing w:after="0"/>
              <w:rPr>
                <w:sz w:val="14"/>
                <w:szCs w:val="14"/>
                <w:color w:val="auto"/>
              </w:rPr>
            </w:pPr>
          </w:p>
        </w:tc>
        <w:tc>
          <w:tcPr>
            <w:tcW w:w="9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7"/>
              </w:rPr>
              <w:t>fair value</w:t>
            </w:r>
          </w:p>
        </w:tc>
      </w:tr>
      <w:tr>
        <w:trPr>
          <w:trHeight w:val="142"/>
        </w:trPr>
        <w:tc>
          <w:tcPr>
            <w:tcW w:w="20" w:type="dxa"/>
            <w:vAlign w:val="bottom"/>
          </w:tcPr>
          <w:p>
            <w:pPr>
              <w:spacing w:after="0"/>
              <w:rPr>
                <w:sz w:val="12"/>
                <w:szCs w:val="12"/>
                <w:color w:val="auto"/>
              </w:rPr>
            </w:pPr>
          </w:p>
        </w:tc>
        <w:tc>
          <w:tcPr>
            <w:tcW w:w="454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980" w:type="dxa"/>
            <w:vAlign w:val="bottom"/>
            <w:tcBorders>
              <w:top w:val="single" w:sz="8" w:color="auto"/>
            </w:tcBorders>
          </w:tcPr>
          <w:p>
            <w:pPr>
              <w:spacing w:after="0"/>
              <w:rPr>
                <w:sz w:val="12"/>
                <w:szCs w:val="12"/>
                <w:color w:val="auto"/>
              </w:rPr>
            </w:pPr>
          </w:p>
        </w:tc>
        <w:tc>
          <w:tcPr>
            <w:tcW w:w="160" w:type="dxa"/>
            <w:vAlign w:val="bottom"/>
          </w:tcPr>
          <w:p>
            <w:pPr>
              <w:jc w:val="right"/>
              <w:spacing w:after="0"/>
              <w:rPr>
                <w:sz w:val="20"/>
                <w:szCs w:val="20"/>
                <w:color w:val="auto"/>
              </w:rPr>
            </w:pPr>
            <w:r>
              <w:rPr>
                <w:rFonts w:ascii="Arial" w:cs="Arial" w:eastAsia="Arial" w:hAnsi="Arial"/>
                <w:sz w:val="11"/>
                <w:szCs w:val="11"/>
                <w:b w:val="1"/>
                <w:bCs w:val="1"/>
                <w:i w:val="1"/>
                <w:iCs w:val="1"/>
                <w:color w:val="auto"/>
                <w:w w:val="74"/>
              </w:rPr>
              <w:t>(in</w:t>
            </w:r>
          </w:p>
        </w:tc>
        <w:tc>
          <w:tcPr>
            <w:tcW w:w="1320" w:type="dxa"/>
            <w:vAlign w:val="bottom"/>
            <w:tcBorders>
              <w:top w:val="single" w:sz="8" w:color="auto"/>
            </w:tcBorders>
            <w:gridSpan w:val="2"/>
          </w:tcPr>
          <w:p>
            <w:pPr>
              <w:spacing w:after="0" w:line="142" w:lineRule="exact"/>
              <w:rPr>
                <w:sz w:val="20"/>
                <w:szCs w:val="20"/>
                <w:color w:val="auto"/>
              </w:rPr>
            </w:pPr>
            <w:r>
              <w:rPr>
                <w:rFonts w:ascii="Arial" w:cs="Arial" w:eastAsia="Arial" w:hAnsi="Arial"/>
                <w:sz w:val="14"/>
                <w:szCs w:val="14"/>
                <w:b w:val="1"/>
                <w:bCs w:val="1"/>
                <w:i w:val="1"/>
                <w:iCs w:val="1"/>
                <w:color w:val="auto"/>
              </w:rPr>
              <w:t>millions)</w:t>
            </w: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Financial assets with interest rate risk:</w:t>
            </w: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40" w:type="dxa"/>
            <w:vAlign w:val="bottom"/>
          </w:tcPr>
          <w:p>
            <w:pPr>
              <w:ind w:left="140"/>
              <w:spacing w:after="0" w:line="149" w:lineRule="exact"/>
              <w:rPr>
                <w:sz w:val="20"/>
                <w:szCs w:val="20"/>
                <w:color w:val="auto"/>
              </w:rPr>
            </w:pPr>
            <w:r>
              <w:rPr>
                <w:rFonts w:ascii="Arial" w:cs="Arial" w:eastAsia="Arial" w:hAnsi="Arial"/>
                <w:sz w:val="14"/>
                <w:szCs w:val="14"/>
                <w:color w:val="auto"/>
              </w:rPr>
              <w:t>Fixed maturities, available-for-sale</w:t>
            </w: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980" w:type="dxa"/>
            <w:vAlign w:val="bottom"/>
          </w:tcPr>
          <w:p>
            <w:pPr>
              <w:jc w:val="right"/>
              <w:spacing w:after="0" w:line="149" w:lineRule="exact"/>
              <w:rPr>
                <w:sz w:val="20"/>
                <w:szCs w:val="20"/>
                <w:color w:val="auto"/>
              </w:rPr>
            </w:pPr>
            <w:r>
              <w:rPr>
                <w:rFonts w:ascii="Arial" w:cs="Arial" w:eastAsia="Arial" w:hAnsi="Arial"/>
                <w:sz w:val="14"/>
                <w:szCs w:val="14"/>
                <w:color w:val="auto"/>
              </w:rPr>
              <w:t>50,939.3</w:t>
            </w:r>
          </w:p>
        </w:tc>
        <w:tc>
          <w:tcPr>
            <w:tcW w:w="160" w:type="dxa"/>
            <w:vAlign w:val="bottom"/>
          </w:tcPr>
          <w:p>
            <w:pPr>
              <w:spacing w:after="0"/>
              <w:rPr>
                <w:sz w:val="12"/>
                <w:szCs w:val="12"/>
                <w:color w:val="auto"/>
              </w:rPr>
            </w:pPr>
          </w:p>
        </w:tc>
        <w:tc>
          <w:tcPr>
            <w:tcW w:w="80" w:type="dxa"/>
            <w:vAlign w:val="bottom"/>
          </w:tcPr>
          <w:p>
            <w:pPr>
              <w:spacing w:after="0" w:line="149" w:lineRule="exact"/>
              <w:rPr>
                <w:sz w:val="20"/>
                <w:szCs w:val="20"/>
                <w:color w:val="auto"/>
              </w:rPr>
            </w:pPr>
            <w:r>
              <w:rPr>
                <w:rFonts w:ascii="Arial" w:cs="Arial" w:eastAsia="Arial" w:hAnsi="Arial"/>
                <w:sz w:val="14"/>
                <w:szCs w:val="14"/>
                <w:color w:val="auto"/>
                <w:w w:val="76"/>
              </w:rPr>
              <w:t>$</w:t>
            </w:r>
          </w:p>
        </w:tc>
        <w:tc>
          <w:tcPr>
            <w:tcW w:w="1240" w:type="dxa"/>
            <w:vAlign w:val="bottom"/>
          </w:tcPr>
          <w:p>
            <w:pPr>
              <w:jc w:val="right"/>
              <w:spacing w:after="0" w:line="149" w:lineRule="exact"/>
              <w:rPr>
                <w:sz w:val="20"/>
                <w:szCs w:val="20"/>
                <w:color w:val="auto"/>
              </w:rPr>
            </w:pPr>
            <w:r>
              <w:rPr>
                <w:rFonts w:ascii="Arial" w:cs="Arial" w:eastAsia="Arial" w:hAnsi="Arial"/>
                <w:sz w:val="14"/>
                <w:szCs w:val="14"/>
                <w:color w:val="auto"/>
              </w:rPr>
              <w:t>48,651.7</w:t>
            </w:r>
          </w:p>
        </w:tc>
        <w:tc>
          <w:tcPr>
            <w:tcW w:w="160" w:type="dxa"/>
            <w:vAlign w:val="bottom"/>
          </w:tcPr>
          <w:p>
            <w:pPr>
              <w:spacing w:after="0"/>
              <w:rPr>
                <w:sz w:val="12"/>
                <w:szCs w:val="12"/>
                <w:color w:val="auto"/>
              </w:rPr>
            </w:pP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(2,287.6)</w:t>
            </w:r>
          </w:p>
        </w:tc>
      </w:tr>
      <w:tr>
        <w:trPr>
          <w:trHeight w:val="149"/>
        </w:trPr>
        <w:tc>
          <w:tcPr>
            <w:tcW w:w="20" w:type="dxa"/>
            <w:vAlign w:val="bottom"/>
          </w:tcPr>
          <w:p>
            <w:pPr>
              <w:spacing w:after="0"/>
              <w:rPr>
                <w:sz w:val="12"/>
                <w:szCs w:val="12"/>
                <w:color w:val="auto"/>
              </w:rPr>
            </w:pPr>
          </w:p>
        </w:tc>
        <w:tc>
          <w:tcPr>
            <w:tcW w:w="45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Fixed maturities, trading</w:t>
            </w: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626.7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600.6</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(26.1)</w:t>
            </w:r>
          </w:p>
        </w:tc>
      </w:tr>
      <w:tr>
        <w:trPr>
          <w:trHeight w:val="149"/>
        </w:trPr>
        <w:tc>
          <w:tcPr>
            <w:tcW w:w="20" w:type="dxa"/>
            <w:vAlign w:val="bottom"/>
          </w:tcPr>
          <w:p>
            <w:pPr>
              <w:spacing w:after="0"/>
              <w:rPr>
                <w:sz w:val="12"/>
                <w:szCs w:val="12"/>
                <w:color w:val="auto"/>
              </w:rPr>
            </w:pPr>
          </w:p>
        </w:tc>
        <w:tc>
          <w:tcPr>
            <w:tcW w:w="4540" w:type="dxa"/>
            <w:vAlign w:val="bottom"/>
          </w:tcPr>
          <w:p>
            <w:pPr>
              <w:ind w:left="140"/>
              <w:spacing w:after="0" w:line="149" w:lineRule="exact"/>
              <w:rPr>
                <w:sz w:val="20"/>
                <w:szCs w:val="20"/>
                <w:color w:val="auto"/>
              </w:rPr>
            </w:pPr>
            <w:r>
              <w:rPr>
                <w:rFonts w:ascii="Arial" w:cs="Arial" w:eastAsia="Arial" w:hAnsi="Arial"/>
                <w:sz w:val="14"/>
                <w:szCs w:val="14"/>
                <w:color w:val="auto"/>
              </w:rPr>
              <w:t>Mortgage loans</w:t>
            </w: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right"/>
              <w:spacing w:after="0" w:line="149" w:lineRule="exact"/>
              <w:rPr>
                <w:sz w:val="20"/>
                <w:szCs w:val="20"/>
                <w:color w:val="auto"/>
              </w:rPr>
            </w:pPr>
            <w:r>
              <w:rPr>
                <w:rFonts w:ascii="Arial" w:cs="Arial" w:eastAsia="Arial" w:hAnsi="Arial"/>
                <w:sz w:val="14"/>
                <w:szCs w:val="14"/>
                <w:color w:val="auto"/>
              </w:rPr>
              <w:t>12,163.7</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40" w:type="dxa"/>
            <w:vAlign w:val="bottom"/>
          </w:tcPr>
          <w:p>
            <w:pPr>
              <w:jc w:val="right"/>
              <w:spacing w:after="0" w:line="149" w:lineRule="exact"/>
              <w:rPr>
                <w:sz w:val="20"/>
                <w:szCs w:val="20"/>
                <w:color w:val="auto"/>
              </w:rPr>
            </w:pPr>
            <w:r>
              <w:rPr>
                <w:rFonts w:ascii="Arial" w:cs="Arial" w:eastAsia="Arial" w:hAnsi="Arial"/>
                <w:sz w:val="14"/>
                <w:szCs w:val="14"/>
                <w:color w:val="auto"/>
              </w:rPr>
              <w:t>11,686.6</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(477.1)</w:t>
            </w:r>
          </w:p>
        </w:tc>
      </w:tr>
      <w:tr>
        <w:trPr>
          <w:trHeight w:val="149"/>
        </w:trPr>
        <w:tc>
          <w:tcPr>
            <w:tcW w:w="20" w:type="dxa"/>
            <w:vAlign w:val="bottom"/>
          </w:tcPr>
          <w:p>
            <w:pPr>
              <w:spacing w:after="0"/>
              <w:rPr>
                <w:sz w:val="12"/>
                <w:szCs w:val="12"/>
                <w:color w:val="auto"/>
              </w:rPr>
            </w:pPr>
          </w:p>
        </w:tc>
        <w:tc>
          <w:tcPr>
            <w:tcW w:w="45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Policy loans</w:t>
            </w: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1,056.8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985.9</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(70.9)</w:t>
            </w:r>
          </w:p>
        </w:tc>
      </w:tr>
      <w:tr>
        <w:trPr>
          <w:trHeight w:val="149"/>
        </w:trPr>
        <w:tc>
          <w:tcPr>
            <w:tcW w:w="20" w:type="dxa"/>
            <w:vAlign w:val="bottom"/>
          </w:tcPr>
          <w:p>
            <w:pPr>
              <w:spacing w:after="0"/>
              <w:rPr>
                <w:sz w:val="12"/>
                <w:szCs w:val="12"/>
                <w:color w:val="auto"/>
              </w:rPr>
            </w:pPr>
          </w:p>
        </w:tc>
        <w:tc>
          <w:tcPr>
            <w:tcW w:w="4540" w:type="dxa"/>
            <w:vAlign w:val="bottom"/>
          </w:tcPr>
          <w:p>
            <w:pPr>
              <w:ind w:left="140"/>
              <w:spacing w:after="0" w:line="149" w:lineRule="exact"/>
              <w:rPr>
                <w:sz w:val="20"/>
                <w:szCs w:val="20"/>
                <w:color w:val="auto"/>
              </w:rPr>
            </w:pPr>
            <w:r>
              <w:rPr>
                <w:rFonts w:ascii="Arial" w:cs="Arial" w:eastAsia="Arial" w:hAnsi="Arial"/>
                <w:sz w:val="14"/>
                <w:szCs w:val="14"/>
                <w:color w:val="auto"/>
              </w:rPr>
              <w:t>Equity securities, trading</w:t>
            </w: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right"/>
              <w:spacing w:after="0" w:line="149" w:lineRule="exact"/>
              <w:rPr>
                <w:sz w:val="20"/>
                <w:szCs w:val="20"/>
                <w:color w:val="auto"/>
              </w:rPr>
            </w:pPr>
            <w:r>
              <w:rPr>
                <w:rFonts w:ascii="Arial" w:cs="Arial" w:eastAsia="Arial" w:hAnsi="Arial"/>
                <w:sz w:val="14"/>
                <w:szCs w:val="14"/>
                <w:color w:val="auto"/>
              </w:rPr>
              <w:t>81.1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40" w:type="dxa"/>
            <w:vAlign w:val="bottom"/>
          </w:tcPr>
          <w:p>
            <w:pPr>
              <w:jc w:val="right"/>
              <w:spacing w:after="0" w:line="149" w:lineRule="exact"/>
              <w:rPr>
                <w:sz w:val="20"/>
                <w:szCs w:val="20"/>
                <w:color w:val="auto"/>
              </w:rPr>
            </w:pPr>
            <w:r>
              <w:rPr>
                <w:rFonts w:ascii="Arial" w:cs="Arial" w:eastAsia="Arial" w:hAnsi="Arial"/>
                <w:sz w:val="14"/>
                <w:szCs w:val="14"/>
                <w:color w:val="auto"/>
              </w:rPr>
              <w:t>76.0</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(5.1)</w:t>
            </w:r>
          </w:p>
        </w:tc>
      </w:tr>
      <w:tr>
        <w:trPr>
          <w:trHeight w:val="149"/>
        </w:trPr>
        <w:tc>
          <w:tcPr>
            <w:tcW w:w="20" w:type="dxa"/>
            <w:vAlign w:val="bottom"/>
          </w:tcPr>
          <w:p>
            <w:pPr>
              <w:spacing w:after="0"/>
              <w:rPr>
                <w:sz w:val="12"/>
                <w:szCs w:val="12"/>
                <w:color w:val="auto"/>
              </w:rPr>
            </w:pPr>
          </w:p>
        </w:tc>
        <w:tc>
          <w:tcPr>
            <w:tcW w:w="45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Other investments</w:t>
            </w: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119.8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117.7</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(2.1)</w:t>
            </w:r>
          </w:p>
        </w:tc>
      </w:tr>
      <w:tr>
        <w:trPr>
          <w:trHeight w:val="311"/>
        </w:trPr>
        <w:tc>
          <w:tcPr>
            <w:tcW w:w="4560" w:type="dxa"/>
            <w:vAlign w:val="bottom"/>
            <w:gridSpan w:val="2"/>
          </w:tcPr>
          <w:p>
            <w:pPr>
              <w:spacing w:after="0"/>
              <w:rPr>
                <w:sz w:val="20"/>
                <w:szCs w:val="20"/>
                <w:color w:val="auto"/>
              </w:rPr>
            </w:pPr>
            <w:r>
              <w:rPr>
                <w:rFonts w:ascii="Arial" w:cs="Arial" w:eastAsia="Arial" w:hAnsi="Arial"/>
                <w:sz w:val="14"/>
                <w:szCs w:val="14"/>
                <w:color w:val="auto"/>
              </w:rPr>
              <w:t>Financial liabilities with interest rate risk:</w:t>
            </w: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149"/>
        </w:trPr>
        <w:tc>
          <w:tcPr>
            <w:tcW w:w="20" w:type="dxa"/>
            <w:vAlign w:val="bottom"/>
          </w:tcPr>
          <w:p>
            <w:pPr>
              <w:spacing w:after="0"/>
              <w:rPr>
                <w:sz w:val="12"/>
                <w:szCs w:val="12"/>
                <w:color w:val="auto"/>
              </w:rPr>
            </w:pPr>
          </w:p>
        </w:tc>
        <w:tc>
          <w:tcPr>
            <w:tcW w:w="45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Investment-type insurance contracts</w:t>
            </w: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40" w:type="dxa"/>
            <w:vAlign w:val="bottom"/>
            <w:gridSpan w:val="2"/>
            <w:shd w:val="clear" w:color="auto" w:fill="CCEEFF"/>
          </w:tcPr>
          <w:p>
            <w:pPr>
              <w:jc w:val="right"/>
              <w:ind w:right="64"/>
              <w:spacing w:after="0" w:line="149" w:lineRule="exact"/>
              <w:rPr>
                <w:sz w:val="20"/>
                <w:szCs w:val="20"/>
                <w:color w:val="auto"/>
              </w:rPr>
            </w:pPr>
            <w:r>
              <w:rPr>
                <w:rFonts w:ascii="Arial" w:cs="Arial" w:eastAsia="Arial" w:hAnsi="Arial"/>
                <w:sz w:val="14"/>
                <w:szCs w:val="14"/>
                <w:color w:val="auto"/>
              </w:rPr>
              <w:t>(32,702.1)</w:t>
            </w:r>
          </w:p>
        </w:tc>
        <w:tc>
          <w:tcPr>
            <w:tcW w:w="80" w:type="dxa"/>
            <w:vAlign w:val="bottom"/>
            <w:shd w:val="clear" w:color="auto" w:fill="CCEEFF"/>
          </w:tcPr>
          <w:p>
            <w:pPr>
              <w:spacing w:after="0"/>
              <w:rPr>
                <w:sz w:val="12"/>
                <w:szCs w:val="12"/>
                <w:color w:val="auto"/>
              </w:rPr>
            </w:pPr>
          </w:p>
        </w:tc>
        <w:tc>
          <w:tcPr>
            <w:tcW w:w="140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(31,754.6)</w:t>
            </w: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947.5</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40" w:type="dxa"/>
            <w:vAlign w:val="bottom"/>
          </w:tcPr>
          <w:p>
            <w:pPr>
              <w:ind w:left="140"/>
              <w:spacing w:after="0" w:line="149" w:lineRule="exact"/>
              <w:rPr>
                <w:sz w:val="20"/>
                <w:szCs w:val="20"/>
                <w:color w:val="auto"/>
              </w:rPr>
            </w:pPr>
            <w:r>
              <w:rPr>
                <w:rFonts w:ascii="Arial" w:cs="Arial" w:eastAsia="Arial" w:hAnsi="Arial"/>
                <w:sz w:val="14"/>
                <w:szCs w:val="14"/>
                <w:color w:val="auto"/>
              </w:rPr>
              <w:t>Long-term debt</w:t>
            </w: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40" w:type="dxa"/>
            <w:vAlign w:val="bottom"/>
            <w:gridSpan w:val="2"/>
          </w:tcPr>
          <w:p>
            <w:pPr>
              <w:jc w:val="right"/>
              <w:ind w:right="64"/>
              <w:spacing w:after="0" w:line="149" w:lineRule="exact"/>
              <w:rPr>
                <w:sz w:val="20"/>
                <w:szCs w:val="20"/>
                <w:color w:val="auto"/>
              </w:rPr>
            </w:pPr>
            <w:r>
              <w:rPr>
                <w:rFonts w:ascii="Arial" w:cs="Arial" w:eastAsia="Arial" w:hAnsi="Arial"/>
                <w:sz w:val="14"/>
                <w:szCs w:val="14"/>
                <w:color w:val="auto"/>
              </w:rPr>
              <w:t>(2,951.4)</w:t>
            </w:r>
          </w:p>
        </w:tc>
        <w:tc>
          <w:tcPr>
            <w:tcW w:w="80" w:type="dxa"/>
            <w:vAlign w:val="bottom"/>
          </w:tcPr>
          <w:p>
            <w:pPr>
              <w:spacing w:after="0"/>
              <w:rPr>
                <w:sz w:val="12"/>
                <w:szCs w:val="12"/>
                <w:color w:val="auto"/>
              </w:rPr>
            </w:pPr>
          </w:p>
        </w:tc>
        <w:tc>
          <w:tcPr>
            <w:tcW w:w="14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(2,671.6)</w:t>
            </w:r>
          </w:p>
        </w:tc>
        <w:tc>
          <w:tcPr>
            <w:tcW w:w="10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279.8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Bank deposits</w:t>
            </w: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40" w:type="dxa"/>
            <w:vAlign w:val="bottom"/>
            <w:gridSpan w:val="2"/>
            <w:shd w:val="clear" w:color="auto" w:fill="CCEEFF"/>
          </w:tcPr>
          <w:p>
            <w:pPr>
              <w:jc w:val="right"/>
              <w:ind w:right="64"/>
              <w:spacing w:after="0" w:line="149" w:lineRule="exact"/>
              <w:rPr>
                <w:sz w:val="20"/>
                <w:szCs w:val="20"/>
                <w:color w:val="auto"/>
              </w:rPr>
            </w:pPr>
            <w:r>
              <w:rPr>
                <w:rFonts w:ascii="Arial" w:cs="Arial" w:eastAsia="Arial" w:hAnsi="Arial"/>
                <w:sz w:val="14"/>
                <w:szCs w:val="14"/>
                <w:color w:val="auto"/>
              </w:rPr>
              <w:t>(2,177.7)</w:t>
            </w:r>
          </w:p>
        </w:tc>
        <w:tc>
          <w:tcPr>
            <w:tcW w:w="80" w:type="dxa"/>
            <w:vAlign w:val="bottom"/>
            <w:shd w:val="clear" w:color="auto" w:fill="CCEEFF"/>
          </w:tcPr>
          <w:p>
            <w:pPr>
              <w:spacing w:after="0"/>
              <w:rPr>
                <w:sz w:val="12"/>
                <w:szCs w:val="12"/>
                <w:color w:val="auto"/>
              </w:rPr>
            </w:pPr>
          </w:p>
        </w:tc>
        <w:tc>
          <w:tcPr>
            <w:tcW w:w="140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(2,166.3)</w:t>
            </w: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11.4</w:t>
            </w:r>
          </w:p>
        </w:tc>
        <w:tc>
          <w:tcPr>
            <w:tcW w:w="160" w:type="dxa"/>
            <w:vAlign w:val="bottom"/>
            <w:shd w:val="clear" w:color="auto" w:fill="CCEEFF"/>
          </w:tcPr>
          <w:p>
            <w:pPr>
              <w:spacing w:after="0"/>
              <w:rPr>
                <w:sz w:val="12"/>
                <w:szCs w:val="12"/>
                <w:color w:val="auto"/>
              </w:rPr>
            </w:pPr>
          </w:p>
        </w:tc>
      </w:tr>
      <w:tr>
        <w:trPr>
          <w:trHeight w:val="311"/>
        </w:trPr>
        <w:tc>
          <w:tcPr>
            <w:tcW w:w="4560" w:type="dxa"/>
            <w:vAlign w:val="bottom"/>
            <w:gridSpan w:val="2"/>
          </w:tcPr>
          <w:p>
            <w:pPr>
              <w:spacing w:after="0"/>
              <w:rPr>
                <w:sz w:val="20"/>
                <w:szCs w:val="20"/>
                <w:color w:val="auto"/>
              </w:rPr>
            </w:pPr>
            <w:r>
              <w:rPr>
                <w:rFonts w:ascii="Arial" w:cs="Arial" w:eastAsia="Arial" w:hAnsi="Arial"/>
                <w:sz w:val="14"/>
                <w:szCs w:val="14"/>
                <w:color w:val="auto"/>
              </w:rPr>
              <w:t>Derivatives with interest rate risk</w:t>
            </w: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149"/>
        </w:trPr>
        <w:tc>
          <w:tcPr>
            <w:tcW w:w="20" w:type="dxa"/>
            <w:vAlign w:val="bottom"/>
          </w:tcPr>
          <w:p>
            <w:pPr>
              <w:spacing w:after="0"/>
              <w:rPr>
                <w:sz w:val="12"/>
                <w:szCs w:val="12"/>
                <w:color w:val="auto"/>
              </w:rPr>
            </w:pPr>
          </w:p>
        </w:tc>
        <w:tc>
          <w:tcPr>
            <w:tcW w:w="45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Interest rate swaps</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18,381.2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40" w:type="dxa"/>
            <w:vAlign w:val="bottom"/>
            <w:gridSpan w:val="2"/>
            <w:shd w:val="clear" w:color="auto" w:fill="CCEEFF"/>
          </w:tcPr>
          <w:p>
            <w:pPr>
              <w:jc w:val="right"/>
              <w:ind w:right="64"/>
              <w:spacing w:after="0" w:line="149" w:lineRule="exact"/>
              <w:rPr>
                <w:sz w:val="20"/>
                <w:szCs w:val="20"/>
                <w:color w:val="auto"/>
              </w:rPr>
            </w:pPr>
            <w:r>
              <w:rPr>
                <w:rFonts w:ascii="Arial" w:cs="Arial" w:eastAsia="Arial" w:hAnsi="Arial"/>
                <w:sz w:val="14"/>
                <w:szCs w:val="14"/>
                <w:color w:val="auto"/>
              </w:rPr>
              <w:t>(296.1)</w:t>
            </w:r>
          </w:p>
        </w:tc>
        <w:tc>
          <w:tcPr>
            <w:tcW w:w="80" w:type="dxa"/>
            <w:vAlign w:val="bottom"/>
            <w:shd w:val="clear" w:color="auto" w:fill="CCEEFF"/>
          </w:tcPr>
          <w:p>
            <w:pPr>
              <w:spacing w:after="0"/>
              <w:rPr>
                <w:sz w:val="12"/>
                <w:szCs w:val="12"/>
                <w:color w:val="auto"/>
              </w:rPr>
            </w:pPr>
          </w:p>
        </w:tc>
        <w:tc>
          <w:tcPr>
            <w:tcW w:w="140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(377.2)</w:t>
            </w:r>
          </w:p>
        </w:tc>
        <w:tc>
          <w:tcPr>
            <w:tcW w:w="1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(81.1)</w:t>
            </w:r>
          </w:p>
        </w:tc>
      </w:tr>
      <w:tr>
        <w:trPr>
          <w:trHeight w:val="149"/>
        </w:trPr>
        <w:tc>
          <w:tcPr>
            <w:tcW w:w="20" w:type="dxa"/>
            <w:vAlign w:val="bottom"/>
          </w:tcPr>
          <w:p>
            <w:pPr>
              <w:spacing w:after="0"/>
              <w:rPr>
                <w:sz w:val="12"/>
                <w:szCs w:val="12"/>
                <w:color w:val="auto"/>
              </w:rPr>
            </w:pPr>
          </w:p>
        </w:tc>
        <w:tc>
          <w:tcPr>
            <w:tcW w:w="4540" w:type="dxa"/>
            <w:vAlign w:val="bottom"/>
          </w:tcPr>
          <w:p>
            <w:pPr>
              <w:ind w:left="140"/>
              <w:spacing w:after="0" w:line="149" w:lineRule="exact"/>
              <w:rPr>
                <w:sz w:val="20"/>
                <w:szCs w:val="20"/>
                <w:color w:val="auto"/>
              </w:rPr>
            </w:pPr>
            <w:r>
              <w:rPr>
                <w:rFonts w:ascii="Arial" w:cs="Arial" w:eastAsia="Arial" w:hAnsi="Arial"/>
                <w:sz w:val="14"/>
                <w:szCs w:val="14"/>
                <w:color w:val="auto"/>
              </w:rPr>
              <w:t>Currency swaps</w:t>
            </w:r>
          </w:p>
        </w:tc>
        <w:tc>
          <w:tcPr>
            <w:tcW w:w="8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3,454.1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right"/>
              <w:spacing w:after="0" w:line="149" w:lineRule="exact"/>
              <w:rPr>
                <w:sz w:val="20"/>
                <w:szCs w:val="20"/>
                <w:color w:val="auto"/>
              </w:rPr>
            </w:pPr>
            <w:r>
              <w:rPr>
                <w:rFonts w:ascii="Arial" w:cs="Arial" w:eastAsia="Arial" w:hAnsi="Arial"/>
                <w:sz w:val="14"/>
                <w:szCs w:val="14"/>
                <w:color w:val="auto"/>
              </w:rPr>
              <w:t>102.2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40" w:type="dxa"/>
            <w:vAlign w:val="bottom"/>
          </w:tcPr>
          <w:p>
            <w:pPr>
              <w:jc w:val="right"/>
              <w:spacing w:after="0" w:line="149" w:lineRule="exact"/>
              <w:rPr>
                <w:sz w:val="20"/>
                <w:szCs w:val="20"/>
                <w:color w:val="auto"/>
              </w:rPr>
            </w:pPr>
            <w:r>
              <w:rPr>
                <w:rFonts w:ascii="Arial" w:cs="Arial" w:eastAsia="Arial" w:hAnsi="Arial"/>
                <w:sz w:val="14"/>
                <w:szCs w:val="14"/>
                <w:color w:val="auto"/>
              </w:rPr>
              <w:t>101.3</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(0.9)</w:t>
            </w:r>
          </w:p>
        </w:tc>
      </w:tr>
      <w:tr>
        <w:trPr>
          <w:trHeight w:val="149"/>
        </w:trPr>
        <w:tc>
          <w:tcPr>
            <w:tcW w:w="20" w:type="dxa"/>
            <w:vAlign w:val="bottom"/>
          </w:tcPr>
          <w:p>
            <w:pPr>
              <w:spacing w:after="0"/>
              <w:rPr>
                <w:sz w:val="12"/>
                <w:szCs w:val="12"/>
                <w:color w:val="auto"/>
              </w:rPr>
            </w:pPr>
          </w:p>
        </w:tc>
        <w:tc>
          <w:tcPr>
            <w:tcW w:w="45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Equity options</w:t>
            </w: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1,559.7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34.5</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40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(1.7)</w:t>
            </w:r>
          </w:p>
        </w:tc>
        <w:tc>
          <w:tcPr>
            <w:tcW w:w="1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(36.2)</w:t>
            </w:r>
          </w:p>
        </w:tc>
      </w:tr>
      <w:tr>
        <w:trPr>
          <w:trHeight w:val="149"/>
        </w:trPr>
        <w:tc>
          <w:tcPr>
            <w:tcW w:w="20" w:type="dxa"/>
            <w:vAlign w:val="bottom"/>
          </w:tcPr>
          <w:p>
            <w:pPr>
              <w:spacing w:after="0"/>
              <w:rPr>
                <w:sz w:val="12"/>
                <w:szCs w:val="12"/>
                <w:color w:val="auto"/>
              </w:rPr>
            </w:pPr>
          </w:p>
        </w:tc>
        <w:tc>
          <w:tcPr>
            <w:tcW w:w="4540" w:type="dxa"/>
            <w:vAlign w:val="bottom"/>
          </w:tcPr>
          <w:p>
            <w:pPr>
              <w:ind w:left="140"/>
              <w:spacing w:after="0" w:line="149" w:lineRule="exact"/>
              <w:rPr>
                <w:sz w:val="20"/>
                <w:szCs w:val="20"/>
                <w:color w:val="auto"/>
              </w:rPr>
            </w:pPr>
            <w:r>
              <w:rPr>
                <w:rFonts w:ascii="Arial" w:cs="Arial" w:eastAsia="Arial" w:hAnsi="Arial"/>
                <w:sz w:val="14"/>
                <w:szCs w:val="14"/>
                <w:color w:val="auto"/>
              </w:rPr>
              <w:t>Interest rate options</w:t>
            </w:r>
          </w:p>
        </w:tc>
        <w:tc>
          <w:tcPr>
            <w:tcW w:w="8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500.0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right"/>
              <w:spacing w:after="0" w:line="149" w:lineRule="exact"/>
              <w:rPr>
                <w:sz w:val="20"/>
                <w:szCs w:val="20"/>
                <w:color w:val="auto"/>
              </w:rPr>
            </w:pPr>
            <w:r>
              <w:rPr>
                <w:rFonts w:ascii="Arial" w:cs="Arial" w:eastAsia="Arial" w:hAnsi="Arial"/>
                <w:sz w:val="14"/>
                <w:szCs w:val="14"/>
                <w:color w:val="auto"/>
              </w:rPr>
              <w:t>48.5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40" w:type="dxa"/>
            <w:vAlign w:val="bottom"/>
          </w:tcPr>
          <w:p>
            <w:pPr>
              <w:jc w:val="right"/>
              <w:spacing w:after="0" w:line="149" w:lineRule="exact"/>
              <w:rPr>
                <w:sz w:val="20"/>
                <w:szCs w:val="20"/>
                <w:color w:val="auto"/>
              </w:rPr>
            </w:pPr>
            <w:r>
              <w:rPr>
                <w:rFonts w:ascii="Arial" w:cs="Arial" w:eastAsia="Arial" w:hAnsi="Arial"/>
                <w:sz w:val="14"/>
                <w:szCs w:val="14"/>
                <w:color w:val="auto"/>
              </w:rPr>
              <w:t>19.2</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(29.3)</w:t>
            </w:r>
          </w:p>
        </w:tc>
      </w:tr>
      <w:tr>
        <w:trPr>
          <w:trHeight w:val="149"/>
        </w:trPr>
        <w:tc>
          <w:tcPr>
            <w:tcW w:w="20" w:type="dxa"/>
            <w:vAlign w:val="bottom"/>
          </w:tcPr>
          <w:p>
            <w:pPr>
              <w:spacing w:after="0"/>
              <w:rPr>
                <w:sz w:val="12"/>
                <w:szCs w:val="12"/>
                <w:color w:val="auto"/>
              </w:rPr>
            </w:pPr>
          </w:p>
        </w:tc>
        <w:tc>
          <w:tcPr>
            <w:tcW w:w="45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Swaptions</w:t>
            </w: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325.0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40" w:type="dxa"/>
            <w:vAlign w:val="bottom"/>
          </w:tcPr>
          <w:p>
            <w:pPr>
              <w:ind w:left="140"/>
              <w:spacing w:after="0" w:line="149" w:lineRule="exact"/>
              <w:rPr>
                <w:sz w:val="20"/>
                <w:szCs w:val="20"/>
                <w:color w:val="auto"/>
              </w:rPr>
            </w:pPr>
            <w:r>
              <w:rPr>
                <w:rFonts w:ascii="Arial" w:cs="Arial" w:eastAsia="Arial" w:hAnsi="Arial"/>
                <w:sz w:val="14"/>
                <w:szCs w:val="14"/>
                <w:color w:val="auto"/>
              </w:rPr>
              <w:t>Interest rate futures</w:t>
            </w:r>
          </w:p>
        </w:tc>
        <w:tc>
          <w:tcPr>
            <w:tcW w:w="8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82.0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40" w:type="dxa"/>
            <w:vAlign w:val="bottom"/>
            <w:gridSpan w:val="2"/>
          </w:tcPr>
          <w:p>
            <w:pPr>
              <w:jc w:val="right"/>
              <w:ind w:right="104"/>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240" w:type="dxa"/>
            <w:vAlign w:val="bottom"/>
          </w:tcPr>
          <w:p>
            <w:pPr>
              <w:jc w:val="right"/>
              <w:spacing w:after="0" w:line="149" w:lineRule="exact"/>
              <w:rPr>
                <w:sz w:val="20"/>
                <w:szCs w:val="20"/>
                <w:color w:val="auto"/>
              </w:rPr>
            </w:pPr>
            <w:r>
              <w:rPr>
                <w:rFonts w:ascii="Arial" w:cs="Arial" w:eastAsia="Arial" w:hAnsi="Arial"/>
                <w:sz w:val="14"/>
                <w:szCs w:val="14"/>
                <w:color w:val="auto"/>
              </w:rPr>
              <w:t>2.6</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2.6</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454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estimated potential loss in fair value</w:t>
            </w: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94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(1,773.2)</w:t>
            </w:r>
          </w:p>
        </w:tc>
      </w:tr>
      <w:tr>
        <w:trPr>
          <w:trHeight w:val="20"/>
        </w:trPr>
        <w:tc>
          <w:tcPr>
            <w:tcW w:w="2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firstLine="477"/>
        <w:spacing w:after="0" w:line="306" w:lineRule="auto"/>
        <w:rPr>
          <w:sz w:val="20"/>
          <w:szCs w:val="20"/>
          <w:color w:val="auto"/>
        </w:rPr>
      </w:pPr>
      <w:r>
        <w:rPr>
          <w:rFonts w:ascii="Arial" w:cs="Arial" w:eastAsia="Arial" w:hAnsi="Arial"/>
          <w:sz w:val="16"/>
          <w:szCs w:val="16"/>
          <w:color w:val="auto"/>
        </w:rPr>
        <w:t>The tables include only the portion of assets and liabilities that are interest rate sensitive. Separate account assets and liabilities, which are interest rate sensitive, are not included in the tables, as any interest rate risk is borne by the holder of the separate account. The fair value sensitivities of our U.S. operations' foreign financial assets and liabilities have been netted within the currency swaps line item due to fully hedging the foreign exposure.</w:t>
      </w:r>
    </w:p>
    <w:p>
      <w:pPr>
        <w:spacing w:after="0" w:line="161" w:lineRule="exact"/>
        <w:rPr>
          <w:sz w:val="20"/>
          <w:szCs w:val="20"/>
          <w:color w:val="auto"/>
        </w:rPr>
      </w:pPr>
    </w:p>
    <w:p>
      <w:pPr>
        <w:jc w:val="both"/>
        <w:ind w:firstLine="348"/>
        <w:spacing w:after="0" w:line="256" w:lineRule="auto"/>
        <w:rPr>
          <w:sz w:val="20"/>
          <w:szCs w:val="20"/>
          <w:color w:val="auto"/>
        </w:rPr>
      </w:pPr>
      <w:r>
        <w:rPr>
          <w:rFonts w:ascii="Arial" w:cs="Arial" w:eastAsia="Arial" w:hAnsi="Arial"/>
          <w:sz w:val="18"/>
          <w:szCs w:val="18"/>
          <w:color w:val="auto"/>
        </w:rPr>
        <w:t>The tables above do not include approximately $29,426.9 million of liabilities relating to insurance contracts involving significant mortality or morbidity risk as of December 31, 2013 and $28,815.5 million as of December 31, 2012, which are not considered financial liabilities. We believe the interest rate sensitivities of these insurance liabilities would economically serve as a partial offset to the net interest rate risk of the financial assets and liabilities that are set forth in these tables.</w:t>
      </w:r>
    </w:p>
    <w:p>
      <w:pPr>
        <w:spacing w:after="0" w:line="197" w:lineRule="exact"/>
        <w:rPr>
          <w:sz w:val="20"/>
          <w:szCs w:val="20"/>
          <w:color w:val="auto"/>
        </w:rPr>
      </w:pPr>
    </w:p>
    <w:p>
      <w:pPr>
        <w:jc w:val="both"/>
        <w:ind w:firstLine="425"/>
        <w:spacing w:after="0" w:line="294" w:lineRule="auto"/>
        <w:rPr>
          <w:sz w:val="20"/>
          <w:szCs w:val="20"/>
          <w:color w:val="auto"/>
        </w:rPr>
      </w:pPr>
      <w:r>
        <w:rPr>
          <w:rFonts w:ascii="Arial" w:cs="Arial" w:eastAsia="Arial" w:hAnsi="Arial"/>
          <w:sz w:val="16"/>
          <w:szCs w:val="16"/>
          <w:color w:val="auto"/>
        </w:rPr>
        <w:t>The fair value sensitivity table above replaces our 2012 Form 10-K sensitivity table, which showed the duration gap between our liabilities and the assets backing them, as well as the net fair value change for a 100 basis point immediate, parallel increase in interest rates. We believe the new disclosure provides more useful information, as it presents our assets and liabilities at a more granular level. The new disclosure also provides better perspective on the sensitivity of AOCI to interest rate changes. Therefore, we believe the new disclosure provides a clearer and more comprehensive indication of the potential impact on our consolidated statements of financial position from a 100 basis point change in interest rates.</w:t>
      </w:r>
    </w:p>
    <w:p>
      <w:pPr>
        <w:spacing w:after="0" w:line="170" w:lineRule="exact"/>
        <w:rPr>
          <w:sz w:val="20"/>
          <w:szCs w:val="20"/>
          <w:color w:val="auto"/>
        </w:rPr>
      </w:pPr>
    </w:p>
    <w:p>
      <w:pPr>
        <w:jc w:val="both"/>
        <w:ind w:firstLine="354"/>
        <w:spacing w:after="0" w:line="268" w:lineRule="auto"/>
        <w:rPr>
          <w:sz w:val="20"/>
          <w:szCs w:val="20"/>
          <w:color w:val="auto"/>
        </w:rPr>
      </w:pPr>
      <w:r>
        <w:rPr>
          <w:rFonts w:ascii="Arial" w:cs="Arial" w:eastAsia="Arial" w:hAnsi="Arial"/>
          <w:sz w:val="18"/>
          <w:szCs w:val="18"/>
          <w:color w:val="auto"/>
        </w:rPr>
        <w:t>Our net estimated potential loss in fair value as of December 31, 2013, increased $73.9 million from December 31, 2012, primarily due to a slight increase in the duration of our financial assets and a slight decrease in the duration of our financial liabilities.</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1" w:name="page82"/>
    <w:bookmarkEnd w:id="8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firstLine="539"/>
        <w:spacing w:after="0" w:line="259" w:lineRule="auto"/>
        <w:rPr>
          <w:sz w:val="20"/>
          <w:szCs w:val="20"/>
          <w:color w:val="auto"/>
        </w:rPr>
      </w:pPr>
      <w:r>
        <w:rPr>
          <w:rFonts w:ascii="Arial" w:cs="Arial" w:eastAsia="Arial" w:hAnsi="Arial"/>
          <w:sz w:val="18"/>
          <w:szCs w:val="18"/>
          <w:color w:val="auto"/>
        </w:rPr>
        <w:t>The following table provides detail on the differences between the interest rates being credited to contractholders as of December 31, 2013, and the respective guaranteed minimum interest rates ("GMIRs"), broken down by GMIR level within the Retirement and Investor Services and U.S. Insurance Solutions segments.</w:t>
      </w:r>
    </w:p>
    <w:p>
      <w:pPr>
        <w:spacing w:after="0" w:line="190"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900" w:type="dxa"/>
            <w:vAlign w:val="bottom"/>
            <w:tcBorders>
              <w:bottom w:val="single" w:sz="8" w:color="auto"/>
            </w:tcBorders>
            <w:gridSpan w:val="6"/>
          </w:tcPr>
          <w:p>
            <w:pPr>
              <w:jc w:val="right"/>
              <w:ind w:right="660"/>
              <w:spacing w:after="0"/>
              <w:rPr>
                <w:sz w:val="20"/>
                <w:szCs w:val="20"/>
                <w:color w:val="auto"/>
              </w:rPr>
            </w:pPr>
            <w:r>
              <w:rPr>
                <w:rFonts w:ascii="Arial" w:cs="Arial" w:eastAsia="Arial" w:hAnsi="Arial"/>
                <w:sz w:val="14"/>
                <w:szCs w:val="14"/>
                <w:b w:val="1"/>
                <w:bCs w:val="1"/>
                <w:color w:val="auto"/>
                <w:w w:val="97"/>
              </w:rPr>
              <w:t>Account values (1)</w:t>
            </w:r>
          </w:p>
        </w:tc>
        <w:tc>
          <w:tcPr>
            <w:tcW w:w="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7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2360" w:type="dxa"/>
            <w:vAlign w:val="bottom"/>
            <w:tcBorders>
              <w:bottom w:val="single" w:sz="8" w:color="auto"/>
            </w:tcBorders>
            <w:gridSpan w:val="7"/>
          </w:tcPr>
          <w:p>
            <w:pPr>
              <w:jc w:val="right"/>
              <w:ind w:right="120"/>
              <w:spacing w:after="0" w:line="142" w:lineRule="exact"/>
              <w:rPr>
                <w:sz w:val="20"/>
                <w:szCs w:val="20"/>
                <w:color w:val="auto"/>
              </w:rPr>
            </w:pPr>
            <w:r>
              <w:rPr>
                <w:rFonts w:ascii="Arial" w:cs="Arial" w:eastAsia="Arial" w:hAnsi="Arial"/>
                <w:sz w:val="14"/>
                <w:szCs w:val="14"/>
                <w:b w:val="1"/>
                <w:bCs w:val="1"/>
                <w:color w:val="auto"/>
                <w:w w:val="90"/>
              </w:rPr>
              <w:t>Excess of crediting rates over GMIR:</w:t>
            </w:r>
          </w:p>
        </w:tc>
        <w:tc>
          <w:tcPr>
            <w:tcW w:w="2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940" w:type="dxa"/>
            <w:vAlign w:val="bottom"/>
            <w:tcBorders>
              <w:bottom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7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60" w:type="dxa"/>
            <w:vAlign w:val="bottom"/>
            <w:gridSpan w:val="2"/>
          </w:tcPr>
          <w:p>
            <w:pPr>
              <w:jc w:val="right"/>
              <w:ind w:right="220"/>
              <w:spacing w:after="0" w:line="129" w:lineRule="exact"/>
              <w:rPr>
                <w:sz w:val="20"/>
                <w:szCs w:val="20"/>
                <w:color w:val="auto"/>
              </w:rPr>
            </w:pPr>
            <w:r>
              <w:rPr>
                <w:rFonts w:ascii="Arial" w:cs="Arial" w:eastAsia="Arial" w:hAnsi="Arial"/>
                <w:sz w:val="14"/>
                <w:szCs w:val="14"/>
                <w:b w:val="1"/>
                <w:bCs w:val="1"/>
                <w:color w:val="auto"/>
                <w:w w:val="90"/>
              </w:rPr>
              <w:t>Up to 0.50%</w:t>
            </w:r>
          </w:p>
        </w:tc>
        <w:tc>
          <w:tcPr>
            <w:tcW w:w="20" w:type="dxa"/>
            <w:vAlign w:val="bottom"/>
          </w:tcPr>
          <w:p>
            <w:pPr>
              <w:spacing w:after="0"/>
              <w:rPr>
                <w:sz w:val="11"/>
                <w:szCs w:val="11"/>
                <w:color w:val="auto"/>
              </w:rPr>
            </w:pPr>
          </w:p>
        </w:tc>
        <w:tc>
          <w:tcPr>
            <w:tcW w:w="1180" w:type="dxa"/>
            <w:vAlign w:val="bottom"/>
            <w:gridSpan w:val="3"/>
          </w:tcPr>
          <w:p>
            <w:pPr>
              <w:jc w:val="right"/>
              <w:ind w:right="200"/>
              <w:spacing w:after="0" w:line="129" w:lineRule="exact"/>
              <w:rPr>
                <w:sz w:val="20"/>
                <w:szCs w:val="20"/>
                <w:color w:val="auto"/>
              </w:rPr>
            </w:pPr>
            <w:r>
              <w:rPr>
                <w:rFonts w:ascii="Arial" w:cs="Arial" w:eastAsia="Arial" w:hAnsi="Arial"/>
                <w:sz w:val="14"/>
                <w:szCs w:val="14"/>
                <w:b w:val="1"/>
                <w:bCs w:val="1"/>
                <w:color w:val="auto"/>
                <w:w w:val="95"/>
              </w:rPr>
              <w:t>0.51% to 1.00%</w:t>
            </w:r>
          </w:p>
        </w:tc>
        <w:tc>
          <w:tcPr>
            <w:tcW w:w="20" w:type="dxa"/>
            <w:vAlign w:val="bottom"/>
          </w:tcPr>
          <w:p>
            <w:pPr>
              <w:spacing w:after="0"/>
              <w:rPr>
                <w:sz w:val="11"/>
                <w:szCs w:val="11"/>
                <w:color w:val="auto"/>
              </w:rPr>
            </w:pPr>
          </w:p>
        </w:tc>
        <w:tc>
          <w:tcPr>
            <w:tcW w:w="1160" w:type="dxa"/>
            <w:vAlign w:val="bottom"/>
            <w:gridSpan w:val="3"/>
          </w:tcPr>
          <w:p>
            <w:pPr>
              <w:jc w:val="right"/>
              <w:ind w:right="200"/>
              <w:spacing w:after="0" w:line="129" w:lineRule="exact"/>
              <w:rPr>
                <w:sz w:val="20"/>
                <w:szCs w:val="20"/>
                <w:color w:val="auto"/>
              </w:rPr>
            </w:pPr>
            <w:r>
              <w:rPr>
                <w:rFonts w:ascii="Arial" w:cs="Arial" w:eastAsia="Arial" w:hAnsi="Arial"/>
                <w:sz w:val="14"/>
                <w:szCs w:val="14"/>
                <w:b w:val="1"/>
                <w:bCs w:val="1"/>
                <w:color w:val="auto"/>
                <w:w w:val="93"/>
              </w:rPr>
              <w:t>1.01% to 2.00%</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tcPr>
          <w:p>
            <w:pPr>
              <w:jc w:val="right"/>
              <w:ind w:right="12"/>
              <w:spacing w:after="0" w:line="129" w:lineRule="exact"/>
              <w:rPr>
                <w:sz w:val="20"/>
                <w:szCs w:val="20"/>
                <w:color w:val="auto"/>
              </w:rPr>
            </w:pPr>
            <w:r>
              <w:rPr>
                <w:rFonts w:ascii="Arial" w:cs="Arial" w:eastAsia="Arial" w:hAnsi="Arial"/>
                <w:sz w:val="14"/>
                <w:szCs w:val="14"/>
                <w:b w:val="1"/>
                <w:bCs w:val="1"/>
                <w:color w:val="auto"/>
                <w:w w:val="87"/>
              </w:rPr>
              <w:t>2.01% or more</w:t>
            </w:r>
          </w:p>
        </w:tc>
        <w:tc>
          <w:tcPr>
            <w:tcW w:w="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840" w:type="dxa"/>
            <w:vAlign w:val="bottom"/>
            <w:gridSpan w:val="3"/>
          </w:tcPr>
          <w:p>
            <w:pPr>
              <w:jc w:val="right"/>
              <w:ind w:right="220"/>
              <w:spacing w:after="0"/>
              <w:rPr>
                <w:sz w:val="20"/>
                <w:szCs w:val="20"/>
                <w:color w:val="auto"/>
              </w:rPr>
            </w:pPr>
            <w:r>
              <w:rPr>
                <w:rFonts w:ascii="Arial" w:cs="Arial" w:eastAsia="Arial" w:hAnsi="Arial"/>
                <w:sz w:val="14"/>
                <w:szCs w:val="14"/>
                <w:b w:val="1"/>
                <w:bCs w:val="1"/>
                <w:color w:val="auto"/>
              </w:rPr>
              <w:t>At GMIR</w:t>
            </w: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w w:val="88"/>
              </w:rPr>
              <w:t>above GMIR</w:t>
            </w:r>
          </w:p>
        </w:tc>
        <w:tc>
          <w:tcPr>
            <w:tcW w:w="20" w:type="dxa"/>
            <w:vAlign w:val="bottom"/>
          </w:tcPr>
          <w:p>
            <w:pPr>
              <w:spacing w:after="0"/>
              <w:rPr>
                <w:sz w:val="14"/>
                <w:szCs w:val="14"/>
                <w:color w:val="auto"/>
              </w:rPr>
            </w:pPr>
          </w:p>
        </w:tc>
        <w:tc>
          <w:tcPr>
            <w:tcW w:w="1180" w:type="dxa"/>
            <w:vAlign w:val="bottom"/>
            <w:gridSpan w:val="3"/>
          </w:tcPr>
          <w:p>
            <w:pPr>
              <w:jc w:val="right"/>
              <w:ind w:right="300"/>
              <w:spacing w:after="0"/>
              <w:rPr>
                <w:sz w:val="20"/>
                <w:szCs w:val="20"/>
                <w:color w:val="auto"/>
              </w:rPr>
            </w:pPr>
            <w:r>
              <w:rPr>
                <w:rFonts w:ascii="Arial" w:cs="Arial" w:eastAsia="Arial" w:hAnsi="Arial"/>
                <w:sz w:val="14"/>
                <w:szCs w:val="14"/>
                <w:b w:val="1"/>
                <w:bCs w:val="1"/>
                <w:color w:val="auto"/>
              </w:rPr>
              <w:t>above GMIR</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8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w w:val="96"/>
              </w:rPr>
              <w:t>above GMIR</w:t>
            </w: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8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98"/>
              </w:rPr>
              <w:t>above GMIR</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4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7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5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i w:val="1"/>
                <w:iCs w:val="1"/>
                <w:color w:val="auto"/>
              </w:rPr>
              <w:t>($</w:t>
            </w:r>
          </w:p>
        </w:tc>
        <w:tc>
          <w:tcPr>
            <w:tcW w:w="5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i w:val="1"/>
                <w:iCs w:val="1"/>
                <w:color w:val="auto"/>
                <w:w w:val="75"/>
              </w:rPr>
              <w:t>in millions)</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940" w:type="dxa"/>
            <w:vAlign w:val="bottom"/>
            <w:tcBorders>
              <w:top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940" w:type="dxa"/>
            <w:vAlign w:val="bottom"/>
            <w:tcBorders>
              <w:top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Guaranteed minimum interest rate</w:t>
            </w:r>
          </w:p>
        </w:tc>
        <w:tc>
          <w:tcPr>
            <w:tcW w:w="4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8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Retirement and Investor Services</w:t>
            </w:r>
          </w:p>
        </w:tc>
        <w:tc>
          <w:tcPr>
            <w:tcW w:w="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Up to 1.00%</w:t>
            </w:r>
          </w:p>
        </w:tc>
        <w:tc>
          <w:tcPr>
            <w:tcW w:w="600" w:type="dxa"/>
            <w:vAlign w:val="bottom"/>
            <w:gridSpan w:val="2"/>
            <w:shd w:val="clear" w:color="auto" w:fill="CCEEFF"/>
          </w:tcPr>
          <w:p>
            <w:pPr>
              <w:jc w:val="right"/>
              <w:ind w:right="12"/>
              <w:spacing w:after="0" w:line="149" w:lineRule="exact"/>
              <w:rPr>
                <w:sz w:val="20"/>
                <w:szCs w:val="20"/>
                <w:color w:val="auto"/>
              </w:rPr>
            </w:pPr>
            <w:r>
              <w:rPr>
                <w:rFonts w:ascii="Arial" w:cs="Arial" w:eastAsia="Arial" w:hAnsi="Arial"/>
                <w:sz w:val="14"/>
                <w:szCs w:val="14"/>
                <w:b w:val="1"/>
                <w:bCs w:val="1"/>
                <w:color w:val="auto"/>
              </w:rPr>
              <w:t>$</w:t>
            </w: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465.5</w:t>
            </w:r>
          </w:p>
        </w:tc>
        <w:tc>
          <w:tcPr>
            <w:tcW w:w="160" w:type="dxa"/>
            <w:vAlign w:val="bottom"/>
            <w:shd w:val="clear" w:color="auto" w:fill="CCEEFF"/>
          </w:tcPr>
          <w:p>
            <w:pPr>
              <w:spacing w:after="0"/>
              <w:rPr>
                <w:sz w:val="12"/>
                <w:szCs w:val="12"/>
                <w:color w:val="auto"/>
              </w:rPr>
            </w:pPr>
          </w:p>
        </w:tc>
        <w:tc>
          <w:tcPr>
            <w:tcW w:w="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670.1</w:t>
            </w:r>
          </w:p>
        </w:tc>
        <w:tc>
          <w:tcPr>
            <w:tcW w:w="14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332"/>
              <w:spacing w:after="0" w:line="149" w:lineRule="exact"/>
              <w:rPr>
                <w:sz w:val="20"/>
                <w:szCs w:val="20"/>
                <w:color w:val="auto"/>
              </w:rPr>
            </w:pPr>
            <w:r>
              <w:rPr>
                <w:rFonts w:ascii="Arial" w:cs="Arial" w:eastAsia="Arial" w:hAnsi="Arial"/>
                <w:sz w:val="14"/>
                <w:szCs w:val="14"/>
                <w:b w:val="1"/>
                <w:bCs w:val="1"/>
                <w:color w:val="auto"/>
                <w:w w:val="76"/>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3,557.6</w:t>
            </w:r>
          </w:p>
        </w:tc>
        <w:tc>
          <w:tcPr>
            <w:tcW w:w="140" w:type="dxa"/>
            <w:vAlign w:val="bottom"/>
            <w:shd w:val="clear" w:color="auto" w:fill="CCEEFF"/>
          </w:tcPr>
          <w:p>
            <w:pPr>
              <w:spacing w:after="0"/>
              <w:rPr>
                <w:sz w:val="12"/>
                <w:szCs w:val="12"/>
                <w:color w:val="auto"/>
              </w:rPr>
            </w:pPr>
          </w:p>
        </w:tc>
        <w:tc>
          <w:tcPr>
            <w:tcW w:w="1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808.4</w:t>
            </w:r>
          </w:p>
        </w:tc>
        <w:tc>
          <w:tcPr>
            <w:tcW w:w="140" w:type="dxa"/>
            <w:vAlign w:val="bottom"/>
            <w:shd w:val="clear" w:color="auto" w:fill="CCEEFF"/>
          </w:tcPr>
          <w:p>
            <w:pPr>
              <w:spacing w:after="0"/>
              <w:rPr>
                <w:sz w:val="12"/>
                <w:szCs w:val="12"/>
                <w:color w:val="auto"/>
              </w:rPr>
            </w:pPr>
          </w:p>
        </w:tc>
        <w:tc>
          <w:tcPr>
            <w:tcW w:w="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48.5</w:t>
            </w:r>
          </w:p>
        </w:tc>
        <w:tc>
          <w:tcPr>
            <w:tcW w:w="14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w w:val="76"/>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5,550.1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80" w:type="dxa"/>
            <w:vAlign w:val="bottom"/>
            <w:gridSpan w:val="2"/>
          </w:tcPr>
          <w:p>
            <w:pPr>
              <w:spacing w:after="0" w:line="149" w:lineRule="exact"/>
              <w:rPr>
                <w:sz w:val="20"/>
                <w:szCs w:val="20"/>
                <w:color w:val="auto"/>
              </w:rPr>
            </w:pPr>
            <w:r>
              <w:rPr>
                <w:rFonts w:ascii="Arial" w:cs="Arial" w:eastAsia="Arial" w:hAnsi="Arial"/>
                <w:sz w:val="14"/>
                <w:szCs w:val="14"/>
                <w:color w:val="auto"/>
              </w:rPr>
              <w:t>1.01% - 2.00%</w:t>
            </w:r>
          </w:p>
        </w:tc>
        <w:tc>
          <w:tcPr>
            <w:tcW w:w="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321.8</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135.6</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286.5</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60.4</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8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804.3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2.01% - 3.00%</w:t>
            </w:r>
          </w:p>
        </w:tc>
        <w:tc>
          <w:tcPr>
            <w:tcW w:w="4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8,659.6</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72.9</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235.1</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308.8</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9,278.0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80" w:type="dxa"/>
            <w:vAlign w:val="bottom"/>
            <w:gridSpan w:val="2"/>
          </w:tcPr>
          <w:p>
            <w:pPr>
              <w:spacing w:after="0" w:line="149" w:lineRule="exact"/>
              <w:rPr>
                <w:sz w:val="20"/>
                <w:szCs w:val="20"/>
                <w:color w:val="auto"/>
              </w:rPr>
            </w:pPr>
            <w:r>
              <w:rPr>
                <w:rFonts w:ascii="Arial" w:cs="Arial" w:eastAsia="Arial" w:hAnsi="Arial"/>
                <w:sz w:val="14"/>
                <w:szCs w:val="14"/>
                <w:color w:val="auto"/>
              </w:rPr>
              <w:t>3.01% - 4.00%</w:t>
            </w:r>
          </w:p>
        </w:tc>
        <w:tc>
          <w:tcPr>
            <w:tcW w:w="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246.6</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6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720" w:type="dxa"/>
            <w:vAlign w:val="bottom"/>
            <w:gridSpan w:val="2"/>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8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246.6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48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Subtotal</w:t>
            </w:r>
          </w:p>
        </w:tc>
        <w:tc>
          <w:tcPr>
            <w:tcW w:w="460" w:type="dxa"/>
            <w:vAlign w:val="bottom"/>
            <w:shd w:val="clear" w:color="auto" w:fill="CCEEFF"/>
          </w:tcPr>
          <w:p>
            <w:pPr>
              <w:spacing w:after="0"/>
              <w:rPr>
                <w:sz w:val="12"/>
                <w:szCs w:val="12"/>
                <w:color w:val="auto"/>
              </w:rPr>
            </w:pPr>
          </w:p>
        </w:tc>
        <w:tc>
          <w:tcPr>
            <w:tcW w:w="140" w:type="dxa"/>
            <w:vAlign w:val="bottom"/>
            <w:tcBorders>
              <w:top w:val="single" w:sz="8" w:color="auto"/>
            </w:tcBorders>
            <w:shd w:val="clear" w:color="auto" w:fill="CCEEFF"/>
          </w:tcPr>
          <w:p>
            <w:pPr>
              <w:spacing w:after="0"/>
              <w:rPr>
                <w:sz w:val="12"/>
                <w:szCs w:val="12"/>
                <w:color w:val="auto"/>
              </w:rPr>
            </w:pPr>
          </w:p>
        </w:tc>
        <w:tc>
          <w:tcPr>
            <w:tcW w:w="54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9,693.5</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tcBorders>
              <w:top w:val="single" w:sz="8" w:color="auto"/>
            </w:tcBorders>
            <w:shd w:val="clear" w:color="auto" w:fill="CCEEFF"/>
          </w:tcPr>
          <w:p>
            <w:pPr>
              <w:spacing w:after="0"/>
              <w:rPr>
                <w:sz w:val="12"/>
                <w:szCs w:val="12"/>
                <w:color w:val="auto"/>
              </w:rPr>
            </w:pPr>
          </w:p>
        </w:tc>
        <w:tc>
          <w:tcPr>
            <w:tcW w:w="82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878.6</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460" w:type="dxa"/>
            <w:vAlign w:val="bottom"/>
            <w:tcBorders>
              <w:top w:val="single" w:sz="8" w:color="auto"/>
            </w:tcBorders>
            <w:shd w:val="clear" w:color="auto" w:fill="CCEEFF"/>
          </w:tcPr>
          <w:p>
            <w:pPr>
              <w:spacing w:after="0"/>
              <w:rPr>
                <w:sz w:val="12"/>
                <w:szCs w:val="12"/>
                <w:color w:val="auto"/>
              </w:rPr>
            </w:pPr>
          </w:p>
        </w:tc>
        <w:tc>
          <w:tcPr>
            <w:tcW w:w="58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4,079.2</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94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1,177.6</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tcBorders>
              <w:top w:val="single" w:sz="8" w:color="auto"/>
            </w:tcBorders>
            <w:shd w:val="clear" w:color="auto" w:fill="CCEEFF"/>
          </w:tcPr>
          <w:p>
            <w:pPr>
              <w:spacing w:after="0"/>
              <w:rPr>
                <w:sz w:val="12"/>
                <w:szCs w:val="12"/>
                <w:color w:val="auto"/>
              </w:rPr>
            </w:pPr>
          </w:p>
        </w:tc>
        <w:tc>
          <w:tcPr>
            <w:tcW w:w="94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50.1</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58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99"/>
              </w:rPr>
              <w:t>15,879.0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311"/>
        </w:trPr>
        <w:tc>
          <w:tcPr>
            <w:tcW w:w="2500" w:type="dxa"/>
            <w:vAlign w:val="bottom"/>
            <w:gridSpan w:val="3"/>
          </w:tcPr>
          <w:p>
            <w:pPr>
              <w:spacing w:after="0"/>
              <w:rPr>
                <w:sz w:val="20"/>
                <w:szCs w:val="20"/>
                <w:color w:val="auto"/>
              </w:rPr>
            </w:pPr>
            <w:r>
              <w:rPr>
                <w:rFonts w:ascii="Arial" w:cs="Arial" w:eastAsia="Arial" w:hAnsi="Arial"/>
                <w:sz w:val="14"/>
                <w:szCs w:val="14"/>
                <w:b w:val="1"/>
                <w:bCs w:val="1"/>
                <w:color w:val="auto"/>
              </w:rPr>
              <w:t>U.S. Insurance Solutions</w:t>
            </w: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Up to 1.00%</w:t>
            </w:r>
          </w:p>
        </w:tc>
        <w:tc>
          <w:tcPr>
            <w:tcW w:w="4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2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23.7</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11.8</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35.5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80" w:type="dxa"/>
            <w:vAlign w:val="bottom"/>
            <w:gridSpan w:val="2"/>
          </w:tcPr>
          <w:p>
            <w:pPr>
              <w:spacing w:after="0" w:line="149" w:lineRule="exact"/>
              <w:rPr>
                <w:sz w:val="20"/>
                <w:szCs w:val="20"/>
                <w:color w:val="auto"/>
              </w:rPr>
            </w:pPr>
            <w:r>
              <w:rPr>
                <w:rFonts w:ascii="Arial" w:cs="Arial" w:eastAsia="Arial" w:hAnsi="Arial"/>
                <w:sz w:val="14"/>
                <w:szCs w:val="14"/>
                <w:color w:val="auto"/>
              </w:rPr>
              <w:t>1.01% - 2.00%</w:t>
            </w:r>
          </w:p>
        </w:tc>
        <w:tc>
          <w:tcPr>
            <w:tcW w:w="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259.0</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6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105.1</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50.9</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6.4</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421.4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2.01% - 3.00%</w:t>
            </w:r>
          </w:p>
        </w:tc>
        <w:tc>
          <w:tcPr>
            <w:tcW w:w="4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1,820.1</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1,005.3</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166.3</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71.0</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3,062.8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80" w:type="dxa"/>
            <w:vAlign w:val="bottom"/>
            <w:gridSpan w:val="2"/>
          </w:tcPr>
          <w:p>
            <w:pPr>
              <w:spacing w:after="0" w:line="149" w:lineRule="exact"/>
              <w:rPr>
                <w:sz w:val="20"/>
                <w:szCs w:val="20"/>
                <w:color w:val="auto"/>
              </w:rPr>
            </w:pPr>
            <w:r>
              <w:rPr>
                <w:rFonts w:ascii="Arial" w:cs="Arial" w:eastAsia="Arial" w:hAnsi="Arial"/>
                <w:sz w:val="14"/>
                <w:szCs w:val="14"/>
                <w:color w:val="auto"/>
              </w:rPr>
              <w:t>3.01% - 4.00%</w:t>
            </w:r>
          </w:p>
        </w:tc>
        <w:tc>
          <w:tcPr>
            <w:tcW w:w="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1,426.8</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21.6</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16.3</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44.1</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6.4</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1,515.2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4.01% - 5.00%</w:t>
            </w:r>
          </w:p>
        </w:tc>
        <w:tc>
          <w:tcPr>
            <w:tcW w:w="4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153.7</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92.1</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77.9</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21.3</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345.0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500" w:type="dxa"/>
            <w:vAlign w:val="bottom"/>
            <w:gridSpan w:val="3"/>
          </w:tcPr>
          <w:p>
            <w:pPr>
              <w:spacing w:after="0" w:line="142" w:lineRule="exact"/>
              <w:rPr>
                <w:sz w:val="20"/>
                <w:szCs w:val="20"/>
                <w:color w:val="auto"/>
              </w:rPr>
            </w:pPr>
            <w:r>
              <w:rPr>
                <w:rFonts w:ascii="Arial" w:cs="Arial" w:eastAsia="Arial" w:hAnsi="Arial"/>
                <w:sz w:val="14"/>
                <w:szCs w:val="14"/>
                <w:color w:val="auto"/>
              </w:rPr>
              <w:t>Subtotal</w:t>
            </w:r>
          </w:p>
        </w:tc>
        <w:tc>
          <w:tcPr>
            <w:tcW w:w="46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3,659.6</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1,119.0</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389.3</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9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199.1</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9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12.9</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5,379.9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48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Total</w:t>
            </w:r>
          </w:p>
        </w:tc>
        <w:tc>
          <w:tcPr>
            <w:tcW w:w="600" w:type="dxa"/>
            <w:vAlign w:val="bottom"/>
            <w:gridSpan w:val="2"/>
            <w:shd w:val="clear" w:color="auto" w:fill="CCEEFF"/>
          </w:tcPr>
          <w:p>
            <w:pPr>
              <w:jc w:val="right"/>
              <w:ind w:right="12"/>
              <w:spacing w:after="0" w:line="142" w:lineRule="exact"/>
              <w:rPr>
                <w:sz w:val="20"/>
                <w:szCs w:val="20"/>
                <w:color w:val="auto"/>
              </w:rPr>
            </w:pPr>
            <w:r>
              <w:rPr>
                <w:rFonts w:ascii="Arial" w:cs="Arial" w:eastAsia="Arial" w:hAnsi="Arial"/>
                <w:sz w:val="14"/>
                <w:szCs w:val="14"/>
                <w:b w:val="1"/>
                <w:bCs w:val="1"/>
                <w:color w:val="auto"/>
              </w:rPr>
              <w:t>$</w:t>
            </w:r>
          </w:p>
        </w:tc>
        <w:tc>
          <w:tcPr>
            <w:tcW w:w="5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95"/>
              </w:rPr>
              <w:t>13,353.1</w:t>
            </w:r>
          </w:p>
        </w:tc>
        <w:tc>
          <w:tcPr>
            <w:tcW w:w="160" w:type="dxa"/>
            <w:vAlign w:val="bottom"/>
            <w:shd w:val="clear" w:color="auto" w:fill="CCEEFF"/>
          </w:tcPr>
          <w:p>
            <w:pPr>
              <w:spacing w:after="0"/>
              <w:rPr>
                <w:sz w:val="12"/>
                <w:szCs w:val="12"/>
                <w:color w:val="auto"/>
              </w:rPr>
            </w:pPr>
          </w:p>
        </w:tc>
        <w:tc>
          <w:tcPr>
            <w:tcW w:w="8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1,997.6</w:t>
            </w:r>
          </w:p>
        </w:tc>
        <w:tc>
          <w:tcPr>
            <w:tcW w:w="14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332"/>
              <w:spacing w:after="0" w:line="142" w:lineRule="exact"/>
              <w:rPr>
                <w:sz w:val="20"/>
                <w:szCs w:val="20"/>
                <w:color w:val="auto"/>
              </w:rPr>
            </w:pPr>
            <w:r>
              <w:rPr>
                <w:rFonts w:ascii="Arial" w:cs="Arial" w:eastAsia="Arial" w:hAnsi="Arial"/>
                <w:sz w:val="14"/>
                <w:szCs w:val="14"/>
                <w:b w:val="1"/>
                <w:bCs w:val="1"/>
                <w:color w:val="auto"/>
                <w:w w:val="76"/>
              </w:rPr>
              <w:t>$</w:t>
            </w:r>
          </w:p>
        </w:tc>
        <w:tc>
          <w:tcPr>
            <w:tcW w:w="5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4,468.5</w:t>
            </w:r>
          </w:p>
        </w:tc>
        <w:tc>
          <w:tcPr>
            <w:tcW w:w="140" w:type="dxa"/>
            <w:vAlign w:val="bottom"/>
            <w:shd w:val="clear" w:color="auto" w:fill="CCEEFF"/>
          </w:tcPr>
          <w:p>
            <w:pPr>
              <w:spacing w:after="0"/>
              <w:rPr>
                <w:sz w:val="12"/>
                <w:szCs w:val="12"/>
                <w:color w:val="auto"/>
              </w:rPr>
            </w:pPr>
          </w:p>
        </w:tc>
        <w:tc>
          <w:tcPr>
            <w:tcW w:w="10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9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1,376.7</w:t>
            </w:r>
          </w:p>
        </w:tc>
        <w:tc>
          <w:tcPr>
            <w:tcW w:w="140" w:type="dxa"/>
            <w:vAlign w:val="bottom"/>
            <w:shd w:val="clear" w:color="auto" w:fill="CCEEFF"/>
          </w:tcPr>
          <w:p>
            <w:pPr>
              <w:spacing w:after="0"/>
              <w:rPr>
                <w:sz w:val="12"/>
                <w:szCs w:val="12"/>
                <w:color w:val="auto"/>
              </w:rPr>
            </w:pPr>
          </w:p>
        </w:tc>
        <w:tc>
          <w:tcPr>
            <w:tcW w:w="8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9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63.0</w:t>
            </w:r>
          </w:p>
        </w:tc>
        <w:tc>
          <w:tcPr>
            <w:tcW w:w="14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w w:val="76"/>
              </w:rPr>
              <w:t>$</w:t>
            </w:r>
          </w:p>
        </w:tc>
        <w:tc>
          <w:tcPr>
            <w:tcW w:w="5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99"/>
              </w:rPr>
              <w:t>21,258.9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500" w:type="dxa"/>
            <w:vAlign w:val="bottom"/>
            <w:gridSpan w:val="3"/>
            <w:vMerge w:val="restart"/>
          </w:tcPr>
          <w:p>
            <w:pPr>
              <w:spacing w:after="0"/>
              <w:rPr>
                <w:sz w:val="20"/>
                <w:szCs w:val="20"/>
                <w:color w:val="auto"/>
              </w:rPr>
            </w:pPr>
            <w:r>
              <w:rPr>
                <w:rFonts w:ascii="Arial" w:cs="Arial" w:eastAsia="Arial" w:hAnsi="Arial"/>
                <w:sz w:val="14"/>
                <w:szCs w:val="14"/>
                <w:color w:val="auto"/>
              </w:rPr>
              <w:t>Percentage of total</w:t>
            </w:r>
          </w:p>
        </w:tc>
        <w:tc>
          <w:tcPr>
            <w:tcW w:w="4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2500" w:type="dxa"/>
            <w:vAlign w:val="bottom"/>
            <w:gridSpan w:val="3"/>
            <w:vMerge w:val="continue"/>
          </w:tcPr>
          <w:p>
            <w:pPr>
              <w:spacing w:after="0"/>
              <w:rPr>
                <w:sz w:val="13"/>
                <w:szCs w:val="13"/>
                <w:color w:val="auto"/>
              </w:rPr>
            </w:pPr>
          </w:p>
        </w:tc>
        <w:tc>
          <w:tcPr>
            <w:tcW w:w="4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00" w:type="dxa"/>
            <w:vAlign w:val="bottom"/>
            <w:gridSpan w:val="2"/>
          </w:tcPr>
          <w:p>
            <w:pPr>
              <w:jc w:val="right"/>
              <w:ind w:right="20"/>
              <w:spacing w:after="0" w:line="155" w:lineRule="exact"/>
              <w:rPr>
                <w:sz w:val="20"/>
                <w:szCs w:val="20"/>
                <w:color w:val="auto"/>
              </w:rPr>
            </w:pPr>
            <w:r>
              <w:rPr>
                <w:rFonts w:ascii="Arial" w:cs="Arial" w:eastAsia="Arial" w:hAnsi="Arial"/>
                <w:sz w:val="14"/>
                <w:szCs w:val="14"/>
                <w:b w:val="1"/>
                <w:bCs w:val="1"/>
                <w:color w:val="auto"/>
              </w:rPr>
              <w:t>62.8%</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960" w:type="dxa"/>
            <w:vAlign w:val="bottom"/>
            <w:gridSpan w:val="2"/>
          </w:tcPr>
          <w:p>
            <w:pPr>
              <w:jc w:val="right"/>
              <w:spacing w:after="0" w:line="155" w:lineRule="exact"/>
              <w:rPr>
                <w:sz w:val="20"/>
                <w:szCs w:val="20"/>
                <w:color w:val="auto"/>
              </w:rPr>
            </w:pPr>
            <w:r>
              <w:rPr>
                <w:rFonts w:ascii="Arial" w:cs="Arial" w:eastAsia="Arial" w:hAnsi="Arial"/>
                <w:sz w:val="14"/>
                <w:szCs w:val="14"/>
                <w:b w:val="1"/>
                <w:bCs w:val="1"/>
                <w:color w:val="auto"/>
              </w:rPr>
              <w:t>9.4%</w:t>
            </w: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20" w:type="dxa"/>
            <w:vAlign w:val="bottom"/>
            <w:gridSpan w:val="2"/>
          </w:tcPr>
          <w:p>
            <w:pPr>
              <w:jc w:val="right"/>
              <w:ind w:right="20"/>
              <w:spacing w:after="0" w:line="155" w:lineRule="exact"/>
              <w:rPr>
                <w:sz w:val="20"/>
                <w:szCs w:val="20"/>
                <w:color w:val="auto"/>
              </w:rPr>
            </w:pPr>
            <w:r>
              <w:rPr>
                <w:rFonts w:ascii="Arial" w:cs="Arial" w:eastAsia="Arial" w:hAnsi="Arial"/>
                <w:sz w:val="14"/>
                <w:szCs w:val="14"/>
                <w:b w:val="1"/>
                <w:bCs w:val="1"/>
                <w:color w:val="auto"/>
              </w:rPr>
              <w:t>21.0%</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80" w:type="dxa"/>
            <w:vAlign w:val="bottom"/>
            <w:gridSpan w:val="2"/>
          </w:tcPr>
          <w:p>
            <w:pPr>
              <w:jc w:val="right"/>
              <w:ind w:right="20"/>
              <w:spacing w:after="0" w:line="155" w:lineRule="exact"/>
              <w:rPr>
                <w:sz w:val="20"/>
                <w:szCs w:val="20"/>
                <w:color w:val="auto"/>
              </w:rPr>
            </w:pPr>
            <w:r>
              <w:rPr>
                <w:rFonts w:ascii="Arial" w:cs="Arial" w:eastAsia="Arial" w:hAnsi="Arial"/>
                <w:sz w:val="14"/>
                <w:szCs w:val="14"/>
                <w:b w:val="1"/>
                <w:bCs w:val="1"/>
                <w:color w:val="auto"/>
              </w:rPr>
              <w:t>6.5%</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80" w:type="dxa"/>
            <w:vAlign w:val="bottom"/>
            <w:gridSpan w:val="2"/>
          </w:tcPr>
          <w:p>
            <w:pPr>
              <w:jc w:val="right"/>
              <w:ind w:right="20"/>
              <w:spacing w:after="0" w:line="155" w:lineRule="exact"/>
              <w:rPr>
                <w:sz w:val="20"/>
                <w:szCs w:val="20"/>
                <w:color w:val="auto"/>
              </w:rPr>
            </w:pPr>
            <w:r>
              <w:rPr>
                <w:rFonts w:ascii="Arial" w:cs="Arial" w:eastAsia="Arial" w:hAnsi="Arial"/>
                <w:sz w:val="14"/>
                <w:szCs w:val="14"/>
                <w:b w:val="1"/>
                <w:bCs w:val="1"/>
                <w:color w:val="auto"/>
              </w:rPr>
              <w:t>0.3%</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40" w:type="dxa"/>
            <w:vAlign w:val="bottom"/>
            <w:gridSpan w:val="2"/>
          </w:tcPr>
          <w:p>
            <w:pPr>
              <w:jc w:val="right"/>
              <w:ind w:right="40"/>
              <w:spacing w:after="0" w:line="155" w:lineRule="exact"/>
              <w:rPr>
                <w:sz w:val="20"/>
                <w:szCs w:val="20"/>
                <w:color w:val="auto"/>
              </w:rPr>
            </w:pPr>
            <w:r>
              <w:rPr>
                <w:rFonts w:ascii="Arial" w:cs="Arial" w:eastAsia="Arial" w:hAnsi="Arial"/>
                <w:sz w:val="14"/>
                <w:szCs w:val="14"/>
                <w:b w:val="1"/>
                <w:bCs w:val="1"/>
                <w:color w:val="auto"/>
              </w:rPr>
              <w:t>100.0%</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760" w:type="dxa"/>
            <w:vAlign w:val="bottom"/>
            <w:tcBorders>
              <w:bottom w:val="single" w:sz="8" w:color="auto"/>
            </w:tcBorders>
          </w:tcPr>
          <w:p>
            <w:pPr>
              <w:spacing w:after="0"/>
              <w:rPr>
                <w:sz w:val="7"/>
                <w:szCs w:val="7"/>
                <w:color w:val="auto"/>
              </w:rPr>
            </w:pPr>
          </w:p>
        </w:tc>
        <w:tc>
          <w:tcPr>
            <w:tcW w:w="1720" w:type="dxa"/>
            <w:vAlign w:val="bottom"/>
          </w:tcPr>
          <w:p>
            <w:pPr>
              <w:spacing w:after="0"/>
              <w:rPr>
                <w:sz w:val="7"/>
                <w:szCs w:val="7"/>
                <w:color w:val="auto"/>
              </w:rPr>
            </w:pPr>
          </w:p>
        </w:tc>
        <w:tc>
          <w:tcPr>
            <w:tcW w:w="460" w:type="dxa"/>
            <w:vAlign w:val="bottom"/>
          </w:tcPr>
          <w:p>
            <w:pPr>
              <w:spacing w:after="0"/>
              <w:rPr>
                <w:sz w:val="7"/>
                <w:szCs w:val="7"/>
                <w:color w:val="auto"/>
              </w:rPr>
            </w:pPr>
          </w:p>
        </w:tc>
        <w:tc>
          <w:tcPr>
            <w:tcW w:w="140" w:type="dxa"/>
            <w:vAlign w:val="bottom"/>
          </w:tcPr>
          <w:p>
            <w:pPr>
              <w:spacing w:after="0"/>
              <w:rPr>
                <w:sz w:val="7"/>
                <w:szCs w:val="7"/>
                <w:color w:val="auto"/>
              </w:rPr>
            </w:pPr>
          </w:p>
        </w:tc>
        <w:tc>
          <w:tcPr>
            <w:tcW w:w="540" w:type="dxa"/>
            <w:vAlign w:val="bottom"/>
          </w:tcPr>
          <w:p>
            <w:pPr>
              <w:spacing w:after="0"/>
              <w:rPr>
                <w:sz w:val="7"/>
                <w:szCs w:val="7"/>
                <w:color w:val="auto"/>
              </w:rPr>
            </w:pPr>
          </w:p>
        </w:tc>
        <w:tc>
          <w:tcPr>
            <w:tcW w:w="16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2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940" w:type="dxa"/>
            <w:vAlign w:val="bottom"/>
          </w:tcPr>
          <w:p>
            <w:pPr>
              <w:spacing w:after="0"/>
              <w:rPr>
                <w:sz w:val="7"/>
                <w:szCs w:val="7"/>
                <w:color w:val="auto"/>
              </w:rPr>
            </w:pPr>
          </w:p>
        </w:tc>
        <w:tc>
          <w:tcPr>
            <w:tcW w:w="1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940" w:type="dxa"/>
            <w:vAlign w:val="bottom"/>
          </w:tcPr>
          <w:p>
            <w:pPr>
              <w:spacing w:after="0"/>
              <w:rPr>
                <w:sz w:val="7"/>
                <w:szCs w:val="7"/>
                <w:color w:val="auto"/>
              </w:rPr>
            </w:pPr>
          </w:p>
        </w:tc>
        <w:tc>
          <w:tcPr>
            <w:tcW w:w="140" w:type="dxa"/>
            <w:vAlign w:val="bottom"/>
          </w:tcPr>
          <w:p>
            <w:pPr>
              <w:spacing w:after="0"/>
              <w:rPr>
                <w:sz w:val="7"/>
                <w:szCs w:val="7"/>
                <w:color w:val="auto"/>
              </w:rPr>
            </w:pPr>
          </w:p>
        </w:tc>
        <w:tc>
          <w:tcPr>
            <w:tcW w:w="20" w:type="dxa"/>
            <w:vAlign w:val="bottom"/>
          </w:tcPr>
          <w:p>
            <w:pPr>
              <w:spacing w:after="0"/>
              <w:rPr>
                <w:sz w:val="7"/>
                <w:szCs w:val="7"/>
                <w:color w:val="auto"/>
              </w:rPr>
            </w:pPr>
          </w:p>
        </w:tc>
        <w:tc>
          <w:tcPr>
            <w:tcW w:w="1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ind w:left="1680" w:hanging="531"/>
        <w:spacing w:after="0"/>
        <w:tabs>
          <w:tab w:leader="none" w:pos="1680" w:val="left"/>
        </w:tabs>
        <w:numPr>
          <w:ilvl w:val="0"/>
          <w:numId w:val="42"/>
        </w:numPr>
        <w:rPr>
          <w:rFonts w:ascii="Arial" w:cs="Arial" w:eastAsia="Arial" w:hAnsi="Arial"/>
          <w:sz w:val="14"/>
          <w:szCs w:val="14"/>
          <w:color w:val="auto"/>
        </w:rPr>
      </w:pPr>
      <w:r>
        <w:rPr>
          <w:rFonts w:ascii="Arial" w:cs="Arial" w:eastAsia="Arial" w:hAnsi="Arial"/>
          <w:sz w:val="14"/>
          <w:szCs w:val="14"/>
          <w:color w:val="auto"/>
        </w:rPr>
        <w:t>Includes only the account values, net of policy loans, for products with GMIRs and discretionary crediting rates.</w:t>
      </w:r>
    </w:p>
    <w:p>
      <w:pPr>
        <w:spacing w:after="0" w:line="206" w:lineRule="exact"/>
        <w:rPr>
          <w:sz w:val="20"/>
          <w:szCs w:val="20"/>
          <w:color w:val="auto"/>
        </w:rPr>
      </w:pPr>
    </w:p>
    <w:p>
      <w:pPr>
        <w:jc w:val="both"/>
        <w:ind w:firstLine="394"/>
        <w:spacing w:after="0" w:line="286" w:lineRule="auto"/>
        <w:rPr>
          <w:sz w:val="20"/>
          <w:szCs w:val="20"/>
          <w:color w:val="auto"/>
        </w:rPr>
      </w:pPr>
      <w:r>
        <w:rPr>
          <w:rFonts w:ascii="Arial" w:cs="Arial" w:eastAsia="Arial" w:hAnsi="Arial"/>
          <w:sz w:val="16"/>
          <w:szCs w:val="16"/>
          <w:color w:val="auto"/>
        </w:rPr>
        <w:t>During periods of low or declining interest rates, our margin of investment income above our interest credited to our liabilities ("investment margins") may be negatively impacted. Assuming a hypothetical scenario where market interest rates immediately fall by 25 basis points from their December 31, 2013 levels and then remain unchanged thereafter, we estimate that the impact of such an environment could reduce our investment margins for our domestic business by approximately $2 million and $4 million pre-tax during the 12 months ending December 31, 2014 and 2015, respectively, compared to a scenario where market interest rates remain unchanged from their December 31, 2013 levels. This hypothetical scenario reflects only the impact related to the approximately $21 billion of in-force contracts with guaranteed minimum interest rates shown above, and does not reflect potential impacts on our DAC asset and other actuarial balances. In determining the potential impact, we have reflected the impact of potential changes in crediting rates to policyholders, limited by any restrictions on our ability to adjust crediting rates due to guaranteed minimum interest rates. Our estimates of future margins include the impact of expected premium payments, lapses, and withdrawals on existing policies, but they do not include the impact of new sales. Our selection of a 25 basis point immediate, parallel decrease in interest rates is a hypothetical rate scenario we use to demonstrate potential risk. While a 25 basis point immediate, parallel decrease does not represent our view of future market changes, it is a near term reasonably possible hypothetical change that illustrates the potential impact of such events.</w:t>
      </w:r>
    </w:p>
    <w:p>
      <w:pPr>
        <w:spacing w:after="0" w:line="181" w:lineRule="exact"/>
        <w:rPr>
          <w:sz w:val="20"/>
          <w:szCs w:val="20"/>
          <w:color w:val="auto"/>
        </w:rPr>
      </w:pPr>
    </w:p>
    <w:p>
      <w:pPr>
        <w:jc w:val="both"/>
        <w:ind w:firstLine="355"/>
        <w:spacing w:after="0" w:line="259" w:lineRule="auto"/>
        <w:rPr>
          <w:sz w:val="20"/>
          <w:szCs w:val="20"/>
          <w:color w:val="auto"/>
        </w:rPr>
      </w:pPr>
      <w:r>
        <w:rPr>
          <w:rFonts w:ascii="Arial" w:cs="Arial" w:eastAsia="Arial" w:hAnsi="Arial"/>
          <w:sz w:val="18"/>
          <w:szCs w:val="18"/>
          <w:color w:val="auto"/>
        </w:rPr>
        <w:t>We manage interest rate risk through the use of an integrated risk management framework that helps us identify, assess, monitor, report and manage our risks within established limits and risk tolerances. Our internal risk committees monitor and discuss our risk profile and identify necessary actions to mitigate impacts from interest rate risk.</w:t>
      </w:r>
    </w:p>
    <w:p>
      <w:pPr>
        <w:spacing w:after="0" w:line="194" w:lineRule="exact"/>
        <w:rPr>
          <w:sz w:val="20"/>
          <w:szCs w:val="20"/>
          <w:color w:val="auto"/>
        </w:rPr>
      </w:pPr>
    </w:p>
    <w:p>
      <w:pPr>
        <w:jc w:val="both"/>
        <w:ind w:firstLine="372"/>
        <w:spacing w:after="0" w:line="259" w:lineRule="auto"/>
        <w:rPr>
          <w:sz w:val="20"/>
          <w:szCs w:val="20"/>
          <w:color w:val="auto"/>
        </w:rPr>
      </w:pPr>
      <w:r>
        <w:rPr>
          <w:rFonts w:ascii="Arial" w:cs="Arial" w:eastAsia="Arial" w:hAnsi="Arial"/>
          <w:sz w:val="18"/>
          <w:szCs w:val="18"/>
          <w:color w:val="auto"/>
        </w:rPr>
        <w:t>We also limit our exposure to interest rate risk through our business mix and strategy. We have intentionally limited our exposure to specific products where investment margins are critical to the product's profitability, and we continue to emphasize the sale of products that generate revenues in the form of fees for service or premiums for insurance coverage and expose us to minimal interest rate risk.</w:t>
      </w:r>
    </w:p>
    <w:p>
      <w:pPr>
        <w:spacing w:after="0" w:line="194" w:lineRule="exact"/>
        <w:rPr>
          <w:sz w:val="20"/>
          <w:szCs w:val="20"/>
          <w:color w:val="auto"/>
        </w:rPr>
      </w:pPr>
    </w:p>
    <w:p>
      <w:pPr>
        <w:jc w:val="both"/>
        <w:ind w:firstLine="445"/>
        <w:spacing w:after="0" w:line="290" w:lineRule="auto"/>
        <w:rPr>
          <w:sz w:val="20"/>
          <w:szCs w:val="20"/>
          <w:color w:val="auto"/>
        </w:rPr>
      </w:pPr>
      <w:r>
        <w:rPr>
          <w:rFonts w:ascii="Arial" w:cs="Arial" w:eastAsia="Arial" w:hAnsi="Arial"/>
          <w:sz w:val="16"/>
          <w:szCs w:val="16"/>
          <w:color w:val="auto"/>
        </w:rPr>
        <w:t>One of the measures we use to quantify our exposure to interest rate risk is duration, which is a measure of the sensitivity of the fair value of assets and liabilities to changes in interest rates. Differences in durations between assets and liabilities are measured and kept within acceptable tolerances. Derivatives are also commonly used to mitigate interest rate risk due to cash flow mismatches and timing differences. Prepayment risk is controlled by limiting our exposure to investments that are prepayable without penalty prior to maturity at the option of the issuer. We also require additional yield on these investments to compensate for the risk the issuer will exercise such option. Prepayment risk is also controlled by limiting the sales of liabilities with features such as puts or other options that can be exercised against the company at inopportune times. We manage the interest rate risk associated with our long-term borrowings by monitoring the interest rate environment and evaluating refinancing opportunities as maturity dates approach.</w:t>
      </w:r>
    </w:p>
    <w:p>
      <w:pPr>
        <w:spacing w:after="0" w:line="172" w:lineRule="exact"/>
        <w:rPr>
          <w:sz w:val="20"/>
          <w:szCs w:val="20"/>
          <w:color w:val="auto"/>
        </w:rPr>
      </w:pPr>
    </w:p>
    <w:p>
      <w:pPr>
        <w:jc w:val="both"/>
        <w:ind w:firstLine="455"/>
        <w:spacing w:after="0" w:line="259" w:lineRule="auto"/>
        <w:rPr>
          <w:sz w:val="20"/>
          <w:szCs w:val="20"/>
          <w:color w:val="auto"/>
        </w:rPr>
      </w:pPr>
      <w:r>
        <w:rPr>
          <w:rFonts w:ascii="Arial" w:cs="Arial" w:eastAsia="Arial" w:hAnsi="Arial"/>
          <w:sz w:val="18"/>
          <w:szCs w:val="18"/>
          <w:color w:val="auto"/>
        </w:rPr>
        <w:t>See Item 7. "Management's Discussion and Analysis of Financial Condition and Results of Operations — Critical Accounting Policies and Estimates — Valuation and Impairment of Fixed Income Investments" for additional discussion of the impact interest rate increases would have on fixed maturities, available-for-sale.</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2" w:name="page83"/>
    <w:bookmarkEnd w:id="8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firstLine="479"/>
        <w:spacing w:after="0" w:line="291" w:lineRule="auto"/>
        <w:rPr>
          <w:sz w:val="20"/>
          <w:szCs w:val="20"/>
          <w:color w:val="auto"/>
        </w:rPr>
      </w:pPr>
      <w:r>
        <w:rPr>
          <w:rFonts w:ascii="Arial" w:cs="Arial" w:eastAsia="Arial" w:hAnsi="Arial"/>
          <w:sz w:val="16"/>
          <w:szCs w:val="16"/>
          <w:color w:val="auto"/>
        </w:rPr>
        <w:t>The plan fiduciaries use a Dynamic Asset Allocation strategy for our qualified defined benefit pension plan, which strategically allocates an increasing portion of the assets of the pension plan to fixed income securities as the funding status improves. The intended purpose of using the Dynamic Asset Allocation strategy is that the expected change in the value of the plan assets and the change in pension benefit obligation due to market movements are more likely to have more correlation versus a static allocation of assets between categories. For more information see Item 7. "Management's Discussion and Analysis of Financial Condition and Results of Operations — Critical Accounting Policies and Estimates — Benefit Plans" and Item 8. "Financial Statements and Supplementary Data, Notes to Consolidated Financial Statements, Note 12, Employee and Agent Benefits."</w:t>
      </w:r>
    </w:p>
    <w:p>
      <w:pPr>
        <w:spacing w:after="0" w:line="168" w:lineRule="exact"/>
        <w:rPr>
          <w:sz w:val="20"/>
          <w:szCs w:val="20"/>
          <w:color w:val="auto"/>
        </w:rPr>
      </w:pPr>
    </w:p>
    <w:p>
      <w:pPr>
        <w:jc w:val="both"/>
        <w:ind w:firstLine="416"/>
        <w:spacing w:after="0" w:line="291" w:lineRule="auto"/>
        <w:rPr>
          <w:sz w:val="20"/>
          <w:szCs w:val="20"/>
          <w:color w:val="auto"/>
        </w:rPr>
      </w:pPr>
      <w:r>
        <w:rPr>
          <w:rFonts w:ascii="Arial" w:cs="Arial" w:eastAsia="Arial" w:hAnsi="Arial"/>
          <w:sz w:val="16"/>
          <w:szCs w:val="16"/>
          <w:b w:val="1"/>
          <w:bCs w:val="1"/>
          <w:color w:val="auto"/>
        </w:rPr>
        <w:t xml:space="preserve">Use of Derivatives to Manage Interest Rate Risk. </w:t>
      </w:r>
      <w:r>
        <w:rPr>
          <w:rFonts w:ascii="Arial" w:cs="Arial" w:eastAsia="Arial" w:hAnsi="Arial"/>
          <w:sz w:val="16"/>
          <w:szCs w:val="16"/>
          <w:color w:val="auto"/>
        </w:rPr>
        <w:t>We use or have previously used various derivative financial instruments to manage our exposure to</w:t>
      </w:r>
      <w:r>
        <w:rPr>
          <w:rFonts w:ascii="Arial" w:cs="Arial" w:eastAsia="Arial" w:hAnsi="Arial"/>
          <w:sz w:val="16"/>
          <w:szCs w:val="16"/>
          <w:b w:val="1"/>
          <w:bCs w:val="1"/>
          <w:color w:val="auto"/>
        </w:rPr>
        <w:t xml:space="preserve"> </w:t>
      </w:r>
      <w:r>
        <w:rPr>
          <w:rFonts w:ascii="Arial" w:cs="Arial" w:eastAsia="Arial" w:hAnsi="Arial"/>
          <w:sz w:val="16"/>
          <w:szCs w:val="16"/>
          <w:color w:val="auto"/>
        </w:rPr>
        <w:t>fluctuations in interest rates, including interest rate swaps, interest rate collars, swaptions and futures. We use interest rate swaps and futures contracts to hedge changes in interest rates subsequent to the issuance of an insurance liability, such as a guaranteed investment contract, but prior to the purchase of a supporting asset, or during periods of holding assets in anticipation of near term liability sales. We use interest rate swaps primarily to more closely match the interest rate characteristics of assets and liabilities. They can be used to change the sensitivity to the interest rate of specific assets and liabilities as well as an entire portfolio. We use interest rate collars to manage interest rate risk related to GMIR liabilities in our individual annuities contracts and lapse risk associated with higher interest rates. We purchase swaptions to offset or modify existing exposures.</w:t>
      </w:r>
    </w:p>
    <w:p>
      <w:pPr>
        <w:spacing w:after="0" w:line="3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Risk</w:t>
      </w:r>
    </w:p>
    <w:p>
      <w:pPr>
        <w:spacing w:after="0" w:line="231" w:lineRule="exact"/>
        <w:rPr>
          <w:sz w:val="20"/>
          <w:szCs w:val="20"/>
          <w:color w:val="auto"/>
        </w:rPr>
      </w:pPr>
    </w:p>
    <w:p>
      <w:pPr>
        <w:jc w:val="both"/>
        <w:ind w:firstLine="392"/>
        <w:spacing w:after="0" w:line="259" w:lineRule="auto"/>
        <w:rPr>
          <w:sz w:val="20"/>
          <w:szCs w:val="20"/>
          <w:color w:val="auto"/>
        </w:rPr>
      </w:pPr>
      <w:r>
        <w:rPr>
          <w:rFonts w:ascii="Arial" w:cs="Arial" w:eastAsia="Arial" w:hAnsi="Arial"/>
          <w:sz w:val="18"/>
          <w:szCs w:val="18"/>
          <w:color w:val="auto"/>
        </w:rPr>
        <w:t>Foreign currency risk is the risk we will incur economic losses due to adverse fluctuations in foreign currency exchange rates. This risk arises from foreign currency-denominated funding agreements issued to nonqualified institutional investors in the international market, foreign currency-denominated fixed maturities and our international operations, including potential acquisition and divestiture activity.</w:t>
      </w:r>
    </w:p>
    <w:p>
      <w:pPr>
        <w:spacing w:after="0" w:line="194" w:lineRule="exact"/>
        <w:rPr>
          <w:sz w:val="20"/>
          <w:szCs w:val="20"/>
          <w:color w:val="auto"/>
        </w:rPr>
      </w:pPr>
    </w:p>
    <w:p>
      <w:pPr>
        <w:jc w:val="both"/>
        <w:ind w:firstLine="417"/>
        <w:spacing w:after="0" w:line="255" w:lineRule="auto"/>
        <w:rPr>
          <w:sz w:val="20"/>
          <w:szCs w:val="20"/>
          <w:color w:val="auto"/>
        </w:rPr>
      </w:pPr>
      <w:r>
        <w:rPr>
          <w:rFonts w:ascii="Arial" w:cs="Arial" w:eastAsia="Arial" w:hAnsi="Arial"/>
          <w:sz w:val="18"/>
          <w:szCs w:val="18"/>
          <w:color w:val="auto"/>
        </w:rPr>
        <w:t>We estimate that as of December 31, 2013, a 10% immediate unfavorable change in each of the foreign currency exchange rates to which we are exposed would result in no material change to the net fair value of our foreign currency denominated instruments identified above because we effectively hedge foreign currency denominated instruments to minimize exchange rate impacts, which is consistent with our estimate as of December 31, 2012. However, fluctuations in foreign currency exchange rates do affect the translation of operating earnings and equity of our international operations into our consolidated financial statements.</w:t>
      </w:r>
    </w:p>
    <w:p>
      <w:pPr>
        <w:spacing w:after="0" w:line="197" w:lineRule="exact"/>
        <w:rPr>
          <w:sz w:val="20"/>
          <w:szCs w:val="20"/>
          <w:color w:val="auto"/>
        </w:rPr>
      </w:pPr>
    </w:p>
    <w:p>
      <w:pPr>
        <w:jc w:val="both"/>
        <w:ind w:firstLine="396"/>
        <w:spacing w:after="0" w:line="253" w:lineRule="auto"/>
        <w:rPr>
          <w:sz w:val="20"/>
          <w:szCs w:val="20"/>
          <w:color w:val="auto"/>
        </w:rPr>
      </w:pPr>
      <w:r>
        <w:rPr>
          <w:rFonts w:ascii="Arial" w:cs="Arial" w:eastAsia="Arial" w:hAnsi="Arial"/>
          <w:sz w:val="18"/>
          <w:szCs w:val="18"/>
          <w:color w:val="auto"/>
        </w:rPr>
        <w:t>For our Principal International segment, we estimate that a 10% immediate unfavorable change in each of the foreign currency exchange rates to which we were exposed would have resulted in a $306.1 million, or 10%, reduction in the total equity excluding noncontrolling interests of our international operations as of December 31, 2013, as compared to an estimated $184.2 million, or 10%, reduction as of December 31, 2012. We estimate that a 10% unfavorable change in the average foreign currency exchange rates to which we were exposed through our international operations would have resulted in a $24.2 million, or 11%, reduction in the operating earnings of our international operations for the year ended December 31, 2013, as compared to an estimated $17.5 million, or 11%, reduction for the year ended December 31, 2012. The Cuprum acquisition increased total net assets and earnings exposed to foreign currency risk compared to December 31, 2012.</w:t>
      </w:r>
    </w:p>
    <w:p>
      <w:pPr>
        <w:spacing w:after="0" w:line="201" w:lineRule="exact"/>
        <w:rPr>
          <w:sz w:val="20"/>
          <w:szCs w:val="20"/>
          <w:color w:val="auto"/>
        </w:rPr>
      </w:pPr>
    </w:p>
    <w:p>
      <w:pPr>
        <w:jc w:val="both"/>
        <w:ind w:firstLine="387"/>
        <w:spacing w:after="0" w:line="259" w:lineRule="auto"/>
        <w:rPr>
          <w:sz w:val="20"/>
          <w:szCs w:val="20"/>
          <w:color w:val="auto"/>
        </w:rPr>
      </w:pPr>
      <w:r>
        <w:rPr>
          <w:rFonts w:ascii="Arial" w:cs="Arial" w:eastAsia="Arial" w:hAnsi="Arial"/>
          <w:sz w:val="18"/>
          <w:szCs w:val="18"/>
          <w:color w:val="auto"/>
        </w:rPr>
        <w:t>The selection of a 10% immediate unfavorable change in all currency exchange rates should not be construed as a prediction by us of future market events, but rather as an illustration of the potential impact of such an event. These exposures will change as a result of a change in the size and mix of our foreign operations.</w:t>
      </w:r>
    </w:p>
    <w:p>
      <w:pPr>
        <w:spacing w:after="0" w:line="188" w:lineRule="exact"/>
        <w:rPr>
          <w:sz w:val="20"/>
          <w:szCs w:val="20"/>
          <w:color w:val="auto"/>
        </w:rPr>
      </w:pPr>
    </w:p>
    <w:p>
      <w:pPr>
        <w:jc w:val="both"/>
        <w:ind w:firstLine="402"/>
        <w:spacing w:after="0" w:line="256" w:lineRule="auto"/>
        <w:rPr>
          <w:sz w:val="20"/>
          <w:szCs w:val="20"/>
          <w:color w:val="auto"/>
        </w:rPr>
      </w:pPr>
      <w:r>
        <w:rPr>
          <w:rFonts w:ascii="Arial" w:cs="Arial" w:eastAsia="Arial" w:hAnsi="Arial"/>
          <w:sz w:val="18"/>
          <w:szCs w:val="18"/>
          <w:b w:val="1"/>
          <w:bCs w:val="1"/>
          <w:color w:val="auto"/>
        </w:rPr>
        <w:t xml:space="preserve">Use of Derivatives to Manage Foreign Currency Risk. </w:t>
      </w:r>
      <w:r>
        <w:rPr>
          <w:rFonts w:ascii="Arial" w:cs="Arial" w:eastAsia="Arial" w:hAnsi="Arial"/>
          <w:sz w:val="18"/>
          <w:szCs w:val="18"/>
          <w:color w:val="auto"/>
        </w:rPr>
        <w:t>The foreign currency risk on funding agreements and fixed maturities in our U.S. operations is</w:t>
      </w:r>
      <w:r>
        <w:rPr>
          <w:rFonts w:ascii="Arial" w:cs="Arial" w:eastAsia="Arial" w:hAnsi="Arial"/>
          <w:sz w:val="18"/>
          <w:szCs w:val="18"/>
          <w:b w:val="1"/>
          <w:bCs w:val="1"/>
          <w:color w:val="auto"/>
        </w:rPr>
        <w:t xml:space="preserve"> </w:t>
      </w:r>
      <w:r>
        <w:rPr>
          <w:rFonts w:ascii="Arial" w:cs="Arial" w:eastAsia="Arial" w:hAnsi="Arial"/>
          <w:sz w:val="18"/>
          <w:szCs w:val="18"/>
          <w:color w:val="auto"/>
        </w:rPr>
        <w:t>mitigated by using currency swaps that swap the foreign currency interest and principal payments to our functional currency. The notional amount of our currency swap agreements associated with foreign-denominated liabilities was $1,425.0 million and $2,209.6 million as of December 31, 2013 and December 31, 2012, respectively. The notional amount of our currency swap agreements associated with foreign-denominated fixed maturities was $822.1 million and $1,164.0 million as of December 31, 2013 and December 31, 2012, respectively.</w:t>
      </w:r>
    </w:p>
    <w:p>
      <w:pPr>
        <w:spacing w:after="0" w:line="199" w:lineRule="exact"/>
        <w:rPr>
          <w:sz w:val="20"/>
          <w:szCs w:val="20"/>
          <w:color w:val="auto"/>
        </w:rPr>
      </w:pPr>
    </w:p>
    <w:p>
      <w:pPr>
        <w:jc w:val="both"/>
        <w:ind w:firstLine="435"/>
        <w:spacing w:after="0" w:line="298" w:lineRule="auto"/>
        <w:rPr>
          <w:sz w:val="20"/>
          <w:szCs w:val="20"/>
          <w:color w:val="auto"/>
        </w:rPr>
      </w:pPr>
      <w:r>
        <w:rPr>
          <w:rFonts w:ascii="Arial" w:cs="Arial" w:eastAsia="Arial" w:hAnsi="Arial"/>
          <w:sz w:val="16"/>
          <w:szCs w:val="16"/>
          <w:color w:val="auto"/>
        </w:rPr>
        <w:t>With regard to our international operations, in order to enhance the diversification of our investment portfolios we may invest in bonds denominated in a currency that is different than the currency of our liabilities. We use foreign exchange derivatives to economically hedge the currency mismatch. Our operations in Chile had currency swaps with a notional amount of $120.4 million and $80.5 million as of December 31, 2013 and December 31, 2012, respectively. Chile also utilized currency forwards with a notional amount of $247.4 million and $257.2 million as of December 31, 2013 and December 31, 2012, respectively.</w:t>
      </w:r>
    </w:p>
    <w:p>
      <w:pPr>
        <w:spacing w:after="0" w:line="167" w:lineRule="exact"/>
        <w:rPr>
          <w:sz w:val="20"/>
          <w:szCs w:val="20"/>
          <w:color w:val="auto"/>
        </w:rPr>
      </w:pPr>
    </w:p>
    <w:p>
      <w:pPr>
        <w:jc w:val="both"/>
        <w:ind w:firstLine="399"/>
        <w:spacing w:after="0" w:line="256" w:lineRule="auto"/>
        <w:rPr>
          <w:sz w:val="20"/>
          <w:szCs w:val="20"/>
          <w:color w:val="auto"/>
        </w:rPr>
      </w:pPr>
      <w:r>
        <w:rPr>
          <w:rFonts w:ascii="Arial" w:cs="Arial" w:eastAsia="Arial" w:hAnsi="Arial"/>
          <w:sz w:val="18"/>
          <w:szCs w:val="18"/>
          <w:color w:val="auto"/>
        </w:rPr>
        <w:t>We used currency options with a notional amount of $1,400.0 million and currency forwards with a notional amount of $300.0 million as of December 31, 2012, to manage the foreign currency risk associated with a business combination. There were no hedges of business combinations outstanding at December 31, 2013. Additionally, from time to time we take measures to hedge our net equity investments in our foreign subsidiaries from currency risks. There were no outstanding net equity investment hedges in 2013 or 2012.</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3" w:name="page84"/>
    <w:bookmarkEnd w:id="8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Risk</w:t>
      </w:r>
    </w:p>
    <w:p>
      <w:pPr>
        <w:spacing w:after="0" w:line="231" w:lineRule="exact"/>
        <w:rPr>
          <w:sz w:val="20"/>
          <w:szCs w:val="20"/>
          <w:color w:val="auto"/>
        </w:rPr>
      </w:pPr>
    </w:p>
    <w:p>
      <w:pPr>
        <w:jc w:val="both"/>
        <w:ind w:firstLine="370"/>
        <w:spacing w:after="0" w:line="255" w:lineRule="auto"/>
        <w:rPr>
          <w:sz w:val="20"/>
          <w:szCs w:val="20"/>
          <w:color w:val="auto"/>
        </w:rPr>
      </w:pPr>
      <w:r>
        <w:rPr>
          <w:rFonts w:ascii="Arial" w:cs="Arial" w:eastAsia="Arial" w:hAnsi="Arial"/>
          <w:sz w:val="18"/>
          <w:szCs w:val="18"/>
          <w:color w:val="auto"/>
        </w:rPr>
        <w:t>Equity risk is the risk we will incur economic losses due to adverse fluctuations in common stock prices. As of December 31, 2013 and December 31, 2012, the fair value of our equity securities was $827.4 million and $389.3 million, respectively. The increase is primarily due to equity securities that we acquired as part of the Cuprum acquisition that was completed in first quarter 2013. As of December 31, 2013, we estimate that a 10% decline in the value of the equity securities would result in a decline in fair value of the equity securities of $82.7 million, as compared to a decline in fair value of the equity securities of $38.9 million as of December 31, 2012.</w:t>
      </w:r>
    </w:p>
    <w:p>
      <w:pPr>
        <w:spacing w:after="0" w:line="197" w:lineRule="exact"/>
        <w:rPr>
          <w:sz w:val="20"/>
          <w:szCs w:val="20"/>
          <w:color w:val="auto"/>
        </w:rPr>
      </w:pPr>
    </w:p>
    <w:p>
      <w:pPr>
        <w:jc w:val="both"/>
        <w:ind w:firstLine="367"/>
        <w:spacing w:after="0" w:line="291" w:lineRule="auto"/>
        <w:rPr>
          <w:sz w:val="20"/>
          <w:szCs w:val="20"/>
          <w:color w:val="auto"/>
        </w:rPr>
      </w:pPr>
      <w:r>
        <w:rPr>
          <w:rFonts w:ascii="Arial" w:cs="Arial" w:eastAsia="Arial" w:hAnsi="Arial"/>
          <w:sz w:val="16"/>
          <w:szCs w:val="16"/>
          <w:color w:val="auto"/>
        </w:rPr>
        <w:t>We are also exposed to the risk that asset-based fees decrease as a result of declines in assets under management due to changes in investment prices and the risk that asset management fees calculated by reference to performance could be lower. The risk of decreased asset-based and asset management fees could also impact our estimates of total gross profits used as a basis for amortizing deferred acquisition costs and other actuarial balances. We estimate that an immediate 10% decline in the S&amp;P index, followed by a 2% per quarter increase would reduce our annual operating earnings by approximately 4% to 6%. For further discussion, see Item 7. "Management's Discussion and Analysis of Financial Condition and Results of Operations — Critical Accounting Policies and Estimates — Deferred Acquisition Costs and Other Actuarial Balances."</w:t>
      </w:r>
    </w:p>
    <w:p>
      <w:pPr>
        <w:spacing w:after="0" w:line="174" w:lineRule="exact"/>
        <w:rPr>
          <w:sz w:val="20"/>
          <w:szCs w:val="20"/>
          <w:color w:val="auto"/>
        </w:rPr>
      </w:pPr>
    </w:p>
    <w:p>
      <w:pPr>
        <w:jc w:val="both"/>
        <w:ind w:firstLine="450"/>
        <w:spacing w:after="0" w:line="268" w:lineRule="auto"/>
        <w:rPr>
          <w:sz w:val="20"/>
          <w:szCs w:val="20"/>
          <w:color w:val="auto"/>
        </w:rPr>
      </w:pPr>
      <w:r>
        <w:rPr>
          <w:rFonts w:ascii="Arial" w:cs="Arial" w:eastAsia="Arial" w:hAnsi="Arial"/>
          <w:sz w:val="18"/>
          <w:szCs w:val="18"/>
          <w:color w:val="auto"/>
        </w:rPr>
        <w:t>The selection of a 10% unfavorable change in the equity markets should not be construed as a prediction by us of future market events, but rather as an illustration of the potential impact of such an event. Our exposure will change as a result of changes in our mix of business.</w:t>
      </w:r>
    </w:p>
    <w:p>
      <w:pPr>
        <w:spacing w:after="0" w:line="186" w:lineRule="exact"/>
        <w:rPr>
          <w:sz w:val="20"/>
          <w:szCs w:val="20"/>
          <w:color w:val="auto"/>
        </w:rPr>
      </w:pPr>
    </w:p>
    <w:p>
      <w:pPr>
        <w:jc w:val="both"/>
        <w:ind w:firstLine="476"/>
        <w:spacing w:after="0" w:line="290" w:lineRule="auto"/>
        <w:rPr>
          <w:sz w:val="20"/>
          <w:szCs w:val="20"/>
          <w:color w:val="auto"/>
        </w:rPr>
      </w:pPr>
      <w:r>
        <w:rPr>
          <w:rFonts w:ascii="Arial" w:cs="Arial" w:eastAsia="Arial" w:hAnsi="Arial"/>
          <w:sz w:val="16"/>
          <w:szCs w:val="16"/>
          <w:color w:val="auto"/>
        </w:rPr>
        <w:t>We also have equity risk associated with (1) fixed deferred annuity and universal life contracts that credit interest to customers based on changes in an external equity index; (2) variable annuity contracts that have a GMWB rider that allows the customer to make withdrawals of a specified annual amount, either for a fixed number of years or for the lifetime of the customer, even if the account value is reduced to zero; (3) variable annuity contracts that have a guaranteed minimum death benefit ("GMDB") that allows the death benefit to be paid, even if the account value has fallen below the GMDB amount and (4) investment-type contracts in which the return is subject to minimum contractual guarantees. We are also subject to equity risk based upon the assets that support our employee benefit plans. For further discussion of equity risk associated with these plans, see Item 7. "Management's Discussion and Analysis of Financial Condition and Results of Operations — Critical Accounting Policies and Estimates — Benefit Plans."</w:t>
      </w:r>
    </w:p>
    <w:p>
      <w:pPr>
        <w:spacing w:after="0" w:line="166" w:lineRule="exact"/>
        <w:rPr>
          <w:sz w:val="20"/>
          <w:szCs w:val="20"/>
          <w:color w:val="auto"/>
        </w:rPr>
      </w:pPr>
    </w:p>
    <w:p>
      <w:pPr>
        <w:jc w:val="both"/>
        <w:ind w:firstLine="382"/>
        <w:spacing w:after="0" w:line="293" w:lineRule="auto"/>
        <w:rPr>
          <w:sz w:val="20"/>
          <w:szCs w:val="20"/>
          <w:color w:val="auto"/>
        </w:rPr>
      </w:pPr>
      <w:r>
        <w:rPr>
          <w:rFonts w:ascii="Arial" w:cs="Arial" w:eastAsia="Arial" w:hAnsi="Arial"/>
          <w:sz w:val="16"/>
          <w:szCs w:val="16"/>
          <w:b w:val="1"/>
          <w:bCs w:val="1"/>
          <w:color w:val="auto"/>
        </w:rPr>
        <w:t xml:space="preserve">Use of Derivatives to Manage Equity Risk. </w:t>
      </w:r>
      <w:r>
        <w:rPr>
          <w:rFonts w:ascii="Arial" w:cs="Arial" w:eastAsia="Arial" w:hAnsi="Arial"/>
          <w:sz w:val="16"/>
          <w:szCs w:val="16"/>
          <w:color w:val="auto"/>
        </w:rPr>
        <w:t>We economically hedge the fixed deferred annuity and universal life products, where the interest credited is</w:t>
      </w:r>
      <w:r>
        <w:rPr>
          <w:rFonts w:ascii="Arial" w:cs="Arial" w:eastAsia="Arial" w:hAnsi="Arial"/>
          <w:sz w:val="16"/>
          <w:szCs w:val="16"/>
          <w:b w:val="1"/>
          <w:bCs w:val="1"/>
          <w:color w:val="auto"/>
        </w:rPr>
        <w:t xml:space="preserve"> </w:t>
      </w:r>
      <w:r>
        <w:rPr>
          <w:rFonts w:ascii="Arial" w:cs="Arial" w:eastAsia="Arial" w:hAnsi="Arial"/>
          <w:sz w:val="16"/>
          <w:szCs w:val="16"/>
          <w:color w:val="auto"/>
        </w:rPr>
        <w:t>linked to an external equity index, by purchasing options that match the product's profile. We economically hedge the GMWB exposure, which includes interest rate risk and equity risk, using futures, options and interest rate swaps with notional amounts of $365.9 million, $1,719.7 million, and $3,263.5 million, respectively, as of December 31, 2013, and notional amounts of $455.6 million, $1,539.7 million, and $2,904.8 million, respectively, as of December 31, 2012. The fair value of both the GMWB embedded derivative and associated hedging instruments are sensitive to financial market conditions and the variance related to the change in fair value of these items for a given period is largely dependent on market conditions at the end of the period.</w:t>
      </w:r>
    </w:p>
    <w:p>
      <w:pPr>
        <w:spacing w:after="0" w:line="3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Credit Risk</w:t>
      </w:r>
    </w:p>
    <w:p>
      <w:pPr>
        <w:spacing w:after="0" w:line="231" w:lineRule="exact"/>
        <w:rPr>
          <w:sz w:val="20"/>
          <w:szCs w:val="20"/>
          <w:color w:val="auto"/>
        </w:rPr>
      </w:pPr>
    </w:p>
    <w:p>
      <w:pPr>
        <w:jc w:val="both"/>
        <w:ind w:firstLine="368"/>
        <w:spacing w:after="0" w:line="259" w:lineRule="auto"/>
        <w:rPr>
          <w:sz w:val="20"/>
          <w:szCs w:val="20"/>
          <w:color w:val="auto"/>
        </w:rPr>
      </w:pPr>
      <w:r>
        <w:rPr>
          <w:rFonts w:ascii="Arial" w:cs="Arial" w:eastAsia="Arial" w:hAnsi="Arial"/>
          <w:sz w:val="18"/>
          <w:szCs w:val="18"/>
          <w:color w:val="auto"/>
        </w:rPr>
        <w:t>Credit risk relates to the uncertainty associated with the continued ability of a given obligor to make timely payments of principal and interest. Our ability to manage credit risk is essential to our business and our profitability. See Item 7. "Management's Discussion and Analysis of Financial Condition and Results of Operations — Investments" for additional information about credit risk.</w:t>
      </w:r>
    </w:p>
    <w:p>
      <w:pPr>
        <w:spacing w:after="0" w:line="188" w:lineRule="exact"/>
        <w:rPr>
          <w:sz w:val="20"/>
          <w:szCs w:val="20"/>
          <w:color w:val="auto"/>
        </w:rPr>
      </w:pPr>
    </w:p>
    <w:p>
      <w:pPr>
        <w:jc w:val="both"/>
        <w:ind w:firstLine="419"/>
        <w:spacing w:after="0" w:line="255" w:lineRule="auto"/>
        <w:rPr>
          <w:sz w:val="20"/>
          <w:szCs w:val="20"/>
          <w:color w:val="auto"/>
        </w:rPr>
      </w:pPr>
      <w:r>
        <w:rPr>
          <w:rFonts w:ascii="Arial" w:cs="Arial" w:eastAsia="Arial" w:hAnsi="Arial"/>
          <w:sz w:val="18"/>
          <w:szCs w:val="18"/>
          <w:b w:val="1"/>
          <w:bCs w:val="1"/>
          <w:color w:val="auto"/>
        </w:rPr>
        <w:t xml:space="preserve">Use of Derivatives to Diversify or Hedge Credit Risk. </w:t>
      </w:r>
      <w:r>
        <w:rPr>
          <w:rFonts w:ascii="Arial" w:cs="Arial" w:eastAsia="Arial" w:hAnsi="Arial"/>
          <w:sz w:val="18"/>
          <w:szCs w:val="18"/>
          <w:color w:val="auto"/>
        </w:rPr>
        <w:t>We purchase credit default swaps to hedge certain credit exposures in our investment portfolio</w:t>
      </w:r>
      <w:r>
        <w:rPr>
          <w:rFonts w:ascii="Arial" w:cs="Arial" w:eastAsia="Arial" w:hAnsi="Arial"/>
          <w:sz w:val="18"/>
          <w:szCs w:val="18"/>
          <w:b w:val="1"/>
          <w:bCs w:val="1"/>
          <w:color w:val="auto"/>
        </w:rPr>
        <w:t xml:space="preserve"> </w:t>
      </w:r>
      <w:r>
        <w:rPr>
          <w:rFonts w:ascii="Arial" w:cs="Arial" w:eastAsia="Arial" w:hAnsi="Arial"/>
          <w:sz w:val="18"/>
          <w:szCs w:val="18"/>
          <w:color w:val="auto"/>
        </w:rPr>
        <w:t>and total return swaps and futures to hedge a portion of our investment portfolio from credit losses. We sell credit default swaps to offer credit protection to investors when entering into synthetic replicating transactions. When selling credit protection, if there is an event of default by the referenced name, we are obligated to pay the counterparty the referenced amount of the contract and receive in return the referenced security. For further information on credit derivatives sold, see Item 8. "Financial Statements and Supplementary Data, Notes to Consolidated Financial Statements, Note 6, Derivative Financial Instruments" under the caption, "Credit Derivatives Sold."</w:t>
      </w:r>
    </w:p>
    <w:p>
      <w:pPr>
        <w:spacing w:after="0" w:line="199" w:lineRule="exact"/>
        <w:rPr>
          <w:sz w:val="20"/>
          <w:szCs w:val="20"/>
          <w:color w:val="auto"/>
        </w:rPr>
      </w:pPr>
    </w:p>
    <w:p>
      <w:pPr>
        <w:jc w:val="both"/>
        <w:ind w:firstLine="406"/>
        <w:spacing w:after="0" w:line="294" w:lineRule="auto"/>
        <w:rPr>
          <w:sz w:val="20"/>
          <w:szCs w:val="20"/>
          <w:color w:val="auto"/>
        </w:rPr>
      </w:pPr>
      <w:r>
        <w:rPr>
          <w:rFonts w:ascii="Arial" w:cs="Arial" w:eastAsia="Arial" w:hAnsi="Arial"/>
          <w:sz w:val="16"/>
          <w:szCs w:val="16"/>
          <w:color w:val="auto"/>
        </w:rPr>
        <w:t>We economically hedged credit exposure in our portfolio by purchasing credit default swaps with a notional amount of $334.3 million and $359.8 million, total return swaps of $90.0 million and $100.0 million, and futures of $9.1 million and $0.0 million as of December 31, 2013 and December 31, 2012, respectively. We had credit exposure through credit default swaps with a notional amount of $110.4 million and $110.4 million as of December 31, 2013 and December 31, 2012, respectively, by investing in various tranches of a synthetic collateralized debt obligation. In addition, we sold credit default swaps creating replicated assets with a notional amount of $708.5 million and $908.1 million as of December 31, 2013 and December 31, 2012, respectively.</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4" w:name="page85"/>
    <w:bookmarkEnd w:id="8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Derivative Counterparty Risk</w:t>
      </w:r>
    </w:p>
    <w:p>
      <w:pPr>
        <w:spacing w:after="0" w:line="231" w:lineRule="exact"/>
        <w:rPr>
          <w:sz w:val="20"/>
          <w:szCs w:val="20"/>
          <w:color w:val="auto"/>
        </w:rPr>
      </w:pPr>
    </w:p>
    <w:p>
      <w:pPr>
        <w:ind w:firstLine="402"/>
        <w:spacing w:after="0" w:line="268" w:lineRule="auto"/>
        <w:rPr>
          <w:sz w:val="20"/>
          <w:szCs w:val="20"/>
          <w:color w:val="auto"/>
        </w:rPr>
      </w:pPr>
      <w:r>
        <w:rPr>
          <w:rFonts w:ascii="Arial" w:cs="Arial" w:eastAsia="Arial" w:hAnsi="Arial"/>
          <w:sz w:val="18"/>
          <w:szCs w:val="18"/>
          <w:color w:val="auto"/>
        </w:rPr>
        <w:t>In conjunction with our use of derivatives, we are exposed to counterparty risk, or the risk that the counterparty fails to perform the terms of the derivative contract. We actively manage this risk by:</w:t>
      </w:r>
    </w:p>
    <w:p>
      <w:pPr>
        <w:spacing w:after="0" w:line="199" w:lineRule="exact"/>
        <w:rPr>
          <w:sz w:val="20"/>
          <w:szCs w:val="20"/>
          <w:color w:val="auto"/>
        </w:rPr>
      </w:pPr>
    </w:p>
    <w:p>
      <w:pPr>
        <w:ind w:left="1080" w:hanging="532"/>
        <w:spacing w:after="0"/>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obtaining approval of all new counterparties by the Investment Committee;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3"/>
        </w:numPr>
        <w:rPr>
          <w:rFonts w:ascii="Arial" w:cs="Arial" w:eastAsia="Arial" w:hAnsi="Arial"/>
          <w:sz w:val="16"/>
          <w:szCs w:val="16"/>
          <w:color w:val="auto"/>
        </w:rPr>
      </w:pPr>
      <w:r>
        <w:rPr>
          <w:rFonts w:ascii="Arial" w:cs="Arial" w:eastAsia="Arial" w:hAnsi="Arial"/>
          <w:sz w:val="16"/>
          <w:szCs w:val="16"/>
          <w:color w:val="auto"/>
        </w:rPr>
        <w:t>establishing exposure limits that take into account non-derivative exposure we have with the counterparty as well as derivative exposure;</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43"/>
        </w:numPr>
        <w:rPr>
          <w:rFonts w:ascii="Arial" w:cs="Arial" w:eastAsia="Arial" w:hAnsi="Arial"/>
          <w:sz w:val="16"/>
          <w:szCs w:val="16"/>
          <w:color w:val="auto"/>
        </w:rPr>
      </w:pPr>
      <w:r>
        <w:rPr>
          <w:rFonts w:ascii="Arial" w:cs="Arial" w:eastAsia="Arial" w:hAnsi="Arial"/>
          <w:sz w:val="16"/>
          <w:szCs w:val="16"/>
          <w:color w:val="auto"/>
        </w:rPr>
        <w:t>performing similar credit analysis prior to approval on each derivatives counterparty that we do when lending money on a long-term basis;</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diversifying our risk across numerous approved counterparties;</w:t>
      </w:r>
    </w:p>
    <w:p>
      <w:pPr>
        <w:spacing w:after="0" w:line="252"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implementing credit support annex (collateral) agreements ("CSAs") for over-the-counter derivative transactions or similar agreements with a majority of our counterparties to further limit counterparty exposures, which provide for netting of exposures;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limiting exposure to A credit or better for over-the-counter derivative counterparties without CSAs;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conducting stress-test analysis to determine the maximum exposure created during the life of a prospective transaction</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daily monitoring of counterparty credit ratings, exposures and associated collateral levels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trading mandatorily cleared contracts through centralized clearinghouses.</w:t>
      </w:r>
    </w:p>
    <w:p>
      <w:pPr>
        <w:spacing w:after="0" w:line="225" w:lineRule="exact"/>
        <w:rPr>
          <w:sz w:val="20"/>
          <w:szCs w:val="20"/>
          <w:color w:val="auto"/>
        </w:rPr>
      </w:pPr>
    </w:p>
    <w:p>
      <w:pPr>
        <w:jc w:val="both"/>
        <w:ind w:firstLine="485"/>
        <w:spacing w:after="0" w:line="332" w:lineRule="auto"/>
        <w:rPr>
          <w:sz w:val="20"/>
          <w:szCs w:val="20"/>
          <w:color w:val="auto"/>
        </w:rPr>
      </w:pPr>
      <w:r>
        <w:rPr>
          <w:rFonts w:ascii="Arial" w:cs="Arial" w:eastAsia="Arial" w:hAnsi="Arial"/>
          <w:sz w:val="16"/>
          <w:szCs w:val="16"/>
          <w:color w:val="auto"/>
        </w:rPr>
        <w:t>We believe the risk of incurring losses due to nonperformance by our counterparties is manageable. For further information on derivatives, see Item 8. "Financial Statements and Supplementary Data, Notes to Consolidated Financial Statements, Note 6, Derivative Financial Instruments."</w:t>
      </w:r>
    </w:p>
    <w:p>
      <w:pPr>
        <w:spacing w:after="0" w:line="139" w:lineRule="exact"/>
        <w:rPr>
          <w:sz w:val="20"/>
          <w:szCs w:val="20"/>
          <w:color w:val="auto"/>
        </w:rPr>
      </w:pPr>
    </w:p>
    <w:p>
      <w:pPr>
        <w:jc w:val="both"/>
        <w:ind w:firstLine="358"/>
        <w:spacing w:after="0" w:line="306" w:lineRule="auto"/>
        <w:rPr>
          <w:sz w:val="20"/>
          <w:szCs w:val="20"/>
          <w:color w:val="auto"/>
        </w:rPr>
      </w:pPr>
      <w:r>
        <w:rPr>
          <w:rFonts w:ascii="Arial" w:cs="Arial" w:eastAsia="Arial" w:hAnsi="Arial"/>
          <w:sz w:val="16"/>
          <w:szCs w:val="16"/>
          <w:color w:val="auto"/>
        </w:rPr>
        <w:t>Based on our accounting policy, our disclosed exposure measures the fair value of derivatives that have become favorable to us and, therefore, is a combined credit exposure if all of the involved counterparties failed to fulfill their obligations. For further information on derivative exposure, see Item 8. "Financial Statements and Supplementary Data, Notes to Consolidated Financial Statements, Note 6, Derivative Financial Instruments" under the caption, "Exposure."</w:t>
      </w:r>
    </w:p>
    <w:p>
      <w:pPr>
        <w:spacing w:after="0" w:line="161" w:lineRule="exact"/>
        <w:rPr>
          <w:sz w:val="20"/>
          <w:szCs w:val="20"/>
          <w:color w:val="auto"/>
        </w:rPr>
      </w:pPr>
    </w:p>
    <w:p>
      <w:pPr>
        <w:jc w:val="both"/>
        <w:ind w:firstLine="505"/>
        <w:spacing w:after="0" w:line="255" w:lineRule="auto"/>
        <w:rPr>
          <w:sz w:val="20"/>
          <w:szCs w:val="20"/>
          <w:color w:val="auto"/>
        </w:rPr>
      </w:pPr>
      <w:r>
        <w:rPr>
          <w:rFonts w:ascii="Arial" w:cs="Arial" w:eastAsia="Arial" w:hAnsi="Arial"/>
          <w:sz w:val="18"/>
          <w:szCs w:val="18"/>
          <w:color w:val="auto"/>
        </w:rPr>
        <w:t>We manage our exposure on a net basis, whereby we net positive and negative exposures for each counterparty with agreements in place. For further information on derivative exposure, see Item 8. "Financial Statements and Supplementary Data, Notes to Consolidated Financial Statements, Note 5, Investments" under the caption, "Balance Sheet Offsetting." We have not incurred any material losses on derivative financial instruments due to counterparty nonperformance. As a result of our management of counterparty risk and the collateralization of our derivative portfolio, any credit exposure to derivative counterparties is immaterial as of December 31, 2013.</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5" w:name="page86"/>
    <w:bookmarkEnd w:id="85"/>
    <w:tbl>
      <w:tblPr>
        <w:tblLayout w:type="fixed"/>
        <w:tblInd w:w="0" w:type="dxa"/>
        <w:tblCellMar>
          <w:top w:w="0" w:type="dxa"/>
          <w:left w:w="0" w:type="dxa"/>
          <w:bottom w:w="0" w:type="dxa"/>
          <w:right w:w="0" w:type="dxa"/>
        </w:tblCellMar>
      </w:tblPr>
      <w:tr>
        <w:trPr>
          <w:trHeight w:val="207"/>
        </w:trPr>
        <w:tc>
          <w:tcPr>
            <w:tcW w:w="1260" w:type="dxa"/>
            <w:vAlign w:val="bottom"/>
            <w:tcBorders>
              <w:bottom w:val="single" w:sz="8" w:color="0000EE"/>
            </w:tcBorders>
            <w:gridSpan w:val="2"/>
          </w:tcPr>
          <w:p>
            <w:pPr>
              <w:spacing w:after="0"/>
              <w:rPr>
                <w:rFonts w:ascii="Arial" w:cs="Arial" w:eastAsia="Arial" w:hAnsi="Arial"/>
                <w:sz w:val="18"/>
                <w:szCs w:val="18"/>
                <w:color w:val="0000EE"/>
                <w:w w:val="87"/>
              </w:rPr>
            </w:pPr>
            <w:hyperlink w:anchor="page3">
              <w:r>
                <w:rPr>
                  <w:rFonts w:ascii="Arial" w:cs="Arial" w:eastAsia="Arial" w:hAnsi="Arial"/>
                  <w:sz w:val="18"/>
                  <w:szCs w:val="18"/>
                  <w:color w:val="0000EE"/>
                  <w:w w:val="87"/>
                </w:rPr>
                <w:t>Table of Contents</w:t>
              </w:r>
            </w:hyperlink>
          </w:p>
        </w:tc>
        <w:tc>
          <w:tcPr>
            <w:tcW w:w="8680" w:type="dxa"/>
            <w:vAlign w:val="bottom"/>
            <w:gridSpan w:val="10"/>
          </w:tcPr>
          <w:p>
            <w:pPr>
              <w:spacing w:after="0"/>
              <w:rPr>
                <w:sz w:val="17"/>
                <w:szCs w:val="17"/>
                <w:color w:val="auto"/>
              </w:rPr>
            </w:pPr>
          </w:p>
        </w:tc>
        <w:tc>
          <w:tcPr>
            <w:tcW w:w="180" w:type="dxa"/>
            <w:vAlign w:val="bottom"/>
          </w:tcPr>
          <w:p>
            <w:pPr>
              <w:spacing w:after="0"/>
              <w:rPr>
                <w:sz w:val="17"/>
                <w:szCs w:val="17"/>
                <w:color w:val="auto"/>
              </w:rPr>
            </w:pPr>
          </w:p>
        </w:tc>
        <w:tc>
          <w:tcPr>
            <w:tcW w:w="1300" w:type="dxa"/>
            <w:vAlign w:val="bottom"/>
          </w:tcPr>
          <w:p>
            <w:pPr>
              <w:spacing w:after="0"/>
              <w:rPr>
                <w:sz w:val="17"/>
                <w:szCs w:val="17"/>
                <w:color w:val="auto"/>
              </w:rPr>
            </w:pPr>
          </w:p>
        </w:tc>
      </w:tr>
      <w:tr>
        <w:trPr>
          <w:trHeight w:val="451"/>
        </w:trPr>
        <w:tc>
          <w:tcPr>
            <w:tcW w:w="9940" w:type="dxa"/>
            <w:vAlign w:val="bottom"/>
            <w:gridSpan w:val="12"/>
          </w:tcPr>
          <w:p>
            <w:pPr>
              <w:spacing w:after="0"/>
              <w:rPr>
                <w:sz w:val="20"/>
                <w:szCs w:val="20"/>
                <w:color w:val="auto"/>
              </w:rPr>
            </w:pPr>
            <w:r>
              <w:rPr>
                <w:rFonts w:ascii="Arial" w:cs="Arial" w:eastAsia="Arial" w:hAnsi="Arial"/>
                <w:sz w:val="18"/>
                <w:szCs w:val="18"/>
                <w:b w:val="1"/>
                <w:bCs w:val="1"/>
                <w:color w:val="auto"/>
              </w:rPr>
              <w:t>Item 8.  Financial Statements and Supplementary Data</w:t>
            </w: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394"/>
        </w:trPr>
        <w:tc>
          <w:tcPr>
            <w:tcW w:w="1140" w:type="dxa"/>
            <w:vAlign w:val="bottom"/>
          </w:tcPr>
          <w:p>
            <w:pPr>
              <w:spacing w:after="0"/>
              <w:rPr>
                <w:sz w:val="24"/>
                <w:szCs w:val="24"/>
                <w:color w:val="auto"/>
              </w:rPr>
            </w:pPr>
          </w:p>
        </w:tc>
        <w:tc>
          <w:tcPr>
            <w:tcW w:w="7360" w:type="dxa"/>
            <w:vAlign w:val="bottom"/>
            <w:tcBorders>
              <w:bottom w:val="single" w:sz="8" w:color="0000EE"/>
            </w:tcBorders>
            <w:gridSpan w:val="10"/>
          </w:tcPr>
          <w:p>
            <w:pPr>
              <w:spacing w:after="0"/>
              <w:rPr>
                <w:rFonts w:ascii="Arial" w:cs="Arial" w:eastAsia="Arial" w:hAnsi="Arial"/>
                <w:sz w:val="18"/>
                <w:szCs w:val="18"/>
                <w:color w:val="0000EE"/>
                <w:w w:val="89"/>
              </w:rPr>
            </w:pPr>
            <w:hyperlink w:anchor="page87">
              <w:r>
                <w:rPr>
                  <w:rFonts w:ascii="Arial" w:cs="Arial" w:eastAsia="Arial" w:hAnsi="Arial"/>
                  <w:sz w:val="18"/>
                  <w:szCs w:val="18"/>
                  <w:color w:val="0000EE"/>
                  <w:w w:val="89"/>
                </w:rPr>
                <w:t>Report of Independent Registered Public Accounting Firm on Internal Control Over Financial Reporting</w:t>
              </w:r>
            </w:hyperlink>
          </w:p>
        </w:tc>
        <w:tc>
          <w:tcPr>
            <w:tcW w:w="1440" w:type="dxa"/>
            <w:vAlign w:val="bottom"/>
          </w:tcPr>
          <w:p>
            <w:pPr>
              <w:spacing w:after="0"/>
              <w:rPr>
                <w:sz w:val="24"/>
                <w:szCs w:val="24"/>
                <w:color w:val="auto"/>
              </w:rPr>
            </w:pPr>
          </w:p>
        </w:tc>
        <w:tc>
          <w:tcPr>
            <w:tcW w:w="180" w:type="dxa"/>
            <w:vAlign w:val="bottom"/>
            <w:tcBorders>
              <w:bottom w:val="single" w:sz="8" w:color="0000EE"/>
            </w:tcBorders>
          </w:tcPr>
          <w:p>
            <w:pPr>
              <w:jc w:val="right"/>
              <w:spacing w:after="0"/>
              <w:rPr>
                <w:rFonts w:ascii="Arial" w:cs="Arial" w:eastAsia="Arial" w:hAnsi="Arial"/>
                <w:sz w:val="18"/>
                <w:szCs w:val="18"/>
                <w:color w:val="0000EE"/>
                <w:w w:val="79"/>
              </w:rPr>
            </w:pPr>
            <w:hyperlink w:anchor="page87">
              <w:r>
                <w:rPr>
                  <w:rFonts w:ascii="Arial" w:cs="Arial" w:eastAsia="Arial" w:hAnsi="Arial"/>
                  <w:sz w:val="18"/>
                  <w:szCs w:val="18"/>
                  <w:color w:val="0000EE"/>
                  <w:w w:val="79"/>
                </w:rPr>
                <w:t>84</w:t>
              </w:r>
            </w:hyperlink>
          </w:p>
        </w:tc>
        <w:tc>
          <w:tcPr>
            <w:tcW w:w="1300" w:type="dxa"/>
            <w:vAlign w:val="bottom"/>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8800" w:type="dxa"/>
            <w:vAlign w:val="bottom"/>
            <w:gridSpan w:val="11"/>
          </w:tcPr>
          <w:p>
            <w:pPr>
              <w:spacing w:after="0" w:line="196" w:lineRule="exact"/>
              <w:rPr>
                <w:rFonts w:ascii="Arial" w:cs="Arial" w:eastAsia="Arial" w:hAnsi="Arial"/>
                <w:sz w:val="18"/>
                <w:szCs w:val="18"/>
                <w:color w:val="0000EE"/>
              </w:rPr>
            </w:pPr>
            <w:hyperlink w:anchor="page88">
              <w:r>
                <w:rPr>
                  <w:rFonts w:ascii="Arial" w:cs="Arial" w:eastAsia="Arial" w:hAnsi="Arial"/>
                  <w:sz w:val="18"/>
                  <w:szCs w:val="18"/>
                  <w:color w:val="0000EE"/>
                </w:rPr>
                <w:t>Report of Independent Registered Public Accounting Firm</w:t>
              </w:r>
            </w:hyperlink>
          </w:p>
        </w:tc>
        <w:tc>
          <w:tcPr>
            <w:tcW w:w="1480" w:type="dxa"/>
            <w:vAlign w:val="bottom"/>
            <w:gridSpan w:val="2"/>
          </w:tcPr>
          <w:p>
            <w:pPr>
              <w:jc w:val="right"/>
              <w:ind w:right="1300"/>
              <w:spacing w:after="0" w:line="196" w:lineRule="exact"/>
              <w:rPr>
                <w:rFonts w:ascii="Arial" w:cs="Arial" w:eastAsia="Arial" w:hAnsi="Arial"/>
                <w:sz w:val="18"/>
                <w:szCs w:val="18"/>
                <w:color w:val="0000EE"/>
                <w:w w:val="79"/>
              </w:rPr>
            </w:pPr>
            <w:hyperlink w:anchor="page88">
              <w:r>
                <w:rPr>
                  <w:rFonts w:ascii="Arial" w:cs="Arial" w:eastAsia="Arial" w:hAnsi="Arial"/>
                  <w:sz w:val="18"/>
                  <w:szCs w:val="18"/>
                  <w:color w:val="0000EE"/>
                  <w:w w:val="79"/>
                </w:rPr>
                <w:t>85</w:t>
              </w:r>
            </w:hyperlink>
          </w:p>
        </w:tc>
      </w:tr>
      <w:tr>
        <w:trPr>
          <w:trHeight w:val="228"/>
        </w:trPr>
        <w:tc>
          <w:tcPr>
            <w:tcW w:w="1140" w:type="dxa"/>
            <w:vAlign w:val="bottom"/>
          </w:tcPr>
          <w:p>
            <w:pPr>
              <w:spacing w:after="0"/>
              <w:rPr>
                <w:sz w:val="19"/>
                <w:szCs w:val="19"/>
                <w:color w:val="auto"/>
              </w:rPr>
            </w:pPr>
          </w:p>
        </w:tc>
        <w:tc>
          <w:tcPr>
            <w:tcW w:w="4120" w:type="dxa"/>
            <w:vAlign w:val="bottom"/>
            <w:tcBorders>
              <w:top w:val="single" w:sz="8" w:color="0000EE"/>
            </w:tcBorders>
            <w:gridSpan w:val="9"/>
          </w:tcPr>
          <w:p>
            <w:pPr>
              <w:spacing w:after="0"/>
              <w:rPr>
                <w:sz w:val="20"/>
                <w:szCs w:val="20"/>
                <w:color w:val="auto"/>
              </w:rPr>
            </w:pPr>
            <w:r>
              <w:rPr>
                <w:rFonts w:ascii="Arial" w:cs="Arial" w:eastAsia="Arial" w:hAnsi="Arial"/>
                <w:sz w:val="18"/>
                <w:szCs w:val="18"/>
                <w:color w:val="auto"/>
              </w:rPr>
              <w:t>Audited Consolidated Financial Statements</w:t>
            </w:r>
          </w:p>
        </w:tc>
        <w:tc>
          <w:tcPr>
            <w:tcW w:w="4680" w:type="dxa"/>
            <w:vAlign w:val="bottom"/>
            <w:gridSpan w:val="2"/>
          </w:tcPr>
          <w:p>
            <w:pPr>
              <w:spacing w:after="0"/>
              <w:rPr>
                <w:sz w:val="19"/>
                <w:szCs w:val="19"/>
                <w:color w:val="auto"/>
              </w:rPr>
            </w:pPr>
          </w:p>
        </w:tc>
        <w:tc>
          <w:tcPr>
            <w:tcW w:w="180" w:type="dxa"/>
            <w:vAlign w:val="bottom"/>
            <w:tcBorders>
              <w:top w:val="single" w:sz="8" w:color="0000EE"/>
            </w:tcBorders>
          </w:tcPr>
          <w:p>
            <w:pPr>
              <w:spacing w:after="0"/>
              <w:rPr>
                <w:sz w:val="19"/>
                <w:szCs w:val="19"/>
                <w:color w:val="auto"/>
              </w:rPr>
            </w:pPr>
          </w:p>
        </w:tc>
        <w:tc>
          <w:tcPr>
            <w:tcW w:w="1300" w:type="dxa"/>
            <w:vAlign w:val="bottom"/>
          </w:tcPr>
          <w:p>
            <w:pPr>
              <w:spacing w:after="0"/>
              <w:rPr>
                <w:sz w:val="19"/>
                <w:szCs w:val="19"/>
                <w:color w:val="auto"/>
              </w:rPr>
            </w:pPr>
          </w:p>
        </w:tc>
      </w:tr>
      <w:tr>
        <w:trPr>
          <w:trHeight w:val="184"/>
        </w:trPr>
        <w:tc>
          <w:tcPr>
            <w:tcW w:w="1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40" w:type="dxa"/>
            <w:vAlign w:val="bottom"/>
            <w:tcBorders>
              <w:bottom w:val="single" w:sz="8" w:color="0000EE"/>
            </w:tcBorders>
            <w:gridSpan w:val="4"/>
          </w:tcPr>
          <w:p>
            <w:pPr>
              <w:spacing w:after="0" w:line="184" w:lineRule="exact"/>
              <w:rPr>
                <w:rFonts w:ascii="Arial" w:cs="Arial" w:eastAsia="Arial" w:hAnsi="Arial"/>
                <w:sz w:val="18"/>
                <w:szCs w:val="18"/>
                <w:color w:val="0000EE"/>
                <w:w w:val="87"/>
              </w:rPr>
            </w:pPr>
            <w:hyperlink w:anchor="page89">
              <w:r>
                <w:rPr>
                  <w:rFonts w:ascii="Arial" w:cs="Arial" w:eastAsia="Arial" w:hAnsi="Arial"/>
                  <w:sz w:val="18"/>
                  <w:szCs w:val="18"/>
                  <w:color w:val="0000EE"/>
                  <w:w w:val="87"/>
                </w:rPr>
                <w:t>Consolidated Statements of Financial Position</w:t>
              </w:r>
            </w:hyperlink>
          </w:p>
        </w:tc>
        <w:tc>
          <w:tcPr>
            <w:tcW w:w="5360" w:type="dxa"/>
            <w:vAlign w:val="bottom"/>
            <w:gridSpan w:val="5"/>
          </w:tcPr>
          <w:p>
            <w:pPr>
              <w:spacing w:after="0"/>
              <w:rPr>
                <w:sz w:val="15"/>
                <w:szCs w:val="15"/>
                <w:color w:val="auto"/>
              </w:rPr>
            </w:pPr>
          </w:p>
        </w:tc>
        <w:tc>
          <w:tcPr>
            <w:tcW w:w="180" w:type="dxa"/>
            <w:vAlign w:val="bottom"/>
            <w:tcBorders>
              <w:bottom w:val="single" w:sz="8" w:color="0000EE"/>
            </w:tcBorders>
          </w:tcPr>
          <w:p>
            <w:pPr>
              <w:jc w:val="right"/>
              <w:spacing w:after="0" w:line="184" w:lineRule="exact"/>
              <w:rPr>
                <w:rFonts w:ascii="Arial" w:cs="Arial" w:eastAsia="Arial" w:hAnsi="Arial"/>
                <w:sz w:val="18"/>
                <w:szCs w:val="18"/>
                <w:color w:val="0000EE"/>
                <w:w w:val="79"/>
              </w:rPr>
            </w:pPr>
            <w:hyperlink w:anchor="page89">
              <w:r>
                <w:rPr>
                  <w:rFonts w:ascii="Arial" w:cs="Arial" w:eastAsia="Arial" w:hAnsi="Arial"/>
                  <w:sz w:val="18"/>
                  <w:szCs w:val="18"/>
                  <w:color w:val="0000EE"/>
                  <w:w w:val="79"/>
                </w:rPr>
                <w:t>86</w:t>
              </w:r>
            </w:hyperlink>
          </w:p>
        </w:tc>
        <w:tc>
          <w:tcPr>
            <w:tcW w:w="1300" w:type="dxa"/>
            <w:vAlign w:val="bottom"/>
          </w:tcPr>
          <w:p>
            <w:pPr>
              <w:spacing w:after="0"/>
              <w:rPr>
                <w:sz w:val="15"/>
                <w:szCs w:val="15"/>
                <w:color w:val="auto"/>
              </w:rPr>
            </w:pPr>
          </w:p>
        </w:tc>
      </w:tr>
      <w:tr>
        <w:trPr>
          <w:trHeight w:val="196"/>
        </w:trPr>
        <w:tc>
          <w:tcPr>
            <w:tcW w:w="1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740" w:type="dxa"/>
            <w:vAlign w:val="bottom"/>
            <w:tcBorders>
              <w:bottom w:val="single" w:sz="8" w:color="0000EE"/>
            </w:tcBorders>
          </w:tcPr>
          <w:p>
            <w:pPr>
              <w:spacing w:after="0" w:line="196" w:lineRule="exact"/>
              <w:rPr>
                <w:rFonts w:ascii="Arial" w:cs="Arial" w:eastAsia="Arial" w:hAnsi="Arial"/>
                <w:sz w:val="18"/>
                <w:szCs w:val="18"/>
                <w:color w:val="0000EE"/>
                <w:w w:val="86"/>
              </w:rPr>
            </w:pPr>
            <w:hyperlink w:anchor="page90">
              <w:r>
                <w:rPr>
                  <w:rFonts w:ascii="Arial" w:cs="Arial" w:eastAsia="Arial" w:hAnsi="Arial"/>
                  <w:sz w:val="18"/>
                  <w:szCs w:val="18"/>
                  <w:color w:val="0000EE"/>
                  <w:w w:val="86"/>
                </w:rPr>
                <w:t>Consolidated Statements of Operations</w:t>
              </w:r>
            </w:hyperlink>
          </w:p>
        </w:tc>
        <w:tc>
          <w:tcPr>
            <w:tcW w:w="5860" w:type="dxa"/>
            <w:vAlign w:val="bottom"/>
            <w:gridSpan w:val="8"/>
          </w:tcPr>
          <w:p>
            <w:pPr>
              <w:spacing w:after="0"/>
              <w:rPr>
                <w:sz w:val="17"/>
                <w:szCs w:val="17"/>
                <w:color w:val="auto"/>
              </w:rPr>
            </w:pPr>
          </w:p>
        </w:tc>
        <w:tc>
          <w:tcPr>
            <w:tcW w:w="180" w:type="dxa"/>
            <w:vAlign w:val="bottom"/>
            <w:tcBorders>
              <w:bottom w:val="single" w:sz="8" w:color="0000EE"/>
            </w:tcBorders>
          </w:tcPr>
          <w:p>
            <w:pPr>
              <w:jc w:val="right"/>
              <w:spacing w:after="0" w:line="196" w:lineRule="exact"/>
              <w:rPr>
                <w:rFonts w:ascii="Arial" w:cs="Arial" w:eastAsia="Arial" w:hAnsi="Arial"/>
                <w:sz w:val="18"/>
                <w:szCs w:val="18"/>
                <w:color w:val="0000EE"/>
                <w:w w:val="79"/>
              </w:rPr>
            </w:pPr>
            <w:hyperlink w:anchor="page90">
              <w:r>
                <w:rPr>
                  <w:rFonts w:ascii="Arial" w:cs="Arial" w:eastAsia="Arial" w:hAnsi="Arial"/>
                  <w:sz w:val="18"/>
                  <w:szCs w:val="18"/>
                  <w:color w:val="0000EE"/>
                  <w:w w:val="79"/>
                </w:rPr>
                <w:t>87</w:t>
              </w:r>
            </w:hyperlink>
          </w:p>
        </w:tc>
        <w:tc>
          <w:tcPr>
            <w:tcW w:w="1300" w:type="dxa"/>
            <w:vAlign w:val="bottom"/>
          </w:tcPr>
          <w:p>
            <w:pPr>
              <w:spacing w:after="0"/>
              <w:rPr>
                <w:sz w:val="17"/>
                <w:szCs w:val="17"/>
                <w:color w:val="auto"/>
              </w:rPr>
            </w:pPr>
          </w:p>
        </w:tc>
      </w:tr>
      <w:tr>
        <w:trPr>
          <w:trHeight w:val="196"/>
        </w:trPr>
        <w:tc>
          <w:tcPr>
            <w:tcW w:w="1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40" w:type="dxa"/>
            <w:vAlign w:val="bottom"/>
            <w:tcBorders>
              <w:bottom w:val="single" w:sz="8" w:color="0000EE"/>
            </w:tcBorders>
            <w:gridSpan w:val="6"/>
          </w:tcPr>
          <w:p>
            <w:pPr>
              <w:spacing w:after="0" w:line="196" w:lineRule="exact"/>
              <w:rPr>
                <w:rFonts w:ascii="Arial" w:cs="Arial" w:eastAsia="Arial" w:hAnsi="Arial"/>
                <w:sz w:val="18"/>
                <w:szCs w:val="18"/>
                <w:color w:val="0000EE"/>
                <w:w w:val="86"/>
              </w:rPr>
            </w:pPr>
            <w:hyperlink w:anchor="page91">
              <w:r>
                <w:rPr>
                  <w:rFonts w:ascii="Arial" w:cs="Arial" w:eastAsia="Arial" w:hAnsi="Arial"/>
                  <w:sz w:val="18"/>
                  <w:szCs w:val="18"/>
                  <w:color w:val="0000EE"/>
                  <w:w w:val="86"/>
                </w:rPr>
                <w:t>Consolidated Statements of Comprehensive Income</w:t>
              </w:r>
            </w:hyperlink>
          </w:p>
        </w:tc>
        <w:tc>
          <w:tcPr>
            <w:tcW w:w="4960" w:type="dxa"/>
            <w:vAlign w:val="bottom"/>
            <w:gridSpan w:val="3"/>
          </w:tcPr>
          <w:p>
            <w:pPr>
              <w:spacing w:after="0"/>
              <w:rPr>
                <w:sz w:val="17"/>
                <w:szCs w:val="17"/>
                <w:color w:val="auto"/>
              </w:rPr>
            </w:pPr>
          </w:p>
        </w:tc>
        <w:tc>
          <w:tcPr>
            <w:tcW w:w="180" w:type="dxa"/>
            <w:vAlign w:val="bottom"/>
            <w:tcBorders>
              <w:bottom w:val="single" w:sz="8" w:color="0000EE"/>
            </w:tcBorders>
          </w:tcPr>
          <w:p>
            <w:pPr>
              <w:jc w:val="right"/>
              <w:spacing w:after="0" w:line="196" w:lineRule="exact"/>
              <w:rPr>
                <w:rFonts w:ascii="Arial" w:cs="Arial" w:eastAsia="Arial" w:hAnsi="Arial"/>
                <w:sz w:val="18"/>
                <w:szCs w:val="18"/>
                <w:color w:val="0000EE"/>
                <w:w w:val="79"/>
              </w:rPr>
            </w:pPr>
            <w:hyperlink w:anchor="page91">
              <w:r>
                <w:rPr>
                  <w:rFonts w:ascii="Arial" w:cs="Arial" w:eastAsia="Arial" w:hAnsi="Arial"/>
                  <w:sz w:val="18"/>
                  <w:szCs w:val="18"/>
                  <w:color w:val="0000EE"/>
                  <w:w w:val="79"/>
                </w:rPr>
                <w:t>88</w:t>
              </w:r>
            </w:hyperlink>
          </w:p>
        </w:tc>
        <w:tc>
          <w:tcPr>
            <w:tcW w:w="1300" w:type="dxa"/>
            <w:vAlign w:val="bottom"/>
          </w:tcPr>
          <w:p>
            <w:pPr>
              <w:spacing w:after="0"/>
              <w:rPr>
                <w:sz w:val="17"/>
                <w:szCs w:val="17"/>
                <w:color w:val="auto"/>
              </w:rPr>
            </w:pPr>
          </w:p>
        </w:tc>
      </w:tr>
      <w:tr>
        <w:trPr>
          <w:trHeight w:val="196"/>
        </w:trPr>
        <w:tc>
          <w:tcPr>
            <w:tcW w:w="1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600" w:type="dxa"/>
            <w:vAlign w:val="bottom"/>
            <w:gridSpan w:val="9"/>
          </w:tcPr>
          <w:p>
            <w:pPr>
              <w:spacing w:after="0" w:line="196" w:lineRule="exact"/>
              <w:rPr>
                <w:rFonts w:ascii="Arial" w:cs="Arial" w:eastAsia="Arial" w:hAnsi="Arial"/>
                <w:sz w:val="18"/>
                <w:szCs w:val="18"/>
                <w:color w:val="0000EE"/>
              </w:rPr>
            </w:pPr>
            <w:hyperlink w:anchor="page92">
              <w:r>
                <w:rPr>
                  <w:rFonts w:ascii="Arial" w:cs="Arial" w:eastAsia="Arial" w:hAnsi="Arial"/>
                  <w:sz w:val="18"/>
                  <w:szCs w:val="18"/>
                  <w:color w:val="0000EE"/>
                </w:rPr>
                <w:t>Consolidated Statements of Stockholders' Equity</w:t>
              </w:r>
            </w:hyperlink>
          </w:p>
        </w:tc>
        <w:tc>
          <w:tcPr>
            <w:tcW w:w="1480" w:type="dxa"/>
            <w:vAlign w:val="bottom"/>
            <w:gridSpan w:val="2"/>
          </w:tcPr>
          <w:p>
            <w:pPr>
              <w:jc w:val="right"/>
              <w:ind w:right="1300"/>
              <w:spacing w:after="0" w:line="196" w:lineRule="exact"/>
              <w:rPr>
                <w:rFonts w:ascii="Arial" w:cs="Arial" w:eastAsia="Arial" w:hAnsi="Arial"/>
                <w:sz w:val="18"/>
                <w:szCs w:val="18"/>
                <w:color w:val="0000EE"/>
                <w:w w:val="79"/>
              </w:rPr>
            </w:pPr>
            <w:hyperlink w:anchor="page92">
              <w:r>
                <w:rPr>
                  <w:rFonts w:ascii="Arial" w:cs="Arial" w:eastAsia="Arial" w:hAnsi="Arial"/>
                  <w:sz w:val="18"/>
                  <w:szCs w:val="18"/>
                  <w:color w:val="0000EE"/>
                  <w:w w:val="79"/>
                </w:rPr>
                <w:t>89</w:t>
              </w:r>
            </w:hyperlink>
          </w:p>
        </w:tc>
      </w:tr>
      <w:tr>
        <w:trPr>
          <w:trHeight w:val="196"/>
        </w:trPr>
        <w:tc>
          <w:tcPr>
            <w:tcW w:w="1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20" w:type="dxa"/>
            <w:vAlign w:val="bottom"/>
            <w:tcBorders>
              <w:top w:val="single" w:sz="8" w:color="0000EE"/>
            </w:tcBorders>
            <w:gridSpan w:val="5"/>
          </w:tcPr>
          <w:p>
            <w:pPr>
              <w:spacing w:after="0" w:line="196" w:lineRule="exact"/>
              <w:rPr>
                <w:rFonts w:ascii="Arial" w:cs="Arial" w:eastAsia="Arial" w:hAnsi="Arial"/>
                <w:sz w:val="18"/>
                <w:szCs w:val="18"/>
                <w:color w:val="0000EE"/>
              </w:rPr>
            </w:pPr>
            <w:hyperlink w:anchor="page94">
              <w:r>
                <w:rPr>
                  <w:rFonts w:ascii="Arial" w:cs="Arial" w:eastAsia="Arial" w:hAnsi="Arial"/>
                  <w:sz w:val="18"/>
                  <w:szCs w:val="18"/>
                  <w:color w:val="0000EE"/>
                </w:rPr>
                <w:t>Consolidated Statements of Cash Flows</w:t>
              </w:r>
            </w:hyperlink>
          </w:p>
        </w:tc>
        <w:tc>
          <w:tcPr>
            <w:tcW w:w="5180" w:type="dxa"/>
            <w:vAlign w:val="bottom"/>
            <w:gridSpan w:val="4"/>
          </w:tcPr>
          <w:p>
            <w:pPr>
              <w:spacing w:after="0"/>
              <w:rPr>
                <w:sz w:val="17"/>
                <w:szCs w:val="17"/>
                <w:color w:val="auto"/>
              </w:rPr>
            </w:pPr>
          </w:p>
        </w:tc>
        <w:tc>
          <w:tcPr>
            <w:tcW w:w="180" w:type="dxa"/>
            <w:vAlign w:val="bottom"/>
            <w:tcBorders>
              <w:top w:val="single" w:sz="8" w:color="0000EE"/>
            </w:tcBorders>
          </w:tcPr>
          <w:p>
            <w:pPr>
              <w:jc w:val="right"/>
              <w:spacing w:after="0" w:line="196" w:lineRule="exact"/>
              <w:rPr>
                <w:rFonts w:ascii="Arial" w:cs="Arial" w:eastAsia="Arial" w:hAnsi="Arial"/>
                <w:sz w:val="18"/>
                <w:szCs w:val="18"/>
                <w:color w:val="0000EE"/>
                <w:w w:val="79"/>
              </w:rPr>
            </w:pPr>
            <w:hyperlink w:anchor="page94">
              <w:r>
                <w:rPr>
                  <w:rFonts w:ascii="Arial" w:cs="Arial" w:eastAsia="Arial" w:hAnsi="Arial"/>
                  <w:sz w:val="18"/>
                  <w:szCs w:val="18"/>
                  <w:color w:val="0000EE"/>
                  <w:w w:val="79"/>
                </w:rPr>
                <w:t>90</w:t>
              </w:r>
            </w:hyperlink>
          </w:p>
        </w:tc>
        <w:tc>
          <w:tcPr>
            <w:tcW w:w="1300" w:type="dxa"/>
            <w:vAlign w:val="bottom"/>
          </w:tcPr>
          <w:p>
            <w:pPr>
              <w:spacing w:after="0"/>
              <w:rPr>
                <w:sz w:val="17"/>
                <w:szCs w:val="17"/>
                <w:color w:val="auto"/>
              </w:rPr>
            </w:pPr>
          </w:p>
        </w:tc>
      </w:tr>
      <w:tr>
        <w:trPr>
          <w:trHeight w:val="20"/>
        </w:trPr>
        <w:tc>
          <w:tcPr>
            <w:tcW w:w="1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right w:val="single" w:sz="8" w:color="0000EE"/>
            </w:tcBorders>
          </w:tcPr>
          <w:p>
            <w:pPr>
              <w:spacing w:after="0" w:line="20" w:lineRule="exact"/>
              <w:rPr>
                <w:sz w:val="1"/>
                <w:szCs w:val="1"/>
                <w:color w:val="auto"/>
              </w:rPr>
            </w:pPr>
          </w:p>
        </w:tc>
        <w:tc>
          <w:tcPr>
            <w:tcW w:w="2780" w:type="dxa"/>
            <w:vAlign w:val="bottom"/>
            <w:gridSpan w:val="2"/>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540" w:type="dxa"/>
            <w:vAlign w:val="bottom"/>
            <w:gridSpan w:val="6"/>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600" w:type="dxa"/>
            <w:vAlign w:val="bottom"/>
            <w:gridSpan w:val="9"/>
          </w:tcPr>
          <w:p>
            <w:pPr>
              <w:spacing w:after="0" w:line="196" w:lineRule="exact"/>
              <w:rPr>
                <w:rFonts w:ascii="Arial" w:cs="Arial" w:eastAsia="Arial" w:hAnsi="Arial"/>
                <w:sz w:val="18"/>
                <w:szCs w:val="18"/>
                <w:color w:val="0000EE"/>
              </w:rPr>
            </w:pPr>
            <w:hyperlink w:anchor="page95">
              <w:r>
                <w:rPr>
                  <w:rFonts w:ascii="Arial" w:cs="Arial" w:eastAsia="Arial" w:hAnsi="Arial"/>
                  <w:sz w:val="18"/>
                  <w:szCs w:val="18"/>
                  <w:color w:val="0000EE"/>
                </w:rPr>
                <w:t>Notes to Consolidated Financial Statements</w:t>
              </w:r>
            </w:hyperlink>
          </w:p>
        </w:tc>
        <w:tc>
          <w:tcPr>
            <w:tcW w:w="1480" w:type="dxa"/>
            <w:vAlign w:val="bottom"/>
            <w:gridSpan w:val="2"/>
          </w:tcPr>
          <w:p>
            <w:pPr>
              <w:jc w:val="right"/>
              <w:ind w:right="1300"/>
              <w:spacing w:after="0" w:line="196" w:lineRule="exact"/>
              <w:rPr>
                <w:rFonts w:ascii="Arial" w:cs="Arial" w:eastAsia="Arial" w:hAnsi="Arial"/>
                <w:sz w:val="18"/>
                <w:szCs w:val="18"/>
                <w:color w:val="0000EE"/>
                <w:w w:val="79"/>
              </w:rPr>
            </w:pPr>
            <w:hyperlink w:anchor="page95">
              <w:r>
                <w:rPr>
                  <w:rFonts w:ascii="Arial" w:cs="Arial" w:eastAsia="Arial" w:hAnsi="Arial"/>
                  <w:sz w:val="18"/>
                  <w:szCs w:val="18"/>
                  <w:color w:val="0000EE"/>
                  <w:w w:val="79"/>
                </w:rPr>
                <w:t>91</w:t>
              </w:r>
            </w:hyperlink>
          </w:p>
        </w:tc>
      </w:tr>
      <w:tr>
        <w:trPr>
          <w:trHeight w:val="451"/>
        </w:trPr>
        <w:tc>
          <w:tcPr>
            <w:tcW w:w="1340" w:type="dxa"/>
            <w:vAlign w:val="bottom"/>
            <w:gridSpan w:val="3"/>
          </w:tcPr>
          <w:p>
            <w:pPr>
              <w:spacing w:after="0"/>
              <w:rPr>
                <w:sz w:val="24"/>
                <w:szCs w:val="24"/>
                <w:color w:val="auto"/>
              </w:rPr>
            </w:pPr>
          </w:p>
        </w:tc>
        <w:tc>
          <w:tcPr>
            <w:tcW w:w="3060" w:type="dxa"/>
            <w:vAlign w:val="bottom"/>
            <w:tcBorders>
              <w:top w:val="single" w:sz="8" w:color="0000EE"/>
            </w:tcBorders>
            <w:gridSpan w:val="3"/>
          </w:tcPr>
          <w:p>
            <w:pPr>
              <w:spacing w:after="0"/>
              <w:rPr>
                <w:sz w:val="24"/>
                <w:szCs w:val="24"/>
                <w:color w:val="auto"/>
              </w:rPr>
            </w:pPr>
          </w:p>
        </w:tc>
        <w:tc>
          <w:tcPr>
            <w:tcW w:w="4100" w:type="dxa"/>
            <w:vAlign w:val="bottom"/>
            <w:gridSpan w:val="5"/>
          </w:tcPr>
          <w:p>
            <w:pPr>
              <w:jc w:val="right"/>
              <w:ind w:right="2700"/>
              <w:spacing w:after="0"/>
              <w:rPr>
                <w:sz w:val="20"/>
                <w:szCs w:val="20"/>
                <w:color w:val="auto"/>
              </w:rPr>
            </w:pPr>
            <w:r>
              <w:rPr>
                <w:rFonts w:ascii="Arial" w:cs="Arial" w:eastAsia="Arial" w:hAnsi="Arial"/>
                <w:sz w:val="18"/>
                <w:szCs w:val="18"/>
                <w:color w:val="auto"/>
              </w:rPr>
              <w:t>83</w:t>
            </w:r>
          </w:p>
        </w:tc>
        <w:tc>
          <w:tcPr>
            <w:tcW w:w="1440" w:type="dxa"/>
            <w:vAlign w:val="bottom"/>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1300" w:type="dxa"/>
            <w:vAlign w:val="bottom"/>
          </w:tcPr>
          <w:p>
            <w:pPr>
              <w:spacing w:after="0"/>
              <w:rPr>
                <w:sz w:val="24"/>
                <w:szCs w:val="24"/>
                <w:color w:val="auto"/>
              </w:rPr>
            </w:pPr>
          </w:p>
        </w:tc>
      </w:tr>
      <w:tr>
        <w:trPr>
          <w:trHeight w:val="228"/>
        </w:trPr>
        <w:tc>
          <w:tcPr>
            <w:tcW w:w="11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274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3240" w:type="dxa"/>
            <w:vAlign w:val="bottom"/>
            <w:tcBorders>
              <w:bottom w:val="single" w:sz="8" w:color="808080"/>
            </w:tcBorders>
          </w:tcPr>
          <w:p>
            <w:pPr>
              <w:spacing w:after="0"/>
              <w:rPr>
                <w:sz w:val="19"/>
                <w:szCs w:val="19"/>
                <w:color w:val="auto"/>
              </w:rPr>
            </w:pPr>
          </w:p>
        </w:tc>
        <w:tc>
          <w:tcPr>
            <w:tcW w:w="144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130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08" w:right="239" w:bottom="1440" w:gutter="0" w:footer="0" w:header="0"/>
        </w:sectPr>
      </w:pPr>
    </w:p>
    <w:bookmarkStart w:id="86" w:name="page87"/>
    <w:bookmarkEnd w:id="8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on Internal Control Over Financial Reporting</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The Board of Directors and Stockholders</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Group, Inc.</w:t>
      </w:r>
    </w:p>
    <w:p>
      <w:pPr>
        <w:spacing w:after="0" w:line="219" w:lineRule="exact"/>
        <w:rPr>
          <w:sz w:val="20"/>
          <w:szCs w:val="20"/>
          <w:color w:val="auto"/>
        </w:rPr>
      </w:pPr>
    </w:p>
    <w:p>
      <w:pPr>
        <w:jc w:val="both"/>
        <w:ind w:firstLine="471"/>
        <w:spacing w:after="0" w:line="294" w:lineRule="auto"/>
        <w:rPr>
          <w:sz w:val="20"/>
          <w:szCs w:val="20"/>
          <w:color w:val="auto"/>
        </w:rPr>
      </w:pPr>
      <w:r>
        <w:rPr>
          <w:rFonts w:ascii="Arial" w:cs="Arial" w:eastAsia="Arial" w:hAnsi="Arial"/>
          <w:sz w:val="16"/>
          <w:szCs w:val="16"/>
          <w:color w:val="auto"/>
        </w:rPr>
        <w:t>We have audited Principal Financial Group, Inc.'s (the "Company") internal control over financial reporting as of December 31, 2013, based on criteria established in Internal Control — Integrated Framework issued by the Committee of Sponsoring Organizations of the Treadway Commission (1992 framework) ("the COSO criteria"). The Company's management is responsible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 Company's internal control over financial reporting based on our audit.</w:t>
      </w:r>
    </w:p>
    <w:p>
      <w:pPr>
        <w:spacing w:after="0" w:line="170" w:lineRule="exact"/>
        <w:rPr>
          <w:sz w:val="20"/>
          <w:szCs w:val="20"/>
          <w:color w:val="auto"/>
        </w:rPr>
      </w:pPr>
    </w:p>
    <w:p>
      <w:pPr>
        <w:jc w:val="both"/>
        <w:ind w:firstLine="385"/>
        <w:spacing w:after="0" w:line="294" w:lineRule="auto"/>
        <w:rPr>
          <w:sz w:val="20"/>
          <w:szCs w:val="20"/>
          <w:color w:val="auto"/>
        </w:rPr>
      </w:pPr>
      <w:r>
        <w:rPr>
          <w:rFonts w:ascii="Arial" w:cs="Arial" w:eastAsia="Arial" w:hAnsi="Arial"/>
          <w:sz w:val="16"/>
          <w:szCs w:val="16"/>
          <w:color w:val="auto"/>
        </w:rPr>
        <w:t>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w:t>
      </w:r>
    </w:p>
    <w:p>
      <w:pPr>
        <w:spacing w:after="0" w:line="170" w:lineRule="exact"/>
        <w:rPr>
          <w:sz w:val="20"/>
          <w:szCs w:val="20"/>
          <w:color w:val="auto"/>
        </w:rPr>
      </w:pPr>
    </w:p>
    <w:p>
      <w:pPr>
        <w:jc w:val="both"/>
        <w:ind w:firstLine="423"/>
        <w:spacing w:after="0" w:line="290"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72" w:lineRule="exact"/>
        <w:rPr>
          <w:sz w:val="20"/>
          <w:szCs w:val="20"/>
          <w:color w:val="auto"/>
        </w:rPr>
      </w:pPr>
    </w:p>
    <w:p>
      <w:pPr>
        <w:jc w:val="both"/>
        <w:ind w:firstLine="400"/>
        <w:spacing w:after="0" w:line="259"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94" w:lineRule="exact"/>
        <w:rPr>
          <w:sz w:val="20"/>
          <w:szCs w:val="20"/>
          <w:color w:val="auto"/>
        </w:rPr>
      </w:pPr>
    </w:p>
    <w:p>
      <w:pPr>
        <w:jc w:val="both"/>
        <w:ind w:right="20" w:firstLine="448"/>
        <w:spacing w:after="0" w:line="268" w:lineRule="auto"/>
        <w:rPr>
          <w:sz w:val="20"/>
          <w:szCs w:val="20"/>
          <w:color w:val="auto"/>
        </w:rPr>
      </w:pPr>
      <w:r>
        <w:rPr>
          <w:rFonts w:ascii="Arial" w:cs="Arial" w:eastAsia="Arial" w:hAnsi="Arial"/>
          <w:sz w:val="18"/>
          <w:szCs w:val="18"/>
          <w:color w:val="auto"/>
        </w:rPr>
        <w:t>In our opinion, Principal Financial Group, Inc. maintained, in all material respects, effective internal control over financial reporting as of December 31, 2013, based on the COSO criteria.</w:t>
      </w:r>
    </w:p>
    <w:p>
      <w:pPr>
        <w:spacing w:after="0" w:line="186" w:lineRule="exact"/>
        <w:rPr>
          <w:sz w:val="20"/>
          <w:szCs w:val="20"/>
          <w:color w:val="auto"/>
        </w:rPr>
      </w:pPr>
    </w:p>
    <w:p>
      <w:pPr>
        <w:jc w:val="both"/>
        <w:ind w:firstLine="385"/>
        <w:spacing w:after="0" w:line="256" w:lineRule="auto"/>
        <w:rPr>
          <w:sz w:val="20"/>
          <w:szCs w:val="20"/>
          <w:color w:val="auto"/>
        </w:rPr>
      </w:pPr>
      <w:r>
        <w:rPr>
          <w:rFonts w:ascii="Arial" w:cs="Arial" w:eastAsia="Arial" w:hAnsi="Arial"/>
          <w:sz w:val="18"/>
          <w:szCs w:val="18"/>
          <w:color w:val="auto"/>
        </w:rPr>
        <w:t>We also have audited, in accordance with the standards of the Public Company Accounting Oversight Board (United States), the consolidated statements of financial position of Principal Financial Group, Inc. as of December 31, 2013 and 2012, and the related consolidated statements of operations, comprehensive income, stockholders' equity and cash flows for each of the three years in the period ended December 31, 2013, and our report dated February 12, 2014, expressed an unqualified opinion thereon.</w:t>
      </w:r>
    </w:p>
    <w:p>
      <w:pPr>
        <w:spacing w:after="0" w:line="197" w:lineRule="exact"/>
        <w:rPr>
          <w:sz w:val="20"/>
          <w:szCs w:val="20"/>
          <w:color w:val="auto"/>
        </w:rPr>
      </w:pPr>
    </w:p>
    <w:p>
      <w:pPr>
        <w:ind w:left="9360"/>
        <w:spacing w:after="0"/>
        <w:rPr>
          <w:sz w:val="20"/>
          <w:szCs w:val="20"/>
          <w:color w:val="auto"/>
        </w:rPr>
      </w:pPr>
      <w:r>
        <w:rPr>
          <w:rFonts w:ascii="Arial" w:cs="Arial" w:eastAsia="Arial" w:hAnsi="Arial"/>
          <w:sz w:val="18"/>
          <w:szCs w:val="18"/>
          <w:color w:val="auto"/>
        </w:rPr>
        <w:t>/s/ Ernst &amp; Young LLP</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Des Moines, Iowa</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February 12, 2014</w:t>
      </w: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7" w:name="page88"/>
    <w:bookmarkEnd w:id="8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The Board of Directors and Stockholders</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Group, Inc.</w:t>
      </w:r>
    </w:p>
    <w:p>
      <w:pPr>
        <w:spacing w:after="0" w:line="219" w:lineRule="exact"/>
        <w:rPr>
          <w:sz w:val="20"/>
          <w:szCs w:val="20"/>
          <w:color w:val="auto"/>
        </w:rPr>
      </w:pPr>
    </w:p>
    <w:p>
      <w:pPr>
        <w:jc w:val="both"/>
        <w:ind w:firstLine="441"/>
        <w:spacing w:after="0" w:line="256" w:lineRule="auto"/>
        <w:rPr>
          <w:sz w:val="20"/>
          <w:szCs w:val="20"/>
          <w:color w:val="auto"/>
        </w:rPr>
      </w:pPr>
      <w:r>
        <w:rPr>
          <w:rFonts w:ascii="Arial" w:cs="Arial" w:eastAsia="Arial" w:hAnsi="Arial"/>
          <w:sz w:val="18"/>
          <w:szCs w:val="18"/>
          <w:color w:val="auto"/>
        </w:rPr>
        <w:t>We have audited the accompanying consolidated statements of financial position of Principal Financial Group, Inc. (the "Company") as of December 31, 2013 and 2012, and the related consolidated statements of operations, comprehensive income, stockholders' equity and cash flows for each of the three years in the period ended December 31, 2013. These financial statements are the responsibility of the Company's management. Our responsibility is to express an opinion on these financial statements based on our audits.</w:t>
      </w:r>
    </w:p>
    <w:p>
      <w:pPr>
        <w:spacing w:after="0" w:line="197" w:lineRule="exact"/>
        <w:rPr>
          <w:sz w:val="20"/>
          <w:szCs w:val="20"/>
          <w:color w:val="auto"/>
        </w:rPr>
      </w:pPr>
    </w:p>
    <w:p>
      <w:pPr>
        <w:jc w:val="both"/>
        <w:ind w:firstLine="367"/>
        <w:spacing w:after="0" w:line="255" w:lineRule="auto"/>
        <w:rPr>
          <w:sz w:val="20"/>
          <w:szCs w:val="20"/>
          <w:color w:val="auto"/>
        </w:rPr>
      </w:pPr>
      <w:r>
        <w:rPr>
          <w:rFonts w:ascii="Arial" w:cs="Arial" w:eastAsia="Arial" w:hAnsi="Arial"/>
          <w:sz w:val="18"/>
          <w:szCs w:val="18"/>
          <w:color w:val="auto"/>
        </w:rPr>
        <w:t>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w:t>
      </w:r>
    </w:p>
    <w:p>
      <w:pPr>
        <w:spacing w:after="0" w:line="197" w:lineRule="exact"/>
        <w:rPr>
          <w:sz w:val="20"/>
          <w:szCs w:val="20"/>
          <w:color w:val="auto"/>
        </w:rPr>
      </w:pPr>
    </w:p>
    <w:p>
      <w:pPr>
        <w:jc w:val="both"/>
        <w:ind w:firstLine="452"/>
        <w:spacing w:after="0" w:line="259" w:lineRule="auto"/>
        <w:rPr>
          <w:sz w:val="20"/>
          <w:szCs w:val="20"/>
          <w:color w:val="auto"/>
        </w:rPr>
      </w:pPr>
      <w:r>
        <w:rPr>
          <w:rFonts w:ascii="Arial" w:cs="Arial" w:eastAsia="Arial" w:hAnsi="Arial"/>
          <w:sz w:val="18"/>
          <w:szCs w:val="18"/>
          <w:color w:val="auto"/>
        </w:rPr>
        <w:t>In our opinion, the financial statements referred to above present fairly, in all material respects, the consolidated financial position of Principal Financial Group, Inc. at December 31, 2013 and 2012, and the consolidated results of its operations and its cash flows for each of the three years in the period ended December 31, 2013, in conformity with U.S. generally accepted accounting principles.</w:t>
      </w:r>
    </w:p>
    <w:p>
      <w:pPr>
        <w:spacing w:after="0" w:line="194" w:lineRule="exact"/>
        <w:rPr>
          <w:sz w:val="20"/>
          <w:szCs w:val="20"/>
          <w:color w:val="auto"/>
        </w:rPr>
      </w:pPr>
    </w:p>
    <w:p>
      <w:pPr>
        <w:jc w:val="both"/>
        <w:ind w:firstLine="624"/>
        <w:spacing w:after="0" w:line="256" w:lineRule="auto"/>
        <w:rPr>
          <w:sz w:val="20"/>
          <w:szCs w:val="20"/>
          <w:color w:val="auto"/>
        </w:rPr>
      </w:pPr>
      <w:r>
        <w:rPr>
          <w:rFonts w:ascii="Arial" w:cs="Arial" w:eastAsia="Arial" w:hAnsi="Arial"/>
          <w:sz w:val="18"/>
          <w:szCs w:val="18"/>
          <w:color w:val="auto"/>
        </w:rPr>
        <w:t>We also have audited, in accordance with the standards of the Public Company Accounting Oversight Board (United States), Principal Financial Group, Inc.'s internal control over financial reporting as of December 31, 2013, based on criteria established in Internal Control — Integrated Framework issued by the Committee of Sponsoring Organizations of the Treadway Commission (1992 framework) and our report dated February 12, 2014, expressed an unqualified opinion thereon.</w:t>
      </w:r>
    </w:p>
    <w:p>
      <w:pPr>
        <w:spacing w:after="0" w:line="197" w:lineRule="exact"/>
        <w:rPr>
          <w:sz w:val="20"/>
          <w:szCs w:val="20"/>
          <w:color w:val="auto"/>
        </w:rPr>
      </w:pPr>
    </w:p>
    <w:p>
      <w:pPr>
        <w:ind w:left="9360"/>
        <w:spacing w:after="0"/>
        <w:rPr>
          <w:sz w:val="20"/>
          <w:szCs w:val="20"/>
          <w:color w:val="auto"/>
        </w:rPr>
      </w:pPr>
      <w:r>
        <w:rPr>
          <w:rFonts w:ascii="Arial" w:cs="Arial" w:eastAsia="Arial" w:hAnsi="Arial"/>
          <w:sz w:val="18"/>
          <w:szCs w:val="18"/>
          <w:color w:val="auto"/>
        </w:rPr>
        <w:t>/s/ Ernst &amp; Young LLP</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Des Moines, Iowa</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February 12, 2014</w:t>
      </w: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8" w:name="page89"/>
    <w:bookmarkEnd w:id="8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ind w:left="4000"/>
        <w:spacing w:after="0"/>
        <w:rPr>
          <w:sz w:val="20"/>
          <w:szCs w:val="20"/>
          <w:color w:val="auto"/>
        </w:rPr>
      </w:pPr>
      <w:r>
        <w:rPr>
          <w:rFonts w:ascii="Arial" w:cs="Arial" w:eastAsia="Arial" w:hAnsi="Arial"/>
          <w:sz w:val="18"/>
          <w:szCs w:val="18"/>
          <w:b w:val="1"/>
          <w:bCs w:val="1"/>
          <w:color w:val="auto"/>
        </w:rPr>
        <w:t>Consolidated Statements of Financial Position</w:t>
      </w:r>
    </w:p>
    <w:p>
      <w:pPr>
        <w:spacing w:after="0" w:line="227"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80" w:type="dxa"/>
            <w:vAlign w:val="bottom"/>
            <w:gridSpan w:val="2"/>
          </w:tcPr>
          <w:p>
            <w:pPr>
              <w:jc w:val="right"/>
              <w:ind w:right="180"/>
              <w:spacing w:after="0"/>
              <w:rPr>
                <w:sz w:val="20"/>
                <w:szCs w:val="20"/>
                <w:color w:val="auto"/>
              </w:rPr>
            </w:pPr>
            <w:r>
              <w:rPr>
                <w:rFonts w:ascii="Arial" w:cs="Arial" w:eastAsia="Arial" w:hAnsi="Arial"/>
                <w:sz w:val="14"/>
                <w:szCs w:val="14"/>
                <w:b w:val="1"/>
                <w:bCs w:val="1"/>
                <w:color w:val="auto"/>
                <w:w w:val="85"/>
              </w:rPr>
              <w:t>December 31, 2013</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36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85"/>
              </w:rPr>
              <w:t>December 31, 2012</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6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20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200" w:type="dxa"/>
            <w:vAlign w:val="bottom"/>
            <w:tcBorders>
              <w:top w:val="single" w:sz="8" w:color="auto"/>
            </w:tcBorders>
          </w:tcPr>
          <w:p>
            <w:pPr>
              <w:jc w:val="right"/>
              <w:ind w:right="192"/>
              <w:spacing w:after="0" w:line="131" w:lineRule="exact"/>
              <w:rPr>
                <w:sz w:val="20"/>
                <w:szCs w:val="20"/>
                <w:color w:val="auto"/>
              </w:rPr>
            </w:pPr>
            <w:r>
              <w:rPr>
                <w:rFonts w:ascii="Arial" w:cs="Arial" w:eastAsia="Arial" w:hAnsi="Arial"/>
                <w:sz w:val="14"/>
                <w:szCs w:val="14"/>
                <w:b w:val="1"/>
                <w:bCs w:val="1"/>
                <w:color w:val="auto"/>
              </w:rPr>
              <w:t>(As adjusted)</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62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780" w:type="dxa"/>
            <w:vAlign w:val="bottom"/>
            <w:gridSpan w:val="6"/>
          </w:tcPr>
          <w:p>
            <w:pPr>
              <w:jc w:val="right"/>
              <w:ind w:right="1180"/>
              <w:spacing w:after="0" w:line="159" w:lineRule="exact"/>
              <w:rPr>
                <w:sz w:val="20"/>
                <w:szCs w:val="20"/>
                <w:color w:val="auto"/>
              </w:rPr>
            </w:pPr>
            <w:r>
              <w:rPr>
                <w:rFonts w:ascii="Arial" w:cs="Arial" w:eastAsia="Arial" w:hAnsi="Arial"/>
                <w:sz w:val="14"/>
                <w:szCs w:val="14"/>
                <w:b w:val="1"/>
                <w:bCs w:val="1"/>
                <w:i w:val="1"/>
                <w:iCs w:val="1"/>
                <w:color w:val="auto"/>
              </w:rPr>
              <w:t>(in millions)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6260" w:type="dxa"/>
            <w:vAlign w:val="bottom"/>
          </w:tcPr>
          <w:p>
            <w:pPr>
              <w:spacing w:after="0" w:line="138" w:lineRule="exact"/>
              <w:rPr>
                <w:sz w:val="20"/>
                <w:szCs w:val="20"/>
                <w:color w:val="auto"/>
              </w:rPr>
            </w:pPr>
            <w:r>
              <w:rPr>
                <w:rFonts w:ascii="Arial" w:cs="Arial" w:eastAsia="Arial" w:hAnsi="Arial"/>
                <w:sz w:val="14"/>
                <w:szCs w:val="14"/>
                <w:color w:val="auto"/>
                <w:w w:val="98"/>
              </w:rPr>
              <w:t>Fixed maturities, available-for-sale (2013 and 2012 include $272.0 million and $194.6 million related to</w:t>
            </w:r>
          </w:p>
        </w:tc>
        <w:tc>
          <w:tcPr>
            <w:tcW w:w="80" w:type="dxa"/>
            <w:vAlign w:val="bottom"/>
            <w:gridSpan w:val="2"/>
            <w:vMerge w:val="restart"/>
          </w:tcPr>
          <w:p>
            <w:pPr>
              <w:jc w:val="right"/>
              <w:spacing w:after="0"/>
              <w:rPr>
                <w:sz w:val="20"/>
                <w:szCs w:val="20"/>
                <w:color w:val="auto"/>
              </w:rPr>
            </w:pPr>
            <w:r>
              <w:rPr>
                <w:rFonts w:ascii="Arial" w:cs="Arial" w:eastAsia="Arial" w:hAnsi="Arial"/>
                <w:sz w:val="10"/>
                <w:szCs w:val="10"/>
                <w:b w:val="1"/>
                <w:bCs w:val="1"/>
                <w:color w:val="auto"/>
                <w:w w:val="71"/>
              </w:rPr>
              <w:t>$</w:t>
            </w:r>
          </w:p>
        </w:tc>
        <w:tc>
          <w:tcPr>
            <w:tcW w:w="120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48,757.1</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6260" w:type="dxa"/>
            <w:vAlign w:val="bottom"/>
          </w:tcPr>
          <w:p>
            <w:pPr>
              <w:ind w:left="140"/>
              <w:spacing w:after="0" w:line="159" w:lineRule="exact"/>
              <w:rPr>
                <w:sz w:val="20"/>
                <w:szCs w:val="20"/>
                <w:color w:val="auto"/>
              </w:rPr>
            </w:pPr>
            <w:r>
              <w:rPr>
                <w:rFonts w:ascii="Arial" w:cs="Arial" w:eastAsia="Arial" w:hAnsi="Arial"/>
                <w:sz w:val="14"/>
                <w:szCs w:val="14"/>
                <w:color w:val="auto"/>
              </w:rPr>
              <w:t>consolidated variable interest entities)</w:t>
            </w:r>
          </w:p>
        </w:tc>
        <w:tc>
          <w:tcPr>
            <w:tcW w:w="80" w:type="dxa"/>
            <w:vAlign w:val="bottom"/>
            <w:gridSpan w:val="2"/>
            <w:vMerge w:val="continue"/>
          </w:tcPr>
          <w:p>
            <w:pPr>
              <w:spacing w:after="0"/>
              <w:rPr>
                <w:sz w:val="13"/>
                <w:szCs w:val="13"/>
                <w:color w:val="auto"/>
              </w:rPr>
            </w:pPr>
          </w:p>
        </w:tc>
        <w:tc>
          <w:tcPr>
            <w:tcW w:w="1200" w:type="dxa"/>
            <w:vAlign w:val="bottom"/>
            <w:vMerge w:val="continue"/>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1200" w:type="dxa"/>
            <w:vAlign w:val="bottom"/>
          </w:tcPr>
          <w:p>
            <w:pPr>
              <w:jc w:val="right"/>
              <w:spacing w:after="0" w:line="159" w:lineRule="exact"/>
              <w:rPr>
                <w:sz w:val="20"/>
                <w:szCs w:val="20"/>
                <w:color w:val="auto"/>
              </w:rPr>
            </w:pPr>
            <w:r>
              <w:rPr>
                <w:rFonts w:ascii="Arial" w:cs="Arial" w:eastAsia="Arial" w:hAnsi="Arial"/>
                <w:sz w:val="14"/>
                <w:szCs w:val="14"/>
                <w:color w:val="auto"/>
              </w:rPr>
              <w:t>50,939.3</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626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3"/>
              </w:rPr>
              <w:t>Fixed maturities, trading (2013 and 2012 both include $110.4 million related to consolidated variable interest</w:t>
            </w:r>
          </w:p>
        </w:tc>
        <w:tc>
          <w:tcPr>
            <w:tcW w:w="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563.1</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626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entities)</w:t>
            </w:r>
          </w:p>
        </w:tc>
        <w:tc>
          <w:tcPr>
            <w:tcW w:w="2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0" w:type="dxa"/>
            <w:vAlign w:val="bottom"/>
            <w:vMerge w:val="continue"/>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626.7</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line="149" w:lineRule="exact"/>
              <w:rPr>
                <w:sz w:val="20"/>
                <w:szCs w:val="20"/>
                <w:color w:val="auto"/>
              </w:rPr>
            </w:pPr>
            <w:r>
              <w:rPr>
                <w:rFonts w:ascii="Arial" w:cs="Arial" w:eastAsia="Arial" w:hAnsi="Arial"/>
                <w:sz w:val="14"/>
                <w:szCs w:val="14"/>
                <w:color w:val="auto"/>
              </w:rPr>
              <w:t>Equity securities, available-for-sale</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110.5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136.5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97"/>
              </w:rPr>
              <w:t>Equity securities, trading (2013 includes $327.2 million related to consolidated variable interest entities)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716.9</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252.8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line="149" w:lineRule="exact"/>
              <w:rPr>
                <w:sz w:val="20"/>
                <w:szCs w:val="20"/>
                <w:color w:val="auto"/>
              </w:rPr>
            </w:pPr>
            <w:r>
              <w:rPr>
                <w:rFonts w:ascii="Arial" w:cs="Arial" w:eastAsia="Arial" w:hAnsi="Arial"/>
                <w:sz w:val="14"/>
                <w:szCs w:val="14"/>
                <w:color w:val="auto"/>
              </w:rPr>
              <w:t>Mortgage loans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11,533.6</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11,519.7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Real estate</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1,271.6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1,180.3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line="149" w:lineRule="exact"/>
              <w:rPr>
                <w:sz w:val="20"/>
                <w:szCs w:val="20"/>
                <w:color w:val="auto"/>
              </w:rPr>
            </w:pPr>
            <w:r>
              <w:rPr>
                <w:rFonts w:ascii="Arial" w:cs="Arial" w:eastAsia="Arial" w:hAnsi="Arial"/>
                <w:sz w:val="14"/>
                <w:szCs w:val="14"/>
                <w:color w:val="auto"/>
              </w:rPr>
              <w:t>Policy loans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859.7</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864.9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626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5"/>
              </w:rPr>
              <w:t>Other investments (2013 and 2012 include $68.1 million and $80.3 million related to consolidated variable</w:t>
            </w:r>
          </w:p>
        </w:tc>
        <w:tc>
          <w:tcPr>
            <w:tcW w:w="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2,944.4</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626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w w:val="95"/>
              </w:rPr>
              <w:t>interest entities and $142.9 million and $113.9 million measured at fair value under the fair value option)</w:t>
            </w:r>
          </w:p>
        </w:tc>
        <w:tc>
          <w:tcPr>
            <w:tcW w:w="20" w:type="dxa"/>
            <w:vAlign w:val="bottom"/>
            <w:shd w:val="clear" w:color="auto" w:fill="CCEEFF"/>
          </w:tcPr>
          <w:p>
            <w:pPr>
              <w:spacing w:after="0"/>
              <w:rPr>
                <w:sz w:val="13"/>
                <w:szCs w:val="13"/>
                <w:color w:val="auto"/>
              </w:rPr>
            </w:pPr>
          </w:p>
        </w:tc>
        <w:tc>
          <w:tcPr>
            <w:tcW w:w="60" w:type="dxa"/>
            <w:vAlign w:val="bottom"/>
            <w:tcBorders>
              <w:bottom w:val="single" w:sz="8" w:color="auto"/>
            </w:tcBorders>
            <w:shd w:val="clear" w:color="auto" w:fill="CCEEFF"/>
          </w:tcPr>
          <w:p>
            <w:pPr>
              <w:spacing w:after="0"/>
              <w:rPr>
                <w:sz w:val="13"/>
                <w:szCs w:val="13"/>
                <w:color w:val="auto"/>
              </w:rPr>
            </w:pPr>
          </w:p>
        </w:tc>
        <w:tc>
          <w:tcPr>
            <w:tcW w:w="1200" w:type="dxa"/>
            <w:vAlign w:val="bottom"/>
            <w:tcBorders>
              <w:bottom w:val="single" w:sz="8" w:color="auto"/>
            </w:tcBorders>
            <w:vMerge w:val="continue"/>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0" w:type="dxa"/>
            <w:vAlign w:val="bottom"/>
            <w:tcBorders>
              <w:bottom w:val="single" w:sz="8" w:color="auto"/>
            </w:tcBorders>
            <w:shd w:val="clear" w:color="auto" w:fill="CCEEFF"/>
          </w:tcPr>
          <w:p>
            <w:pPr>
              <w:spacing w:after="0"/>
              <w:rPr>
                <w:sz w:val="13"/>
                <w:szCs w:val="13"/>
                <w:color w:val="auto"/>
              </w:rPr>
            </w:pPr>
          </w:p>
        </w:tc>
        <w:tc>
          <w:tcPr>
            <w:tcW w:w="120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3,291.1</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260" w:type="dxa"/>
            <w:vAlign w:val="bottom"/>
          </w:tcPr>
          <w:p>
            <w:pPr>
              <w:ind w:left="140"/>
              <w:spacing w:after="0" w:line="142" w:lineRule="exact"/>
              <w:rPr>
                <w:sz w:val="20"/>
                <w:szCs w:val="20"/>
                <w:color w:val="auto"/>
              </w:rPr>
            </w:pPr>
            <w:r>
              <w:rPr>
                <w:rFonts w:ascii="Arial" w:cs="Arial" w:eastAsia="Arial" w:hAnsi="Arial"/>
                <w:sz w:val="14"/>
                <w:szCs w:val="14"/>
                <w:color w:val="auto"/>
              </w:rPr>
              <w:t>Total investments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66,756.9</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2" w:lineRule="exact"/>
              <w:rPr>
                <w:sz w:val="20"/>
                <w:szCs w:val="20"/>
                <w:color w:val="auto"/>
              </w:rPr>
            </w:pPr>
            <w:r>
              <w:rPr>
                <w:rFonts w:ascii="Arial" w:cs="Arial" w:eastAsia="Arial" w:hAnsi="Arial"/>
                <w:sz w:val="14"/>
                <w:szCs w:val="14"/>
                <w:color w:val="auto"/>
              </w:rPr>
              <w:t>68,811.3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and cash equivalents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2,371.8</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4,177.2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line="149" w:lineRule="exact"/>
              <w:rPr>
                <w:sz w:val="20"/>
                <w:szCs w:val="20"/>
                <w:color w:val="auto"/>
              </w:rPr>
            </w:pPr>
            <w:r>
              <w:rPr>
                <w:rFonts w:ascii="Arial" w:cs="Arial" w:eastAsia="Arial" w:hAnsi="Arial"/>
                <w:sz w:val="14"/>
                <w:szCs w:val="14"/>
                <w:color w:val="auto"/>
              </w:rPr>
              <w:t>Accrued investment income</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532.1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584.4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Premiums due and other receivables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1,241.0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1,084.4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line="149" w:lineRule="exact"/>
              <w:rPr>
                <w:sz w:val="20"/>
                <w:szCs w:val="20"/>
                <w:color w:val="auto"/>
              </w:rPr>
            </w:pPr>
            <w:r>
              <w:rPr>
                <w:rFonts w:ascii="Arial" w:cs="Arial" w:eastAsia="Arial" w:hAnsi="Arial"/>
                <w:sz w:val="14"/>
                <w:szCs w:val="14"/>
                <w:color w:val="auto"/>
              </w:rPr>
              <w:t>Deferred acquisition costs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3,077.0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2,590.0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Property and equipment</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500.7</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464.2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line="149" w:lineRule="exact"/>
              <w:rPr>
                <w:sz w:val="20"/>
                <w:szCs w:val="20"/>
                <w:color w:val="auto"/>
              </w:rPr>
            </w:pPr>
            <w:r>
              <w:rPr>
                <w:rFonts w:ascii="Arial" w:cs="Arial" w:eastAsia="Arial" w:hAnsi="Arial"/>
                <w:sz w:val="14"/>
                <w:szCs w:val="14"/>
                <w:color w:val="auto"/>
              </w:rPr>
              <w:t>Goodwill</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1,100.3</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543.4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intangibles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1,459.0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914.7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line="149" w:lineRule="exact"/>
              <w:rPr>
                <w:sz w:val="20"/>
                <w:szCs w:val="20"/>
                <w:color w:val="auto"/>
              </w:rPr>
            </w:pPr>
            <w:r>
              <w:rPr>
                <w:rFonts w:ascii="Arial" w:cs="Arial" w:eastAsia="Arial" w:hAnsi="Arial"/>
                <w:sz w:val="14"/>
                <w:szCs w:val="14"/>
                <w:color w:val="auto"/>
                <w:w w:val="94"/>
              </w:rPr>
              <w:t>Separate account assets (2013 includes $32,824.7 million related to consolidated variable interest entities)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130,018.4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81,653.8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assets</w:t>
            </w:r>
          </w:p>
        </w:tc>
        <w:tc>
          <w:tcPr>
            <w:tcW w:w="2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1,134.2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1,006.8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260" w:type="dxa"/>
            <w:vAlign w:val="bottom"/>
          </w:tcPr>
          <w:p>
            <w:pPr>
              <w:ind w:left="140"/>
              <w:spacing w:after="0" w:line="142" w:lineRule="exact"/>
              <w:rPr>
                <w:sz w:val="20"/>
                <w:szCs w:val="20"/>
                <w:color w:val="auto"/>
              </w:rPr>
            </w:pPr>
            <w:r>
              <w:rPr>
                <w:rFonts w:ascii="Arial" w:cs="Arial" w:eastAsia="Arial" w:hAnsi="Arial"/>
                <w:sz w:val="14"/>
                <w:szCs w:val="14"/>
                <w:color w:val="auto"/>
              </w:rPr>
              <w:t>Total assets</w:t>
            </w:r>
          </w:p>
        </w:tc>
        <w:tc>
          <w:tcPr>
            <w:tcW w:w="20" w:type="dxa"/>
            <w:vAlign w:val="bottom"/>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5"/>
                <w:szCs w:val="5"/>
                <w:b w:val="1"/>
                <w:bCs w:val="1"/>
                <w:color w:val="auto"/>
                <w:w w:val="70"/>
              </w:rPr>
              <w:t>$</w:t>
            </w:r>
          </w:p>
        </w:tc>
        <w:tc>
          <w:tcPr>
            <w:tcW w:w="12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208,191.4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12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161,830.2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6260" w:type="dxa"/>
            <w:vAlign w:val="bottom"/>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Liabilities</w:t>
            </w:r>
          </w:p>
        </w:tc>
        <w:tc>
          <w:tcPr>
            <w:tcW w:w="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line="149" w:lineRule="exact"/>
              <w:rPr>
                <w:sz w:val="20"/>
                <w:szCs w:val="20"/>
                <w:color w:val="auto"/>
              </w:rPr>
            </w:pPr>
            <w:r>
              <w:rPr>
                <w:rFonts w:ascii="Arial" w:cs="Arial" w:eastAsia="Arial" w:hAnsi="Arial"/>
                <w:sz w:val="14"/>
                <w:szCs w:val="14"/>
                <w:color w:val="auto"/>
              </w:rPr>
              <w:t>Contractholder funds</w:t>
            </w:r>
          </w:p>
        </w:tc>
        <w:tc>
          <w:tcPr>
            <w:tcW w:w="80" w:type="dxa"/>
            <w:vAlign w:val="bottom"/>
            <w:gridSpan w:val="2"/>
          </w:tcPr>
          <w:p>
            <w:pPr>
              <w:jc w:val="right"/>
              <w:spacing w:after="0"/>
              <w:rPr>
                <w:sz w:val="20"/>
                <w:szCs w:val="20"/>
                <w:color w:val="auto"/>
              </w:rPr>
            </w:pPr>
            <w:r>
              <w:rPr>
                <w:rFonts w:ascii="Arial" w:cs="Arial" w:eastAsia="Arial" w:hAnsi="Arial"/>
                <w:sz w:val="10"/>
                <w:szCs w:val="10"/>
                <w:b w:val="1"/>
                <w:bCs w:val="1"/>
                <w:color w:val="auto"/>
                <w:w w:val="71"/>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35,958.3</w:t>
            </w:r>
          </w:p>
        </w:tc>
        <w:tc>
          <w:tcPr>
            <w:tcW w:w="80" w:type="dxa"/>
            <w:vAlign w:val="bottom"/>
          </w:tcPr>
          <w:p>
            <w:pPr>
              <w:spacing w:after="0"/>
              <w:rPr>
                <w:sz w:val="12"/>
                <w:szCs w:val="12"/>
                <w:color w:val="auto"/>
              </w:rPr>
            </w:pP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37,786.5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Future policy benefits and claims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22,626.2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22,436.2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line="149" w:lineRule="exact"/>
              <w:rPr>
                <w:sz w:val="20"/>
                <w:szCs w:val="20"/>
                <w:color w:val="auto"/>
              </w:rPr>
            </w:pPr>
            <w:r>
              <w:rPr>
                <w:rFonts w:ascii="Arial" w:cs="Arial" w:eastAsia="Arial" w:hAnsi="Arial"/>
                <w:sz w:val="14"/>
                <w:szCs w:val="14"/>
                <w:color w:val="auto"/>
              </w:rPr>
              <w:t>Other policyholder funds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758.9</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716.4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Short-term debt</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150.6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line="149" w:lineRule="exact"/>
              <w:rPr>
                <w:sz w:val="20"/>
                <w:szCs w:val="20"/>
                <w:color w:val="auto"/>
              </w:rPr>
            </w:pPr>
            <w:r>
              <w:rPr>
                <w:rFonts w:ascii="Arial" w:cs="Arial" w:eastAsia="Arial" w:hAnsi="Arial"/>
                <w:sz w:val="14"/>
                <w:szCs w:val="14"/>
                <w:color w:val="auto"/>
              </w:rPr>
              <w:t>Long-term debt</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2,601.4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2,671.3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Income taxes currently payable</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line="149" w:lineRule="exact"/>
              <w:rPr>
                <w:sz w:val="20"/>
                <w:szCs w:val="20"/>
                <w:color w:val="auto"/>
              </w:rPr>
            </w:pPr>
            <w:r>
              <w:rPr>
                <w:rFonts w:ascii="Arial" w:cs="Arial" w:eastAsia="Arial" w:hAnsi="Arial"/>
                <w:sz w:val="14"/>
                <w:szCs w:val="14"/>
                <w:color w:val="auto"/>
              </w:rPr>
              <w:t>Deferred income taxes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824.0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600.0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92"/>
              </w:rPr>
              <w:t>Separate account liabilities (2013 includes $32,824.7 million related to consolidated variable interest entities)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130,018.4</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81,653.8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6260" w:type="dxa"/>
            <w:vAlign w:val="bottom"/>
          </w:tcPr>
          <w:p>
            <w:pPr>
              <w:spacing w:after="0" w:line="138" w:lineRule="exact"/>
              <w:rPr>
                <w:sz w:val="20"/>
                <w:szCs w:val="20"/>
                <w:color w:val="auto"/>
              </w:rPr>
            </w:pPr>
            <w:r>
              <w:rPr>
                <w:rFonts w:ascii="Arial" w:cs="Arial" w:eastAsia="Arial" w:hAnsi="Arial"/>
                <w:sz w:val="14"/>
                <w:szCs w:val="14"/>
                <w:color w:val="auto"/>
                <w:w w:val="96"/>
              </w:rPr>
              <w:t>Other liabilities (2013 and 2012 include $342.4 million and $302.9 million related to consolidated variable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ind w:left="140"/>
              <w:spacing w:after="0" w:line="149" w:lineRule="exact"/>
              <w:rPr>
                <w:sz w:val="20"/>
                <w:szCs w:val="20"/>
                <w:color w:val="auto"/>
              </w:rPr>
            </w:pPr>
            <w:r>
              <w:rPr>
                <w:rFonts w:ascii="Arial" w:cs="Arial" w:eastAsia="Arial" w:hAnsi="Arial"/>
                <w:sz w:val="14"/>
                <w:szCs w:val="14"/>
                <w:color w:val="auto"/>
                <w:w w:val="94"/>
              </w:rPr>
              <w:t>interest entities, of which $104.9 million and $85.0 million are measured at fair value under the fair value</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5,224.2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6260" w:type="dxa"/>
            <w:vAlign w:val="bottom"/>
          </w:tcPr>
          <w:p>
            <w:pPr>
              <w:ind w:left="140"/>
              <w:spacing w:after="0" w:line="159" w:lineRule="exact"/>
              <w:rPr>
                <w:sz w:val="20"/>
                <w:szCs w:val="20"/>
                <w:color w:val="auto"/>
              </w:rPr>
            </w:pPr>
            <w:r>
              <w:rPr>
                <w:rFonts w:ascii="Arial" w:cs="Arial" w:eastAsia="Arial" w:hAnsi="Arial"/>
                <w:sz w:val="14"/>
                <w:szCs w:val="14"/>
                <w:color w:val="auto"/>
              </w:rPr>
              <w:t>option)</w:t>
            </w:r>
          </w:p>
        </w:tc>
        <w:tc>
          <w:tcPr>
            <w:tcW w:w="20" w:type="dxa"/>
            <w:vAlign w:val="bottom"/>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1200" w:type="dxa"/>
            <w:vAlign w:val="bottom"/>
            <w:tcBorders>
              <w:bottom w:val="single" w:sz="8" w:color="auto"/>
            </w:tcBorders>
            <w:vMerge w:val="continue"/>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1200" w:type="dxa"/>
            <w:vAlign w:val="bottom"/>
            <w:tcBorders>
              <w:bottom w:val="single" w:sz="8" w:color="auto"/>
            </w:tcBorders>
          </w:tcPr>
          <w:p>
            <w:pPr>
              <w:jc w:val="right"/>
              <w:spacing w:after="0" w:line="159" w:lineRule="exact"/>
              <w:rPr>
                <w:sz w:val="20"/>
                <w:szCs w:val="20"/>
                <w:color w:val="auto"/>
              </w:rPr>
            </w:pPr>
            <w:r>
              <w:rPr>
                <w:rFonts w:ascii="Arial" w:cs="Arial" w:eastAsia="Arial" w:hAnsi="Arial"/>
                <w:sz w:val="14"/>
                <w:szCs w:val="14"/>
                <w:color w:val="auto"/>
              </w:rPr>
              <w:t>6,146.1</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26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liabilities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198,167.2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152,066.4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311"/>
        </w:trPr>
        <w:tc>
          <w:tcPr>
            <w:tcW w:w="6280" w:type="dxa"/>
            <w:vAlign w:val="bottom"/>
            <w:gridSpan w:val="2"/>
          </w:tcPr>
          <w:p>
            <w:pPr>
              <w:spacing w:after="0"/>
              <w:rPr>
                <w:sz w:val="20"/>
                <w:szCs w:val="20"/>
                <w:color w:val="auto"/>
              </w:rPr>
            </w:pPr>
            <w:r>
              <w:rPr>
                <w:rFonts w:ascii="Arial" w:cs="Arial" w:eastAsia="Arial" w:hAnsi="Arial"/>
                <w:sz w:val="14"/>
                <w:szCs w:val="14"/>
                <w:color w:val="auto"/>
              </w:rPr>
              <w:t>Redeemable noncontrolling interest</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0" w:type="dxa"/>
            <w:vAlign w:val="bottom"/>
          </w:tcPr>
          <w:p>
            <w:pPr>
              <w:jc w:val="right"/>
              <w:spacing w:after="0"/>
              <w:rPr>
                <w:sz w:val="20"/>
                <w:szCs w:val="20"/>
                <w:color w:val="auto"/>
              </w:rPr>
            </w:pPr>
            <w:r>
              <w:rPr>
                <w:rFonts w:ascii="Arial" w:cs="Arial" w:eastAsia="Arial" w:hAnsi="Arial"/>
                <w:sz w:val="14"/>
                <w:szCs w:val="14"/>
                <w:b w:val="1"/>
                <w:bCs w:val="1"/>
                <w:color w:val="auto"/>
              </w:rPr>
              <w:t>247.2</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0" w:type="dxa"/>
            <w:vAlign w:val="bottom"/>
          </w:tcPr>
          <w:p>
            <w:pPr>
              <w:jc w:val="right"/>
              <w:spacing w:after="0"/>
              <w:rPr>
                <w:sz w:val="20"/>
                <w:szCs w:val="20"/>
                <w:color w:val="auto"/>
              </w:rPr>
            </w:pPr>
            <w:r>
              <w:rPr>
                <w:rFonts w:ascii="Arial" w:cs="Arial" w:eastAsia="Arial" w:hAnsi="Arial"/>
                <w:sz w:val="14"/>
                <w:szCs w:val="14"/>
                <w:color w:val="auto"/>
              </w:rPr>
              <w:t>60.4</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626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Stockholders' equity</w:t>
            </w:r>
          </w:p>
        </w:tc>
        <w:tc>
          <w:tcPr>
            <w:tcW w:w="2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6260" w:type="dxa"/>
            <w:vAlign w:val="bottom"/>
          </w:tcPr>
          <w:p>
            <w:pPr>
              <w:spacing w:after="0" w:line="138" w:lineRule="exact"/>
              <w:rPr>
                <w:sz w:val="20"/>
                <w:szCs w:val="20"/>
                <w:color w:val="auto"/>
              </w:rPr>
            </w:pPr>
            <w:r>
              <w:rPr>
                <w:rFonts w:ascii="Arial" w:cs="Arial" w:eastAsia="Arial" w:hAnsi="Arial"/>
                <w:sz w:val="14"/>
                <w:szCs w:val="14"/>
                <w:color w:val="auto"/>
                <w:w w:val="92"/>
              </w:rPr>
              <w:t>Series A preferred stock, par value $.01 per share with liquidation preference of $100 per share — 3.0 million</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8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6260" w:type="dxa"/>
            <w:vAlign w:val="bottom"/>
          </w:tcPr>
          <w:p>
            <w:pPr>
              <w:ind w:left="140"/>
              <w:spacing w:after="0" w:line="159" w:lineRule="exact"/>
              <w:rPr>
                <w:sz w:val="20"/>
                <w:szCs w:val="20"/>
                <w:color w:val="auto"/>
              </w:rPr>
            </w:pPr>
            <w:r>
              <w:rPr>
                <w:rFonts w:ascii="Arial" w:cs="Arial" w:eastAsia="Arial" w:hAnsi="Arial"/>
                <w:sz w:val="14"/>
                <w:szCs w:val="14"/>
                <w:color w:val="auto"/>
              </w:rPr>
              <w:t>shares authorized, issued and outstanding in 2013 and 2012</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80" w:type="dxa"/>
            <w:vAlign w:val="bottom"/>
            <w:gridSpan w:val="2"/>
            <w:vMerge w:val="continue"/>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360" w:type="dxa"/>
            <w:vAlign w:val="bottom"/>
            <w:gridSpan w:val="2"/>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626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2"/>
              </w:rPr>
              <w:t>Series B preferred stock, par value $.01 per share with liquidation preference of $25 per share — 10.0 million</w:t>
            </w:r>
          </w:p>
        </w:tc>
        <w:tc>
          <w:tcPr>
            <w:tcW w:w="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0.1</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626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shares authorized, issued and outstanding in 2013 and 2012</w:t>
            </w:r>
          </w:p>
        </w:tc>
        <w:tc>
          <w:tcPr>
            <w:tcW w:w="2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0" w:type="dxa"/>
            <w:vAlign w:val="bottom"/>
            <w:vMerge w:val="continue"/>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0.1</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6260" w:type="dxa"/>
            <w:vAlign w:val="bottom"/>
          </w:tcPr>
          <w:p>
            <w:pPr>
              <w:spacing w:after="0" w:line="138" w:lineRule="exact"/>
              <w:rPr>
                <w:sz w:val="20"/>
                <w:szCs w:val="20"/>
                <w:color w:val="auto"/>
              </w:rPr>
            </w:pPr>
            <w:r>
              <w:rPr>
                <w:rFonts w:ascii="Arial" w:cs="Arial" w:eastAsia="Arial" w:hAnsi="Arial"/>
                <w:sz w:val="14"/>
                <w:szCs w:val="14"/>
                <w:color w:val="auto"/>
                <w:w w:val="92"/>
              </w:rPr>
              <w:t>Common stock, par value $.01 per share — 2,500.0 million shares authorized, 459.3 million and 453.5 million</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4.6</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6260" w:type="dxa"/>
            <w:vAlign w:val="bottom"/>
          </w:tcPr>
          <w:p>
            <w:pPr>
              <w:ind w:left="140"/>
              <w:spacing w:after="0" w:line="159" w:lineRule="exact"/>
              <w:rPr>
                <w:sz w:val="20"/>
                <w:szCs w:val="20"/>
                <w:color w:val="auto"/>
              </w:rPr>
            </w:pPr>
            <w:r>
              <w:rPr>
                <w:rFonts w:ascii="Arial" w:cs="Arial" w:eastAsia="Arial" w:hAnsi="Arial"/>
                <w:sz w:val="14"/>
                <w:szCs w:val="14"/>
                <w:color w:val="auto"/>
              </w:rPr>
              <w:t>shares issued, and 295.2 million and 293.8 million shares outstanding in 2013 and 2012</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0" w:type="dxa"/>
            <w:vAlign w:val="bottom"/>
            <w:vMerge w:val="continue"/>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0" w:type="dxa"/>
            <w:vAlign w:val="bottom"/>
          </w:tcPr>
          <w:p>
            <w:pPr>
              <w:jc w:val="right"/>
              <w:spacing w:after="0" w:line="159" w:lineRule="exact"/>
              <w:rPr>
                <w:sz w:val="20"/>
                <w:szCs w:val="20"/>
                <w:color w:val="auto"/>
              </w:rPr>
            </w:pPr>
            <w:r>
              <w:rPr>
                <w:rFonts w:ascii="Arial" w:cs="Arial" w:eastAsia="Arial" w:hAnsi="Arial"/>
                <w:sz w:val="14"/>
                <w:szCs w:val="14"/>
                <w:color w:val="auto"/>
              </w:rPr>
              <w:t>4.5</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Additional paid-in capital</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9,798.9</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9,730.9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line="149" w:lineRule="exact"/>
              <w:rPr>
                <w:sz w:val="20"/>
                <w:szCs w:val="20"/>
                <w:color w:val="auto"/>
              </w:rPr>
            </w:pPr>
            <w:r>
              <w:rPr>
                <w:rFonts w:ascii="Arial" w:cs="Arial" w:eastAsia="Arial" w:hAnsi="Arial"/>
                <w:sz w:val="14"/>
                <w:szCs w:val="14"/>
                <w:color w:val="auto"/>
              </w:rPr>
              <w:t>Retained earnings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5,405.4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4,862.0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Accumulated other comprehensive income</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183.2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640.3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line="149" w:lineRule="exact"/>
              <w:rPr>
                <w:sz w:val="20"/>
                <w:szCs w:val="20"/>
                <w:color w:val="auto"/>
              </w:rPr>
            </w:pPr>
            <w:r>
              <w:rPr>
                <w:rFonts w:ascii="Arial" w:cs="Arial" w:eastAsia="Arial" w:hAnsi="Arial"/>
                <w:sz w:val="14"/>
                <w:szCs w:val="14"/>
                <w:color w:val="auto"/>
              </w:rPr>
              <w:t>Treasury stock, at cost (164.1 million and 159.7 million shares in 2013 and 2012)</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gridSpan w:val="2"/>
          </w:tcPr>
          <w:p>
            <w:pPr>
              <w:jc w:val="right"/>
              <w:ind w:right="40"/>
              <w:spacing w:after="0" w:line="149" w:lineRule="exact"/>
              <w:rPr>
                <w:sz w:val="20"/>
                <w:szCs w:val="20"/>
                <w:color w:val="auto"/>
              </w:rPr>
            </w:pPr>
            <w:r>
              <w:rPr>
                <w:rFonts w:ascii="Arial" w:cs="Arial" w:eastAsia="Arial" w:hAnsi="Arial"/>
                <w:sz w:val="14"/>
                <w:szCs w:val="14"/>
                <w:b w:val="1"/>
                <w:bCs w:val="1"/>
                <w:color w:val="auto"/>
              </w:rPr>
              <w:t>(5,708.0)</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3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(5,554.4)</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26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stockholders' equity attributable to Principal Financial Group, Inc.</w:t>
            </w:r>
          </w:p>
        </w:tc>
        <w:tc>
          <w:tcPr>
            <w:tcW w:w="20" w:type="dxa"/>
            <w:vAlign w:val="bottom"/>
            <w:shd w:val="clear" w:color="auto" w:fill="CCEEFF"/>
          </w:tcPr>
          <w:p>
            <w:pPr>
              <w:spacing w:after="0"/>
              <w:rPr>
                <w:sz w:val="12"/>
                <w:szCs w:val="12"/>
                <w:color w:val="auto"/>
              </w:rPr>
            </w:pPr>
          </w:p>
        </w:tc>
        <w:tc>
          <w:tcPr>
            <w:tcW w:w="60" w:type="dxa"/>
            <w:vAlign w:val="bottom"/>
            <w:tcBorders>
              <w:top w:val="single" w:sz="8" w:color="auto"/>
            </w:tcBorders>
            <w:shd w:val="clear" w:color="auto" w:fill="CCEEFF"/>
          </w:tcPr>
          <w:p>
            <w:pPr>
              <w:spacing w:after="0"/>
              <w:rPr>
                <w:sz w:val="12"/>
                <w:szCs w:val="12"/>
                <w:color w:val="auto"/>
              </w:rPr>
            </w:pPr>
          </w:p>
        </w:tc>
        <w:tc>
          <w:tcPr>
            <w:tcW w:w="120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9,684.2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tcBorders>
              <w:top w:val="single" w:sz="8" w:color="auto"/>
            </w:tcBorders>
            <w:shd w:val="clear" w:color="auto" w:fill="CCEEFF"/>
          </w:tcPr>
          <w:p>
            <w:pPr>
              <w:spacing w:after="0"/>
              <w:rPr>
                <w:sz w:val="12"/>
                <w:szCs w:val="12"/>
                <w:color w:val="auto"/>
              </w:rPr>
            </w:pPr>
          </w:p>
        </w:tc>
        <w:tc>
          <w:tcPr>
            <w:tcW w:w="120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9,683.4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line="149" w:lineRule="exact"/>
              <w:rPr>
                <w:sz w:val="20"/>
                <w:szCs w:val="20"/>
                <w:color w:val="auto"/>
              </w:rPr>
            </w:pPr>
            <w:r>
              <w:rPr>
                <w:rFonts w:ascii="Arial" w:cs="Arial" w:eastAsia="Arial" w:hAnsi="Arial"/>
                <w:sz w:val="14"/>
                <w:szCs w:val="14"/>
                <w:color w:val="auto"/>
              </w:rPr>
              <w:t>Noncontrolling interest</w:t>
            </w:r>
          </w:p>
        </w:tc>
        <w:tc>
          <w:tcPr>
            <w:tcW w:w="2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92.8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20.0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26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stockholders' equity</w:t>
            </w:r>
          </w:p>
        </w:tc>
        <w:tc>
          <w:tcPr>
            <w:tcW w:w="2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9,777.0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9,703.4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260" w:type="dxa"/>
            <w:vAlign w:val="bottom"/>
          </w:tcPr>
          <w:p>
            <w:pPr>
              <w:ind w:left="140"/>
              <w:spacing w:after="0" w:line="142" w:lineRule="exact"/>
              <w:rPr>
                <w:sz w:val="20"/>
                <w:szCs w:val="20"/>
                <w:color w:val="auto"/>
              </w:rPr>
            </w:pPr>
            <w:r>
              <w:rPr>
                <w:rFonts w:ascii="Arial" w:cs="Arial" w:eastAsia="Arial" w:hAnsi="Arial"/>
                <w:sz w:val="14"/>
                <w:szCs w:val="14"/>
                <w:color w:val="auto"/>
              </w:rPr>
              <w:t>Total liabilities and stockholders' equity</w:t>
            </w:r>
          </w:p>
        </w:tc>
        <w:tc>
          <w:tcPr>
            <w:tcW w:w="2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5"/>
                <w:szCs w:val="5"/>
                <w:b w:val="1"/>
                <w:bCs w:val="1"/>
                <w:color w:val="auto"/>
                <w:w w:val="70"/>
              </w:rPr>
              <w:t>$</w:t>
            </w:r>
          </w:p>
        </w:tc>
        <w:tc>
          <w:tcPr>
            <w:tcW w:w="12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208,191.4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12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161,830.2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89" w:name="page90"/>
    <w:bookmarkEnd w:id="8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ind w:left="4240"/>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227"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9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80" w:type="dxa"/>
            <w:vAlign w:val="bottom"/>
            <w:gridSpan w:val="10"/>
          </w:tcPr>
          <w:p>
            <w:pPr>
              <w:jc w:val="right"/>
              <w:ind w:right="620"/>
              <w:spacing w:after="0"/>
              <w:rPr>
                <w:sz w:val="20"/>
                <w:szCs w:val="20"/>
                <w:color w:val="auto"/>
              </w:rPr>
            </w:pPr>
            <w:r>
              <w:rPr>
                <w:rFonts w:ascii="Arial" w:cs="Arial" w:eastAsia="Arial" w:hAnsi="Arial"/>
                <w:sz w:val="14"/>
                <w:szCs w:val="14"/>
                <w:b w:val="1"/>
                <w:bCs w:val="1"/>
                <w:color w:val="auto"/>
              </w:rPr>
              <w:t>For the year ended December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9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w w:val="96"/>
              </w:rPr>
              <w:t>2013</w:t>
            </w:r>
          </w:p>
        </w:tc>
        <w:tc>
          <w:tcPr>
            <w:tcW w:w="10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880" w:type="dxa"/>
            <w:vAlign w:val="bottom"/>
            <w:tcBorders>
              <w:top w:val="single" w:sz="8" w:color="auto"/>
              <w:bottom w:val="single" w:sz="8" w:color="auto"/>
            </w:tcBorders>
          </w:tcPr>
          <w:p>
            <w:pPr>
              <w:jc w:val="right"/>
              <w:ind w:right="272"/>
              <w:spacing w:after="0" w:line="142" w:lineRule="exact"/>
              <w:rPr>
                <w:sz w:val="20"/>
                <w:szCs w:val="20"/>
                <w:color w:val="auto"/>
              </w:rPr>
            </w:pPr>
            <w:r>
              <w:rPr>
                <w:rFonts w:ascii="Arial" w:cs="Arial" w:eastAsia="Arial" w:hAnsi="Arial"/>
                <w:sz w:val="14"/>
                <w:szCs w:val="14"/>
                <w:b w:val="1"/>
                <w:bCs w:val="1"/>
                <w:color w:val="auto"/>
              </w:rPr>
              <w:t>2012</w:t>
            </w: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880" w:type="dxa"/>
            <w:vAlign w:val="bottom"/>
            <w:tcBorders>
              <w:top w:val="single" w:sz="8" w:color="auto"/>
              <w:bottom w:val="single" w:sz="8" w:color="auto"/>
            </w:tcBorders>
          </w:tcPr>
          <w:p>
            <w:pPr>
              <w:jc w:val="right"/>
              <w:ind w:right="272"/>
              <w:spacing w:after="0" w:line="142" w:lineRule="exact"/>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59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80" w:type="dxa"/>
            <w:vAlign w:val="bottom"/>
          </w:tcPr>
          <w:p>
            <w:pPr>
              <w:jc w:val="right"/>
              <w:ind w:right="32"/>
              <w:spacing w:after="0" w:line="131" w:lineRule="exact"/>
              <w:rPr>
                <w:sz w:val="20"/>
                <w:szCs w:val="20"/>
                <w:color w:val="auto"/>
              </w:rPr>
            </w:pPr>
            <w:r>
              <w:rPr>
                <w:rFonts w:ascii="Arial" w:cs="Arial" w:eastAsia="Arial" w:hAnsi="Arial"/>
                <w:sz w:val="14"/>
                <w:szCs w:val="14"/>
                <w:b w:val="1"/>
                <w:bCs w:val="1"/>
                <w:color w:val="auto"/>
                <w:w w:val="85"/>
              </w:rPr>
              <w:t>(As adjusted)</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80" w:type="dxa"/>
            <w:vAlign w:val="bottom"/>
          </w:tcPr>
          <w:p>
            <w:pPr>
              <w:jc w:val="right"/>
              <w:ind w:right="32"/>
              <w:spacing w:after="0" w:line="131" w:lineRule="exact"/>
              <w:rPr>
                <w:sz w:val="20"/>
                <w:szCs w:val="20"/>
                <w:color w:val="auto"/>
              </w:rPr>
            </w:pPr>
            <w:r>
              <w:rPr>
                <w:rFonts w:ascii="Arial" w:cs="Arial" w:eastAsia="Arial" w:hAnsi="Arial"/>
                <w:sz w:val="14"/>
                <w:szCs w:val="14"/>
                <w:b w:val="1"/>
                <w:bCs w:val="1"/>
                <w:color w:val="auto"/>
                <w:w w:val="85"/>
              </w:rPr>
              <w:t>(As adjusted)</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59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80" w:type="dxa"/>
            <w:vAlign w:val="bottom"/>
            <w:gridSpan w:val="10"/>
          </w:tcPr>
          <w:p>
            <w:pPr>
              <w:jc w:val="right"/>
              <w:ind w:right="620"/>
              <w:spacing w:after="0" w:line="159" w:lineRule="exact"/>
              <w:rPr>
                <w:sz w:val="20"/>
                <w:szCs w:val="20"/>
                <w:color w:val="auto"/>
              </w:rPr>
            </w:pPr>
            <w:r>
              <w:rPr>
                <w:rFonts w:ascii="Arial" w:cs="Arial" w:eastAsia="Arial" w:hAnsi="Arial"/>
                <w:sz w:val="14"/>
                <w:szCs w:val="14"/>
                <w:b w:val="1"/>
                <w:bCs w:val="1"/>
                <w:i w:val="1"/>
                <w:iCs w:val="1"/>
                <w:color w:val="auto"/>
                <w:w w:val="97"/>
              </w:rPr>
              <w:t>(in millions, except per share data)</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4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Revenues</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40" w:type="dxa"/>
            <w:vAlign w:val="bottom"/>
          </w:tcPr>
          <w:p>
            <w:pPr>
              <w:spacing w:after="0" w:line="149" w:lineRule="exact"/>
              <w:rPr>
                <w:sz w:val="20"/>
                <w:szCs w:val="20"/>
                <w:color w:val="auto"/>
              </w:rPr>
            </w:pPr>
            <w:r>
              <w:rPr>
                <w:rFonts w:ascii="Arial" w:cs="Arial" w:eastAsia="Arial" w:hAnsi="Arial"/>
                <w:sz w:val="14"/>
                <w:szCs w:val="14"/>
                <w:color w:val="auto"/>
              </w:rPr>
              <w:t>Premiums and other considerations</w:t>
            </w:r>
          </w:p>
        </w:tc>
        <w:tc>
          <w:tcPr>
            <w:tcW w:w="300" w:type="dxa"/>
            <w:vAlign w:val="bottom"/>
            <w:gridSpan w:val="2"/>
          </w:tcPr>
          <w:p>
            <w:pPr>
              <w:jc w:val="right"/>
              <w:ind w:right="9"/>
              <w:spacing w:after="0" w:line="149" w:lineRule="exact"/>
              <w:rPr>
                <w:sz w:val="20"/>
                <w:szCs w:val="20"/>
                <w:color w:val="auto"/>
              </w:rPr>
            </w:pPr>
            <w:r>
              <w:rPr>
                <w:rFonts w:ascii="Arial" w:cs="Arial" w:eastAsia="Arial" w:hAnsi="Arial"/>
                <w:sz w:val="14"/>
                <w:szCs w:val="14"/>
                <w:b w:val="1"/>
                <w:bCs w:val="1"/>
                <w:color w:val="auto"/>
              </w:rPr>
              <w:t>$</w:t>
            </w: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3,154.1</w:t>
            </w:r>
          </w:p>
        </w:tc>
        <w:tc>
          <w:tcPr>
            <w:tcW w:w="100" w:type="dxa"/>
            <w:vAlign w:val="bottom"/>
          </w:tcPr>
          <w:p>
            <w:pPr>
              <w:spacing w:after="0"/>
              <w:rPr>
                <w:sz w:val="12"/>
                <w:szCs w:val="12"/>
                <w:color w:val="auto"/>
              </w:rPr>
            </w:pP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3,219.4</w:t>
            </w:r>
          </w:p>
        </w:tc>
        <w:tc>
          <w:tcPr>
            <w:tcW w:w="100" w:type="dxa"/>
            <w:vAlign w:val="bottom"/>
          </w:tcPr>
          <w:p>
            <w:pPr>
              <w:spacing w:after="0"/>
              <w:rPr>
                <w:sz w:val="12"/>
                <w:szCs w:val="12"/>
                <w:color w:val="auto"/>
              </w:rPr>
            </w:pPr>
          </w:p>
        </w:tc>
        <w:tc>
          <w:tcPr>
            <w:tcW w:w="1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2,891.0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Fees and other revenues</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3,222.2</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2,626.7</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2,526.7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40" w:type="dxa"/>
            <w:vAlign w:val="bottom"/>
          </w:tcPr>
          <w:p>
            <w:pPr>
              <w:spacing w:after="0" w:line="149" w:lineRule="exact"/>
              <w:rPr>
                <w:sz w:val="20"/>
                <w:szCs w:val="20"/>
                <w:color w:val="auto"/>
              </w:rPr>
            </w:pPr>
            <w:r>
              <w:rPr>
                <w:rFonts w:ascii="Arial" w:cs="Arial" w:eastAsia="Arial" w:hAnsi="Arial"/>
                <w:sz w:val="14"/>
                <w:szCs w:val="14"/>
                <w:color w:val="auto"/>
              </w:rPr>
              <w:t>Net investment income</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3,138.4</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3,254.9</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3,375.3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realized capital gains (losses), excluding impairment losses on available-for-sale securities</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(109.2)</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232.7</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75.0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40" w:type="dxa"/>
            <w:vAlign w:val="bottom"/>
          </w:tcPr>
          <w:p>
            <w:pPr>
              <w:spacing w:after="0" w:line="149" w:lineRule="exact"/>
              <w:rPr>
                <w:sz w:val="20"/>
                <w:szCs w:val="20"/>
                <w:color w:val="auto"/>
              </w:rPr>
            </w:pPr>
            <w:r>
              <w:rPr>
                <w:rFonts w:ascii="Arial" w:cs="Arial" w:eastAsia="Arial" w:hAnsi="Arial"/>
                <w:sz w:val="14"/>
                <w:szCs w:val="14"/>
                <w:color w:val="auto"/>
              </w:rPr>
              <w:t>Total other-than-temporary impairment losses on available-for-sale securities</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(91.5)</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(135.9)</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(147.6)</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594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0"/>
              </w:rPr>
              <w:t>Other-than-temporary impairment losses on fixed maturities, available-for- sale reclassified to (from) other</w:t>
            </w:r>
          </w:p>
        </w:tc>
        <w:tc>
          <w:tcPr>
            <w:tcW w:w="1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(24.5)</w:t>
            </w: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594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comprehensive income</w:t>
            </w:r>
          </w:p>
        </w:tc>
        <w:tc>
          <w:tcPr>
            <w:tcW w:w="18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00" w:type="dxa"/>
            <w:vAlign w:val="bottom"/>
            <w:gridSpan w:val="2"/>
            <w:vMerge w:val="continue"/>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17.3</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(49.7)</w:t>
            </w:r>
          </w:p>
        </w:tc>
        <w:tc>
          <w:tcPr>
            <w:tcW w:w="0" w:type="dxa"/>
            <w:vAlign w:val="bottom"/>
          </w:tcPr>
          <w:p>
            <w:pPr>
              <w:spacing w:after="0"/>
              <w:rPr>
                <w:sz w:val="1"/>
                <w:szCs w:val="1"/>
                <w:color w:val="auto"/>
              </w:rPr>
            </w:pPr>
          </w:p>
        </w:tc>
      </w:tr>
      <w:tr>
        <w:trPr>
          <w:trHeight w:val="142"/>
        </w:trPr>
        <w:tc>
          <w:tcPr>
            <w:tcW w:w="5960" w:type="dxa"/>
            <w:vAlign w:val="bottom"/>
            <w:gridSpan w:val="2"/>
          </w:tcPr>
          <w:p>
            <w:pPr>
              <w:spacing w:after="0" w:line="142" w:lineRule="exact"/>
              <w:rPr>
                <w:sz w:val="20"/>
                <w:szCs w:val="20"/>
                <w:color w:val="auto"/>
              </w:rPr>
            </w:pPr>
            <w:r>
              <w:rPr>
                <w:rFonts w:ascii="Arial" w:cs="Arial" w:eastAsia="Arial" w:hAnsi="Arial"/>
                <w:sz w:val="14"/>
                <w:szCs w:val="14"/>
                <w:color w:val="auto"/>
              </w:rPr>
              <w:t>Net impairment losses on available-for-sale securities</w:t>
            </w:r>
          </w:p>
        </w:tc>
        <w:tc>
          <w:tcPr>
            <w:tcW w:w="18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(116.0)</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8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(118.6)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8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(197.3)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94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realized capital gains (losses)</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(225.2)</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114.1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(122.3)</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940" w:type="dxa"/>
            <w:vAlign w:val="bottom"/>
          </w:tcPr>
          <w:p>
            <w:pPr>
              <w:ind w:left="140"/>
              <w:spacing w:after="0" w:line="142" w:lineRule="exact"/>
              <w:rPr>
                <w:sz w:val="20"/>
                <w:szCs w:val="20"/>
                <w:color w:val="auto"/>
              </w:rPr>
            </w:pPr>
            <w:r>
              <w:rPr>
                <w:rFonts w:ascii="Arial" w:cs="Arial" w:eastAsia="Arial" w:hAnsi="Arial"/>
                <w:sz w:val="14"/>
                <w:szCs w:val="14"/>
                <w:color w:val="auto"/>
              </w:rPr>
              <w:t>Total revenues</w:t>
            </w:r>
          </w:p>
        </w:tc>
        <w:tc>
          <w:tcPr>
            <w:tcW w:w="1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9,289.5</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9,215.1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8,670.7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4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Expenses</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40" w:type="dxa"/>
            <w:vAlign w:val="bottom"/>
          </w:tcPr>
          <w:p>
            <w:pPr>
              <w:spacing w:after="0" w:line="149" w:lineRule="exact"/>
              <w:rPr>
                <w:sz w:val="20"/>
                <w:szCs w:val="20"/>
                <w:color w:val="auto"/>
              </w:rPr>
            </w:pPr>
            <w:r>
              <w:rPr>
                <w:rFonts w:ascii="Arial" w:cs="Arial" w:eastAsia="Arial" w:hAnsi="Arial"/>
                <w:sz w:val="14"/>
                <w:szCs w:val="14"/>
                <w:color w:val="auto"/>
              </w:rPr>
              <w:t>Benefits, claims and settlement expenses</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4,683.6</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5,123.9</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4,616.6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Dividends to policyholders</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189.0</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197.7</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210.2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40" w:type="dxa"/>
            <w:vAlign w:val="bottom"/>
          </w:tcPr>
          <w:p>
            <w:pPr>
              <w:spacing w:after="0" w:line="149" w:lineRule="exact"/>
              <w:rPr>
                <w:sz w:val="20"/>
                <w:szCs w:val="20"/>
                <w:color w:val="auto"/>
              </w:rPr>
            </w:pPr>
            <w:r>
              <w:rPr>
                <w:rFonts w:ascii="Arial" w:cs="Arial" w:eastAsia="Arial" w:hAnsi="Arial"/>
                <w:sz w:val="14"/>
                <w:szCs w:val="14"/>
                <w:color w:val="auto"/>
              </w:rPr>
              <w:t>Operating expenses</w:t>
            </w:r>
          </w:p>
        </w:tc>
        <w:tc>
          <w:tcPr>
            <w:tcW w:w="1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3,292.9</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2,933.5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2,971.1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94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expenses</w:t>
            </w:r>
          </w:p>
        </w:tc>
        <w:tc>
          <w:tcPr>
            <w:tcW w:w="18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8,165.5</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8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8,255.1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8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7,797.9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960" w:type="dxa"/>
            <w:vAlign w:val="bottom"/>
            <w:gridSpan w:val="2"/>
          </w:tcPr>
          <w:p>
            <w:pPr>
              <w:spacing w:after="0" w:line="142" w:lineRule="exact"/>
              <w:rPr>
                <w:sz w:val="20"/>
                <w:szCs w:val="20"/>
                <w:color w:val="auto"/>
              </w:rPr>
            </w:pPr>
            <w:r>
              <w:rPr>
                <w:rFonts w:ascii="Arial" w:cs="Arial" w:eastAsia="Arial" w:hAnsi="Arial"/>
                <w:sz w:val="14"/>
                <w:szCs w:val="14"/>
                <w:color w:val="auto"/>
              </w:rPr>
              <w:t>Income before income taxes</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1,124.0</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2" w:lineRule="exact"/>
              <w:rPr>
                <w:sz w:val="20"/>
                <w:szCs w:val="20"/>
                <w:color w:val="auto"/>
              </w:rPr>
            </w:pPr>
            <w:r>
              <w:rPr>
                <w:rFonts w:ascii="Arial" w:cs="Arial" w:eastAsia="Arial" w:hAnsi="Arial"/>
                <w:sz w:val="14"/>
                <w:szCs w:val="14"/>
                <w:color w:val="auto"/>
              </w:rPr>
              <w:t>960.0</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2" w:lineRule="exact"/>
              <w:rPr>
                <w:sz w:val="20"/>
                <w:szCs w:val="20"/>
                <w:color w:val="auto"/>
              </w:rPr>
            </w:pPr>
            <w:r>
              <w:rPr>
                <w:rFonts w:ascii="Arial" w:cs="Arial" w:eastAsia="Arial" w:hAnsi="Arial"/>
                <w:sz w:val="14"/>
                <w:szCs w:val="14"/>
                <w:color w:val="auto"/>
              </w:rPr>
              <w:t>872.8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Income taxes</w:t>
            </w:r>
          </w:p>
        </w:tc>
        <w:tc>
          <w:tcPr>
            <w:tcW w:w="18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187.9</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8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134.6</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8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198.3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960" w:type="dxa"/>
            <w:vAlign w:val="bottom"/>
            <w:gridSpan w:val="2"/>
          </w:tcPr>
          <w:p>
            <w:pPr>
              <w:spacing w:after="0" w:line="142" w:lineRule="exact"/>
              <w:rPr>
                <w:sz w:val="20"/>
                <w:szCs w:val="20"/>
                <w:color w:val="auto"/>
              </w:rPr>
            </w:pPr>
            <w:r>
              <w:rPr>
                <w:rFonts w:ascii="Arial" w:cs="Arial" w:eastAsia="Arial" w:hAnsi="Arial"/>
                <w:sz w:val="14"/>
                <w:szCs w:val="14"/>
                <w:color w:val="auto"/>
              </w:rPr>
              <w:t>Net income</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936.1</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2" w:lineRule="exact"/>
              <w:rPr>
                <w:sz w:val="20"/>
                <w:szCs w:val="20"/>
                <w:color w:val="auto"/>
              </w:rPr>
            </w:pPr>
            <w:r>
              <w:rPr>
                <w:rFonts w:ascii="Arial" w:cs="Arial" w:eastAsia="Arial" w:hAnsi="Arial"/>
                <w:sz w:val="14"/>
                <w:szCs w:val="14"/>
                <w:color w:val="auto"/>
              </w:rPr>
              <w:t>825.4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2" w:lineRule="exact"/>
              <w:rPr>
                <w:sz w:val="20"/>
                <w:szCs w:val="20"/>
                <w:color w:val="auto"/>
              </w:rPr>
            </w:pPr>
            <w:r>
              <w:rPr>
                <w:rFonts w:ascii="Arial" w:cs="Arial" w:eastAsia="Arial" w:hAnsi="Arial"/>
                <w:sz w:val="14"/>
                <w:szCs w:val="14"/>
                <w:color w:val="auto"/>
              </w:rPr>
              <w:t>674.5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income attributable to noncontrolling interest</w:t>
            </w:r>
          </w:p>
        </w:tc>
        <w:tc>
          <w:tcPr>
            <w:tcW w:w="18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23.4</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8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18.8</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8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36.2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960" w:type="dxa"/>
            <w:vAlign w:val="bottom"/>
            <w:gridSpan w:val="2"/>
          </w:tcPr>
          <w:p>
            <w:pPr>
              <w:spacing w:after="0" w:line="142" w:lineRule="exact"/>
              <w:rPr>
                <w:sz w:val="20"/>
                <w:szCs w:val="20"/>
                <w:color w:val="auto"/>
              </w:rPr>
            </w:pPr>
            <w:r>
              <w:rPr>
                <w:rFonts w:ascii="Arial" w:cs="Arial" w:eastAsia="Arial" w:hAnsi="Arial"/>
                <w:sz w:val="14"/>
                <w:szCs w:val="14"/>
                <w:color w:val="auto"/>
              </w:rPr>
              <w:t>Net income attributable to Principal Financial Group, Inc.</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912.7</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2" w:lineRule="exact"/>
              <w:rPr>
                <w:sz w:val="20"/>
                <w:szCs w:val="20"/>
                <w:color w:val="auto"/>
              </w:rPr>
            </w:pPr>
            <w:r>
              <w:rPr>
                <w:rFonts w:ascii="Arial" w:cs="Arial" w:eastAsia="Arial" w:hAnsi="Arial"/>
                <w:sz w:val="14"/>
                <w:szCs w:val="14"/>
                <w:color w:val="auto"/>
              </w:rPr>
              <w:t>806.6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2" w:lineRule="exact"/>
              <w:rPr>
                <w:sz w:val="20"/>
                <w:szCs w:val="20"/>
                <w:color w:val="auto"/>
              </w:rPr>
            </w:pPr>
            <w:r>
              <w:rPr>
                <w:rFonts w:ascii="Arial" w:cs="Arial" w:eastAsia="Arial" w:hAnsi="Arial"/>
                <w:sz w:val="14"/>
                <w:szCs w:val="14"/>
                <w:color w:val="auto"/>
              </w:rPr>
              <w:t>638.3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Preferred stock dividends</w:t>
            </w:r>
          </w:p>
        </w:tc>
        <w:tc>
          <w:tcPr>
            <w:tcW w:w="18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33.0</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8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33.0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8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33.0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960" w:type="dxa"/>
            <w:vAlign w:val="bottom"/>
            <w:gridSpan w:val="2"/>
          </w:tcPr>
          <w:p>
            <w:pPr>
              <w:spacing w:after="0" w:line="142" w:lineRule="exact"/>
              <w:rPr>
                <w:sz w:val="20"/>
                <w:szCs w:val="20"/>
                <w:color w:val="auto"/>
              </w:rPr>
            </w:pPr>
            <w:r>
              <w:rPr>
                <w:rFonts w:ascii="Arial" w:cs="Arial" w:eastAsia="Arial" w:hAnsi="Arial"/>
                <w:sz w:val="14"/>
                <w:szCs w:val="14"/>
                <w:color w:val="auto"/>
              </w:rPr>
              <w:t>Net income available to common stockholders</w:t>
            </w:r>
          </w:p>
        </w:tc>
        <w:tc>
          <w:tcPr>
            <w:tcW w:w="180" w:type="dxa"/>
            <w:vAlign w:val="bottom"/>
          </w:tcPr>
          <w:p>
            <w:pPr>
              <w:spacing w:after="0"/>
              <w:rPr>
                <w:sz w:val="12"/>
                <w:szCs w:val="12"/>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5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879.7</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773.6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605.3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5940" w:type="dxa"/>
            <w:vAlign w:val="bottom"/>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Earnings per common share</w:t>
            </w:r>
          </w:p>
        </w:tc>
        <w:tc>
          <w:tcPr>
            <w:tcW w:w="1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40" w:type="dxa"/>
            <w:vAlign w:val="bottom"/>
          </w:tcPr>
          <w:p>
            <w:pPr>
              <w:spacing w:after="0" w:line="149" w:lineRule="exact"/>
              <w:rPr>
                <w:sz w:val="20"/>
                <w:szCs w:val="20"/>
                <w:color w:val="auto"/>
              </w:rPr>
            </w:pPr>
            <w:r>
              <w:rPr>
                <w:rFonts w:ascii="Arial" w:cs="Arial" w:eastAsia="Arial" w:hAnsi="Arial"/>
                <w:sz w:val="14"/>
                <w:szCs w:val="14"/>
                <w:color w:val="auto"/>
              </w:rPr>
              <w:t>Basic earnings per common share</w:t>
            </w:r>
          </w:p>
        </w:tc>
        <w:tc>
          <w:tcPr>
            <w:tcW w:w="300" w:type="dxa"/>
            <w:vAlign w:val="bottom"/>
            <w:gridSpan w:val="2"/>
          </w:tcPr>
          <w:p>
            <w:pPr>
              <w:jc w:val="right"/>
              <w:ind w:right="9"/>
              <w:spacing w:after="0" w:line="149" w:lineRule="exact"/>
              <w:rPr>
                <w:sz w:val="20"/>
                <w:szCs w:val="20"/>
                <w:color w:val="auto"/>
              </w:rPr>
            </w:pPr>
            <w:r>
              <w:rPr>
                <w:rFonts w:ascii="Arial" w:cs="Arial" w:eastAsia="Arial" w:hAnsi="Arial"/>
                <w:sz w:val="14"/>
                <w:szCs w:val="14"/>
                <w:b w:val="1"/>
                <w:bCs w:val="1"/>
                <w:color w:val="auto"/>
              </w:rPr>
              <w:t>$</w:t>
            </w: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2.99</w:t>
            </w:r>
          </w:p>
        </w:tc>
        <w:tc>
          <w:tcPr>
            <w:tcW w:w="100" w:type="dxa"/>
            <w:vAlign w:val="bottom"/>
          </w:tcPr>
          <w:p>
            <w:pPr>
              <w:spacing w:after="0"/>
              <w:rPr>
                <w:sz w:val="12"/>
                <w:szCs w:val="12"/>
                <w:color w:val="auto"/>
              </w:rPr>
            </w:pP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2.60</w:t>
            </w:r>
          </w:p>
        </w:tc>
        <w:tc>
          <w:tcPr>
            <w:tcW w:w="100" w:type="dxa"/>
            <w:vAlign w:val="bottom"/>
          </w:tcPr>
          <w:p>
            <w:pPr>
              <w:spacing w:after="0"/>
              <w:rPr>
                <w:sz w:val="12"/>
                <w:szCs w:val="12"/>
                <w:color w:val="auto"/>
              </w:rPr>
            </w:pPr>
          </w:p>
        </w:tc>
        <w:tc>
          <w:tcPr>
            <w:tcW w:w="1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1.92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5940" w:type="dxa"/>
            <w:vAlign w:val="bottom"/>
            <w:shd w:val="clear" w:color="auto" w:fill="CCEEFF"/>
          </w:tcPr>
          <w:p>
            <w:pPr>
              <w:spacing w:after="0" w:line="129" w:lineRule="exact"/>
              <w:rPr>
                <w:sz w:val="20"/>
                <w:szCs w:val="20"/>
                <w:color w:val="auto"/>
              </w:rPr>
            </w:pPr>
            <w:r>
              <w:rPr>
                <w:rFonts w:ascii="Arial" w:cs="Arial" w:eastAsia="Arial" w:hAnsi="Arial"/>
                <w:sz w:val="14"/>
                <w:szCs w:val="14"/>
                <w:color w:val="auto"/>
              </w:rPr>
              <w:t>Diluted earnings per common share</w:t>
            </w:r>
          </w:p>
        </w:tc>
        <w:tc>
          <w:tcPr>
            <w:tcW w:w="300" w:type="dxa"/>
            <w:vAlign w:val="bottom"/>
            <w:gridSpan w:val="2"/>
            <w:shd w:val="clear" w:color="auto" w:fill="CCEEFF"/>
          </w:tcPr>
          <w:p>
            <w:pPr>
              <w:jc w:val="right"/>
              <w:ind w:right="9"/>
              <w:spacing w:after="0" w:line="129" w:lineRule="exact"/>
              <w:rPr>
                <w:sz w:val="20"/>
                <w:szCs w:val="20"/>
                <w:color w:val="auto"/>
              </w:rPr>
            </w:pPr>
            <w:r>
              <w:rPr>
                <w:rFonts w:ascii="Arial" w:cs="Arial" w:eastAsia="Arial" w:hAnsi="Arial"/>
                <w:sz w:val="14"/>
                <w:szCs w:val="14"/>
                <w:b w:val="1"/>
                <w:bCs w:val="1"/>
                <w:color w:val="auto"/>
              </w:rPr>
              <w:t>$</w:t>
            </w:r>
          </w:p>
        </w:tc>
        <w:tc>
          <w:tcPr>
            <w:tcW w:w="50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2.95</w:t>
            </w:r>
          </w:p>
        </w:tc>
        <w:tc>
          <w:tcPr>
            <w:tcW w:w="100" w:type="dxa"/>
            <w:vAlign w:val="bottom"/>
            <w:shd w:val="clear" w:color="auto" w:fill="CCEEFF"/>
          </w:tcPr>
          <w:p>
            <w:pPr>
              <w:spacing w:after="0"/>
              <w:rPr>
                <w:sz w:val="11"/>
                <w:szCs w:val="11"/>
                <w:color w:val="auto"/>
              </w:rPr>
            </w:pPr>
          </w:p>
        </w:tc>
        <w:tc>
          <w:tcPr>
            <w:tcW w:w="140" w:type="dxa"/>
            <w:vAlign w:val="bottom"/>
            <w:gridSpan w:val="2"/>
            <w:shd w:val="clear" w:color="auto" w:fill="CCEEFF"/>
          </w:tcPr>
          <w:p>
            <w:pPr>
              <w:jc w:val="right"/>
              <w:spacing w:after="0" w:line="129" w:lineRule="exact"/>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rPr>
              <w:t>2.58</w:t>
            </w:r>
          </w:p>
        </w:tc>
        <w:tc>
          <w:tcPr>
            <w:tcW w:w="100" w:type="dxa"/>
            <w:vAlign w:val="bottom"/>
            <w:shd w:val="clear" w:color="auto" w:fill="CCEEFF"/>
          </w:tcPr>
          <w:p>
            <w:pPr>
              <w:spacing w:after="0"/>
              <w:rPr>
                <w:sz w:val="11"/>
                <w:szCs w:val="11"/>
                <w:color w:val="auto"/>
              </w:rPr>
            </w:pPr>
          </w:p>
        </w:tc>
        <w:tc>
          <w:tcPr>
            <w:tcW w:w="120" w:type="dxa"/>
            <w:vAlign w:val="bottom"/>
            <w:gridSpan w:val="2"/>
            <w:shd w:val="clear" w:color="auto" w:fill="CCEEFF"/>
          </w:tcPr>
          <w:p>
            <w:pPr>
              <w:jc w:val="right"/>
              <w:spacing w:after="0" w:line="129" w:lineRule="exact"/>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rPr>
              <w:t>1.91</w:t>
            </w: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90" w:name="page91"/>
    <w:bookmarkEnd w:id="9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ind w:left="3780"/>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227"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3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40" w:type="dxa"/>
            <w:vAlign w:val="bottom"/>
            <w:gridSpan w:val="10"/>
          </w:tcPr>
          <w:p>
            <w:pPr>
              <w:jc w:val="right"/>
              <w:ind w:right="600"/>
              <w:spacing w:after="0"/>
              <w:rPr>
                <w:sz w:val="20"/>
                <w:szCs w:val="20"/>
                <w:color w:val="auto"/>
              </w:rPr>
            </w:pPr>
            <w:r>
              <w:rPr>
                <w:rFonts w:ascii="Arial" w:cs="Arial" w:eastAsia="Arial" w:hAnsi="Arial"/>
                <w:sz w:val="14"/>
                <w:szCs w:val="14"/>
                <w:b w:val="1"/>
                <w:bCs w:val="1"/>
                <w:color w:val="auto"/>
              </w:rPr>
              <w:t>For the year ended December 31,</w:t>
            </w:r>
          </w:p>
        </w:tc>
      </w:tr>
      <w:tr>
        <w:trPr>
          <w:trHeight w:val="142"/>
        </w:trPr>
        <w:tc>
          <w:tcPr>
            <w:tcW w:w="20" w:type="dxa"/>
            <w:vAlign w:val="bottom"/>
          </w:tcPr>
          <w:p>
            <w:pPr>
              <w:spacing w:after="0"/>
              <w:rPr>
                <w:sz w:val="12"/>
                <w:szCs w:val="12"/>
                <w:color w:val="auto"/>
              </w:rPr>
            </w:pPr>
          </w:p>
        </w:tc>
        <w:tc>
          <w:tcPr>
            <w:tcW w:w="53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ind w:right="72"/>
              <w:spacing w:after="0" w:line="142" w:lineRule="exact"/>
              <w:rPr>
                <w:sz w:val="20"/>
                <w:szCs w:val="20"/>
                <w:color w:val="auto"/>
              </w:rPr>
            </w:pPr>
            <w:r>
              <w:rPr>
                <w:rFonts w:ascii="Arial" w:cs="Arial" w:eastAsia="Arial" w:hAnsi="Arial"/>
                <w:sz w:val="14"/>
                <w:szCs w:val="14"/>
                <w:b w:val="1"/>
                <w:bCs w:val="1"/>
                <w:color w:val="auto"/>
                <w:w w:val="96"/>
              </w:rPr>
              <w:t>2013</w:t>
            </w:r>
          </w:p>
        </w:tc>
        <w:tc>
          <w:tcPr>
            <w:tcW w:w="10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880" w:type="dxa"/>
            <w:vAlign w:val="bottom"/>
            <w:tcBorders>
              <w:top w:val="single" w:sz="8" w:color="auto"/>
              <w:bottom w:val="single" w:sz="8" w:color="auto"/>
            </w:tcBorders>
          </w:tcPr>
          <w:p>
            <w:pPr>
              <w:jc w:val="right"/>
              <w:ind w:right="272"/>
              <w:spacing w:after="0" w:line="142" w:lineRule="exact"/>
              <w:rPr>
                <w:sz w:val="20"/>
                <w:szCs w:val="20"/>
                <w:color w:val="auto"/>
              </w:rPr>
            </w:pPr>
            <w:r>
              <w:rPr>
                <w:rFonts w:ascii="Arial" w:cs="Arial" w:eastAsia="Arial" w:hAnsi="Arial"/>
                <w:sz w:val="14"/>
                <w:szCs w:val="14"/>
                <w:b w:val="1"/>
                <w:bCs w:val="1"/>
                <w:color w:val="auto"/>
              </w:rPr>
              <w:t>2012</w:t>
            </w: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880" w:type="dxa"/>
            <w:vAlign w:val="bottom"/>
            <w:tcBorders>
              <w:top w:val="single" w:sz="8" w:color="auto"/>
              <w:bottom w:val="single" w:sz="8" w:color="auto"/>
            </w:tcBorders>
          </w:tcPr>
          <w:p>
            <w:pPr>
              <w:jc w:val="right"/>
              <w:ind w:right="272"/>
              <w:spacing w:after="0" w:line="142" w:lineRule="exact"/>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2"/>
                <w:szCs w:val="12"/>
                <w:color w:val="auto"/>
              </w:rPr>
            </w:pPr>
          </w:p>
        </w:tc>
      </w:tr>
      <w:tr>
        <w:trPr>
          <w:trHeight w:val="131"/>
        </w:trPr>
        <w:tc>
          <w:tcPr>
            <w:tcW w:w="20" w:type="dxa"/>
            <w:vAlign w:val="bottom"/>
          </w:tcPr>
          <w:p>
            <w:pPr>
              <w:spacing w:after="0"/>
              <w:rPr>
                <w:sz w:val="11"/>
                <w:szCs w:val="11"/>
                <w:color w:val="auto"/>
              </w:rPr>
            </w:pPr>
          </w:p>
        </w:tc>
        <w:tc>
          <w:tcPr>
            <w:tcW w:w="53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80" w:type="dxa"/>
            <w:vAlign w:val="bottom"/>
          </w:tcPr>
          <w:p>
            <w:pPr>
              <w:jc w:val="right"/>
              <w:ind w:right="32"/>
              <w:spacing w:after="0" w:line="131" w:lineRule="exact"/>
              <w:rPr>
                <w:sz w:val="20"/>
                <w:szCs w:val="20"/>
                <w:color w:val="auto"/>
              </w:rPr>
            </w:pPr>
            <w:r>
              <w:rPr>
                <w:rFonts w:ascii="Arial" w:cs="Arial" w:eastAsia="Arial" w:hAnsi="Arial"/>
                <w:sz w:val="14"/>
                <w:szCs w:val="14"/>
                <w:b w:val="1"/>
                <w:bCs w:val="1"/>
                <w:color w:val="auto"/>
                <w:w w:val="85"/>
              </w:rPr>
              <w:t>(As adjusted)</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80" w:type="dxa"/>
            <w:vAlign w:val="bottom"/>
          </w:tcPr>
          <w:p>
            <w:pPr>
              <w:jc w:val="right"/>
              <w:ind w:right="32"/>
              <w:spacing w:after="0" w:line="131" w:lineRule="exact"/>
              <w:rPr>
                <w:sz w:val="20"/>
                <w:szCs w:val="20"/>
                <w:color w:val="auto"/>
              </w:rPr>
            </w:pPr>
            <w:r>
              <w:rPr>
                <w:rFonts w:ascii="Arial" w:cs="Arial" w:eastAsia="Arial" w:hAnsi="Arial"/>
                <w:sz w:val="14"/>
                <w:szCs w:val="14"/>
                <w:b w:val="1"/>
                <w:bCs w:val="1"/>
                <w:color w:val="auto"/>
                <w:w w:val="85"/>
              </w:rPr>
              <w:t>(As adjusted)</w:t>
            </w:r>
          </w:p>
        </w:tc>
        <w:tc>
          <w:tcPr>
            <w:tcW w:w="160" w:type="dxa"/>
            <w:vAlign w:val="bottom"/>
          </w:tcPr>
          <w:p>
            <w:pPr>
              <w:spacing w:after="0"/>
              <w:rPr>
                <w:sz w:val="11"/>
                <w:szCs w:val="11"/>
                <w:color w:val="auto"/>
              </w:rPr>
            </w:pPr>
          </w:p>
        </w:tc>
      </w:tr>
      <w:tr>
        <w:trPr>
          <w:trHeight w:val="159"/>
        </w:trPr>
        <w:tc>
          <w:tcPr>
            <w:tcW w:w="20" w:type="dxa"/>
            <w:vAlign w:val="bottom"/>
          </w:tcPr>
          <w:p>
            <w:pPr>
              <w:spacing w:after="0"/>
              <w:rPr>
                <w:sz w:val="13"/>
                <w:szCs w:val="13"/>
                <w:color w:val="auto"/>
              </w:rPr>
            </w:pPr>
          </w:p>
        </w:tc>
        <w:tc>
          <w:tcPr>
            <w:tcW w:w="53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980" w:type="dxa"/>
            <w:vAlign w:val="bottom"/>
            <w:gridSpan w:val="2"/>
          </w:tcPr>
          <w:p>
            <w:pPr>
              <w:jc w:val="right"/>
              <w:ind w:right="60"/>
              <w:spacing w:after="0" w:line="159" w:lineRule="exact"/>
              <w:rPr>
                <w:sz w:val="20"/>
                <w:szCs w:val="20"/>
                <w:color w:val="auto"/>
              </w:rPr>
            </w:pPr>
            <w:r>
              <w:rPr>
                <w:rFonts w:ascii="Arial" w:cs="Arial" w:eastAsia="Arial" w:hAnsi="Arial"/>
                <w:sz w:val="14"/>
                <w:szCs w:val="14"/>
                <w:b w:val="1"/>
                <w:bCs w:val="1"/>
                <w:i w:val="1"/>
                <w:iCs w:val="1"/>
                <w:color w:val="auto"/>
              </w:rPr>
              <w:t>(in millions)</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60" w:type="dxa"/>
            <w:vAlign w:val="bottom"/>
          </w:tcPr>
          <w:p>
            <w:pPr>
              <w:spacing w:after="0"/>
              <w:rPr>
                <w:sz w:val="13"/>
                <w:szCs w:val="13"/>
                <w:color w:val="auto"/>
              </w:rPr>
            </w:pPr>
          </w:p>
        </w:tc>
      </w:tr>
      <w:tr>
        <w:trPr>
          <w:trHeight w:val="149"/>
        </w:trPr>
        <w:tc>
          <w:tcPr>
            <w:tcW w:w="20" w:type="dxa"/>
            <w:vAlign w:val="bottom"/>
          </w:tcPr>
          <w:p>
            <w:pPr>
              <w:spacing w:after="0"/>
              <w:rPr>
                <w:sz w:val="12"/>
                <w:szCs w:val="12"/>
                <w:color w:val="auto"/>
              </w:rPr>
            </w:pPr>
          </w:p>
        </w:tc>
        <w:tc>
          <w:tcPr>
            <w:tcW w:w="53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income</w:t>
            </w:r>
          </w:p>
        </w:tc>
        <w:tc>
          <w:tcPr>
            <w:tcW w:w="92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b w:val="1"/>
                <w:bCs w:val="1"/>
                <w:color w:val="auto"/>
              </w:rPr>
              <w:t>$</w:t>
            </w: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936.1</w:t>
            </w:r>
          </w:p>
        </w:tc>
        <w:tc>
          <w:tcPr>
            <w:tcW w:w="10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825.4</w:t>
            </w:r>
          </w:p>
        </w:tc>
        <w:tc>
          <w:tcPr>
            <w:tcW w:w="100" w:type="dxa"/>
            <w:vAlign w:val="bottom"/>
            <w:shd w:val="clear" w:color="auto" w:fill="CCEEFF"/>
          </w:tcPr>
          <w:p>
            <w:pPr>
              <w:spacing w:after="0"/>
              <w:rPr>
                <w:sz w:val="12"/>
                <w:szCs w:val="12"/>
                <w:color w:val="auto"/>
              </w:rPr>
            </w:pPr>
          </w:p>
        </w:tc>
        <w:tc>
          <w:tcPr>
            <w:tcW w:w="1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674.5</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60" w:type="dxa"/>
            <w:vAlign w:val="bottom"/>
          </w:tcPr>
          <w:p>
            <w:pPr>
              <w:spacing w:after="0" w:line="149" w:lineRule="exact"/>
              <w:rPr>
                <w:sz w:val="20"/>
                <w:szCs w:val="20"/>
                <w:color w:val="auto"/>
              </w:rPr>
            </w:pPr>
            <w:r>
              <w:rPr>
                <w:rFonts w:ascii="Arial" w:cs="Arial" w:eastAsia="Arial" w:hAnsi="Arial"/>
                <w:sz w:val="14"/>
                <w:szCs w:val="14"/>
                <w:color w:val="auto"/>
              </w:rPr>
              <w:t>Other comprehensive income (loss), net:</w:t>
            </w: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6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Net unrealized gains (losses) on available-for-sale securities</w:t>
            </w:r>
          </w:p>
        </w:tc>
        <w:tc>
          <w:tcPr>
            <w:tcW w:w="8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(540.2)</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557.6</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208.6</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60" w:type="dxa"/>
            <w:vAlign w:val="bottom"/>
          </w:tcPr>
          <w:p>
            <w:pPr>
              <w:ind w:left="140"/>
              <w:spacing w:after="0" w:line="149" w:lineRule="exact"/>
              <w:rPr>
                <w:sz w:val="20"/>
                <w:szCs w:val="20"/>
                <w:color w:val="auto"/>
              </w:rPr>
            </w:pPr>
            <w:r>
              <w:rPr>
                <w:rFonts w:ascii="Arial" w:cs="Arial" w:eastAsia="Arial" w:hAnsi="Arial"/>
                <w:sz w:val="14"/>
                <w:szCs w:val="14"/>
                <w:color w:val="auto"/>
              </w:rPr>
              <w:t>Noncredit component of impairment losses on fixed maturities, available-for-sale</w:t>
            </w: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6.9</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(6.7)</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31.0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6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Net unrealized gains (losses) on derivative instruments</w:t>
            </w:r>
          </w:p>
        </w:tc>
        <w:tc>
          <w:tcPr>
            <w:tcW w:w="8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(1.8)</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(43.6)</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23.6</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60" w:type="dxa"/>
            <w:vAlign w:val="bottom"/>
          </w:tcPr>
          <w:p>
            <w:pPr>
              <w:ind w:left="140"/>
              <w:spacing w:after="0" w:line="149" w:lineRule="exact"/>
              <w:rPr>
                <w:sz w:val="20"/>
                <w:szCs w:val="20"/>
                <w:color w:val="auto"/>
              </w:rPr>
            </w:pPr>
            <w:r>
              <w:rPr>
                <w:rFonts w:ascii="Arial" w:cs="Arial" w:eastAsia="Arial" w:hAnsi="Arial"/>
                <w:sz w:val="14"/>
                <w:szCs w:val="14"/>
                <w:color w:val="auto"/>
              </w:rPr>
              <w:t>Foreign currency translation adjustment</w:t>
            </w: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(269.4)</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(9.8)</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(130.9)</w:t>
            </w:r>
          </w:p>
        </w:tc>
      </w:tr>
      <w:tr>
        <w:trPr>
          <w:trHeight w:val="149"/>
        </w:trPr>
        <w:tc>
          <w:tcPr>
            <w:tcW w:w="20" w:type="dxa"/>
            <w:vAlign w:val="bottom"/>
          </w:tcPr>
          <w:p>
            <w:pPr>
              <w:spacing w:after="0"/>
              <w:rPr>
                <w:sz w:val="12"/>
                <w:szCs w:val="12"/>
                <w:color w:val="auto"/>
              </w:rPr>
            </w:pPr>
          </w:p>
        </w:tc>
        <w:tc>
          <w:tcPr>
            <w:tcW w:w="536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Net unrecognized postretirement benefit obligation</w:t>
            </w:r>
          </w:p>
        </w:tc>
        <w:tc>
          <w:tcPr>
            <w:tcW w:w="8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332.6</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(127.4)</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(172.9)</w:t>
            </w:r>
          </w:p>
        </w:tc>
      </w:tr>
      <w:tr>
        <w:trPr>
          <w:trHeight w:val="142"/>
        </w:trPr>
        <w:tc>
          <w:tcPr>
            <w:tcW w:w="5380" w:type="dxa"/>
            <w:vAlign w:val="bottom"/>
            <w:gridSpan w:val="2"/>
          </w:tcPr>
          <w:p>
            <w:pPr>
              <w:spacing w:after="0" w:line="142" w:lineRule="exact"/>
              <w:rPr>
                <w:sz w:val="20"/>
                <w:szCs w:val="20"/>
                <w:color w:val="auto"/>
              </w:rPr>
            </w:pPr>
            <w:r>
              <w:rPr>
                <w:rFonts w:ascii="Arial" w:cs="Arial" w:eastAsia="Arial" w:hAnsi="Arial"/>
                <w:sz w:val="14"/>
                <w:szCs w:val="14"/>
                <w:color w:val="auto"/>
              </w:rPr>
              <w:t>Other comprehensive income (loss)</w:t>
            </w:r>
          </w:p>
        </w:tc>
        <w:tc>
          <w:tcPr>
            <w:tcW w:w="82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9"/>
              </w:rPr>
              <w:t>(471.9)</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8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370.1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8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(40.6)</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536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Comprehensive income</w:t>
            </w:r>
          </w:p>
        </w:tc>
        <w:tc>
          <w:tcPr>
            <w:tcW w:w="8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464.2</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1,195.5</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633.9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60" w:type="dxa"/>
            <w:vAlign w:val="bottom"/>
          </w:tcPr>
          <w:p>
            <w:pPr>
              <w:spacing w:after="0" w:line="149" w:lineRule="exact"/>
              <w:rPr>
                <w:sz w:val="20"/>
                <w:szCs w:val="20"/>
                <w:color w:val="auto"/>
              </w:rPr>
            </w:pPr>
            <w:r>
              <w:rPr>
                <w:rFonts w:ascii="Arial" w:cs="Arial" w:eastAsia="Arial" w:hAnsi="Arial"/>
                <w:sz w:val="14"/>
                <w:szCs w:val="14"/>
                <w:color w:val="auto"/>
              </w:rPr>
              <w:t>Comprehensive income attributable to noncontrolling interest</w:t>
            </w:r>
          </w:p>
        </w:tc>
        <w:tc>
          <w:tcPr>
            <w:tcW w:w="8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8.6</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20.0</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35.7</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536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Comprehensive income attributable to Principal Financial Group, Inc.</w:t>
            </w:r>
          </w:p>
        </w:tc>
        <w:tc>
          <w:tcPr>
            <w:tcW w:w="92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b w:val="1"/>
                <w:bCs w:val="1"/>
                <w:color w:val="auto"/>
              </w:rPr>
              <w:t>$</w:t>
            </w:r>
          </w:p>
        </w:tc>
        <w:tc>
          <w:tcPr>
            <w:tcW w:w="4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455.6</w:t>
            </w:r>
          </w:p>
        </w:tc>
        <w:tc>
          <w:tcPr>
            <w:tcW w:w="10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1,175.5</w:t>
            </w:r>
          </w:p>
        </w:tc>
        <w:tc>
          <w:tcPr>
            <w:tcW w:w="100" w:type="dxa"/>
            <w:vAlign w:val="bottom"/>
            <w:shd w:val="clear" w:color="auto" w:fill="CCEEFF"/>
          </w:tcPr>
          <w:p>
            <w:pPr>
              <w:spacing w:after="0"/>
              <w:rPr>
                <w:sz w:val="12"/>
                <w:szCs w:val="12"/>
                <w:color w:val="auto"/>
              </w:rPr>
            </w:pPr>
          </w:p>
        </w:tc>
        <w:tc>
          <w:tcPr>
            <w:tcW w:w="1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598.2</w:t>
            </w:r>
          </w:p>
        </w:tc>
        <w:tc>
          <w:tcPr>
            <w:tcW w:w="160" w:type="dxa"/>
            <w:vAlign w:val="bottom"/>
            <w:shd w:val="clear" w:color="auto" w:fill="CCEEFF"/>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53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91" w:name="page92"/>
    <w:bookmarkEnd w:id="91"/>
    <w:p>
      <w:pPr>
        <w:spacing w:after="0" w:line="62" w:lineRule="exact"/>
        <w:rPr>
          <w:sz w:val="20"/>
          <w:szCs w:val="20"/>
          <w:color w:val="auto"/>
        </w:rPr>
      </w:pPr>
    </w:p>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1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ind w:left="3880"/>
        <w:spacing w:after="0"/>
        <w:rPr>
          <w:sz w:val="20"/>
          <w:szCs w:val="20"/>
          <w:color w:val="auto"/>
        </w:rPr>
      </w:pPr>
      <w:r>
        <w:rPr>
          <w:rFonts w:ascii="Arial" w:cs="Arial" w:eastAsia="Arial" w:hAnsi="Arial"/>
          <w:sz w:val="18"/>
          <w:szCs w:val="18"/>
          <w:b w:val="1"/>
          <w:bCs w:val="1"/>
          <w:color w:val="auto"/>
        </w:rPr>
        <w:t>Consolidated Statements of Stockholders' Equity</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6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8"/>
              </w:rPr>
              <w:t>Accumulated</w:t>
            </w:r>
          </w:p>
        </w:tc>
        <w:tc>
          <w:tcPr>
            <w:tcW w:w="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2"/>
              </w:rPr>
              <w:t>Series A</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2"/>
              </w:rPr>
              <w:t>Series B</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7"/>
              </w:rPr>
              <w:t>Additional</w:t>
            </w: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other</w:t>
            </w: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9"/>
              </w:rPr>
              <w:t>Total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7"/>
              </w:rPr>
              <w:t>preferred</w:t>
            </w:r>
          </w:p>
        </w:tc>
        <w:tc>
          <w:tcPr>
            <w:tcW w:w="160" w:type="dxa"/>
            <w:vAlign w:val="bottom"/>
          </w:tcPr>
          <w:p>
            <w:pPr>
              <w:spacing w:after="0"/>
              <w:rPr>
                <w:sz w:val="12"/>
                <w:szCs w:val="12"/>
                <w:color w:val="auto"/>
              </w:rPr>
            </w:pPr>
          </w:p>
        </w:tc>
        <w:tc>
          <w:tcPr>
            <w:tcW w:w="6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7"/>
              </w:rPr>
              <w:t>preferred</w:t>
            </w:r>
          </w:p>
        </w:tc>
        <w:tc>
          <w:tcPr>
            <w:tcW w:w="180" w:type="dxa"/>
            <w:vAlign w:val="bottom"/>
          </w:tcPr>
          <w:p>
            <w:pPr>
              <w:spacing w:after="0"/>
              <w:rPr>
                <w:sz w:val="12"/>
                <w:szCs w:val="12"/>
                <w:color w:val="auto"/>
              </w:rPr>
            </w:pPr>
          </w:p>
        </w:tc>
        <w:tc>
          <w:tcPr>
            <w:tcW w:w="6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88"/>
              </w:rPr>
              <w:t>Common</w:t>
            </w:r>
          </w:p>
        </w:tc>
        <w:tc>
          <w:tcPr>
            <w:tcW w:w="160" w:type="dxa"/>
            <w:vAlign w:val="bottom"/>
          </w:tcPr>
          <w:p>
            <w:pPr>
              <w:spacing w:after="0"/>
              <w:rPr>
                <w:sz w:val="12"/>
                <w:szCs w:val="12"/>
                <w:color w:val="auto"/>
              </w:rPr>
            </w:pPr>
          </w:p>
        </w:tc>
        <w:tc>
          <w:tcPr>
            <w:tcW w:w="8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7"/>
              </w:rPr>
              <w:t>paid-in</w:t>
            </w:r>
          </w:p>
        </w:tc>
        <w:tc>
          <w:tcPr>
            <w:tcW w:w="60" w:type="dxa"/>
            <w:vAlign w:val="bottom"/>
          </w:tcPr>
          <w:p>
            <w:pPr>
              <w:spacing w:after="0"/>
              <w:rPr>
                <w:sz w:val="12"/>
                <w:szCs w:val="12"/>
                <w:color w:val="auto"/>
              </w:rPr>
            </w:pPr>
          </w:p>
        </w:tc>
        <w:tc>
          <w:tcPr>
            <w:tcW w:w="720" w:type="dxa"/>
            <w:vAlign w:val="bottom"/>
            <w:gridSpan w:val="2"/>
          </w:tcPr>
          <w:p>
            <w:pPr>
              <w:jc w:val="right"/>
              <w:ind w:right="92"/>
              <w:spacing w:after="0" w:line="149" w:lineRule="exact"/>
              <w:rPr>
                <w:sz w:val="20"/>
                <w:szCs w:val="20"/>
                <w:color w:val="auto"/>
              </w:rPr>
            </w:pPr>
            <w:r>
              <w:rPr>
                <w:rFonts w:ascii="Arial" w:cs="Arial" w:eastAsia="Arial" w:hAnsi="Arial"/>
                <w:sz w:val="14"/>
                <w:szCs w:val="14"/>
                <w:b w:val="1"/>
                <w:bCs w:val="1"/>
                <w:color w:val="auto"/>
                <w:w w:val="91"/>
              </w:rPr>
              <w:t>Retained</w:t>
            </w:r>
          </w:p>
        </w:tc>
        <w:tc>
          <w:tcPr>
            <w:tcW w:w="60" w:type="dxa"/>
            <w:vAlign w:val="bottom"/>
          </w:tcPr>
          <w:p>
            <w:pPr>
              <w:spacing w:after="0"/>
              <w:rPr>
                <w:sz w:val="12"/>
                <w:szCs w:val="12"/>
                <w:color w:val="auto"/>
              </w:rPr>
            </w:pPr>
          </w:p>
        </w:tc>
        <w:tc>
          <w:tcPr>
            <w:tcW w:w="104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3"/>
              </w:rPr>
              <w:t>comprehensive</w:t>
            </w:r>
          </w:p>
        </w:tc>
        <w:tc>
          <w:tcPr>
            <w:tcW w:w="60" w:type="dxa"/>
            <w:vAlign w:val="bottom"/>
          </w:tcPr>
          <w:p>
            <w:pPr>
              <w:spacing w:after="0"/>
              <w:rPr>
                <w:sz w:val="12"/>
                <w:szCs w:val="12"/>
                <w:color w:val="auto"/>
              </w:rPr>
            </w:pPr>
          </w:p>
        </w:tc>
        <w:tc>
          <w:tcPr>
            <w:tcW w:w="72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w w:val="94"/>
              </w:rPr>
              <w:t>Treasury</w:t>
            </w:r>
          </w:p>
        </w:tc>
        <w:tc>
          <w:tcPr>
            <w:tcW w:w="80" w:type="dxa"/>
            <w:vAlign w:val="bottom"/>
          </w:tcPr>
          <w:p>
            <w:pPr>
              <w:spacing w:after="0"/>
              <w:rPr>
                <w:sz w:val="12"/>
                <w:szCs w:val="12"/>
                <w:color w:val="auto"/>
              </w:rPr>
            </w:pPr>
          </w:p>
        </w:tc>
        <w:tc>
          <w:tcPr>
            <w:tcW w:w="1060" w:type="dxa"/>
            <w:vAlign w:val="bottom"/>
            <w:gridSpan w:val="3"/>
          </w:tcPr>
          <w:p>
            <w:pPr>
              <w:jc w:val="right"/>
              <w:ind w:right="160"/>
              <w:spacing w:after="0" w:line="149" w:lineRule="exact"/>
              <w:rPr>
                <w:sz w:val="20"/>
                <w:szCs w:val="20"/>
                <w:color w:val="auto"/>
              </w:rPr>
            </w:pPr>
            <w:r>
              <w:rPr>
                <w:rFonts w:ascii="Arial" w:cs="Arial" w:eastAsia="Arial" w:hAnsi="Arial"/>
                <w:sz w:val="14"/>
                <w:szCs w:val="14"/>
                <w:b w:val="1"/>
                <w:bCs w:val="1"/>
                <w:color w:val="auto"/>
                <w:w w:val="88"/>
              </w:rPr>
              <w:t>Noncontrolling</w:t>
            </w:r>
          </w:p>
        </w:tc>
        <w:tc>
          <w:tcPr>
            <w:tcW w:w="60" w:type="dxa"/>
            <w:vAlign w:val="bottom"/>
          </w:tcPr>
          <w:p>
            <w:pPr>
              <w:spacing w:after="0"/>
              <w:rPr>
                <w:sz w:val="12"/>
                <w:szCs w:val="12"/>
                <w:color w:val="auto"/>
              </w:rPr>
            </w:pPr>
          </w:p>
        </w:tc>
        <w:tc>
          <w:tcPr>
            <w:tcW w:w="104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3"/>
              </w:rPr>
              <w:t>stockholders'</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1"/>
              </w:rPr>
              <w:t>stock</w:t>
            </w: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1"/>
              </w:rPr>
              <w:t>stock</w:t>
            </w: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right"/>
              <w:ind w:right="112"/>
              <w:spacing w:after="0"/>
              <w:rPr>
                <w:sz w:val="20"/>
                <w:szCs w:val="20"/>
                <w:color w:val="auto"/>
              </w:rPr>
            </w:pPr>
            <w:r>
              <w:rPr>
                <w:rFonts w:ascii="Arial" w:cs="Arial" w:eastAsia="Arial" w:hAnsi="Arial"/>
                <w:sz w:val="14"/>
                <w:szCs w:val="14"/>
                <w:b w:val="1"/>
                <w:bCs w:val="1"/>
                <w:color w:val="auto"/>
                <w:w w:val="87"/>
              </w:rPr>
              <w:t>stock</w:t>
            </w:r>
          </w:p>
        </w:tc>
        <w:tc>
          <w:tcPr>
            <w:tcW w:w="160" w:type="dxa"/>
            <w:vAlign w:val="bottom"/>
          </w:tcPr>
          <w:p>
            <w:pPr>
              <w:spacing w:after="0"/>
              <w:rPr>
                <w:sz w:val="14"/>
                <w:szCs w:val="14"/>
                <w:color w:val="auto"/>
              </w:rPr>
            </w:pPr>
          </w:p>
        </w:tc>
        <w:tc>
          <w:tcPr>
            <w:tcW w:w="7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capital</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2"/>
              </w:rPr>
              <w:t>earnings</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5"/>
              </w:rPr>
              <w:t>income</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40" w:type="dxa"/>
            <w:vAlign w:val="bottom"/>
            <w:tcBorders>
              <w:bottom w:val="single" w:sz="8" w:color="auto"/>
            </w:tcBorders>
          </w:tcPr>
          <w:p>
            <w:pPr>
              <w:jc w:val="right"/>
              <w:ind w:right="112"/>
              <w:spacing w:after="0"/>
              <w:rPr>
                <w:sz w:val="20"/>
                <w:szCs w:val="20"/>
                <w:color w:val="auto"/>
              </w:rPr>
            </w:pPr>
            <w:r>
              <w:rPr>
                <w:rFonts w:ascii="Arial" w:cs="Arial" w:eastAsia="Arial" w:hAnsi="Arial"/>
                <w:sz w:val="14"/>
                <w:szCs w:val="14"/>
                <w:b w:val="1"/>
                <w:bCs w:val="1"/>
                <w:color w:val="auto"/>
              </w:rPr>
              <w:t>stock</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212"/>
              <w:spacing w:after="0"/>
              <w:rPr>
                <w:sz w:val="20"/>
                <w:szCs w:val="20"/>
                <w:color w:val="auto"/>
              </w:rPr>
            </w:pPr>
            <w:r>
              <w:rPr>
                <w:rFonts w:ascii="Arial" w:cs="Arial" w:eastAsia="Arial" w:hAnsi="Arial"/>
                <w:sz w:val="14"/>
                <w:szCs w:val="14"/>
                <w:b w:val="1"/>
                <w:bCs w:val="1"/>
                <w:color w:val="auto"/>
                <w:w w:val="98"/>
              </w:rPr>
              <w:t>interest</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center"/>
              <w:ind w:right="92"/>
              <w:spacing w:after="0"/>
              <w:rPr>
                <w:sz w:val="20"/>
                <w:szCs w:val="20"/>
                <w:color w:val="auto"/>
              </w:rPr>
            </w:pPr>
            <w:r>
              <w:rPr>
                <w:rFonts w:ascii="Arial" w:cs="Arial" w:eastAsia="Arial" w:hAnsi="Arial"/>
                <w:sz w:val="14"/>
                <w:szCs w:val="14"/>
                <w:b w:val="1"/>
                <w:bCs w:val="1"/>
                <w:color w:val="auto"/>
                <w:w w:val="87"/>
              </w:rPr>
              <w:t>equity</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jc w:val="right"/>
              <w:ind w:right="3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1100" w:type="dxa"/>
            <w:vAlign w:val="bottom"/>
            <w:gridSpan w:val="4"/>
          </w:tcPr>
          <w:p>
            <w:pPr>
              <w:jc w:val="right"/>
              <w:ind w:right="592"/>
              <w:spacing w:after="0" w:line="142" w:lineRule="exact"/>
              <w:rPr>
                <w:sz w:val="20"/>
                <w:szCs w:val="20"/>
                <w:color w:val="auto"/>
              </w:rPr>
            </w:pPr>
            <w:r>
              <w:rPr>
                <w:rFonts w:ascii="Arial" w:cs="Arial" w:eastAsia="Arial" w:hAnsi="Arial"/>
                <w:sz w:val="14"/>
                <w:szCs w:val="14"/>
                <w:b w:val="1"/>
                <w:bCs w:val="1"/>
                <w:i w:val="1"/>
                <w:iCs w:val="1"/>
                <w:color w:val="auto"/>
                <w:w w:val="72"/>
              </w:rPr>
              <w:t>millions)</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060" w:type="dxa"/>
            <w:vAlign w:val="bottom"/>
            <w:shd w:val="clear" w:color="auto" w:fill="CCEEFF"/>
          </w:tcPr>
          <w:p>
            <w:pPr>
              <w:spacing w:after="0" w:line="136" w:lineRule="exact"/>
              <w:rPr>
                <w:sz w:val="20"/>
                <w:szCs w:val="20"/>
                <w:color w:val="auto"/>
              </w:rPr>
            </w:pPr>
            <w:r>
              <w:rPr>
                <w:rFonts w:ascii="Arial" w:cs="Arial" w:eastAsia="Arial" w:hAnsi="Arial"/>
                <w:sz w:val="14"/>
                <w:szCs w:val="14"/>
                <w:b w:val="1"/>
                <w:bCs w:val="1"/>
                <w:color w:val="auto"/>
              </w:rPr>
              <w:t>Balances at</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b w:val="1"/>
                <w:bCs w:val="1"/>
                <w:color w:val="auto"/>
              </w:rPr>
              <w:t>January 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b w:val="1"/>
                <w:bCs w:val="1"/>
                <w:color w:val="auto"/>
              </w:rPr>
              <w:t>2011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060" w:type="dxa"/>
            <w:vAlign w:val="bottom"/>
            <w:shd w:val="clear" w:color="auto" w:fill="CCEEFF"/>
          </w:tcPr>
          <w:p>
            <w:pPr>
              <w:ind w:left="120"/>
              <w:spacing w:after="0"/>
              <w:rPr>
                <w:sz w:val="20"/>
                <w:szCs w:val="20"/>
                <w:color w:val="auto"/>
              </w:rPr>
            </w:pPr>
            <w:r>
              <w:rPr>
                <w:rFonts w:ascii="Arial" w:cs="Arial" w:eastAsia="Arial" w:hAnsi="Arial"/>
                <w:sz w:val="14"/>
                <w:szCs w:val="14"/>
                <w:b w:val="1"/>
                <w:bCs w:val="1"/>
                <w:color w:val="auto"/>
              </w:rPr>
              <w:t>(as adjusted)</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ind w:left="440"/>
              <w:spacing w:after="0"/>
              <w:rPr>
                <w:sz w:val="20"/>
                <w:szCs w:val="20"/>
                <w:color w:val="auto"/>
              </w:rPr>
            </w:pPr>
            <w:r>
              <w:rPr>
                <w:rFonts w:ascii="Arial" w:cs="Arial" w:eastAsia="Arial" w:hAnsi="Arial"/>
                <w:sz w:val="14"/>
                <w:szCs w:val="14"/>
                <w:color w:val="auto"/>
                <w:w w:val="85"/>
              </w:rPr>
              <w:t>—</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    9,564.0</w:t>
            </w:r>
          </w:p>
        </w:tc>
        <w:tc>
          <w:tcPr>
            <w:tcW w:w="100" w:type="dxa"/>
            <w:vAlign w:val="bottom"/>
            <w:shd w:val="clear" w:color="auto" w:fill="CCEEFF"/>
          </w:tcPr>
          <w:p>
            <w:pPr>
              <w:spacing w:after="0"/>
              <w:rPr>
                <w:sz w:val="14"/>
                <w:szCs w:val="14"/>
                <w:color w:val="auto"/>
              </w:rPr>
            </w:pP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  3,934.8</w:t>
            </w:r>
          </w:p>
        </w:tc>
        <w:tc>
          <w:tcPr>
            <w:tcW w:w="100" w:type="dxa"/>
            <w:vAlign w:val="bottom"/>
            <w:shd w:val="clear" w:color="auto" w:fill="CCEEFF"/>
          </w:tcPr>
          <w:p>
            <w:pPr>
              <w:spacing w:after="0"/>
              <w:rPr>
                <w:sz w:val="14"/>
                <w:szCs w:val="14"/>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311.5</w:t>
            </w:r>
          </w:p>
        </w:tc>
        <w:tc>
          <w:tcPr>
            <w:tcW w:w="100" w:type="dxa"/>
            <w:vAlign w:val="bottom"/>
            <w:shd w:val="clear" w:color="auto" w:fill="CCEEFF"/>
          </w:tcPr>
          <w:p>
            <w:pPr>
              <w:spacing w:after="0"/>
              <w:rPr>
                <w:sz w:val="14"/>
                <w:szCs w:val="14"/>
                <w:color w:val="auto"/>
              </w:rPr>
            </w:pPr>
          </w:p>
        </w:tc>
        <w:tc>
          <w:tcPr>
            <w:tcW w:w="780" w:type="dxa"/>
            <w:vAlign w:val="bottom"/>
            <w:gridSpan w:val="3"/>
            <w:shd w:val="clear" w:color="auto" w:fill="CCEEFF"/>
          </w:tcPr>
          <w:p>
            <w:pPr>
              <w:jc w:val="right"/>
              <w:ind w:right="60"/>
              <w:spacing w:after="0"/>
              <w:rPr>
                <w:sz w:val="20"/>
                <w:szCs w:val="20"/>
                <w:color w:val="auto"/>
              </w:rPr>
            </w:pPr>
            <w:r>
              <w:rPr>
                <w:rFonts w:ascii="Arial" w:cs="Arial" w:eastAsia="Arial" w:hAnsi="Arial"/>
                <w:sz w:val="14"/>
                <w:szCs w:val="14"/>
                <w:color w:val="auto"/>
                <w:w w:val="97"/>
              </w:rPr>
              <w:t>$  (4,725.3)</w:t>
            </w:r>
          </w:p>
        </w:tc>
        <w:tc>
          <w:tcPr>
            <w:tcW w:w="240" w:type="dxa"/>
            <w:vAlign w:val="bottom"/>
            <w:gridSpan w:val="2"/>
            <w:shd w:val="clear" w:color="auto" w:fill="CCEEFF"/>
          </w:tcPr>
          <w:p>
            <w:pPr>
              <w:jc w:val="right"/>
              <w:ind w:right="32"/>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157.2</w:t>
            </w:r>
          </w:p>
        </w:tc>
        <w:tc>
          <w:tcPr>
            <w:tcW w:w="100" w:type="dxa"/>
            <w:vAlign w:val="bottom"/>
            <w:shd w:val="clear" w:color="auto" w:fill="CCEEFF"/>
          </w:tcPr>
          <w:p>
            <w:pPr>
              <w:spacing w:after="0"/>
              <w:rPr>
                <w:sz w:val="14"/>
                <w:szCs w:val="14"/>
                <w:color w:val="auto"/>
              </w:rPr>
            </w:pPr>
          </w:p>
        </w:tc>
        <w:tc>
          <w:tcPr>
            <w:tcW w:w="220" w:type="dxa"/>
            <w:vAlign w:val="bottom"/>
            <w:gridSpan w:val="2"/>
            <w:shd w:val="clear" w:color="auto" w:fill="CCEEFF"/>
          </w:tcPr>
          <w:p>
            <w:pPr>
              <w:jc w:val="right"/>
              <w:ind w:right="32"/>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9,246.8</w:t>
            </w:r>
          </w:p>
        </w:tc>
        <w:tc>
          <w:tcPr>
            <w:tcW w:w="1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060" w:type="dxa"/>
            <w:vAlign w:val="bottom"/>
          </w:tcPr>
          <w:p>
            <w:pPr>
              <w:spacing w:after="0" w:line="138" w:lineRule="exact"/>
              <w:rPr>
                <w:sz w:val="20"/>
                <w:szCs w:val="20"/>
                <w:color w:val="auto"/>
              </w:rPr>
            </w:pPr>
            <w:r>
              <w:rPr>
                <w:rFonts w:ascii="Arial" w:cs="Arial" w:eastAsia="Arial" w:hAnsi="Arial"/>
                <w:sz w:val="14"/>
                <w:szCs w:val="14"/>
                <w:color w:val="auto"/>
              </w:rPr>
              <w:t>Common stock</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60" w:type="dxa"/>
            <w:vAlign w:val="bottom"/>
          </w:tcPr>
          <w:p>
            <w:pPr>
              <w:ind w:left="120"/>
              <w:spacing w:after="0" w:line="159" w:lineRule="exact"/>
              <w:rPr>
                <w:sz w:val="20"/>
                <w:szCs w:val="20"/>
                <w:color w:val="auto"/>
              </w:rPr>
            </w:pPr>
            <w:r>
              <w:rPr>
                <w:rFonts w:ascii="Arial" w:cs="Arial" w:eastAsia="Arial" w:hAnsi="Arial"/>
                <w:sz w:val="14"/>
                <w:szCs w:val="14"/>
                <w:color w:val="auto"/>
              </w:rPr>
              <w:t>issued</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ind w:left="4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86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25.9</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20" w:type="dxa"/>
            <w:vAlign w:val="bottom"/>
            <w:gridSpan w:val="2"/>
          </w:tcPr>
          <w:p>
            <w:pPr>
              <w:jc w:val="right"/>
              <w:ind w:right="32"/>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72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25.9</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06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Stock-based</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compensation</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and additional</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related tax</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6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benefits</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80" w:type="dxa"/>
            <w:vAlign w:val="bottom"/>
            <w:shd w:val="clear" w:color="auto" w:fill="CCEEFF"/>
          </w:tcPr>
          <w:p>
            <w:pPr>
              <w:ind w:left="4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8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46.8</w:t>
            </w:r>
          </w:p>
        </w:tc>
        <w:tc>
          <w:tcPr>
            <w:tcW w:w="100" w:type="dxa"/>
            <w:vAlign w:val="bottom"/>
            <w:shd w:val="clear" w:color="auto" w:fill="CCEEFF"/>
          </w:tcPr>
          <w:p>
            <w:pPr>
              <w:spacing w:after="0"/>
              <w:rPr>
                <w:sz w:val="13"/>
                <w:szCs w:val="13"/>
                <w:color w:val="auto"/>
              </w:rPr>
            </w:pPr>
          </w:p>
        </w:tc>
        <w:tc>
          <w:tcPr>
            <w:tcW w:w="780" w:type="dxa"/>
            <w:vAlign w:val="bottom"/>
            <w:gridSpan w:val="3"/>
            <w:shd w:val="clear" w:color="auto" w:fill="CCEEFF"/>
          </w:tcPr>
          <w:p>
            <w:pPr>
              <w:jc w:val="right"/>
              <w:spacing w:after="0" w:line="159" w:lineRule="exact"/>
              <w:rPr>
                <w:sz w:val="20"/>
                <w:szCs w:val="20"/>
                <w:color w:val="auto"/>
              </w:rPr>
            </w:pPr>
            <w:r>
              <w:rPr>
                <w:rFonts w:ascii="Arial" w:cs="Arial" w:eastAsia="Arial" w:hAnsi="Arial"/>
                <w:sz w:val="14"/>
                <w:szCs w:val="14"/>
                <w:color w:val="auto"/>
              </w:rPr>
              <w:t>(3.0)</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9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43.8</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060" w:type="dxa"/>
            <w:vAlign w:val="bottom"/>
          </w:tcPr>
          <w:p>
            <w:pPr>
              <w:spacing w:after="0" w:line="138" w:lineRule="exact"/>
              <w:rPr>
                <w:sz w:val="20"/>
                <w:szCs w:val="20"/>
                <w:color w:val="auto"/>
              </w:rPr>
            </w:pPr>
            <w:r>
              <w:rPr>
                <w:rFonts w:ascii="Arial" w:cs="Arial" w:eastAsia="Arial" w:hAnsi="Arial"/>
                <w:sz w:val="14"/>
                <w:szCs w:val="14"/>
                <w:color w:val="auto"/>
              </w:rPr>
              <w:t>Treasury stock</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color w:val="auto"/>
              </w:rPr>
              <w:t>acquired,</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60" w:type="dxa"/>
            <w:vAlign w:val="bottom"/>
          </w:tcPr>
          <w:p>
            <w:pPr>
              <w:ind w:left="120"/>
              <w:spacing w:after="0" w:line="159" w:lineRule="exact"/>
              <w:rPr>
                <w:sz w:val="20"/>
                <w:szCs w:val="20"/>
                <w:color w:val="auto"/>
              </w:rPr>
            </w:pPr>
            <w:r>
              <w:rPr>
                <w:rFonts w:ascii="Arial" w:cs="Arial" w:eastAsia="Arial" w:hAnsi="Arial"/>
                <w:sz w:val="14"/>
                <w:szCs w:val="14"/>
                <w:color w:val="auto"/>
              </w:rPr>
              <w:t>common</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ind w:left="4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80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720" w:type="dxa"/>
            <w:vAlign w:val="bottom"/>
            <w:gridSpan w:val="2"/>
          </w:tcPr>
          <w:p>
            <w:pPr>
              <w:jc w:val="right"/>
              <w:ind w:right="32"/>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780" w:type="dxa"/>
            <w:vAlign w:val="bottom"/>
            <w:gridSpan w:val="3"/>
          </w:tcPr>
          <w:p>
            <w:pPr>
              <w:jc w:val="right"/>
              <w:ind w:right="60"/>
              <w:spacing w:after="0" w:line="159" w:lineRule="exact"/>
              <w:rPr>
                <w:sz w:val="20"/>
                <w:szCs w:val="20"/>
                <w:color w:val="auto"/>
              </w:rPr>
            </w:pPr>
            <w:r>
              <w:rPr>
                <w:rFonts w:ascii="Arial" w:cs="Arial" w:eastAsia="Arial" w:hAnsi="Arial"/>
                <w:sz w:val="14"/>
                <w:szCs w:val="14"/>
                <w:color w:val="auto"/>
              </w:rPr>
              <w:t>(556.4)</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8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(556.4)</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06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Dividends to</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common</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6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stockholders</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80" w:type="dxa"/>
            <w:vAlign w:val="bottom"/>
            <w:shd w:val="clear" w:color="auto" w:fill="CCEEFF"/>
          </w:tcPr>
          <w:p>
            <w:pPr>
              <w:ind w:left="4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780" w:type="dxa"/>
            <w:vAlign w:val="bottom"/>
            <w:gridSpan w:val="3"/>
            <w:shd w:val="clear" w:color="auto" w:fill="CCEEFF"/>
          </w:tcPr>
          <w:p>
            <w:pPr>
              <w:jc w:val="right"/>
              <w:spacing w:after="0" w:line="159" w:lineRule="exact"/>
              <w:rPr>
                <w:sz w:val="20"/>
                <w:szCs w:val="20"/>
                <w:color w:val="auto"/>
              </w:rPr>
            </w:pPr>
            <w:r>
              <w:rPr>
                <w:rFonts w:ascii="Arial" w:cs="Arial" w:eastAsia="Arial" w:hAnsi="Arial"/>
                <w:sz w:val="14"/>
                <w:szCs w:val="14"/>
                <w:color w:val="auto"/>
              </w:rPr>
              <w:t>(213.7)</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9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8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(213.7)</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060" w:type="dxa"/>
            <w:vAlign w:val="bottom"/>
          </w:tcPr>
          <w:p>
            <w:pPr>
              <w:spacing w:after="0" w:line="138" w:lineRule="exact"/>
              <w:rPr>
                <w:sz w:val="20"/>
                <w:szCs w:val="20"/>
                <w:color w:val="auto"/>
              </w:rPr>
            </w:pPr>
            <w:r>
              <w:rPr>
                <w:rFonts w:ascii="Arial" w:cs="Arial" w:eastAsia="Arial" w:hAnsi="Arial"/>
                <w:sz w:val="14"/>
                <w:szCs w:val="14"/>
                <w:color w:val="auto"/>
              </w:rPr>
              <w:t>Dividends to</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color w:val="auto"/>
              </w:rPr>
              <w:t>preferred</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60" w:type="dxa"/>
            <w:vAlign w:val="bottom"/>
          </w:tcPr>
          <w:p>
            <w:pPr>
              <w:ind w:left="120"/>
              <w:spacing w:after="0" w:line="159" w:lineRule="exact"/>
              <w:rPr>
                <w:sz w:val="20"/>
                <w:szCs w:val="20"/>
                <w:color w:val="auto"/>
              </w:rPr>
            </w:pPr>
            <w:r>
              <w:rPr>
                <w:rFonts w:ascii="Arial" w:cs="Arial" w:eastAsia="Arial" w:hAnsi="Arial"/>
                <w:sz w:val="14"/>
                <w:szCs w:val="14"/>
                <w:color w:val="auto"/>
              </w:rPr>
              <w:t>stockholders</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ind w:left="4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80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780" w:type="dxa"/>
            <w:vAlign w:val="bottom"/>
            <w:gridSpan w:val="3"/>
          </w:tcPr>
          <w:p>
            <w:pPr>
              <w:jc w:val="right"/>
              <w:spacing w:after="0" w:line="159" w:lineRule="exact"/>
              <w:rPr>
                <w:sz w:val="20"/>
                <w:szCs w:val="20"/>
                <w:color w:val="auto"/>
              </w:rPr>
            </w:pPr>
            <w:r>
              <w:rPr>
                <w:rFonts w:ascii="Arial" w:cs="Arial" w:eastAsia="Arial" w:hAnsi="Arial"/>
                <w:sz w:val="14"/>
                <w:szCs w:val="14"/>
                <w:color w:val="auto"/>
              </w:rPr>
              <w:t>(33.0)</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72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8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(33.0)</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06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Distributions to</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noncontrolling</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6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interest</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80" w:type="dxa"/>
            <w:vAlign w:val="bottom"/>
            <w:shd w:val="clear" w:color="auto" w:fill="CCEEFF"/>
          </w:tcPr>
          <w:p>
            <w:pPr>
              <w:ind w:left="4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32"/>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90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(9.8)</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8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(9.8)</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060" w:type="dxa"/>
            <w:vAlign w:val="bottom"/>
          </w:tcPr>
          <w:p>
            <w:pPr>
              <w:spacing w:after="0" w:line="138" w:lineRule="exact"/>
              <w:rPr>
                <w:sz w:val="20"/>
                <w:szCs w:val="20"/>
                <w:color w:val="auto"/>
              </w:rPr>
            </w:pPr>
            <w:r>
              <w:rPr>
                <w:rFonts w:ascii="Arial" w:cs="Arial" w:eastAsia="Arial" w:hAnsi="Arial"/>
                <w:sz w:val="14"/>
                <w:szCs w:val="14"/>
                <w:color w:val="auto"/>
              </w:rPr>
              <w:t>Contributions</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color w:val="auto"/>
              </w:rPr>
              <w:t>from</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color w:val="auto"/>
              </w:rPr>
              <w:t>noncontrolling</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60" w:type="dxa"/>
            <w:vAlign w:val="bottom"/>
          </w:tcPr>
          <w:p>
            <w:pPr>
              <w:ind w:left="120"/>
              <w:spacing w:after="0" w:line="159" w:lineRule="exact"/>
              <w:rPr>
                <w:sz w:val="20"/>
                <w:szCs w:val="20"/>
                <w:color w:val="auto"/>
              </w:rPr>
            </w:pPr>
            <w:r>
              <w:rPr>
                <w:rFonts w:ascii="Arial" w:cs="Arial" w:eastAsia="Arial" w:hAnsi="Arial"/>
                <w:sz w:val="14"/>
                <w:szCs w:val="14"/>
                <w:color w:val="auto"/>
              </w:rPr>
              <w:t>interest</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ind w:left="4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80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720" w:type="dxa"/>
            <w:vAlign w:val="bottom"/>
            <w:gridSpan w:val="2"/>
          </w:tcPr>
          <w:p>
            <w:pPr>
              <w:jc w:val="right"/>
              <w:ind w:right="32"/>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72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tcPr>
          <w:p>
            <w:pPr>
              <w:jc w:val="right"/>
              <w:spacing w:after="0" w:line="159" w:lineRule="exact"/>
              <w:rPr>
                <w:sz w:val="20"/>
                <w:szCs w:val="20"/>
                <w:color w:val="auto"/>
              </w:rPr>
            </w:pPr>
            <w:r>
              <w:rPr>
                <w:rFonts w:ascii="Arial" w:cs="Arial" w:eastAsia="Arial" w:hAnsi="Arial"/>
                <w:sz w:val="14"/>
                <w:szCs w:val="14"/>
                <w:color w:val="auto"/>
              </w:rPr>
              <w:t>174.6</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174.6</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06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Purchase of</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subsidiary</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shares from</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noncontrolling</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6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interest</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80" w:type="dxa"/>
            <w:vAlign w:val="bottom"/>
            <w:shd w:val="clear" w:color="auto" w:fill="CCEEFF"/>
          </w:tcPr>
          <w:p>
            <w:pPr>
              <w:ind w:left="4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960" w:type="dxa"/>
            <w:vAlign w:val="bottom"/>
            <w:gridSpan w:val="3"/>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(2.0)</w:t>
            </w:r>
          </w:p>
        </w:tc>
        <w:tc>
          <w:tcPr>
            <w:tcW w:w="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32"/>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90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(3.7)</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8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(5.7)</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060" w:type="dxa"/>
            <w:vAlign w:val="bottom"/>
          </w:tcPr>
          <w:p>
            <w:pPr>
              <w:spacing w:after="0" w:line="138" w:lineRule="exact"/>
              <w:rPr>
                <w:sz w:val="20"/>
                <w:szCs w:val="20"/>
                <w:color w:val="auto"/>
              </w:rPr>
            </w:pPr>
            <w:r>
              <w:rPr>
                <w:rFonts w:ascii="Arial" w:cs="Arial" w:eastAsia="Arial" w:hAnsi="Arial"/>
                <w:sz w:val="14"/>
                <w:szCs w:val="14"/>
                <w:color w:val="auto"/>
              </w:rPr>
              <w:t>Net income</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color w:val="auto"/>
              </w:rPr>
              <w:t>(excludes</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color w:val="auto"/>
              </w:rPr>
              <w:t>$0.2 million</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color w:val="auto"/>
              </w:rPr>
              <w:t>attributable to</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color w:val="auto"/>
              </w:rPr>
              <w:t>redeemable</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color w:val="auto"/>
              </w:rPr>
              <w:t>noncontrolling</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60" w:type="dxa"/>
            <w:vAlign w:val="bottom"/>
          </w:tcPr>
          <w:p>
            <w:pPr>
              <w:ind w:left="120"/>
              <w:spacing w:after="0" w:line="159" w:lineRule="exact"/>
              <w:rPr>
                <w:sz w:val="20"/>
                <w:szCs w:val="20"/>
                <w:color w:val="auto"/>
              </w:rPr>
            </w:pPr>
            <w:r>
              <w:rPr>
                <w:rFonts w:ascii="Arial" w:cs="Arial" w:eastAsia="Arial" w:hAnsi="Arial"/>
                <w:sz w:val="14"/>
                <w:szCs w:val="14"/>
                <w:color w:val="auto"/>
              </w:rPr>
              <w:t>interest)</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ind w:left="4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80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68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638.3</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72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tcPr>
          <w:p>
            <w:pPr>
              <w:jc w:val="right"/>
              <w:spacing w:after="0" w:line="159" w:lineRule="exact"/>
              <w:rPr>
                <w:sz w:val="20"/>
                <w:szCs w:val="20"/>
                <w:color w:val="auto"/>
              </w:rPr>
            </w:pPr>
            <w:r>
              <w:rPr>
                <w:rFonts w:ascii="Arial" w:cs="Arial" w:eastAsia="Arial" w:hAnsi="Arial"/>
                <w:sz w:val="14"/>
                <w:szCs w:val="14"/>
                <w:color w:val="auto"/>
              </w:rPr>
              <w:t>36.0</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674.3</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06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Other</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w w:val="96"/>
              </w:rPr>
              <w:t>comprehensive</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6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loss</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80" w:type="dxa"/>
            <w:vAlign w:val="bottom"/>
            <w:shd w:val="clear" w:color="auto" w:fill="CCEEFF"/>
          </w:tcPr>
          <w:p>
            <w:pPr>
              <w:ind w:left="4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32"/>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(40.1)</w:t>
            </w:r>
          </w:p>
        </w:tc>
        <w:tc>
          <w:tcPr>
            <w:tcW w:w="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90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(0.5)</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8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(40.6)</w:t>
            </w:r>
          </w:p>
        </w:tc>
        <w:tc>
          <w:tcPr>
            <w:tcW w:w="0" w:type="dxa"/>
            <w:vAlign w:val="bottom"/>
          </w:tcPr>
          <w:p>
            <w:pPr>
              <w:spacing w:after="0"/>
              <w:rPr>
                <w:sz w:val="1"/>
                <w:szCs w:val="1"/>
                <w:color w:val="auto"/>
              </w:rPr>
            </w:pPr>
          </w:p>
        </w:tc>
      </w:tr>
      <w:tr>
        <w:trPr>
          <w:trHeight w:val="129"/>
        </w:trPr>
        <w:tc>
          <w:tcPr>
            <w:tcW w:w="1080" w:type="dxa"/>
            <w:vAlign w:val="bottom"/>
            <w:gridSpan w:val="2"/>
          </w:tcPr>
          <w:p>
            <w:pPr>
              <w:spacing w:after="0" w:line="129" w:lineRule="exact"/>
              <w:rPr>
                <w:sz w:val="20"/>
                <w:szCs w:val="20"/>
                <w:color w:val="auto"/>
              </w:rPr>
            </w:pPr>
            <w:r>
              <w:rPr>
                <w:rFonts w:ascii="Arial" w:cs="Arial" w:eastAsia="Arial" w:hAnsi="Arial"/>
                <w:sz w:val="14"/>
                <w:szCs w:val="14"/>
                <w:b w:val="1"/>
                <w:bCs w:val="1"/>
                <w:color w:val="auto"/>
              </w:rPr>
              <w:t>Balances at</w:t>
            </w:r>
          </w:p>
        </w:tc>
        <w:tc>
          <w:tcPr>
            <w:tcW w:w="1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58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560" w:type="dxa"/>
            <w:vAlign w:val="bottom"/>
            <w:tcBorders>
              <w:top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5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7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December 31,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080" w:type="dxa"/>
            <w:vAlign w:val="bottom"/>
            <w:gridSpan w:val="2"/>
          </w:tcPr>
          <w:p>
            <w:pPr>
              <w:ind w:left="140"/>
              <w:spacing w:after="0" w:line="149" w:lineRule="exact"/>
              <w:rPr>
                <w:sz w:val="20"/>
                <w:szCs w:val="20"/>
                <w:color w:val="auto"/>
              </w:rPr>
            </w:pPr>
            <w:r>
              <w:rPr>
                <w:rFonts w:ascii="Arial" w:cs="Arial" w:eastAsia="Arial" w:hAnsi="Arial"/>
                <w:sz w:val="14"/>
                <w:szCs w:val="14"/>
                <w:b w:val="1"/>
                <w:bCs w:val="1"/>
                <w:color w:val="auto"/>
              </w:rPr>
              <w:t>2011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060" w:type="dxa"/>
            <w:vAlign w:val="bottom"/>
          </w:tcPr>
          <w:p>
            <w:pPr>
              <w:ind w:left="120"/>
              <w:spacing w:after="0"/>
              <w:rPr>
                <w:sz w:val="20"/>
                <w:szCs w:val="20"/>
                <w:color w:val="auto"/>
              </w:rPr>
            </w:pPr>
            <w:r>
              <w:rPr>
                <w:rFonts w:ascii="Arial" w:cs="Arial" w:eastAsia="Arial" w:hAnsi="Arial"/>
                <w:sz w:val="14"/>
                <w:szCs w:val="14"/>
                <w:b w:val="1"/>
                <w:bCs w:val="1"/>
                <w:color w:val="auto"/>
              </w:rPr>
              <w:t>(as adjusted)</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80" w:type="dxa"/>
            <w:vAlign w:val="bottom"/>
          </w:tcPr>
          <w:p>
            <w:pPr>
              <w:ind w:left="440"/>
              <w:spacing w:after="0"/>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0.1</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jc w:val="right"/>
              <w:spacing w:after="0"/>
              <w:rPr>
                <w:sz w:val="20"/>
                <w:szCs w:val="20"/>
                <w:color w:val="auto"/>
              </w:rPr>
            </w:pPr>
            <w:r>
              <w:rPr>
                <w:rFonts w:ascii="Arial" w:cs="Arial" w:eastAsia="Arial" w:hAnsi="Arial"/>
                <w:sz w:val="14"/>
                <w:szCs w:val="14"/>
                <w:color w:val="auto"/>
              </w:rPr>
              <w:t>4.5</w:t>
            </w:r>
          </w:p>
        </w:tc>
        <w:tc>
          <w:tcPr>
            <w:tcW w:w="860" w:type="dxa"/>
            <w:vAlign w:val="bottom"/>
            <w:gridSpan w:val="2"/>
          </w:tcPr>
          <w:p>
            <w:pPr>
              <w:jc w:val="right"/>
              <w:spacing w:after="0"/>
              <w:rPr>
                <w:sz w:val="20"/>
                <w:szCs w:val="20"/>
                <w:color w:val="auto"/>
              </w:rPr>
            </w:pPr>
            <w:r>
              <w:rPr>
                <w:rFonts w:ascii="Arial" w:cs="Arial" w:eastAsia="Arial" w:hAnsi="Arial"/>
                <w:sz w:val="14"/>
                <w:szCs w:val="14"/>
                <w:color w:val="auto"/>
              </w:rPr>
              <w:t>9,634.7</w:t>
            </w:r>
          </w:p>
        </w:tc>
        <w:tc>
          <w:tcPr>
            <w:tcW w:w="100" w:type="dxa"/>
            <w:vAlign w:val="bottom"/>
          </w:tcPr>
          <w:p>
            <w:pPr>
              <w:spacing w:after="0"/>
              <w:rPr>
                <w:sz w:val="14"/>
                <w:szCs w:val="14"/>
                <w:color w:val="auto"/>
              </w:rPr>
            </w:pP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4,323.4</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271.4</w:t>
            </w:r>
          </w:p>
        </w:tc>
        <w:tc>
          <w:tcPr>
            <w:tcW w:w="100" w:type="dxa"/>
            <w:vAlign w:val="bottom"/>
          </w:tcPr>
          <w:p>
            <w:pPr>
              <w:spacing w:after="0"/>
              <w:rPr>
                <w:sz w:val="14"/>
                <w:szCs w:val="14"/>
                <w:color w:val="auto"/>
              </w:rPr>
            </w:pPr>
          </w:p>
        </w:tc>
        <w:tc>
          <w:tcPr>
            <w:tcW w:w="780" w:type="dxa"/>
            <w:vAlign w:val="bottom"/>
            <w:gridSpan w:val="3"/>
          </w:tcPr>
          <w:p>
            <w:pPr>
              <w:jc w:val="right"/>
              <w:ind w:right="60"/>
              <w:spacing w:after="0"/>
              <w:rPr>
                <w:sz w:val="20"/>
                <w:szCs w:val="20"/>
                <w:color w:val="auto"/>
              </w:rPr>
            </w:pPr>
            <w:r>
              <w:rPr>
                <w:rFonts w:ascii="Arial" w:cs="Arial" w:eastAsia="Arial" w:hAnsi="Arial"/>
                <w:sz w:val="14"/>
                <w:szCs w:val="14"/>
                <w:color w:val="auto"/>
              </w:rPr>
              <w:t>(5,281.7)</w:t>
            </w: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353.8</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9,306.2</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06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Common stock</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6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issued</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80" w:type="dxa"/>
            <w:vAlign w:val="bottom"/>
            <w:shd w:val="clear" w:color="auto" w:fill="CCEEFF"/>
          </w:tcPr>
          <w:p>
            <w:pPr>
              <w:ind w:left="4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8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28.9</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32"/>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9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28.9</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060" w:type="dxa"/>
            <w:vAlign w:val="bottom"/>
          </w:tcPr>
          <w:p>
            <w:pPr>
              <w:spacing w:after="0" w:line="138" w:lineRule="exact"/>
              <w:rPr>
                <w:sz w:val="20"/>
                <w:szCs w:val="20"/>
                <w:color w:val="auto"/>
              </w:rPr>
            </w:pPr>
            <w:r>
              <w:rPr>
                <w:rFonts w:ascii="Arial" w:cs="Arial" w:eastAsia="Arial" w:hAnsi="Arial"/>
                <w:sz w:val="14"/>
                <w:szCs w:val="14"/>
                <w:color w:val="auto"/>
              </w:rPr>
              <w:t>Stock-based</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color w:val="auto"/>
              </w:rPr>
              <w:t>compensation</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color w:val="auto"/>
              </w:rPr>
              <w:t>and additional</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color w:val="auto"/>
              </w:rPr>
              <w:t>related tax</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60" w:type="dxa"/>
            <w:vAlign w:val="bottom"/>
          </w:tcPr>
          <w:p>
            <w:pPr>
              <w:ind w:left="120"/>
              <w:spacing w:after="0" w:line="159" w:lineRule="exact"/>
              <w:rPr>
                <w:sz w:val="20"/>
                <w:szCs w:val="20"/>
                <w:color w:val="auto"/>
              </w:rPr>
            </w:pPr>
            <w:r>
              <w:rPr>
                <w:rFonts w:ascii="Arial" w:cs="Arial" w:eastAsia="Arial" w:hAnsi="Arial"/>
                <w:sz w:val="14"/>
                <w:szCs w:val="14"/>
                <w:color w:val="auto"/>
              </w:rPr>
              <w:t>benefits</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ind w:left="4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86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67.3</w:t>
            </w:r>
          </w:p>
        </w:tc>
        <w:tc>
          <w:tcPr>
            <w:tcW w:w="100" w:type="dxa"/>
            <w:vAlign w:val="bottom"/>
          </w:tcPr>
          <w:p>
            <w:pPr>
              <w:spacing w:after="0"/>
              <w:rPr>
                <w:sz w:val="13"/>
                <w:szCs w:val="13"/>
                <w:color w:val="auto"/>
              </w:rPr>
            </w:pPr>
          </w:p>
        </w:tc>
        <w:tc>
          <w:tcPr>
            <w:tcW w:w="780" w:type="dxa"/>
            <w:vAlign w:val="bottom"/>
            <w:gridSpan w:val="3"/>
          </w:tcPr>
          <w:p>
            <w:pPr>
              <w:jc w:val="right"/>
              <w:spacing w:after="0" w:line="159" w:lineRule="exact"/>
              <w:rPr>
                <w:sz w:val="20"/>
                <w:szCs w:val="20"/>
                <w:color w:val="auto"/>
              </w:rPr>
            </w:pPr>
            <w:r>
              <w:rPr>
                <w:rFonts w:ascii="Arial" w:cs="Arial" w:eastAsia="Arial" w:hAnsi="Arial"/>
                <w:sz w:val="14"/>
                <w:szCs w:val="14"/>
                <w:color w:val="auto"/>
              </w:rPr>
              <w:t>(3.7)</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72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63.6</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06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Treasury stock</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acquired,</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6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common</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80" w:type="dxa"/>
            <w:vAlign w:val="bottom"/>
            <w:shd w:val="clear" w:color="auto" w:fill="CCEEFF"/>
          </w:tcPr>
          <w:p>
            <w:pPr>
              <w:ind w:left="4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32"/>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780" w:type="dxa"/>
            <w:vAlign w:val="bottom"/>
            <w:gridSpan w:val="3"/>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(272.7)</w:t>
            </w:r>
          </w:p>
        </w:tc>
        <w:tc>
          <w:tcPr>
            <w:tcW w:w="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9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8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(272.7)</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060" w:type="dxa"/>
            <w:vAlign w:val="bottom"/>
          </w:tcPr>
          <w:p>
            <w:pPr>
              <w:spacing w:after="0" w:line="138" w:lineRule="exact"/>
              <w:rPr>
                <w:sz w:val="20"/>
                <w:szCs w:val="20"/>
                <w:color w:val="auto"/>
              </w:rPr>
            </w:pPr>
            <w:r>
              <w:rPr>
                <w:rFonts w:ascii="Arial" w:cs="Arial" w:eastAsia="Arial" w:hAnsi="Arial"/>
                <w:sz w:val="14"/>
                <w:szCs w:val="14"/>
                <w:color w:val="auto"/>
              </w:rPr>
              <w:t>Dividends to</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color w:val="auto"/>
              </w:rPr>
              <w:t>common</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60" w:type="dxa"/>
            <w:vAlign w:val="bottom"/>
          </w:tcPr>
          <w:p>
            <w:pPr>
              <w:ind w:left="120"/>
              <w:spacing w:after="0" w:line="159" w:lineRule="exact"/>
              <w:rPr>
                <w:sz w:val="20"/>
                <w:szCs w:val="20"/>
                <w:color w:val="auto"/>
              </w:rPr>
            </w:pPr>
            <w:r>
              <w:rPr>
                <w:rFonts w:ascii="Arial" w:cs="Arial" w:eastAsia="Arial" w:hAnsi="Arial"/>
                <w:sz w:val="14"/>
                <w:szCs w:val="14"/>
                <w:color w:val="auto"/>
              </w:rPr>
              <w:t>stockholders</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ind w:left="4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80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780" w:type="dxa"/>
            <w:vAlign w:val="bottom"/>
            <w:gridSpan w:val="3"/>
          </w:tcPr>
          <w:p>
            <w:pPr>
              <w:jc w:val="right"/>
              <w:spacing w:after="0" w:line="159" w:lineRule="exact"/>
              <w:rPr>
                <w:sz w:val="20"/>
                <w:szCs w:val="20"/>
                <w:color w:val="auto"/>
              </w:rPr>
            </w:pPr>
            <w:r>
              <w:rPr>
                <w:rFonts w:ascii="Arial" w:cs="Arial" w:eastAsia="Arial" w:hAnsi="Arial"/>
                <w:sz w:val="14"/>
                <w:szCs w:val="14"/>
                <w:color w:val="auto"/>
              </w:rPr>
              <w:t>(231.3)</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72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8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(231.3)</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06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Dividends to</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preferred</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6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stockholders</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80" w:type="dxa"/>
            <w:vAlign w:val="bottom"/>
            <w:shd w:val="clear" w:color="auto" w:fill="CCEEFF"/>
          </w:tcPr>
          <w:p>
            <w:pPr>
              <w:ind w:left="4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780" w:type="dxa"/>
            <w:vAlign w:val="bottom"/>
            <w:gridSpan w:val="3"/>
            <w:shd w:val="clear" w:color="auto" w:fill="CCEEFF"/>
          </w:tcPr>
          <w:p>
            <w:pPr>
              <w:jc w:val="right"/>
              <w:spacing w:after="0" w:line="159" w:lineRule="exact"/>
              <w:rPr>
                <w:sz w:val="20"/>
                <w:szCs w:val="20"/>
                <w:color w:val="auto"/>
              </w:rPr>
            </w:pPr>
            <w:r>
              <w:rPr>
                <w:rFonts w:ascii="Arial" w:cs="Arial" w:eastAsia="Arial" w:hAnsi="Arial"/>
                <w:sz w:val="14"/>
                <w:szCs w:val="14"/>
                <w:color w:val="auto"/>
              </w:rPr>
              <w:t>(33.0)</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9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8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(33.0)</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060" w:type="dxa"/>
            <w:vAlign w:val="bottom"/>
          </w:tcPr>
          <w:p>
            <w:pPr>
              <w:spacing w:after="0" w:line="138" w:lineRule="exact"/>
              <w:rPr>
                <w:sz w:val="20"/>
                <w:szCs w:val="20"/>
                <w:color w:val="auto"/>
              </w:rPr>
            </w:pPr>
            <w:r>
              <w:rPr>
                <w:rFonts w:ascii="Arial" w:cs="Arial" w:eastAsia="Arial" w:hAnsi="Arial"/>
                <w:sz w:val="14"/>
                <w:szCs w:val="14"/>
                <w:color w:val="auto"/>
              </w:rPr>
              <w:t>Distributions to</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color w:val="auto"/>
              </w:rPr>
              <w:t>noncontrolling</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60" w:type="dxa"/>
            <w:vAlign w:val="bottom"/>
          </w:tcPr>
          <w:p>
            <w:pPr>
              <w:ind w:left="120"/>
              <w:spacing w:after="0" w:line="159" w:lineRule="exact"/>
              <w:rPr>
                <w:sz w:val="20"/>
                <w:szCs w:val="20"/>
                <w:color w:val="auto"/>
              </w:rPr>
            </w:pPr>
            <w:r>
              <w:rPr>
                <w:rFonts w:ascii="Arial" w:cs="Arial" w:eastAsia="Arial" w:hAnsi="Arial"/>
                <w:sz w:val="14"/>
                <w:szCs w:val="14"/>
                <w:color w:val="auto"/>
              </w:rPr>
              <w:t>interest</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ind w:left="4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80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720" w:type="dxa"/>
            <w:vAlign w:val="bottom"/>
            <w:gridSpan w:val="2"/>
          </w:tcPr>
          <w:p>
            <w:pPr>
              <w:jc w:val="right"/>
              <w:ind w:right="32"/>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72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(10.7)</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8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(10.7)</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06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Contributions</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from</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noncontrolling</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6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interest</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80" w:type="dxa"/>
            <w:vAlign w:val="bottom"/>
            <w:shd w:val="clear" w:color="auto" w:fill="CCEEFF"/>
          </w:tcPr>
          <w:p>
            <w:pPr>
              <w:ind w:left="4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32"/>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13.1</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13.1</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060" w:type="dxa"/>
            <w:vAlign w:val="bottom"/>
          </w:tcPr>
          <w:p>
            <w:pPr>
              <w:spacing w:after="0" w:line="138" w:lineRule="exact"/>
              <w:rPr>
                <w:sz w:val="20"/>
                <w:szCs w:val="20"/>
                <w:color w:val="auto"/>
              </w:rPr>
            </w:pPr>
            <w:r>
              <w:rPr>
                <w:rFonts w:ascii="Arial" w:cs="Arial" w:eastAsia="Arial" w:hAnsi="Arial"/>
                <w:sz w:val="14"/>
                <w:szCs w:val="14"/>
                <w:color w:val="auto"/>
              </w:rPr>
              <w:t>Deconsolidation</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color w:val="auto"/>
              </w:rPr>
              <w:t>of certain</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color w:val="auto"/>
                <w:w w:val="93"/>
              </w:rPr>
              <w:t>variable interest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60" w:type="dxa"/>
            <w:vAlign w:val="bottom"/>
          </w:tcPr>
          <w:p>
            <w:pPr>
              <w:ind w:left="120"/>
              <w:spacing w:after="0" w:line="159" w:lineRule="exact"/>
              <w:rPr>
                <w:sz w:val="20"/>
                <w:szCs w:val="20"/>
                <w:color w:val="auto"/>
              </w:rPr>
            </w:pPr>
            <w:r>
              <w:rPr>
                <w:rFonts w:ascii="Arial" w:cs="Arial" w:eastAsia="Arial" w:hAnsi="Arial"/>
                <w:sz w:val="14"/>
                <w:szCs w:val="14"/>
                <w:color w:val="auto"/>
              </w:rPr>
              <w:t>entities</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ind w:left="4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80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720" w:type="dxa"/>
            <w:vAlign w:val="bottom"/>
            <w:gridSpan w:val="2"/>
          </w:tcPr>
          <w:p>
            <w:pPr>
              <w:jc w:val="right"/>
              <w:ind w:right="32"/>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72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(353.2)</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8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(353.2)</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06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Net income</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(excludes</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$1.9 million</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attributable to</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redeemable</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noncontrolling</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6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interest)</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80" w:type="dxa"/>
            <w:vAlign w:val="bottom"/>
            <w:shd w:val="clear" w:color="auto" w:fill="CCEEFF"/>
          </w:tcPr>
          <w:p>
            <w:pPr>
              <w:ind w:left="4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68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806.6</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16.9</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823.5</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060" w:type="dxa"/>
            <w:vAlign w:val="bottom"/>
          </w:tcPr>
          <w:p>
            <w:pPr>
              <w:spacing w:after="0" w:line="138" w:lineRule="exact"/>
              <w:rPr>
                <w:sz w:val="20"/>
                <w:szCs w:val="20"/>
                <w:color w:val="auto"/>
              </w:rPr>
            </w:pPr>
            <w:r>
              <w:rPr>
                <w:rFonts w:ascii="Arial" w:cs="Arial" w:eastAsia="Arial" w:hAnsi="Arial"/>
                <w:sz w:val="14"/>
                <w:szCs w:val="14"/>
                <w:color w:val="auto"/>
              </w:rPr>
              <w:t>Other</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color w:val="auto"/>
                <w:w w:val="96"/>
              </w:rPr>
              <w:t>comprehensive</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color w:val="auto"/>
              </w:rPr>
              <w:t>income</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color w:val="auto"/>
              </w:rPr>
              <w:t>(excludes</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color w:val="auto"/>
              </w:rPr>
              <w:t>$1.1 million</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color w:val="auto"/>
              </w:rPr>
              <w:t>attributable to</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color w:val="auto"/>
              </w:rPr>
              <w:t>redeemable</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tcPr>
          <w:p>
            <w:pPr>
              <w:ind w:left="120"/>
              <w:spacing w:after="0" w:line="149" w:lineRule="exact"/>
              <w:rPr>
                <w:sz w:val="20"/>
                <w:szCs w:val="20"/>
                <w:color w:val="auto"/>
              </w:rPr>
            </w:pPr>
            <w:r>
              <w:rPr>
                <w:rFonts w:ascii="Arial" w:cs="Arial" w:eastAsia="Arial" w:hAnsi="Arial"/>
                <w:sz w:val="14"/>
                <w:szCs w:val="14"/>
                <w:color w:val="auto"/>
              </w:rPr>
              <w:t>noncontrolling</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60" w:type="dxa"/>
            <w:vAlign w:val="bottom"/>
          </w:tcPr>
          <w:p>
            <w:pPr>
              <w:ind w:left="120"/>
              <w:spacing w:after="0" w:line="159" w:lineRule="exact"/>
              <w:rPr>
                <w:sz w:val="20"/>
                <w:szCs w:val="20"/>
                <w:color w:val="auto"/>
              </w:rPr>
            </w:pPr>
            <w:r>
              <w:rPr>
                <w:rFonts w:ascii="Arial" w:cs="Arial" w:eastAsia="Arial" w:hAnsi="Arial"/>
                <w:sz w:val="14"/>
                <w:szCs w:val="14"/>
                <w:color w:val="auto"/>
              </w:rPr>
              <w:t>interest)</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ind w:left="440"/>
              <w:spacing w:after="0" w:line="159" w:lineRule="exact"/>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80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720" w:type="dxa"/>
            <w:vAlign w:val="bottom"/>
            <w:gridSpan w:val="2"/>
          </w:tcPr>
          <w:p>
            <w:pPr>
              <w:jc w:val="right"/>
              <w:ind w:right="32"/>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60" w:type="dxa"/>
            <w:vAlign w:val="bottom"/>
          </w:tcPr>
          <w:p>
            <w:pPr>
              <w:jc w:val="right"/>
              <w:spacing w:after="0" w:line="159" w:lineRule="exact"/>
              <w:rPr>
                <w:sz w:val="20"/>
                <w:szCs w:val="20"/>
                <w:color w:val="auto"/>
              </w:rPr>
            </w:pPr>
            <w:r>
              <w:rPr>
                <w:rFonts w:ascii="Arial" w:cs="Arial" w:eastAsia="Arial" w:hAnsi="Arial"/>
                <w:sz w:val="14"/>
                <w:szCs w:val="14"/>
                <w:color w:val="auto"/>
              </w:rPr>
              <w:t>368.9</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2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tcPr>
          <w:p>
            <w:pPr>
              <w:jc w:val="right"/>
              <w:spacing w:after="0" w:line="159" w:lineRule="exact"/>
              <w:rPr>
                <w:sz w:val="20"/>
                <w:szCs w:val="20"/>
                <w:color w:val="auto"/>
              </w:rPr>
            </w:pPr>
            <w:r>
              <w:rPr>
                <w:rFonts w:ascii="Arial" w:cs="Arial" w:eastAsia="Arial" w:hAnsi="Arial"/>
                <w:sz w:val="14"/>
                <w:szCs w:val="14"/>
                <w:color w:val="auto"/>
              </w:rPr>
              <w:t>0.1</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369.0</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060" w:type="dxa"/>
            <w:vAlign w:val="bottom"/>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Balances at</w:t>
            </w:r>
          </w:p>
        </w:tc>
        <w:tc>
          <w:tcPr>
            <w:tcW w:w="100" w:type="dxa"/>
            <w:vAlign w:val="bottom"/>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560" w:type="dxa"/>
            <w:vAlign w:val="bottom"/>
            <w:tcBorders>
              <w:top w:val="single" w:sz="8" w:color="auto"/>
            </w:tcBorders>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52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tcBorders>
              <w:top w:val="single" w:sz="8" w:color="auto"/>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tcBorders>
              <w:top w:val="single" w:sz="8" w:color="auto"/>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60" w:type="dxa"/>
            <w:vAlign w:val="bottom"/>
            <w:tcBorders>
              <w:top w:val="single" w:sz="8" w:color="auto"/>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40" w:type="dxa"/>
            <w:vAlign w:val="bottom"/>
            <w:tcBorders>
              <w:top w:val="single" w:sz="8" w:color="auto"/>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800" w:type="dxa"/>
            <w:vAlign w:val="bottom"/>
            <w:tcBorders>
              <w:top w:val="single" w:sz="8" w:color="auto"/>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72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b w:val="1"/>
                <w:bCs w:val="1"/>
                <w:color w:val="auto"/>
              </w:rPr>
              <w:t>December 31,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b w:val="1"/>
                <w:bCs w:val="1"/>
                <w:color w:val="auto"/>
              </w:rPr>
              <w:t>2012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060" w:type="dxa"/>
            <w:vAlign w:val="bottom"/>
            <w:shd w:val="clear" w:color="auto" w:fill="CCEEFF"/>
          </w:tcPr>
          <w:p>
            <w:pPr>
              <w:ind w:left="120"/>
              <w:spacing w:after="0"/>
              <w:rPr>
                <w:sz w:val="20"/>
                <w:szCs w:val="20"/>
                <w:color w:val="auto"/>
              </w:rPr>
            </w:pPr>
            <w:r>
              <w:rPr>
                <w:rFonts w:ascii="Arial" w:cs="Arial" w:eastAsia="Arial" w:hAnsi="Arial"/>
                <w:sz w:val="14"/>
                <w:szCs w:val="14"/>
                <w:b w:val="1"/>
                <w:bCs w:val="1"/>
                <w:color w:val="auto"/>
              </w:rPr>
              <w:t>(as adjusted)</w:t>
            </w: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580" w:type="dxa"/>
            <w:vAlign w:val="bottom"/>
            <w:shd w:val="clear" w:color="auto" w:fill="CCEEFF"/>
          </w:tcPr>
          <w:p>
            <w:pPr>
              <w:ind w:left="440"/>
              <w:spacing w:after="0"/>
              <w:rPr>
                <w:sz w:val="20"/>
                <w:szCs w:val="20"/>
                <w:color w:val="auto"/>
              </w:rPr>
            </w:pPr>
            <w:r>
              <w:rPr>
                <w:rFonts w:ascii="Arial" w:cs="Arial" w:eastAsia="Arial" w:hAnsi="Arial"/>
                <w:sz w:val="14"/>
                <w:szCs w:val="14"/>
                <w:color w:val="auto"/>
                <w:w w:val="85"/>
              </w:rPr>
              <w:t>—</w:t>
            </w:r>
          </w:p>
        </w:tc>
        <w:tc>
          <w:tcPr>
            <w:tcW w:w="1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w:t>
            </w: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9,730.9</w:t>
            </w:r>
          </w:p>
        </w:tc>
        <w:tc>
          <w:tcPr>
            <w:tcW w:w="100" w:type="dxa"/>
            <w:vAlign w:val="bottom"/>
            <w:shd w:val="clear" w:color="auto" w:fill="CCEEFF"/>
          </w:tcPr>
          <w:p>
            <w:pPr>
              <w:spacing w:after="0"/>
              <w:rPr>
                <w:sz w:val="14"/>
                <w:szCs w:val="14"/>
                <w:color w:val="auto"/>
              </w:rPr>
            </w:pP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4,862.0</w:t>
            </w: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640.3</w:t>
            </w:r>
          </w:p>
        </w:tc>
        <w:tc>
          <w:tcPr>
            <w:tcW w:w="100" w:type="dxa"/>
            <w:vAlign w:val="bottom"/>
            <w:shd w:val="clear" w:color="auto" w:fill="CCEEFF"/>
          </w:tcPr>
          <w:p>
            <w:pPr>
              <w:spacing w:after="0"/>
              <w:rPr>
                <w:sz w:val="14"/>
                <w:szCs w:val="14"/>
                <w:color w:val="auto"/>
              </w:rPr>
            </w:pPr>
          </w:p>
        </w:tc>
        <w:tc>
          <w:tcPr>
            <w:tcW w:w="780" w:type="dxa"/>
            <w:vAlign w:val="bottom"/>
            <w:gridSpan w:val="3"/>
            <w:shd w:val="clear" w:color="auto" w:fill="CCEEFF"/>
          </w:tcPr>
          <w:p>
            <w:pPr>
              <w:jc w:val="right"/>
              <w:ind w:right="60"/>
              <w:spacing w:after="0"/>
              <w:rPr>
                <w:sz w:val="20"/>
                <w:szCs w:val="20"/>
                <w:color w:val="auto"/>
              </w:rPr>
            </w:pPr>
            <w:r>
              <w:rPr>
                <w:rFonts w:ascii="Arial" w:cs="Arial" w:eastAsia="Arial" w:hAnsi="Arial"/>
                <w:sz w:val="14"/>
                <w:szCs w:val="14"/>
                <w:color w:val="auto"/>
              </w:rPr>
              <w:t>(5,554.4)</w:t>
            </w:r>
          </w:p>
        </w:tc>
        <w:tc>
          <w:tcPr>
            <w:tcW w:w="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20.0</w:t>
            </w: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9,703.4</w:t>
            </w:r>
          </w:p>
        </w:tc>
        <w:tc>
          <w:tcPr>
            <w:tcW w:w="1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060" w:type="dxa"/>
            <w:vAlign w:val="bottom"/>
          </w:tcPr>
          <w:p>
            <w:pPr>
              <w:spacing w:after="0" w:line="138" w:lineRule="exact"/>
              <w:rPr>
                <w:sz w:val="20"/>
                <w:szCs w:val="20"/>
                <w:color w:val="auto"/>
              </w:rPr>
            </w:pPr>
            <w:r>
              <w:rPr>
                <w:rFonts w:ascii="Arial" w:cs="Arial" w:eastAsia="Arial" w:hAnsi="Arial"/>
                <w:sz w:val="14"/>
                <w:szCs w:val="14"/>
                <w:color w:val="auto"/>
              </w:rPr>
              <w:t>Common stock</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vMerge w:val="restart"/>
          </w:tcPr>
          <w:p>
            <w:pPr>
              <w:ind w:left="440"/>
              <w:spacing w:after="0"/>
              <w:rPr>
                <w:sz w:val="20"/>
                <w:szCs w:val="20"/>
                <w:color w:val="auto"/>
              </w:rPr>
            </w:pPr>
            <w:r>
              <w:rPr>
                <w:rFonts w:ascii="Arial" w:cs="Arial" w:eastAsia="Arial" w:hAnsi="Arial"/>
                <w:sz w:val="14"/>
                <w:szCs w:val="14"/>
                <w:b w:val="1"/>
                <w:bCs w:val="1"/>
                <w:color w:val="auto"/>
                <w:w w:val="85"/>
              </w:rPr>
              <w:t>—</w:t>
            </w: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0.1</w:t>
            </w:r>
          </w:p>
        </w:tc>
        <w:tc>
          <w:tcPr>
            <w:tcW w:w="86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125.7</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vMerge w:val="restart"/>
          </w:tcPr>
          <w:p>
            <w:pPr>
              <w:jc w:val="right"/>
              <w:ind w:right="32"/>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6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1"/>
                <w:szCs w:val="11"/>
                <w:color w:val="auto"/>
              </w:rPr>
            </w:pPr>
          </w:p>
        </w:tc>
        <w:tc>
          <w:tcPr>
            <w:tcW w:w="72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0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125.8</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60" w:type="dxa"/>
            <w:vAlign w:val="bottom"/>
          </w:tcPr>
          <w:p>
            <w:pPr>
              <w:ind w:left="120"/>
              <w:spacing w:after="0" w:line="159" w:lineRule="exact"/>
              <w:rPr>
                <w:sz w:val="20"/>
                <w:szCs w:val="20"/>
                <w:color w:val="auto"/>
              </w:rPr>
            </w:pPr>
            <w:r>
              <w:rPr>
                <w:rFonts w:ascii="Arial" w:cs="Arial" w:eastAsia="Arial" w:hAnsi="Arial"/>
                <w:sz w:val="14"/>
                <w:szCs w:val="14"/>
                <w:color w:val="auto"/>
              </w:rPr>
              <w:t>issued</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vMerge w:val="continue"/>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vMerge w:val="continue"/>
          </w:tcPr>
          <w:p>
            <w:pPr>
              <w:spacing w:after="0"/>
              <w:rPr>
                <w:sz w:val="13"/>
                <w:szCs w:val="13"/>
                <w:color w:val="auto"/>
              </w:rPr>
            </w:pPr>
          </w:p>
        </w:tc>
        <w:tc>
          <w:tcPr>
            <w:tcW w:w="860" w:type="dxa"/>
            <w:vAlign w:val="bottom"/>
            <w:gridSpan w:val="2"/>
            <w:vMerge w:val="continue"/>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2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1060" w:type="dxa"/>
            <w:vAlign w:val="bottom"/>
            <w:shd w:val="clear" w:color="auto" w:fill="CCEEFF"/>
          </w:tcPr>
          <w:p>
            <w:pPr>
              <w:spacing w:after="0" w:line="151" w:lineRule="exact"/>
              <w:rPr>
                <w:sz w:val="20"/>
                <w:szCs w:val="20"/>
                <w:color w:val="auto"/>
              </w:rPr>
            </w:pPr>
            <w:r>
              <w:rPr>
                <w:rFonts w:ascii="Arial" w:cs="Arial" w:eastAsia="Arial" w:hAnsi="Arial"/>
                <w:sz w:val="14"/>
                <w:szCs w:val="14"/>
                <w:color w:val="auto"/>
              </w:rPr>
              <w:t>Stock-based</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80" w:type="dxa"/>
            <w:vAlign w:val="bottom"/>
            <w:shd w:val="clear" w:color="auto" w:fill="CCEEFF"/>
          </w:tcPr>
          <w:p>
            <w:pPr>
              <w:ind w:left="440"/>
              <w:spacing w:after="0" w:line="151" w:lineRule="exact"/>
              <w:rPr>
                <w:sz w:val="20"/>
                <w:szCs w:val="20"/>
                <w:color w:val="auto"/>
              </w:rPr>
            </w:pPr>
            <w:r>
              <w:rPr>
                <w:rFonts w:ascii="Arial" w:cs="Arial" w:eastAsia="Arial" w:hAnsi="Arial"/>
                <w:sz w:val="14"/>
                <w:szCs w:val="14"/>
                <w:b w:val="1"/>
                <w:bCs w:val="1"/>
                <w:color w:val="auto"/>
                <w:w w:val="85"/>
              </w:rPr>
              <w:t>—</w:t>
            </w:r>
          </w:p>
        </w:tc>
        <w:tc>
          <w:tcPr>
            <w:tcW w:w="1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60" w:type="dxa"/>
            <w:vAlign w:val="bottom"/>
            <w:shd w:val="clear" w:color="auto" w:fill="CCEEFF"/>
          </w:tcPr>
          <w:p>
            <w:pPr>
              <w:jc w:val="right"/>
              <w:spacing w:after="0" w:line="151" w:lineRule="exact"/>
              <w:rPr>
                <w:sz w:val="20"/>
                <w:szCs w:val="20"/>
                <w:color w:val="auto"/>
              </w:rPr>
            </w:pPr>
            <w:r>
              <w:rPr>
                <w:rFonts w:ascii="Arial" w:cs="Arial" w:eastAsia="Arial" w:hAnsi="Arial"/>
                <w:sz w:val="14"/>
                <w:szCs w:val="14"/>
                <w:b w:val="1"/>
                <w:bCs w:val="1"/>
                <w:color w:val="auto"/>
              </w:rPr>
              <w:t>—</w:t>
            </w:r>
          </w:p>
        </w:tc>
        <w:tc>
          <w:tcPr>
            <w:tcW w:w="1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20" w:type="dxa"/>
            <w:vAlign w:val="bottom"/>
            <w:shd w:val="clear" w:color="auto" w:fill="CCEEFF"/>
          </w:tcPr>
          <w:p>
            <w:pPr>
              <w:jc w:val="right"/>
              <w:spacing w:after="0" w:line="151" w:lineRule="exact"/>
              <w:rPr>
                <w:sz w:val="20"/>
                <w:szCs w:val="20"/>
                <w:color w:val="auto"/>
              </w:rPr>
            </w:pPr>
            <w:r>
              <w:rPr>
                <w:rFonts w:ascii="Arial" w:cs="Arial" w:eastAsia="Arial" w:hAnsi="Arial"/>
                <w:sz w:val="14"/>
                <w:szCs w:val="14"/>
                <w:b w:val="1"/>
                <w:bCs w:val="1"/>
                <w:color w:val="auto"/>
              </w:rPr>
              <w:t>—</w:t>
            </w:r>
          </w:p>
        </w:tc>
        <w:tc>
          <w:tcPr>
            <w:tcW w:w="860" w:type="dxa"/>
            <w:vAlign w:val="bottom"/>
            <w:gridSpan w:val="2"/>
            <w:shd w:val="clear" w:color="auto" w:fill="CCEEFF"/>
          </w:tcPr>
          <w:p>
            <w:pPr>
              <w:jc w:val="right"/>
              <w:spacing w:after="0" w:line="151" w:lineRule="exact"/>
              <w:rPr>
                <w:sz w:val="20"/>
                <w:szCs w:val="20"/>
                <w:color w:val="auto"/>
              </w:rPr>
            </w:pPr>
            <w:r>
              <w:rPr>
                <w:rFonts w:ascii="Arial" w:cs="Arial" w:eastAsia="Arial" w:hAnsi="Arial"/>
                <w:sz w:val="14"/>
                <w:szCs w:val="14"/>
                <w:b w:val="1"/>
                <w:bCs w:val="1"/>
                <w:color w:val="auto"/>
              </w:rPr>
              <w:t>72.7</w:t>
            </w:r>
          </w:p>
        </w:tc>
        <w:tc>
          <w:tcPr>
            <w:tcW w:w="100" w:type="dxa"/>
            <w:vAlign w:val="bottom"/>
            <w:shd w:val="clear" w:color="auto" w:fill="CCEEFF"/>
          </w:tcPr>
          <w:p>
            <w:pPr>
              <w:spacing w:after="0"/>
              <w:rPr>
                <w:sz w:val="13"/>
                <w:szCs w:val="13"/>
                <w:color w:val="auto"/>
              </w:rPr>
            </w:pPr>
          </w:p>
        </w:tc>
        <w:tc>
          <w:tcPr>
            <w:tcW w:w="780" w:type="dxa"/>
            <w:vAlign w:val="bottom"/>
            <w:gridSpan w:val="3"/>
            <w:shd w:val="clear" w:color="auto" w:fill="CCEEFF"/>
          </w:tcPr>
          <w:p>
            <w:pPr>
              <w:jc w:val="right"/>
              <w:spacing w:after="0" w:line="151" w:lineRule="exact"/>
              <w:rPr>
                <w:sz w:val="20"/>
                <w:szCs w:val="20"/>
                <w:color w:val="auto"/>
              </w:rPr>
            </w:pPr>
            <w:r>
              <w:rPr>
                <w:rFonts w:ascii="Arial" w:cs="Arial" w:eastAsia="Arial" w:hAnsi="Arial"/>
                <w:sz w:val="14"/>
                <w:szCs w:val="14"/>
                <w:b w:val="1"/>
                <w:bCs w:val="1"/>
                <w:color w:val="auto"/>
              </w:rPr>
              <w:t>(4.6)</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line="151"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00"/>
              <w:spacing w:after="0" w:line="151"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900" w:type="dxa"/>
            <w:vAlign w:val="bottom"/>
            <w:gridSpan w:val="2"/>
            <w:shd w:val="clear" w:color="auto" w:fill="CCEEFF"/>
          </w:tcPr>
          <w:p>
            <w:pPr>
              <w:jc w:val="right"/>
              <w:ind w:right="100"/>
              <w:spacing w:after="0" w:line="151"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line="151" w:lineRule="exact"/>
              <w:rPr>
                <w:sz w:val="20"/>
                <w:szCs w:val="20"/>
                <w:color w:val="auto"/>
              </w:rPr>
            </w:pPr>
            <w:r>
              <w:rPr>
                <w:rFonts w:ascii="Arial" w:cs="Arial" w:eastAsia="Arial" w:hAnsi="Arial"/>
                <w:sz w:val="14"/>
                <w:szCs w:val="14"/>
                <w:b w:val="1"/>
                <w:bCs w:val="1"/>
                <w:color w:val="auto"/>
              </w:rPr>
              <w:t>68.1</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bl>
    <w:p>
      <w:pPr>
        <w:sectPr>
          <w:pgSz w:w="11900" w:h="16900" w:orient="portrait"/>
          <w:cols w:equalWidth="0" w:num="1">
            <w:col w:w="10400"/>
          </w:cols>
          <w:pgMar w:left="240" w:top="131" w:right="1259" w:bottom="0" w:gutter="0" w:footer="0" w:header="0"/>
        </w:sectPr>
      </w:pPr>
    </w:p>
    <w:bookmarkStart w:id="92" w:name="page93"/>
    <w:bookmarkEnd w:id="92"/>
    <w:p>
      <w:pPr>
        <w:spacing w:after="0" w:line="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60" w:type="dxa"/>
            <w:vAlign w:val="bottom"/>
            <w:shd w:val="clear" w:color="auto" w:fill="CCEEFF"/>
          </w:tcPr>
          <w:p>
            <w:pPr>
              <w:ind w:left="120"/>
              <w:spacing w:after="0"/>
              <w:rPr>
                <w:sz w:val="20"/>
                <w:szCs w:val="20"/>
                <w:color w:val="auto"/>
              </w:rPr>
            </w:pPr>
            <w:r>
              <w:rPr>
                <w:rFonts w:ascii="Arial" w:cs="Arial" w:eastAsia="Arial" w:hAnsi="Arial"/>
                <w:sz w:val="14"/>
                <w:szCs w:val="14"/>
                <w:color w:val="auto"/>
              </w:rPr>
              <w:t>compensation</w:t>
            </w:r>
          </w:p>
        </w:tc>
        <w:tc>
          <w:tcPr>
            <w:tcW w:w="28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6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6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6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and additional</w:t>
            </w:r>
          </w:p>
        </w:tc>
        <w:tc>
          <w:tcPr>
            <w:tcW w:w="2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related tax</w:t>
            </w:r>
          </w:p>
        </w:tc>
        <w:tc>
          <w:tcPr>
            <w:tcW w:w="2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16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benefits</w:t>
            </w:r>
          </w:p>
        </w:tc>
        <w:tc>
          <w:tcPr>
            <w:tcW w:w="28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5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6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6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160" w:type="dxa"/>
            <w:vAlign w:val="bottom"/>
          </w:tcPr>
          <w:p>
            <w:pPr>
              <w:spacing w:after="0" w:line="138" w:lineRule="exact"/>
              <w:rPr>
                <w:sz w:val="20"/>
                <w:szCs w:val="20"/>
                <w:color w:val="auto"/>
              </w:rPr>
            </w:pPr>
            <w:r>
              <w:rPr>
                <w:rFonts w:ascii="Arial" w:cs="Arial" w:eastAsia="Arial" w:hAnsi="Arial"/>
                <w:sz w:val="14"/>
                <w:szCs w:val="14"/>
                <w:color w:val="auto"/>
              </w:rPr>
              <w:t>Treasury stock</w:t>
            </w:r>
          </w:p>
        </w:tc>
        <w:tc>
          <w:tcPr>
            <w:tcW w:w="2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tcPr>
          <w:p>
            <w:pPr>
              <w:ind w:left="120"/>
              <w:spacing w:after="0" w:line="149" w:lineRule="exact"/>
              <w:rPr>
                <w:sz w:val="20"/>
                <w:szCs w:val="20"/>
                <w:color w:val="auto"/>
              </w:rPr>
            </w:pPr>
            <w:r>
              <w:rPr>
                <w:rFonts w:ascii="Arial" w:cs="Arial" w:eastAsia="Arial" w:hAnsi="Arial"/>
                <w:sz w:val="14"/>
                <w:szCs w:val="14"/>
                <w:color w:val="auto"/>
              </w:rPr>
              <w:t>acquired,</w:t>
            </w:r>
          </w:p>
        </w:tc>
        <w:tc>
          <w:tcPr>
            <w:tcW w:w="280" w:type="dxa"/>
            <w:vAlign w:val="bottom"/>
          </w:tcPr>
          <w:p>
            <w:pPr>
              <w:spacing w:after="0"/>
              <w:rPr>
                <w:sz w:val="12"/>
                <w:szCs w:val="12"/>
                <w:color w:val="auto"/>
              </w:rPr>
            </w:pPr>
          </w:p>
        </w:tc>
        <w:tc>
          <w:tcPr>
            <w:tcW w:w="780" w:type="dxa"/>
            <w:vAlign w:val="bottom"/>
            <w:gridSpan w:val="3"/>
            <w:vMerge w:val="restart"/>
          </w:tcPr>
          <w:p>
            <w:pPr>
              <w:ind w:left="220"/>
              <w:spacing w:after="0"/>
              <w:rPr>
                <w:sz w:val="20"/>
                <w:szCs w:val="20"/>
                <w:color w:val="auto"/>
              </w:rPr>
            </w:pPr>
            <w:r>
              <w:rPr>
                <w:rFonts w:ascii="Arial" w:cs="Arial" w:eastAsia="Arial" w:hAnsi="Arial"/>
                <w:sz w:val="14"/>
                <w:szCs w:val="14"/>
                <w:b w:val="1"/>
                <w:bCs w:val="1"/>
                <w:color w:val="auto"/>
              </w:rPr>
              <w:t>—</w:t>
            </w:r>
          </w:p>
        </w:tc>
        <w:tc>
          <w:tcPr>
            <w:tcW w:w="36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20" w:type="dxa"/>
            <w:vAlign w:val="bottom"/>
            <w:gridSpan w:val="2"/>
            <w:vMerge w:val="restart"/>
          </w:tcPr>
          <w:p>
            <w:pPr>
              <w:jc w:val="right"/>
              <w:ind w:right="12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72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2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860" w:type="dxa"/>
            <w:vAlign w:val="bottom"/>
            <w:gridSpan w:val="3"/>
            <w:vMerge w:val="restart"/>
          </w:tcPr>
          <w:p>
            <w:pPr>
              <w:jc w:val="right"/>
              <w:ind w:right="140"/>
              <w:spacing w:after="0"/>
              <w:rPr>
                <w:sz w:val="20"/>
                <w:szCs w:val="20"/>
                <w:color w:val="auto"/>
              </w:rPr>
            </w:pPr>
            <w:r>
              <w:rPr>
                <w:rFonts w:ascii="Arial" w:cs="Arial" w:eastAsia="Arial" w:hAnsi="Arial"/>
                <w:sz w:val="14"/>
                <w:szCs w:val="14"/>
                <w:b w:val="1"/>
                <w:bCs w:val="1"/>
                <w:color w:val="auto"/>
              </w:rPr>
              <w:t>(153.6)</w:t>
            </w:r>
          </w:p>
        </w:tc>
        <w:tc>
          <w:tcPr>
            <w:tcW w:w="360" w:type="dxa"/>
            <w:vAlign w:val="bottom"/>
          </w:tcPr>
          <w:p>
            <w:pPr>
              <w:spacing w:after="0"/>
              <w:rPr>
                <w:sz w:val="12"/>
                <w:szCs w:val="12"/>
                <w:color w:val="auto"/>
              </w:rPr>
            </w:pPr>
          </w:p>
        </w:tc>
        <w:tc>
          <w:tcPr>
            <w:tcW w:w="70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80" w:type="dxa"/>
            <w:vAlign w:val="bottom"/>
            <w:gridSpan w:val="2"/>
            <w:vMerge w:val="restart"/>
          </w:tcPr>
          <w:p>
            <w:pPr>
              <w:jc w:val="right"/>
              <w:ind w:right="140"/>
              <w:spacing w:after="0"/>
              <w:rPr>
                <w:sz w:val="20"/>
                <w:szCs w:val="20"/>
                <w:color w:val="auto"/>
              </w:rPr>
            </w:pPr>
            <w:r>
              <w:rPr>
                <w:rFonts w:ascii="Arial" w:cs="Arial" w:eastAsia="Arial" w:hAnsi="Arial"/>
                <w:sz w:val="14"/>
                <w:szCs w:val="14"/>
                <w:b w:val="1"/>
                <w:bCs w:val="1"/>
                <w:color w:val="auto"/>
              </w:rPr>
              <w:t>(153.6)</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160" w:type="dxa"/>
            <w:vAlign w:val="bottom"/>
          </w:tcPr>
          <w:p>
            <w:pPr>
              <w:ind w:left="120"/>
              <w:spacing w:after="0" w:line="159" w:lineRule="exact"/>
              <w:rPr>
                <w:sz w:val="20"/>
                <w:szCs w:val="20"/>
                <w:color w:val="auto"/>
              </w:rPr>
            </w:pPr>
            <w:r>
              <w:rPr>
                <w:rFonts w:ascii="Arial" w:cs="Arial" w:eastAsia="Arial" w:hAnsi="Arial"/>
                <w:sz w:val="14"/>
                <w:szCs w:val="14"/>
                <w:color w:val="auto"/>
              </w:rPr>
              <w:t>common</w:t>
            </w:r>
          </w:p>
        </w:tc>
        <w:tc>
          <w:tcPr>
            <w:tcW w:w="280" w:type="dxa"/>
            <w:vAlign w:val="bottom"/>
          </w:tcPr>
          <w:p>
            <w:pPr>
              <w:spacing w:after="0"/>
              <w:rPr>
                <w:sz w:val="13"/>
                <w:szCs w:val="13"/>
                <w:color w:val="auto"/>
              </w:rPr>
            </w:pPr>
          </w:p>
        </w:tc>
        <w:tc>
          <w:tcPr>
            <w:tcW w:w="780" w:type="dxa"/>
            <w:vAlign w:val="bottom"/>
            <w:gridSpan w:val="3"/>
            <w:vMerge w:val="continue"/>
          </w:tcPr>
          <w:p>
            <w:pPr>
              <w:spacing w:after="0"/>
              <w:rPr>
                <w:sz w:val="13"/>
                <w:szCs w:val="13"/>
                <w:color w:val="auto"/>
              </w:rPr>
            </w:pPr>
          </w:p>
        </w:tc>
        <w:tc>
          <w:tcPr>
            <w:tcW w:w="360" w:type="dxa"/>
            <w:vAlign w:val="bottom"/>
            <w:vMerge w:val="continue"/>
          </w:tcPr>
          <w:p>
            <w:pPr>
              <w:spacing w:after="0"/>
              <w:rPr>
                <w:sz w:val="13"/>
                <w:szCs w:val="13"/>
                <w:color w:val="auto"/>
              </w:rPr>
            </w:pPr>
          </w:p>
        </w:tc>
        <w:tc>
          <w:tcPr>
            <w:tcW w:w="1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8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2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60" w:type="dxa"/>
            <w:vAlign w:val="bottom"/>
            <w:gridSpan w:val="3"/>
            <w:vMerge w:val="continue"/>
          </w:tcPr>
          <w:p>
            <w:pPr>
              <w:spacing w:after="0"/>
              <w:rPr>
                <w:sz w:val="13"/>
                <w:szCs w:val="13"/>
                <w:color w:val="auto"/>
              </w:rPr>
            </w:pPr>
          </w:p>
        </w:tc>
        <w:tc>
          <w:tcPr>
            <w:tcW w:w="360" w:type="dxa"/>
            <w:vAlign w:val="bottom"/>
          </w:tcPr>
          <w:p>
            <w:pPr>
              <w:spacing w:after="0"/>
              <w:rPr>
                <w:sz w:val="13"/>
                <w:szCs w:val="13"/>
                <w:color w:val="auto"/>
              </w:rPr>
            </w:pPr>
          </w:p>
        </w:tc>
        <w:tc>
          <w:tcPr>
            <w:tcW w:w="70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8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16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Dividends to</w:t>
            </w:r>
          </w:p>
        </w:tc>
        <w:tc>
          <w:tcPr>
            <w:tcW w:w="2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common</w:t>
            </w:r>
          </w:p>
        </w:tc>
        <w:tc>
          <w:tcPr>
            <w:tcW w:w="280" w:type="dxa"/>
            <w:vAlign w:val="bottom"/>
            <w:shd w:val="clear" w:color="auto" w:fill="CCEEFF"/>
          </w:tcPr>
          <w:p>
            <w:pPr>
              <w:spacing w:after="0"/>
              <w:rPr>
                <w:sz w:val="12"/>
                <w:szCs w:val="12"/>
                <w:color w:val="auto"/>
              </w:rPr>
            </w:pPr>
          </w:p>
        </w:tc>
        <w:tc>
          <w:tcPr>
            <w:tcW w:w="780" w:type="dxa"/>
            <w:vAlign w:val="bottom"/>
            <w:gridSpan w:val="3"/>
            <w:vMerge w:val="restart"/>
            <w:shd w:val="clear" w:color="auto" w:fill="CCEEFF"/>
          </w:tcPr>
          <w:p>
            <w:pPr>
              <w:ind w:left="220"/>
              <w:spacing w:after="0"/>
              <w:rPr>
                <w:sz w:val="20"/>
                <w:szCs w:val="20"/>
                <w:color w:val="auto"/>
              </w:rPr>
            </w:pPr>
            <w:r>
              <w:rPr>
                <w:rFonts w:ascii="Arial" w:cs="Arial" w:eastAsia="Arial" w:hAnsi="Arial"/>
                <w:sz w:val="14"/>
                <w:szCs w:val="14"/>
                <w:b w:val="1"/>
                <w:bCs w:val="1"/>
                <w:color w:val="auto"/>
              </w:rPr>
              <w:t>—</w:t>
            </w:r>
          </w:p>
        </w:tc>
        <w:tc>
          <w:tcPr>
            <w:tcW w:w="36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38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2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4"/>
                <w:szCs w:val="14"/>
                <w:b w:val="1"/>
                <w:bCs w:val="1"/>
                <w:color w:val="auto"/>
              </w:rPr>
              <w:t>—</w:t>
            </w:r>
          </w:p>
        </w:tc>
        <w:tc>
          <w:tcPr>
            <w:tcW w:w="780" w:type="dxa"/>
            <w:vAlign w:val="bottom"/>
            <w:gridSpan w:val="3"/>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(288.4)</w:t>
            </w: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72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1160" w:type="dxa"/>
            <w:vAlign w:val="bottom"/>
            <w:gridSpan w:val="3"/>
            <w:vMerge w:val="restart"/>
            <w:shd w:val="clear" w:color="auto" w:fill="CCEEFF"/>
          </w:tcPr>
          <w:p>
            <w:pPr>
              <w:jc w:val="right"/>
              <w:ind w:right="540"/>
              <w:spacing w:after="0"/>
              <w:rPr>
                <w:sz w:val="20"/>
                <w:szCs w:val="20"/>
                <w:color w:val="auto"/>
              </w:rPr>
            </w:pPr>
            <w:r>
              <w:rPr>
                <w:rFonts w:ascii="Arial" w:cs="Arial" w:eastAsia="Arial" w:hAnsi="Arial"/>
                <w:sz w:val="14"/>
                <w:szCs w:val="14"/>
                <w:b w:val="1"/>
                <w:bCs w:val="1"/>
                <w:color w:val="auto"/>
              </w:rPr>
              <w:t>—</w:t>
            </w:r>
          </w:p>
        </w:tc>
        <w:tc>
          <w:tcPr>
            <w:tcW w:w="70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78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(288.4)</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16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stockholders</w:t>
            </w:r>
          </w:p>
        </w:tc>
        <w:tc>
          <w:tcPr>
            <w:tcW w:w="280" w:type="dxa"/>
            <w:vAlign w:val="bottom"/>
            <w:shd w:val="clear" w:color="auto" w:fill="CCEEFF"/>
          </w:tcPr>
          <w:p>
            <w:pPr>
              <w:spacing w:after="0"/>
              <w:rPr>
                <w:sz w:val="13"/>
                <w:szCs w:val="13"/>
                <w:color w:val="auto"/>
              </w:rPr>
            </w:pPr>
          </w:p>
        </w:tc>
        <w:tc>
          <w:tcPr>
            <w:tcW w:w="780" w:type="dxa"/>
            <w:vAlign w:val="bottom"/>
            <w:gridSpan w:val="3"/>
            <w:vMerge w:val="continue"/>
            <w:shd w:val="clear" w:color="auto" w:fill="CCEEFF"/>
          </w:tcPr>
          <w:p>
            <w:pPr>
              <w:spacing w:after="0"/>
              <w:rPr>
                <w:sz w:val="13"/>
                <w:szCs w:val="13"/>
                <w:color w:val="auto"/>
              </w:rPr>
            </w:pPr>
          </w:p>
        </w:tc>
        <w:tc>
          <w:tcPr>
            <w:tcW w:w="360" w:type="dxa"/>
            <w:vAlign w:val="bottom"/>
            <w:vMerge w:val="continue"/>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380" w:type="dxa"/>
            <w:vAlign w:val="bottom"/>
            <w:vMerge w:val="continue"/>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620" w:type="dxa"/>
            <w:vAlign w:val="bottom"/>
            <w:gridSpan w:val="2"/>
            <w:vMerge w:val="continue"/>
            <w:shd w:val="clear" w:color="auto" w:fill="CCEEFF"/>
          </w:tcPr>
          <w:p>
            <w:pPr>
              <w:spacing w:after="0"/>
              <w:rPr>
                <w:sz w:val="13"/>
                <w:szCs w:val="13"/>
                <w:color w:val="auto"/>
              </w:rPr>
            </w:pPr>
          </w:p>
        </w:tc>
        <w:tc>
          <w:tcPr>
            <w:tcW w:w="780" w:type="dxa"/>
            <w:vAlign w:val="bottom"/>
            <w:gridSpan w:val="3"/>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72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160" w:type="dxa"/>
            <w:vAlign w:val="bottom"/>
            <w:gridSpan w:val="3"/>
            <w:vMerge w:val="continue"/>
            <w:shd w:val="clear" w:color="auto" w:fill="CCEEFF"/>
          </w:tcPr>
          <w:p>
            <w:pPr>
              <w:spacing w:after="0"/>
              <w:rPr>
                <w:sz w:val="13"/>
                <w:szCs w:val="13"/>
                <w:color w:val="auto"/>
              </w:rPr>
            </w:pPr>
          </w:p>
        </w:tc>
        <w:tc>
          <w:tcPr>
            <w:tcW w:w="70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780" w:type="dxa"/>
            <w:vAlign w:val="bottom"/>
            <w:gridSpan w:val="2"/>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160" w:type="dxa"/>
            <w:vAlign w:val="bottom"/>
          </w:tcPr>
          <w:p>
            <w:pPr>
              <w:spacing w:after="0" w:line="138" w:lineRule="exact"/>
              <w:rPr>
                <w:sz w:val="20"/>
                <w:szCs w:val="20"/>
                <w:color w:val="auto"/>
              </w:rPr>
            </w:pPr>
            <w:r>
              <w:rPr>
                <w:rFonts w:ascii="Arial" w:cs="Arial" w:eastAsia="Arial" w:hAnsi="Arial"/>
                <w:sz w:val="14"/>
                <w:szCs w:val="14"/>
                <w:color w:val="auto"/>
              </w:rPr>
              <w:t>Dividends to</w:t>
            </w:r>
          </w:p>
        </w:tc>
        <w:tc>
          <w:tcPr>
            <w:tcW w:w="2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tcPr>
          <w:p>
            <w:pPr>
              <w:ind w:left="120"/>
              <w:spacing w:after="0" w:line="149" w:lineRule="exact"/>
              <w:rPr>
                <w:sz w:val="20"/>
                <w:szCs w:val="20"/>
                <w:color w:val="auto"/>
              </w:rPr>
            </w:pPr>
            <w:r>
              <w:rPr>
                <w:rFonts w:ascii="Arial" w:cs="Arial" w:eastAsia="Arial" w:hAnsi="Arial"/>
                <w:sz w:val="14"/>
                <w:szCs w:val="14"/>
                <w:color w:val="auto"/>
              </w:rPr>
              <w:t>preferred</w:t>
            </w:r>
          </w:p>
        </w:tc>
        <w:tc>
          <w:tcPr>
            <w:tcW w:w="280" w:type="dxa"/>
            <w:vAlign w:val="bottom"/>
          </w:tcPr>
          <w:p>
            <w:pPr>
              <w:spacing w:after="0"/>
              <w:rPr>
                <w:sz w:val="12"/>
                <w:szCs w:val="12"/>
                <w:color w:val="auto"/>
              </w:rPr>
            </w:pPr>
          </w:p>
        </w:tc>
        <w:tc>
          <w:tcPr>
            <w:tcW w:w="780" w:type="dxa"/>
            <w:vAlign w:val="bottom"/>
            <w:gridSpan w:val="3"/>
            <w:vMerge w:val="restart"/>
          </w:tcPr>
          <w:p>
            <w:pPr>
              <w:ind w:left="220"/>
              <w:spacing w:after="0"/>
              <w:rPr>
                <w:sz w:val="20"/>
                <w:szCs w:val="20"/>
                <w:color w:val="auto"/>
              </w:rPr>
            </w:pPr>
            <w:r>
              <w:rPr>
                <w:rFonts w:ascii="Arial" w:cs="Arial" w:eastAsia="Arial" w:hAnsi="Arial"/>
                <w:sz w:val="14"/>
                <w:szCs w:val="14"/>
                <w:b w:val="1"/>
                <w:bCs w:val="1"/>
                <w:color w:val="auto"/>
              </w:rPr>
              <w:t>—</w:t>
            </w:r>
          </w:p>
        </w:tc>
        <w:tc>
          <w:tcPr>
            <w:tcW w:w="36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20" w:type="dxa"/>
            <w:vAlign w:val="bottom"/>
            <w:gridSpan w:val="2"/>
            <w:vMerge w:val="restart"/>
          </w:tcPr>
          <w:p>
            <w:pPr>
              <w:jc w:val="right"/>
              <w:ind w:right="120"/>
              <w:spacing w:after="0"/>
              <w:rPr>
                <w:sz w:val="20"/>
                <w:szCs w:val="20"/>
                <w:color w:val="auto"/>
              </w:rPr>
            </w:pPr>
            <w:r>
              <w:rPr>
                <w:rFonts w:ascii="Arial" w:cs="Arial" w:eastAsia="Arial" w:hAnsi="Arial"/>
                <w:sz w:val="14"/>
                <w:szCs w:val="14"/>
                <w:b w:val="1"/>
                <w:bCs w:val="1"/>
                <w:color w:val="auto"/>
              </w:rPr>
              <w:t>—</w:t>
            </w:r>
          </w:p>
        </w:tc>
        <w:tc>
          <w:tcPr>
            <w:tcW w:w="780" w:type="dxa"/>
            <w:vAlign w:val="bottom"/>
            <w:gridSpan w:val="3"/>
            <w:vMerge w:val="restart"/>
          </w:tcPr>
          <w:p>
            <w:pPr>
              <w:jc w:val="right"/>
              <w:ind w:right="60"/>
              <w:spacing w:after="0"/>
              <w:rPr>
                <w:sz w:val="20"/>
                <w:szCs w:val="20"/>
                <w:color w:val="auto"/>
              </w:rPr>
            </w:pPr>
            <w:r>
              <w:rPr>
                <w:rFonts w:ascii="Arial" w:cs="Arial" w:eastAsia="Arial" w:hAnsi="Arial"/>
                <w:sz w:val="14"/>
                <w:szCs w:val="14"/>
                <w:b w:val="1"/>
                <w:bCs w:val="1"/>
                <w:color w:val="auto"/>
              </w:rPr>
              <w:t>(33.0)</w:t>
            </w: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2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160" w:type="dxa"/>
            <w:vAlign w:val="bottom"/>
            <w:gridSpan w:val="3"/>
            <w:vMerge w:val="restart"/>
          </w:tcPr>
          <w:p>
            <w:pPr>
              <w:jc w:val="right"/>
              <w:ind w:right="540"/>
              <w:spacing w:after="0"/>
              <w:rPr>
                <w:sz w:val="20"/>
                <w:szCs w:val="20"/>
                <w:color w:val="auto"/>
              </w:rPr>
            </w:pPr>
            <w:r>
              <w:rPr>
                <w:rFonts w:ascii="Arial" w:cs="Arial" w:eastAsia="Arial" w:hAnsi="Arial"/>
                <w:sz w:val="14"/>
                <w:szCs w:val="14"/>
                <w:b w:val="1"/>
                <w:bCs w:val="1"/>
                <w:color w:val="auto"/>
              </w:rPr>
              <w:t>—</w:t>
            </w:r>
          </w:p>
        </w:tc>
        <w:tc>
          <w:tcPr>
            <w:tcW w:w="70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80" w:type="dxa"/>
            <w:vAlign w:val="bottom"/>
            <w:gridSpan w:val="2"/>
            <w:vMerge w:val="restart"/>
          </w:tcPr>
          <w:p>
            <w:pPr>
              <w:jc w:val="right"/>
              <w:ind w:right="140"/>
              <w:spacing w:after="0"/>
              <w:rPr>
                <w:sz w:val="20"/>
                <w:szCs w:val="20"/>
                <w:color w:val="auto"/>
              </w:rPr>
            </w:pPr>
            <w:r>
              <w:rPr>
                <w:rFonts w:ascii="Arial" w:cs="Arial" w:eastAsia="Arial" w:hAnsi="Arial"/>
                <w:sz w:val="14"/>
                <w:szCs w:val="14"/>
                <w:b w:val="1"/>
                <w:bCs w:val="1"/>
                <w:color w:val="auto"/>
              </w:rPr>
              <w:t>(33.0)</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160" w:type="dxa"/>
            <w:vAlign w:val="bottom"/>
          </w:tcPr>
          <w:p>
            <w:pPr>
              <w:ind w:left="120"/>
              <w:spacing w:after="0" w:line="159" w:lineRule="exact"/>
              <w:rPr>
                <w:sz w:val="20"/>
                <w:szCs w:val="20"/>
                <w:color w:val="auto"/>
              </w:rPr>
            </w:pPr>
            <w:r>
              <w:rPr>
                <w:rFonts w:ascii="Arial" w:cs="Arial" w:eastAsia="Arial" w:hAnsi="Arial"/>
                <w:sz w:val="14"/>
                <w:szCs w:val="14"/>
                <w:color w:val="auto"/>
              </w:rPr>
              <w:t>stockholders</w:t>
            </w:r>
          </w:p>
        </w:tc>
        <w:tc>
          <w:tcPr>
            <w:tcW w:w="280" w:type="dxa"/>
            <w:vAlign w:val="bottom"/>
          </w:tcPr>
          <w:p>
            <w:pPr>
              <w:spacing w:after="0"/>
              <w:rPr>
                <w:sz w:val="13"/>
                <w:szCs w:val="13"/>
                <w:color w:val="auto"/>
              </w:rPr>
            </w:pPr>
          </w:p>
        </w:tc>
        <w:tc>
          <w:tcPr>
            <w:tcW w:w="780" w:type="dxa"/>
            <w:vAlign w:val="bottom"/>
            <w:gridSpan w:val="3"/>
            <w:vMerge w:val="continue"/>
          </w:tcPr>
          <w:p>
            <w:pPr>
              <w:spacing w:after="0"/>
              <w:rPr>
                <w:sz w:val="13"/>
                <w:szCs w:val="13"/>
                <w:color w:val="auto"/>
              </w:rPr>
            </w:pPr>
          </w:p>
        </w:tc>
        <w:tc>
          <w:tcPr>
            <w:tcW w:w="360" w:type="dxa"/>
            <w:vAlign w:val="bottom"/>
            <w:vMerge w:val="continue"/>
          </w:tcPr>
          <w:p>
            <w:pPr>
              <w:spacing w:after="0"/>
              <w:rPr>
                <w:sz w:val="13"/>
                <w:szCs w:val="13"/>
                <w:color w:val="auto"/>
              </w:rPr>
            </w:pPr>
          </w:p>
        </w:tc>
        <w:tc>
          <w:tcPr>
            <w:tcW w:w="1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8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20" w:type="dxa"/>
            <w:vAlign w:val="bottom"/>
            <w:gridSpan w:val="2"/>
            <w:vMerge w:val="continue"/>
          </w:tcPr>
          <w:p>
            <w:pPr>
              <w:spacing w:after="0"/>
              <w:rPr>
                <w:sz w:val="13"/>
                <w:szCs w:val="13"/>
                <w:color w:val="auto"/>
              </w:rPr>
            </w:pPr>
          </w:p>
        </w:tc>
        <w:tc>
          <w:tcPr>
            <w:tcW w:w="780" w:type="dxa"/>
            <w:vAlign w:val="bottom"/>
            <w:gridSpan w:val="3"/>
            <w:vMerge w:val="continue"/>
          </w:tcPr>
          <w:p>
            <w:pPr>
              <w:spacing w:after="0"/>
              <w:rPr>
                <w:sz w:val="13"/>
                <w:szCs w:val="13"/>
                <w:color w:val="auto"/>
              </w:rPr>
            </w:pPr>
          </w:p>
        </w:tc>
        <w:tc>
          <w:tcPr>
            <w:tcW w:w="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1160" w:type="dxa"/>
            <w:vAlign w:val="bottom"/>
            <w:gridSpan w:val="3"/>
            <w:vMerge w:val="continue"/>
          </w:tcPr>
          <w:p>
            <w:pPr>
              <w:spacing w:after="0"/>
              <w:rPr>
                <w:sz w:val="13"/>
                <w:szCs w:val="13"/>
                <w:color w:val="auto"/>
              </w:rPr>
            </w:pPr>
          </w:p>
        </w:tc>
        <w:tc>
          <w:tcPr>
            <w:tcW w:w="70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8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16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Distributions to</w:t>
            </w:r>
          </w:p>
        </w:tc>
        <w:tc>
          <w:tcPr>
            <w:tcW w:w="2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noncontrolling</w:t>
            </w:r>
          </w:p>
        </w:tc>
        <w:tc>
          <w:tcPr>
            <w:tcW w:w="280" w:type="dxa"/>
            <w:vAlign w:val="bottom"/>
            <w:shd w:val="clear" w:color="auto" w:fill="CCEEFF"/>
          </w:tcPr>
          <w:p>
            <w:pPr>
              <w:spacing w:after="0"/>
              <w:rPr>
                <w:sz w:val="12"/>
                <w:szCs w:val="12"/>
                <w:color w:val="auto"/>
              </w:rPr>
            </w:pPr>
          </w:p>
        </w:tc>
        <w:tc>
          <w:tcPr>
            <w:tcW w:w="780" w:type="dxa"/>
            <w:vAlign w:val="bottom"/>
            <w:gridSpan w:val="3"/>
            <w:vMerge w:val="restart"/>
            <w:shd w:val="clear" w:color="auto" w:fill="CCEEFF"/>
          </w:tcPr>
          <w:p>
            <w:pPr>
              <w:ind w:left="220"/>
              <w:spacing w:after="0"/>
              <w:rPr>
                <w:sz w:val="20"/>
                <w:szCs w:val="20"/>
                <w:color w:val="auto"/>
              </w:rPr>
            </w:pPr>
            <w:r>
              <w:rPr>
                <w:rFonts w:ascii="Arial" w:cs="Arial" w:eastAsia="Arial" w:hAnsi="Arial"/>
                <w:sz w:val="14"/>
                <w:szCs w:val="14"/>
                <w:b w:val="1"/>
                <w:bCs w:val="1"/>
                <w:color w:val="auto"/>
              </w:rPr>
              <w:t>—</w:t>
            </w:r>
          </w:p>
        </w:tc>
        <w:tc>
          <w:tcPr>
            <w:tcW w:w="36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38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2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72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72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1160" w:type="dxa"/>
            <w:vAlign w:val="bottom"/>
            <w:gridSpan w:val="3"/>
            <w:vMerge w:val="restart"/>
            <w:shd w:val="clear" w:color="auto" w:fill="CCEEFF"/>
          </w:tcPr>
          <w:p>
            <w:pPr>
              <w:jc w:val="right"/>
              <w:ind w:right="540"/>
              <w:spacing w:after="0"/>
              <w:rPr>
                <w:sz w:val="20"/>
                <w:szCs w:val="20"/>
                <w:color w:val="auto"/>
              </w:rPr>
            </w:pPr>
            <w:r>
              <w:rPr>
                <w:rFonts w:ascii="Arial" w:cs="Arial" w:eastAsia="Arial" w:hAnsi="Arial"/>
                <w:sz w:val="14"/>
                <w:szCs w:val="14"/>
                <w:b w:val="1"/>
                <w:bCs w:val="1"/>
                <w:color w:val="auto"/>
              </w:rPr>
              <w:t>—</w:t>
            </w:r>
          </w:p>
        </w:tc>
        <w:tc>
          <w:tcPr>
            <w:tcW w:w="70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(2.0)</w:t>
            </w: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78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(2.0)</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16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interest</w:t>
            </w:r>
          </w:p>
        </w:tc>
        <w:tc>
          <w:tcPr>
            <w:tcW w:w="280" w:type="dxa"/>
            <w:vAlign w:val="bottom"/>
            <w:shd w:val="clear" w:color="auto" w:fill="CCEEFF"/>
          </w:tcPr>
          <w:p>
            <w:pPr>
              <w:spacing w:after="0"/>
              <w:rPr>
                <w:sz w:val="13"/>
                <w:szCs w:val="13"/>
                <w:color w:val="auto"/>
              </w:rPr>
            </w:pPr>
          </w:p>
        </w:tc>
        <w:tc>
          <w:tcPr>
            <w:tcW w:w="780" w:type="dxa"/>
            <w:vAlign w:val="bottom"/>
            <w:gridSpan w:val="3"/>
            <w:vMerge w:val="continue"/>
            <w:shd w:val="clear" w:color="auto" w:fill="CCEEFF"/>
          </w:tcPr>
          <w:p>
            <w:pPr>
              <w:spacing w:after="0"/>
              <w:rPr>
                <w:sz w:val="13"/>
                <w:szCs w:val="13"/>
                <w:color w:val="auto"/>
              </w:rPr>
            </w:pPr>
          </w:p>
        </w:tc>
        <w:tc>
          <w:tcPr>
            <w:tcW w:w="360" w:type="dxa"/>
            <w:vAlign w:val="bottom"/>
            <w:vMerge w:val="continue"/>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380" w:type="dxa"/>
            <w:vAlign w:val="bottom"/>
            <w:vMerge w:val="continue"/>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62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72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72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160" w:type="dxa"/>
            <w:vAlign w:val="bottom"/>
            <w:gridSpan w:val="3"/>
            <w:vMerge w:val="continue"/>
            <w:shd w:val="clear" w:color="auto" w:fill="CCEEFF"/>
          </w:tcPr>
          <w:p>
            <w:pPr>
              <w:spacing w:after="0"/>
              <w:rPr>
                <w:sz w:val="13"/>
                <w:szCs w:val="13"/>
                <w:color w:val="auto"/>
              </w:rPr>
            </w:pPr>
          </w:p>
        </w:tc>
        <w:tc>
          <w:tcPr>
            <w:tcW w:w="70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780" w:type="dxa"/>
            <w:vAlign w:val="bottom"/>
            <w:gridSpan w:val="2"/>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160" w:type="dxa"/>
            <w:vAlign w:val="bottom"/>
          </w:tcPr>
          <w:p>
            <w:pPr>
              <w:spacing w:after="0" w:line="138" w:lineRule="exact"/>
              <w:rPr>
                <w:sz w:val="20"/>
                <w:szCs w:val="20"/>
                <w:color w:val="auto"/>
              </w:rPr>
            </w:pPr>
            <w:r>
              <w:rPr>
                <w:rFonts w:ascii="Arial" w:cs="Arial" w:eastAsia="Arial" w:hAnsi="Arial"/>
                <w:sz w:val="14"/>
                <w:szCs w:val="14"/>
                <w:color w:val="auto"/>
              </w:rPr>
              <w:t>Contributions</w:t>
            </w:r>
          </w:p>
        </w:tc>
        <w:tc>
          <w:tcPr>
            <w:tcW w:w="2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tcPr>
          <w:p>
            <w:pPr>
              <w:ind w:left="120"/>
              <w:spacing w:after="0" w:line="149" w:lineRule="exact"/>
              <w:rPr>
                <w:sz w:val="20"/>
                <w:szCs w:val="20"/>
                <w:color w:val="auto"/>
              </w:rPr>
            </w:pPr>
            <w:r>
              <w:rPr>
                <w:rFonts w:ascii="Arial" w:cs="Arial" w:eastAsia="Arial" w:hAnsi="Arial"/>
                <w:sz w:val="14"/>
                <w:szCs w:val="14"/>
                <w:color w:val="auto"/>
              </w:rPr>
              <w:t>from</w:t>
            </w:r>
          </w:p>
        </w:tc>
        <w:tc>
          <w:tcPr>
            <w:tcW w:w="2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tcPr>
          <w:p>
            <w:pPr>
              <w:ind w:left="120"/>
              <w:spacing w:after="0" w:line="149" w:lineRule="exact"/>
              <w:rPr>
                <w:sz w:val="20"/>
                <w:szCs w:val="20"/>
                <w:color w:val="auto"/>
              </w:rPr>
            </w:pPr>
            <w:r>
              <w:rPr>
                <w:rFonts w:ascii="Arial" w:cs="Arial" w:eastAsia="Arial" w:hAnsi="Arial"/>
                <w:sz w:val="14"/>
                <w:szCs w:val="14"/>
                <w:color w:val="auto"/>
              </w:rPr>
              <w:t>noncontrolling</w:t>
            </w:r>
          </w:p>
        </w:tc>
        <w:tc>
          <w:tcPr>
            <w:tcW w:w="280" w:type="dxa"/>
            <w:vAlign w:val="bottom"/>
          </w:tcPr>
          <w:p>
            <w:pPr>
              <w:spacing w:after="0"/>
              <w:rPr>
                <w:sz w:val="12"/>
                <w:szCs w:val="12"/>
                <w:color w:val="auto"/>
              </w:rPr>
            </w:pPr>
          </w:p>
        </w:tc>
        <w:tc>
          <w:tcPr>
            <w:tcW w:w="780" w:type="dxa"/>
            <w:vAlign w:val="bottom"/>
            <w:gridSpan w:val="3"/>
            <w:vMerge w:val="restart"/>
          </w:tcPr>
          <w:p>
            <w:pPr>
              <w:ind w:left="220"/>
              <w:spacing w:after="0"/>
              <w:rPr>
                <w:sz w:val="20"/>
                <w:szCs w:val="20"/>
                <w:color w:val="auto"/>
              </w:rPr>
            </w:pPr>
            <w:r>
              <w:rPr>
                <w:rFonts w:ascii="Arial" w:cs="Arial" w:eastAsia="Arial" w:hAnsi="Arial"/>
                <w:sz w:val="14"/>
                <w:szCs w:val="14"/>
                <w:b w:val="1"/>
                <w:bCs w:val="1"/>
                <w:color w:val="auto"/>
              </w:rPr>
              <w:t>—</w:t>
            </w:r>
          </w:p>
        </w:tc>
        <w:tc>
          <w:tcPr>
            <w:tcW w:w="36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20" w:type="dxa"/>
            <w:vAlign w:val="bottom"/>
            <w:gridSpan w:val="2"/>
            <w:vMerge w:val="restart"/>
          </w:tcPr>
          <w:p>
            <w:pPr>
              <w:jc w:val="right"/>
              <w:ind w:right="12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72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2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160" w:type="dxa"/>
            <w:vAlign w:val="bottom"/>
            <w:gridSpan w:val="3"/>
            <w:vMerge w:val="restart"/>
          </w:tcPr>
          <w:p>
            <w:pPr>
              <w:jc w:val="right"/>
              <w:ind w:right="540"/>
              <w:spacing w:after="0"/>
              <w:rPr>
                <w:sz w:val="20"/>
                <w:szCs w:val="20"/>
                <w:color w:val="auto"/>
              </w:rPr>
            </w:pPr>
            <w:r>
              <w:rPr>
                <w:rFonts w:ascii="Arial" w:cs="Arial" w:eastAsia="Arial" w:hAnsi="Arial"/>
                <w:sz w:val="14"/>
                <w:szCs w:val="14"/>
                <w:b w:val="1"/>
                <w:bCs w:val="1"/>
                <w:color w:val="auto"/>
              </w:rPr>
              <w:t>—</w:t>
            </w:r>
          </w:p>
        </w:tc>
        <w:tc>
          <w:tcPr>
            <w:tcW w:w="60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115.3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115.3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160" w:type="dxa"/>
            <w:vAlign w:val="bottom"/>
          </w:tcPr>
          <w:p>
            <w:pPr>
              <w:ind w:left="120"/>
              <w:spacing w:after="0" w:line="159" w:lineRule="exact"/>
              <w:rPr>
                <w:sz w:val="20"/>
                <w:szCs w:val="20"/>
                <w:color w:val="auto"/>
              </w:rPr>
            </w:pPr>
            <w:r>
              <w:rPr>
                <w:rFonts w:ascii="Arial" w:cs="Arial" w:eastAsia="Arial" w:hAnsi="Arial"/>
                <w:sz w:val="14"/>
                <w:szCs w:val="14"/>
                <w:color w:val="auto"/>
              </w:rPr>
              <w:t>interest</w:t>
            </w:r>
          </w:p>
        </w:tc>
        <w:tc>
          <w:tcPr>
            <w:tcW w:w="280" w:type="dxa"/>
            <w:vAlign w:val="bottom"/>
          </w:tcPr>
          <w:p>
            <w:pPr>
              <w:spacing w:after="0"/>
              <w:rPr>
                <w:sz w:val="13"/>
                <w:szCs w:val="13"/>
                <w:color w:val="auto"/>
              </w:rPr>
            </w:pPr>
          </w:p>
        </w:tc>
        <w:tc>
          <w:tcPr>
            <w:tcW w:w="780" w:type="dxa"/>
            <w:vAlign w:val="bottom"/>
            <w:gridSpan w:val="3"/>
            <w:vMerge w:val="continue"/>
          </w:tcPr>
          <w:p>
            <w:pPr>
              <w:spacing w:after="0"/>
              <w:rPr>
                <w:sz w:val="13"/>
                <w:szCs w:val="13"/>
                <w:color w:val="auto"/>
              </w:rPr>
            </w:pPr>
          </w:p>
        </w:tc>
        <w:tc>
          <w:tcPr>
            <w:tcW w:w="360" w:type="dxa"/>
            <w:vAlign w:val="bottom"/>
            <w:vMerge w:val="continue"/>
          </w:tcPr>
          <w:p>
            <w:pPr>
              <w:spacing w:after="0"/>
              <w:rPr>
                <w:sz w:val="13"/>
                <w:szCs w:val="13"/>
                <w:color w:val="auto"/>
              </w:rPr>
            </w:pPr>
          </w:p>
        </w:tc>
        <w:tc>
          <w:tcPr>
            <w:tcW w:w="1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8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2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1160" w:type="dxa"/>
            <w:vAlign w:val="bottom"/>
            <w:gridSpan w:val="3"/>
            <w:vMerge w:val="continue"/>
          </w:tcPr>
          <w:p>
            <w:pPr>
              <w:spacing w:after="0"/>
              <w:rPr>
                <w:sz w:val="13"/>
                <w:szCs w:val="13"/>
                <w:color w:val="auto"/>
              </w:rPr>
            </w:pPr>
          </w:p>
        </w:tc>
        <w:tc>
          <w:tcPr>
            <w:tcW w:w="60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2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16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Purchase of</w:t>
            </w:r>
          </w:p>
        </w:tc>
        <w:tc>
          <w:tcPr>
            <w:tcW w:w="2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subsidiary</w:t>
            </w:r>
          </w:p>
        </w:tc>
        <w:tc>
          <w:tcPr>
            <w:tcW w:w="2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shares from</w:t>
            </w:r>
          </w:p>
        </w:tc>
        <w:tc>
          <w:tcPr>
            <w:tcW w:w="2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noncontrolling</w:t>
            </w:r>
          </w:p>
        </w:tc>
        <w:tc>
          <w:tcPr>
            <w:tcW w:w="280" w:type="dxa"/>
            <w:vAlign w:val="bottom"/>
            <w:shd w:val="clear" w:color="auto" w:fill="CCEEFF"/>
          </w:tcPr>
          <w:p>
            <w:pPr>
              <w:spacing w:after="0"/>
              <w:rPr>
                <w:sz w:val="12"/>
                <w:szCs w:val="12"/>
                <w:color w:val="auto"/>
              </w:rPr>
            </w:pPr>
          </w:p>
        </w:tc>
        <w:tc>
          <w:tcPr>
            <w:tcW w:w="780" w:type="dxa"/>
            <w:vAlign w:val="bottom"/>
            <w:gridSpan w:val="3"/>
            <w:vMerge w:val="restart"/>
            <w:shd w:val="clear" w:color="auto" w:fill="CCEEFF"/>
          </w:tcPr>
          <w:p>
            <w:pPr>
              <w:ind w:left="220"/>
              <w:spacing w:after="0"/>
              <w:rPr>
                <w:sz w:val="20"/>
                <w:szCs w:val="20"/>
                <w:color w:val="auto"/>
              </w:rPr>
            </w:pPr>
            <w:r>
              <w:rPr>
                <w:rFonts w:ascii="Arial" w:cs="Arial" w:eastAsia="Arial" w:hAnsi="Arial"/>
                <w:sz w:val="14"/>
                <w:szCs w:val="14"/>
                <w:b w:val="1"/>
                <w:bCs w:val="1"/>
                <w:color w:val="auto"/>
              </w:rPr>
              <w:t>—</w:t>
            </w:r>
          </w:p>
        </w:tc>
        <w:tc>
          <w:tcPr>
            <w:tcW w:w="36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38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2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1.4</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2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72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1160" w:type="dxa"/>
            <w:vAlign w:val="bottom"/>
            <w:gridSpan w:val="3"/>
            <w:vMerge w:val="restart"/>
            <w:shd w:val="clear" w:color="auto" w:fill="CCEEFF"/>
          </w:tcPr>
          <w:p>
            <w:pPr>
              <w:jc w:val="right"/>
              <w:ind w:right="540"/>
              <w:spacing w:after="0"/>
              <w:rPr>
                <w:sz w:val="20"/>
                <w:szCs w:val="20"/>
                <w:color w:val="auto"/>
              </w:rPr>
            </w:pPr>
            <w:r>
              <w:rPr>
                <w:rFonts w:ascii="Arial" w:cs="Arial" w:eastAsia="Arial" w:hAnsi="Arial"/>
                <w:sz w:val="14"/>
                <w:szCs w:val="14"/>
                <w:b w:val="1"/>
                <w:bCs w:val="1"/>
                <w:color w:val="auto"/>
              </w:rPr>
              <w:t>—</w:t>
            </w:r>
          </w:p>
        </w:tc>
        <w:tc>
          <w:tcPr>
            <w:tcW w:w="70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(54.1)</w:t>
            </w: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78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(52.7)</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16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interest</w:t>
            </w:r>
          </w:p>
        </w:tc>
        <w:tc>
          <w:tcPr>
            <w:tcW w:w="280" w:type="dxa"/>
            <w:vAlign w:val="bottom"/>
            <w:shd w:val="clear" w:color="auto" w:fill="CCEEFF"/>
          </w:tcPr>
          <w:p>
            <w:pPr>
              <w:spacing w:after="0"/>
              <w:rPr>
                <w:sz w:val="13"/>
                <w:szCs w:val="13"/>
                <w:color w:val="auto"/>
              </w:rPr>
            </w:pPr>
          </w:p>
        </w:tc>
        <w:tc>
          <w:tcPr>
            <w:tcW w:w="780" w:type="dxa"/>
            <w:vAlign w:val="bottom"/>
            <w:gridSpan w:val="3"/>
            <w:vMerge w:val="continue"/>
            <w:shd w:val="clear" w:color="auto" w:fill="CCEEFF"/>
          </w:tcPr>
          <w:p>
            <w:pPr>
              <w:spacing w:after="0"/>
              <w:rPr>
                <w:sz w:val="13"/>
                <w:szCs w:val="13"/>
                <w:color w:val="auto"/>
              </w:rPr>
            </w:pPr>
          </w:p>
        </w:tc>
        <w:tc>
          <w:tcPr>
            <w:tcW w:w="360" w:type="dxa"/>
            <w:vAlign w:val="bottom"/>
            <w:vMerge w:val="continue"/>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380" w:type="dxa"/>
            <w:vAlign w:val="bottom"/>
            <w:vMerge w:val="continue"/>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520" w:type="dxa"/>
            <w:vAlign w:val="bottom"/>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72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72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160" w:type="dxa"/>
            <w:vAlign w:val="bottom"/>
            <w:gridSpan w:val="3"/>
            <w:vMerge w:val="continue"/>
            <w:shd w:val="clear" w:color="auto" w:fill="CCEEFF"/>
          </w:tcPr>
          <w:p>
            <w:pPr>
              <w:spacing w:after="0"/>
              <w:rPr>
                <w:sz w:val="13"/>
                <w:szCs w:val="13"/>
                <w:color w:val="auto"/>
              </w:rPr>
            </w:pPr>
          </w:p>
        </w:tc>
        <w:tc>
          <w:tcPr>
            <w:tcW w:w="70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780" w:type="dxa"/>
            <w:vAlign w:val="bottom"/>
            <w:gridSpan w:val="2"/>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160" w:type="dxa"/>
            <w:vAlign w:val="bottom"/>
          </w:tcPr>
          <w:p>
            <w:pPr>
              <w:spacing w:after="0" w:line="138" w:lineRule="exact"/>
              <w:rPr>
                <w:sz w:val="20"/>
                <w:szCs w:val="20"/>
                <w:color w:val="auto"/>
              </w:rPr>
            </w:pPr>
            <w:r>
              <w:rPr>
                <w:rFonts w:ascii="Arial" w:cs="Arial" w:eastAsia="Arial" w:hAnsi="Arial"/>
                <w:sz w:val="14"/>
                <w:szCs w:val="14"/>
                <w:color w:val="auto"/>
              </w:rPr>
              <w:t>Sale of subsidiary</w:t>
            </w:r>
          </w:p>
        </w:tc>
        <w:tc>
          <w:tcPr>
            <w:tcW w:w="2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tcPr>
          <w:p>
            <w:pPr>
              <w:ind w:left="120"/>
              <w:spacing w:after="0" w:line="149" w:lineRule="exact"/>
              <w:rPr>
                <w:sz w:val="20"/>
                <w:szCs w:val="20"/>
                <w:color w:val="auto"/>
              </w:rPr>
            </w:pPr>
            <w:r>
              <w:rPr>
                <w:rFonts w:ascii="Arial" w:cs="Arial" w:eastAsia="Arial" w:hAnsi="Arial"/>
                <w:sz w:val="14"/>
                <w:szCs w:val="14"/>
                <w:color w:val="auto"/>
              </w:rPr>
              <w:t>shares to</w:t>
            </w:r>
          </w:p>
        </w:tc>
        <w:tc>
          <w:tcPr>
            <w:tcW w:w="2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tcPr>
          <w:p>
            <w:pPr>
              <w:ind w:left="120"/>
              <w:spacing w:after="0" w:line="149" w:lineRule="exact"/>
              <w:rPr>
                <w:sz w:val="20"/>
                <w:szCs w:val="20"/>
                <w:color w:val="auto"/>
              </w:rPr>
            </w:pPr>
            <w:r>
              <w:rPr>
                <w:rFonts w:ascii="Arial" w:cs="Arial" w:eastAsia="Arial" w:hAnsi="Arial"/>
                <w:sz w:val="14"/>
                <w:szCs w:val="14"/>
                <w:color w:val="auto"/>
              </w:rPr>
              <w:t>noncontrolling</w:t>
            </w:r>
          </w:p>
        </w:tc>
        <w:tc>
          <w:tcPr>
            <w:tcW w:w="280" w:type="dxa"/>
            <w:vAlign w:val="bottom"/>
          </w:tcPr>
          <w:p>
            <w:pPr>
              <w:spacing w:after="0"/>
              <w:rPr>
                <w:sz w:val="12"/>
                <w:szCs w:val="12"/>
                <w:color w:val="auto"/>
              </w:rPr>
            </w:pPr>
          </w:p>
        </w:tc>
        <w:tc>
          <w:tcPr>
            <w:tcW w:w="780" w:type="dxa"/>
            <w:vAlign w:val="bottom"/>
            <w:gridSpan w:val="3"/>
            <w:vMerge w:val="restart"/>
          </w:tcPr>
          <w:p>
            <w:pPr>
              <w:ind w:left="220"/>
              <w:spacing w:after="0"/>
              <w:rPr>
                <w:sz w:val="20"/>
                <w:szCs w:val="20"/>
                <w:color w:val="auto"/>
              </w:rPr>
            </w:pPr>
            <w:r>
              <w:rPr>
                <w:rFonts w:ascii="Arial" w:cs="Arial" w:eastAsia="Arial" w:hAnsi="Arial"/>
                <w:sz w:val="14"/>
                <w:szCs w:val="14"/>
                <w:b w:val="1"/>
                <w:bCs w:val="1"/>
                <w:color w:val="auto"/>
              </w:rPr>
              <w:t>—</w:t>
            </w:r>
          </w:p>
        </w:tc>
        <w:tc>
          <w:tcPr>
            <w:tcW w:w="36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11.5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2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2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160" w:type="dxa"/>
            <w:vAlign w:val="bottom"/>
            <w:gridSpan w:val="3"/>
            <w:vMerge w:val="restart"/>
          </w:tcPr>
          <w:p>
            <w:pPr>
              <w:jc w:val="right"/>
              <w:ind w:right="540"/>
              <w:spacing w:after="0"/>
              <w:rPr>
                <w:sz w:val="20"/>
                <w:szCs w:val="20"/>
                <w:color w:val="auto"/>
              </w:rPr>
            </w:pPr>
            <w:r>
              <w:rPr>
                <w:rFonts w:ascii="Arial" w:cs="Arial" w:eastAsia="Arial" w:hAnsi="Arial"/>
                <w:sz w:val="14"/>
                <w:szCs w:val="14"/>
                <w:b w:val="1"/>
                <w:bCs w:val="1"/>
                <w:color w:val="auto"/>
              </w:rPr>
              <w:t>—</w:t>
            </w:r>
          </w:p>
        </w:tc>
        <w:tc>
          <w:tcPr>
            <w:tcW w:w="60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20.3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31.8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160" w:type="dxa"/>
            <w:vAlign w:val="bottom"/>
          </w:tcPr>
          <w:p>
            <w:pPr>
              <w:ind w:left="120"/>
              <w:spacing w:after="0" w:line="159" w:lineRule="exact"/>
              <w:rPr>
                <w:sz w:val="20"/>
                <w:szCs w:val="20"/>
                <w:color w:val="auto"/>
              </w:rPr>
            </w:pPr>
            <w:r>
              <w:rPr>
                <w:rFonts w:ascii="Arial" w:cs="Arial" w:eastAsia="Arial" w:hAnsi="Arial"/>
                <w:sz w:val="14"/>
                <w:szCs w:val="14"/>
                <w:color w:val="auto"/>
              </w:rPr>
              <w:t>interest</w:t>
            </w:r>
          </w:p>
        </w:tc>
        <w:tc>
          <w:tcPr>
            <w:tcW w:w="280" w:type="dxa"/>
            <w:vAlign w:val="bottom"/>
          </w:tcPr>
          <w:p>
            <w:pPr>
              <w:spacing w:after="0"/>
              <w:rPr>
                <w:sz w:val="13"/>
                <w:szCs w:val="13"/>
                <w:color w:val="auto"/>
              </w:rPr>
            </w:pPr>
          </w:p>
        </w:tc>
        <w:tc>
          <w:tcPr>
            <w:tcW w:w="780" w:type="dxa"/>
            <w:vAlign w:val="bottom"/>
            <w:gridSpan w:val="3"/>
            <w:vMerge w:val="continue"/>
          </w:tcPr>
          <w:p>
            <w:pPr>
              <w:spacing w:after="0"/>
              <w:rPr>
                <w:sz w:val="13"/>
                <w:szCs w:val="13"/>
                <w:color w:val="auto"/>
              </w:rPr>
            </w:pPr>
          </w:p>
        </w:tc>
        <w:tc>
          <w:tcPr>
            <w:tcW w:w="360" w:type="dxa"/>
            <w:vAlign w:val="bottom"/>
            <w:vMerge w:val="continue"/>
          </w:tcPr>
          <w:p>
            <w:pPr>
              <w:spacing w:after="0"/>
              <w:rPr>
                <w:sz w:val="13"/>
                <w:szCs w:val="13"/>
                <w:color w:val="auto"/>
              </w:rPr>
            </w:pPr>
          </w:p>
        </w:tc>
        <w:tc>
          <w:tcPr>
            <w:tcW w:w="1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8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2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1160" w:type="dxa"/>
            <w:vAlign w:val="bottom"/>
            <w:gridSpan w:val="3"/>
            <w:vMerge w:val="continue"/>
          </w:tcPr>
          <w:p>
            <w:pPr>
              <w:spacing w:after="0"/>
              <w:rPr>
                <w:sz w:val="13"/>
                <w:szCs w:val="13"/>
                <w:color w:val="auto"/>
              </w:rPr>
            </w:pPr>
          </w:p>
        </w:tc>
        <w:tc>
          <w:tcPr>
            <w:tcW w:w="60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2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16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Adjustments to</w:t>
            </w:r>
          </w:p>
        </w:tc>
        <w:tc>
          <w:tcPr>
            <w:tcW w:w="2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redemption</w:t>
            </w:r>
          </w:p>
        </w:tc>
        <w:tc>
          <w:tcPr>
            <w:tcW w:w="2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amount of</w:t>
            </w:r>
          </w:p>
        </w:tc>
        <w:tc>
          <w:tcPr>
            <w:tcW w:w="2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redeemable</w:t>
            </w:r>
          </w:p>
        </w:tc>
        <w:tc>
          <w:tcPr>
            <w:tcW w:w="2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noncontrolling</w:t>
            </w:r>
          </w:p>
        </w:tc>
        <w:tc>
          <w:tcPr>
            <w:tcW w:w="280" w:type="dxa"/>
            <w:vAlign w:val="bottom"/>
            <w:shd w:val="clear" w:color="auto" w:fill="CCEEFF"/>
          </w:tcPr>
          <w:p>
            <w:pPr>
              <w:spacing w:after="0"/>
              <w:rPr>
                <w:sz w:val="12"/>
                <w:szCs w:val="12"/>
                <w:color w:val="auto"/>
              </w:rPr>
            </w:pPr>
          </w:p>
        </w:tc>
        <w:tc>
          <w:tcPr>
            <w:tcW w:w="780" w:type="dxa"/>
            <w:vAlign w:val="bottom"/>
            <w:gridSpan w:val="3"/>
            <w:vMerge w:val="restart"/>
            <w:shd w:val="clear" w:color="auto" w:fill="CCEEFF"/>
          </w:tcPr>
          <w:p>
            <w:pPr>
              <w:ind w:left="220"/>
              <w:spacing w:after="0"/>
              <w:rPr>
                <w:sz w:val="20"/>
                <w:szCs w:val="20"/>
                <w:color w:val="auto"/>
              </w:rPr>
            </w:pPr>
            <w:r>
              <w:rPr>
                <w:rFonts w:ascii="Arial" w:cs="Arial" w:eastAsia="Arial" w:hAnsi="Arial"/>
                <w:sz w:val="14"/>
                <w:szCs w:val="14"/>
                <w:b w:val="1"/>
                <w:bCs w:val="1"/>
                <w:color w:val="auto"/>
              </w:rPr>
              <w:t>—</w:t>
            </w:r>
          </w:p>
        </w:tc>
        <w:tc>
          <w:tcPr>
            <w:tcW w:w="36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38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2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(143.3)</w:t>
            </w:r>
          </w:p>
        </w:tc>
        <w:tc>
          <w:tcPr>
            <w:tcW w:w="780" w:type="dxa"/>
            <w:vAlign w:val="bottom"/>
            <w:gridSpan w:val="3"/>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(43.3)</w:t>
            </w: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72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1160" w:type="dxa"/>
            <w:vAlign w:val="bottom"/>
            <w:gridSpan w:val="3"/>
            <w:vMerge w:val="restart"/>
            <w:shd w:val="clear" w:color="auto" w:fill="CCEEFF"/>
          </w:tcPr>
          <w:p>
            <w:pPr>
              <w:jc w:val="right"/>
              <w:ind w:right="540"/>
              <w:spacing w:after="0"/>
              <w:rPr>
                <w:sz w:val="20"/>
                <w:szCs w:val="20"/>
                <w:color w:val="auto"/>
              </w:rPr>
            </w:pPr>
            <w:r>
              <w:rPr>
                <w:rFonts w:ascii="Arial" w:cs="Arial" w:eastAsia="Arial" w:hAnsi="Arial"/>
                <w:sz w:val="14"/>
                <w:szCs w:val="14"/>
                <w:b w:val="1"/>
                <w:bCs w:val="1"/>
                <w:color w:val="auto"/>
              </w:rPr>
              <w:t>—</w:t>
            </w:r>
          </w:p>
        </w:tc>
        <w:tc>
          <w:tcPr>
            <w:tcW w:w="70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(6.5)</w:t>
            </w: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78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(193.1)</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16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interest</w:t>
            </w:r>
          </w:p>
        </w:tc>
        <w:tc>
          <w:tcPr>
            <w:tcW w:w="280" w:type="dxa"/>
            <w:vAlign w:val="bottom"/>
            <w:shd w:val="clear" w:color="auto" w:fill="CCEEFF"/>
          </w:tcPr>
          <w:p>
            <w:pPr>
              <w:spacing w:after="0"/>
              <w:rPr>
                <w:sz w:val="13"/>
                <w:szCs w:val="13"/>
                <w:color w:val="auto"/>
              </w:rPr>
            </w:pPr>
          </w:p>
        </w:tc>
        <w:tc>
          <w:tcPr>
            <w:tcW w:w="780" w:type="dxa"/>
            <w:vAlign w:val="bottom"/>
            <w:gridSpan w:val="3"/>
            <w:vMerge w:val="continue"/>
            <w:shd w:val="clear" w:color="auto" w:fill="CCEEFF"/>
          </w:tcPr>
          <w:p>
            <w:pPr>
              <w:spacing w:after="0"/>
              <w:rPr>
                <w:sz w:val="13"/>
                <w:szCs w:val="13"/>
                <w:color w:val="auto"/>
              </w:rPr>
            </w:pPr>
          </w:p>
        </w:tc>
        <w:tc>
          <w:tcPr>
            <w:tcW w:w="360" w:type="dxa"/>
            <w:vAlign w:val="bottom"/>
            <w:vMerge w:val="continue"/>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380" w:type="dxa"/>
            <w:vAlign w:val="bottom"/>
            <w:vMerge w:val="continue"/>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620" w:type="dxa"/>
            <w:vAlign w:val="bottom"/>
            <w:gridSpan w:val="2"/>
            <w:vMerge w:val="continue"/>
            <w:shd w:val="clear" w:color="auto" w:fill="CCEEFF"/>
          </w:tcPr>
          <w:p>
            <w:pPr>
              <w:spacing w:after="0"/>
              <w:rPr>
                <w:sz w:val="13"/>
                <w:szCs w:val="13"/>
                <w:color w:val="auto"/>
              </w:rPr>
            </w:pPr>
          </w:p>
        </w:tc>
        <w:tc>
          <w:tcPr>
            <w:tcW w:w="780" w:type="dxa"/>
            <w:vAlign w:val="bottom"/>
            <w:gridSpan w:val="3"/>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72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160" w:type="dxa"/>
            <w:vAlign w:val="bottom"/>
            <w:gridSpan w:val="3"/>
            <w:vMerge w:val="continue"/>
            <w:shd w:val="clear" w:color="auto" w:fill="CCEEFF"/>
          </w:tcPr>
          <w:p>
            <w:pPr>
              <w:spacing w:after="0"/>
              <w:rPr>
                <w:sz w:val="13"/>
                <w:szCs w:val="13"/>
                <w:color w:val="auto"/>
              </w:rPr>
            </w:pPr>
          </w:p>
        </w:tc>
        <w:tc>
          <w:tcPr>
            <w:tcW w:w="70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780" w:type="dxa"/>
            <w:vAlign w:val="bottom"/>
            <w:gridSpan w:val="2"/>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160" w:type="dxa"/>
            <w:vAlign w:val="bottom"/>
          </w:tcPr>
          <w:p>
            <w:pPr>
              <w:spacing w:after="0" w:line="138" w:lineRule="exact"/>
              <w:rPr>
                <w:sz w:val="20"/>
                <w:szCs w:val="20"/>
                <w:color w:val="auto"/>
              </w:rPr>
            </w:pPr>
            <w:r>
              <w:rPr>
                <w:rFonts w:ascii="Arial" w:cs="Arial" w:eastAsia="Arial" w:hAnsi="Arial"/>
                <w:sz w:val="14"/>
                <w:szCs w:val="14"/>
                <w:color w:val="auto"/>
              </w:rPr>
              <w:t>Net income</w:t>
            </w:r>
          </w:p>
        </w:tc>
        <w:tc>
          <w:tcPr>
            <w:tcW w:w="2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tcPr>
          <w:p>
            <w:pPr>
              <w:ind w:left="120"/>
              <w:spacing w:after="0" w:line="149" w:lineRule="exact"/>
              <w:rPr>
                <w:sz w:val="20"/>
                <w:szCs w:val="20"/>
                <w:color w:val="auto"/>
              </w:rPr>
            </w:pPr>
            <w:r>
              <w:rPr>
                <w:rFonts w:ascii="Arial" w:cs="Arial" w:eastAsia="Arial" w:hAnsi="Arial"/>
                <w:sz w:val="14"/>
                <w:szCs w:val="14"/>
                <w:color w:val="auto"/>
              </w:rPr>
              <w:t>(excludes</w:t>
            </w:r>
          </w:p>
        </w:tc>
        <w:tc>
          <w:tcPr>
            <w:tcW w:w="2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tcPr>
          <w:p>
            <w:pPr>
              <w:ind w:left="120"/>
              <w:spacing w:after="0" w:line="149" w:lineRule="exact"/>
              <w:rPr>
                <w:sz w:val="20"/>
                <w:szCs w:val="20"/>
                <w:color w:val="auto"/>
              </w:rPr>
            </w:pPr>
            <w:r>
              <w:rPr>
                <w:rFonts w:ascii="Arial" w:cs="Arial" w:eastAsia="Arial" w:hAnsi="Arial"/>
                <w:sz w:val="14"/>
                <w:szCs w:val="14"/>
                <w:color w:val="auto"/>
              </w:rPr>
              <w:t>$13.6 million</w:t>
            </w:r>
          </w:p>
        </w:tc>
        <w:tc>
          <w:tcPr>
            <w:tcW w:w="2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tcPr>
          <w:p>
            <w:pPr>
              <w:ind w:left="120"/>
              <w:spacing w:after="0" w:line="149" w:lineRule="exact"/>
              <w:rPr>
                <w:sz w:val="20"/>
                <w:szCs w:val="20"/>
                <w:color w:val="auto"/>
              </w:rPr>
            </w:pPr>
            <w:r>
              <w:rPr>
                <w:rFonts w:ascii="Arial" w:cs="Arial" w:eastAsia="Arial" w:hAnsi="Arial"/>
                <w:sz w:val="14"/>
                <w:szCs w:val="14"/>
                <w:color w:val="auto"/>
              </w:rPr>
              <w:t>attributable to</w:t>
            </w:r>
          </w:p>
        </w:tc>
        <w:tc>
          <w:tcPr>
            <w:tcW w:w="2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tcPr>
          <w:p>
            <w:pPr>
              <w:ind w:left="120"/>
              <w:spacing w:after="0" w:line="149" w:lineRule="exact"/>
              <w:rPr>
                <w:sz w:val="20"/>
                <w:szCs w:val="20"/>
                <w:color w:val="auto"/>
              </w:rPr>
            </w:pPr>
            <w:r>
              <w:rPr>
                <w:rFonts w:ascii="Arial" w:cs="Arial" w:eastAsia="Arial" w:hAnsi="Arial"/>
                <w:sz w:val="14"/>
                <w:szCs w:val="14"/>
                <w:color w:val="auto"/>
              </w:rPr>
              <w:t>redeemable</w:t>
            </w:r>
          </w:p>
        </w:tc>
        <w:tc>
          <w:tcPr>
            <w:tcW w:w="2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tcPr>
          <w:p>
            <w:pPr>
              <w:ind w:left="120"/>
              <w:spacing w:after="0" w:line="149" w:lineRule="exact"/>
              <w:rPr>
                <w:sz w:val="20"/>
                <w:szCs w:val="20"/>
                <w:color w:val="auto"/>
              </w:rPr>
            </w:pPr>
            <w:r>
              <w:rPr>
                <w:rFonts w:ascii="Arial" w:cs="Arial" w:eastAsia="Arial" w:hAnsi="Arial"/>
                <w:sz w:val="14"/>
                <w:szCs w:val="14"/>
                <w:color w:val="auto"/>
              </w:rPr>
              <w:t>noncontrolling</w:t>
            </w:r>
          </w:p>
        </w:tc>
        <w:tc>
          <w:tcPr>
            <w:tcW w:w="2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1160" w:type="dxa"/>
            <w:vAlign w:val="bottom"/>
          </w:tcPr>
          <w:p>
            <w:pPr>
              <w:ind w:left="120"/>
              <w:spacing w:after="0"/>
              <w:rPr>
                <w:sz w:val="20"/>
                <w:szCs w:val="20"/>
                <w:color w:val="auto"/>
              </w:rPr>
            </w:pPr>
            <w:r>
              <w:rPr>
                <w:rFonts w:ascii="Arial" w:cs="Arial" w:eastAsia="Arial" w:hAnsi="Arial"/>
                <w:sz w:val="14"/>
                <w:szCs w:val="14"/>
                <w:color w:val="auto"/>
              </w:rPr>
              <w:t>interest)</w:t>
            </w:r>
          </w:p>
        </w:tc>
        <w:tc>
          <w:tcPr>
            <w:tcW w:w="280" w:type="dxa"/>
            <w:vAlign w:val="bottom"/>
          </w:tcPr>
          <w:p>
            <w:pPr>
              <w:spacing w:after="0"/>
              <w:rPr>
                <w:sz w:val="14"/>
                <w:szCs w:val="14"/>
                <w:color w:val="auto"/>
              </w:rPr>
            </w:pPr>
          </w:p>
        </w:tc>
        <w:tc>
          <w:tcPr>
            <w:tcW w:w="780" w:type="dxa"/>
            <w:vAlign w:val="bottom"/>
            <w:gridSpan w:val="3"/>
            <w:vMerge w:val="restart"/>
          </w:tcPr>
          <w:p>
            <w:pPr>
              <w:ind w:left="220"/>
              <w:spacing w:after="0"/>
              <w:rPr>
                <w:sz w:val="20"/>
                <w:szCs w:val="20"/>
                <w:color w:val="auto"/>
              </w:rPr>
            </w:pPr>
            <w:r>
              <w:rPr>
                <w:rFonts w:ascii="Arial" w:cs="Arial" w:eastAsia="Arial" w:hAnsi="Arial"/>
                <w:sz w:val="14"/>
                <w:szCs w:val="14"/>
                <w:b w:val="1"/>
                <w:bCs w:val="1"/>
                <w:color w:val="auto"/>
              </w:rPr>
              <w:t>—</w:t>
            </w:r>
          </w:p>
        </w:tc>
        <w:tc>
          <w:tcPr>
            <w:tcW w:w="36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20" w:type="dxa"/>
            <w:vAlign w:val="bottom"/>
            <w:gridSpan w:val="2"/>
            <w:vMerge w:val="restart"/>
          </w:tcPr>
          <w:p>
            <w:pPr>
              <w:jc w:val="right"/>
              <w:ind w:right="120"/>
              <w:spacing w:after="0"/>
              <w:rPr>
                <w:sz w:val="20"/>
                <w:szCs w:val="20"/>
                <w:color w:val="auto"/>
              </w:rPr>
            </w:pPr>
            <w:r>
              <w:rPr>
                <w:rFonts w:ascii="Arial" w:cs="Arial" w:eastAsia="Arial" w:hAnsi="Arial"/>
                <w:sz w:val="14"/>
                <w:szCs w:val="14"/>
                <w:b w:val="1"/>
                <w:bCs w:val="1"/>
                <w:color w:val="auto"/>
              </w:rPr>
              <w:t>—</w:t>
            </w:r>
          </w:p>
        </w:tc>
        <w:tc>
          <w:tcPr>
            <w:tcW w:w="68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912.7</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72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4"/>
                <w:szCs w:val="14"/>
                <w:color w:val="auto"/>
              </w:rPr>
            </w:pPr>
          </w:p>
        </w:tc>
        <w:tc>
          <w:tcPr>
            <w:tcW w:w="1160" w:type="dxa"/>
            <w:vAlign w:val="bottom"/>
            <w:gridSpan w:val="3"/>
            <w:vMerge w:val="restart"/>
          </w:tcPr>
          <w:p>
            <w:pPr>
              <w:jc w:val="right"/>
              <w:ind w:right="540"/>
              <w:spacing w:after="0"/>
              <w:rPr>
                <w:sz w:val="20"/>
                <w:szCs w:val="20"/>
                <w:color w:val="auto"/>
              </w:rPr>
            </w:pPr>
            <w:r>
              <w:rPr>
                <w:rFonts w:ascii="Arial" w:cs="Arial" w:eastAsia="Arial" w:hAnsi="Arial"/>
                <w:sz w:val="14"/>
                <w:szCs w:val="14"/>
                <w:b w:val="1"/>
                <w:bCs w:val="1"/>
                <w:color w:val="auto"/>
              </w:rPr>
              <w:t>—</w:t>
            </w:r>
          </w:p>
        </w:tc>
        <w:tc>
          <w:tcPr>
            <w:tcW w:w="60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9.8</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922.5</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gridSpan w:val="3"/>
            <w:vMerge w:val="continue"/>
          </w:tcPr>
          <w:p>
            <w:pPr>
              <w:spacing w:after="0"/>
              <w:rPr>
                <w:sz w:val="11"/>
                <w:szCs w:val="11"/>
                <w:color w:val="auto"/>
              </w:rPr>
            </w:pPr>
          </w:p>
        </w:tc>
        <w:tc>
          <w:tcPr>
            <w:tcW w:w="360" w:type="dxa"/>
            <w:vAlign w:val="bottom"/>
            <w:vMerge w:val="continue"/>
          </w:tcPr>
          <w:p>
            <w:pPr>
              <w:spacing w:after="0"/>
              <w:rPr>
                <w:sz w:val="11"/>
                <w:szCs w:val="11"/>
                <w:color w:val="auto"/>
              </w:rPr>
            </w:pPr>
          </w:p>
        </w:tc>
        <w:tc>
          <w:tcPr>
            <w:tcW w:w="1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vMerge w:val="continue"/>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20" w:type="dxa"/>
            <w:vAlign w:val="bottom"/>
            <w:gridSpan w:val="2"/>
            <w:vMerge w:val="continue"/>
          </w:tcPr>
          <w:p>
            <w:pPr>
              <w:spacing w:after="0"/>
              <w:rPr>
                <w:sz w:val="11"/>
                <w:szCs w:val="11"/>
                <w:color w:val="auto"/>
              </w:rPr>
            </w:pPr>
          </w:p>
        </w:tc>
        <w:tc>
          <w:tcPr>
            <w:tcW w:w="68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1160" w:type="dxa"/>
            <w:vAlign w:val="bottom"/>
            <w:gridSpan w:val="3"/>
            <w:vMerge w:val="continue"/>
          </w:tcPr>
          <w:p>
            <w:pPr>
              <w:spacing w:after="0"/>
              <w:rPr>
                <w:sz w:val="11"/>
                <w:szCs w:val="11"/>
                <w:color w:val="auto"/>
              </w:rPr>
            </w:pPr>
          </w:p>
        </w:tc>
        <w:tc>
          <w:tcPr>
            <w:tcW w:w="60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16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Other</w:t>
            </w:r>
          </w:p>
        </w:tc>
        <w:tc>
          <w:tcPr>
            <w:tcW w:w="2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comprehensive</w:t>
            </w:r>
          </w:p>
        </w:tc>
        <w:tc>
          <w:tcPr>
            <w:tcW w:w="2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loss (excludes</w:t>
            </w:r>
          </w:p>
        </w:tc>
        <w:tc>
          <w:tcPr>
            <w:tcW w:w="2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$(4.8) million</w:t>
            </w:r>
          </w:p>
        </w:tc>
        <w:tc>
          <w:tcPr>
            <w:tcW w:w="2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attributable to</w:t>
            </w:r>
          </w:p>
        </w:tc>
        <w:tc>
          <w:tcPr>
            <w:tcW w:w="2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redeemable</w:t>
            </w:r>
          </w:p>
        </w:tc>
        <w:tc>
          <w:tcPr>
            <w:tcW w:w="2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noncontrolling</w:t>
            </w:r>
          </w:p>
        </w:tc>
        <w:tc>
          <w:tcPr>
            <w:tcW w:w="280" w:type="dxa"/>
            <w:vAlign w:val="bottom"/>
            <w:shd w:val="clear" w:color="auto" w:fill="CCEEFF"/>
          </w:tcPr>
          <w:p>
            <w:pPr>
              <w:spacing w:after="0"/>
              <w:rPr>
                <w:sz w:val="12"/>
                <w:szCs w:val="12"/>
                <w:color w:val="auto"/>
              </w:rPr>
            </w:pPr>
          </w:p>
        </w:tc>
        <w:tc>
          <w:tcPr>
            <w:tcW w:w="780" w:type="dxa"/>
            <w:vAlign w:val="bottom"/>
            <w:gridSpan w:val="3"/>
            <w:vMerge w:val="restart"/>
            <w:shd w:val="clear" w:color="auto" w:fill="CCEEFF"/>
          </w:tcPr>
          <w:p>
            <w:pPr>
              <w:ind w:left="220"/>
              <w:spacing w:after="0"/>
              <w:rPr>
                <w:sz w:val="20"/>
                <w:szCs w:val="20"/>
                <w:color w:val="auto"/>
              </w:rPr>
            </w:pPr>
            <w:r>
              <w:rPr>
                <w:rFonts w:ascii="Arial" w:cs="Arial" w:eastAsia="Arial" w:hAnsi="Arial"/>
                <w:sz w:val="14"/>
                <w:szCs w:val="14"/>
                <w:b w:val="1"/>
                <w:bCs w:val="1"/>
                <w:color w:val="auto"/>
              </w:rPr>
              <w:t>—</w:t>
            </w:r>
          </w:p>
        </w:tc>
        <w:tc>
          <w:tcPr>
            <w:tcW w:w="36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38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2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72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72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(457.1)</w:t>
            </w:r>
          </w:p>
        </w:tc>
        <w:tc>
          <w:tcPr>
            <w:tcW w:w="60" w:type="dxa"/>
            <w:vAlign w:val="bottom"/>
            <w:shd w:val="clear" w:color="auto" w:fill="CCEEFF"/>
          </w:tcPr>
          <w:p>
            <w:pPr>
              <w:spacing w:after="0"/>
              <w:rPr>
                <w:sz w:val="12"/>
                <w:szCs w:val="12"/>
                <w:color w:val="auto"/>
              </w:rPr>
            </w:pPr>
          </w:p>
        </w:tc>
        <w:tc>
          <w:tcPr>
            <w:tcW w:w="1160" w:type="dxa"/>
            <w:vAlign w:val="bottom"/>
            <w:gridSpan w:val="3"/>
            <w:vMerge w:val="restart"/>
            <w:shd w:val="clear" w:color="auto" w:fill="CCEEFF"/>
          </w:tcPr>
          <w:p>
            <w:pPr>
              <w:jc w:val="right"/>
              <w:ind w:right="540"/>
              <w:spacing w:after="0"/>
              <w:rPr>
                <w:sz w:val="20"/>
                <w:szCs w:val="20"/>
                <w:color w:val="auto"/>
              </w:rPr>
            </w:pPr>
            <w:r>
              <w:rPr>
                <w:rFonts w:ascii="Arial" w:cs="Arial" w:eastAsia="Arial" w:hAnsi="Arial"/>
                <w:sz w:val="14"/>
                <w:szCs w:val="14"/>
                <w:b w:val="1"/>
                <w:bCs w:val="1"/>
                <w:color w:val="auto"/>
              </w:rPr>
              <w:t>—</w:t>
            </w:r>
          </w:p>
        </w:tc>
        <w:tc>
          <w:tcPr>
            <w:tcW w:w="70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(10.0)</w:t>
            </w: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78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(467.1)</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16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interest)</w:t>
            </w:r>
          </w:p>
        </w:tc>
        <w:tc>
          <w:tcPr>
            <w:tcW w:w="280" w:type="dxa"/>
            <w:vAlign w:val="bottom"/>
            <w:shd w:val="clear" w:color="auto" w:fill="CCEEFF"/>
          </w:tcPr>
          <w:p>
            <w:pPr>
              <w:spacing w:after="0"/>
              <w:rPr>
                <w:sz w:val="13"/>
                <w:szCs w:val="13"/>
                <w:color w:val="auto"/>
              </w:rPr>
            </w:pPr>
          </w:p>
        </w:tc>
        <w:tc>
          <w:tcPr>
            <w:tcW w:w="780" w:type="dxa"/>
            <w:vAlign w:val="bottom"/>
            <w:gridSpan w:val="3"/>
            <w:vMerge w:val="continue"/>
            <w:shd w:val="clear" w:color="auto" w:fill="CCEEFF"/>
          </w:tcPr>
          <w:p>
            <w:pPr>
              <w:spacing w:after="0"/>
              <w:rPr>
                <w:sz w:val="13"/>
                <w:szCs w:val="13"/>
                <w:color w:val="auto"/>
              </w:rPr>
            </w:pPr>
          </w:p>
        </w:tc>
        <w:tc>
          <w:tcPr>
            <w:tcW w:w="360" w:type="dxa"/>
            <w:vAlign w:val="bottom"/>
            <w:vMerge w:val="continue"/>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380" w:type="dxa"/>
            <w:vAlign w:val="bottom"/>
            <w:vMerge w:val="continue"/>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62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72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72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160" w:type="dxa"/>
            <w:vAlign w:val="bottom"/>
            <w:gridSpan w:val="3"/>
            <w:vMerge w:val="continue"/>
            <w:shd w:val="clear" w:color="auto" w:fill="CCEEFF"/>
          </w:tcPr>
          <w:p>
            <w:pPr>
              <w:spacing w:after="0"/>
              <w:rPr>
                <w:sz w:val="13"/>
                <w:szCs w:val="13"/>
                <w:color w:val="auto"/>
              </w:rPr>
            </w:pPr>
          </w:p>
        </w:tc>
        <w:tc>
          <w:tcPr>
            <w:tcW w:w="70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780" w:type="dxa"/>
            <w:vAlign w:val="bottom"/>
            <w:gridSpan w:val="2"/>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1180" w:type="dxa"/>
            <w:vAlign w:val="bottom"/>
            <w:gridSpan w:val="2"/>
          </w:tcPr>
          <w:p>
            <w:pPr>
              <w:spacing w:after="0" w:line="129" w:lineRule="exact"/>
              <w:rPr>
                <w:sz w:val="20"/>
                <w:szCs w:val="20"/>
                <w:color w:val="auto"/>
              </w:rPr>
            </w:pPr>
            <w:r>
              <w:rPr>
                <w:rFonts w:ascii="Arial" w:cs="Arial" w:eastAsia="Arial" w:hAnsi="Arial"/>
                <w:sz w:val="14"/>
                <w:szCs w:val="14"/>
                <w:b w:val="1"/>
                <w:bCs w:val="1"/>
                <w:color w:val="auto"/>
              </w:rPr>
              <w:t>Balances at</w:t>
            </w:r>
          </w:p>
        </w:tc>
        <w:tc>
          <w:tcPr>
            <w:tcW w:w="280" w:type="dxa"/>
            <w:vAlign w:val="bottom"/>
            <w:tcBorders>
              <w:top w:val="single" w:sz="8" w:color="auto"/>
            </w:tcBorders>
          </w:tcPr>
          <w:p>
            <w:pPr>
              <w:spacing w:after="0"/>
              <w:rPr>
                <w:sz w:val="11"/>
                <w:szCs w:val="11"/>
                <w:color w:val="auto"/>
              </w:rPr>
            </w:pPr>
          </w:p>
        </w:tc>
        <w:tc>
          <w:tcPr>
            <w:tcW w:w="36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360" w:type="dxa"/>
            <w:vAlign w:val="bottom"/>
            <w:tcBorders>
              <w:top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38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52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2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360" w:type="dxa"/>
            <w:vAlign w:val="bottom"/>
            <w:tcBorders>
              <w:top w:val="single" w:sz="8" w:color="auto"/>
            </w:tcBorders>
          </w:tcPr>
          <w:p>
            <w:pPr>
              <w:spacing w:after="0"/>
              <w:rPr>
                <w:sz w:val="11"/>
                <w:szCs w:val="11"/>
                <w:color w:val="auto"/>
              </w:rPr>
            </w:pPr>
          </w:p>
        </w:tc>
        <w:tc>
          <w:tcPr>
            <w:tcW w:w="60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6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December 31,</w:t>
            </w:r>
          </w:p>
        </w:tc>
        <w:tc>
          <w:tcPr>
            <w:tcW w:w="2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1180" w:type="dxa"/>
            <w:vAlign w:val="bottom"/>
            <w:gridSpan w:val="2"/>
          </w:tcPr>
          <w:p>
            <w:pPr>
              <w:ind w:left="140"/>
              <w:spacing w:after="0"/>
              <w:rPr>
                <w:sz w:val="20"/>
                <w:szCs w:val="20"/>
                <w:color w:val="auto"/>
              </w:rPr>
            </w:pPr>
            <w:r>
              <w:rPr>
                <w:rFonts w:ascii="Arial" w:cs="Arial" w:eastAsia="Arial" w:hAnsi="Arial"/>
                <w:sz w:val="14"/>
                <w:szCs w:val="14"/>
                <w:b w:val="1"/>
                <w:bCs w:val="1"/>
                <w:color w:val="auto"/>
              </w:rPr>
              <w:t>2013</w:t>
            </w:r>
          </w:p>
        </w:tc>
        <w:tc>
          <w:tcPr>
            <w:tcW w:w="280" w:type="dxa"/>
            <w:vAlign w:val="bottom"/>
          </w:tcPr>
          <w:p>
            <w:pPr>
              <w:jc w:val="right"/>
              <w:ind w:right="169"/>
              <w:spacing w:after="0"/>
              <w:rPr>
                <w:sz w:val="20"/>
                <w:szCs w:val="20"/>
                <w:color w:val="auto"/>
              </w:rPr>
            </w:pPr>
            <w:r>
              <w:rPr>
                <w:rFonts w:ascii="Arial" w:cs="Arial" w:eastAsia="Arial" w:hAnsi="Arial"/>
                <w:sz w:val="10"/>
                <w:szCs w:val="10"/>
                <w:b w:val="1"/>
                <w:bCs w:val="1"/>
                <w:color w:val="auto"/>
                <w:w w:val="71"/>
              </w:rPr>
              <w:t>$</w:t>
            </w:r>
          </w:p>
        </w:tc>
        <w:tc>
          <w:tcPr>
            <w:tcW w:w="780" w:type="dxa"/>
            <w:vAlign w:val="bottom"/>
            <w:gridSpan w:val="3"/>
          </w:tcPr>
          <w:p>
            <w:pPr>
              <w:ind w:left="220"/>
              <w:spacing w:after="0"/>
              <w:rPr>
                <w:sz w:val="20"/>
                <w:szCs w:val="20"/>
                <w:color w:val="auto"/>
              </w:rPr>
            </w:pPr>
            <w:r>
              <w:rPr>
                <w:rFonts w:ascii="Arial" w:cs="Arial" w:eastAsia="Arial" w:hAnsi="Arial"/>
                <w:sz w:val="14"/>
                <w:szCs w:val="14"/>
                <w:b w:val="1"/>
                <w:bCs w:val="1"/>
                <w:color w:val="auto"/>
              </w:rPr>
              <w:t>—  $</w:t>
            </w:r>
          </w:p>
        </w:tc>
        <w:tc>
          <w:tcPr>
            <w:tcW w:w="360" w:type="dxa"/>
            <w:vAlign w:val="bottom"/>
          </w:tcPr>
          <w:p>
            <w:pPr>
              <w:jc w:val="right"/>
              <w:spacing w:after="0"/>
              <w:rPr>
                <w:sz w:val="20"/>
                <w:szCs w:val="20"/>
                <w:color w:val="auto"/>
              </w:rPr>
            </w:pPr>
            <w:r>
              <w:rPr>
                <w:rFonts w:ascii="Arial" w:cs="Arial" w:eastAsia="Arial" w:hAnsi="Arial"/>
                <w:sz w:val="14"/>
                <w:szCs w:val="14"/>
                <w:b w:val="1"/>
                <w:bCs w:val="1"/>
                <w:color w:val="auto"/>
              </w:rPr>
              <w:t>0.1</w:t>
            </w:r>
          </w:p>
        </w:tc>
        <w:tc>
          <w:tcPr>
            <w:tcW w:w="420" w:type="dxa"/>
            <w:vAlign w:val="bottom"/>
            <w:gridSpan w:val="2"/>
          </w:tcPr>
          <w:p>
            <w:pPr>
              <w:jc w:val="right"/>
              <w:ind w:right="180"/>
              <w:spacing w:after="0"/>
              <w:rPr>
                <w:sz w:val="20"/>
                <w:szCs w:val="20"/>
                <w:color w:val="auto"/>
              </w:rPr>
            </w:pPr>
            <w:r>
              <w:rPr>
                <w:rFonts w:ascii="Arial" w:cs="Arial" w:eastAsia="Arial" w:hAnsi="Arial"/>
                <w:sz w:val="14"/>
                <w:szCs w:val="14"/>
                <w:b w:val="1"/>
                <w:bCs w:val="1"/>
                <w:color w:val="auto"/>
              </w:rPr>
              <w:t>$</w:t>
            </w:r>
          </w:p>
        </w:tc>
        <w:tc>
          <w:tcPr>
            <w:tcW w:w="380" w:type="dxa"/>
            <w:vAlign w:val="bottom"/>
          </w:tcPr>
          <w:p>
            <w:pPr>
              <w:jc w:val="right"/>
              <w:spacing w:after="0"/>
              <w:rPr>
                <w:sz w:val="20"/>
                <w:szCs w:val="20"/>
                <w:color w:val="auto"/>
              </w:rPr>
            </w:pPr>
            <w:r>
              <w:rPr>
                <w:rFonts w:ascii="Arial" w:cs="Arial" w:eastAsia="Arial" w:hAnsi="Arial"/>
                <w:sz w:val="14"/>
                <w:szCs w:val="14"/>
                <w:b w:val="1"/>
                <w:bCs w:val="1"/>
                <w:color w:val="auto"/>
              </w:rPr>
              <w:t>4.6</w:t>
            </w:r>
          </w:p>
        </w:tc>
        <w:tc>
          <w:tcPr>
            <w:tcW w:w="340" w:type="dxa"/>
            <w:vAlign w:val="bottom"/>
            <w:gridSpan w:val="2"/>
          </w:tcPr>
          <w:p>
            <w:pPr>
              <w:jc w:val="right"/>
              <w:ind w:right="120"/>
              <w:spacing w:after="0"/>
              <w:rPr>
                <w:sz w:val="20"/>
                <w:szCs w:val="20"/>
                <w:color w:val="auto"/>
              </w:rPr>
            </w:pPr>
            <w:r>
              <w:rPr>
                <w:rFonts w:ascii="Arial" w:cs="Arial" w:eastAsia="Arial" w:hAnsi="Arial"/>
                <w:sz w:val="14"/>
                <w:szCs w:val="14"/>
                <w:b w:val="1"/>
                <w:bCs w:val="1"/>
                <w:color w:val="auto"/>
              </w:rPr>
              <w:t>$</w:t>
            </w:r>
          </w:p>
        </w:tc>
        <w:tc>
          <w:tcPr>
            <w:tcW w:w="520" w:type="dxa"/>
            <w:vAlign w:val="bottom"/>
          </w:tcPr>
          <w:p>
            <w:pPr>
              <w:jc w:val="right"/>
              <w:spacing w:after="0"/>
              <w:rPr>
                <w:sz w:val="20"/>
                <w:szCs w:val="20"/>
                <w:color w:val="auto"/>
              </w:rPr>
            </w:pPr>
            <w:r>
              <w:rPr>
                <w:rFonts w:ascii="Arial" w:cs="Arial" w:eastAsia="Arial" w:hAnsi="Arial"/>
                <w:sz w:val="14"/>
                <w:szCs w:val="14"/>
                <w:b w:val="1"/>
                <w:bCs w:val="1"/>
                <w:color w:val="auto"/>
              </w:rPr>
              <w:t>9,798.</w:t>
            </w:r>
            <w:r>
              <w:rPr>
                <w:rFonts w:ascii="Arial" w:cs="Arial" w:eastAsia="Arial" w:hAnsi="Arial"/>
                <w:sz w:val="14"/>
                <w:szCs w:val="14"/>
                <w:b w:val="1"/>
                <w:bCs w:val="1"/>
                <w:u w:val="single" w:color="auto"/>
                <w:color w:val="auto"/>
              </w:rPr>
              <w:t>9</w:t>
            </w:r>
          </w:p>
        </w:tc>
        <w:tc>
          <w:tcPr>
            <w:tcW w:w="100" w:type="dxa"/>
            <w:vAlign w:val="bottom"/>
          </w:tcPr>
          <w:p>
            <w:pPr>
              <w:spacing w:after="0"/>
              <w:rPr>
                <w:sz w:val="14"/>
                <w:szCs w:val="14"/>
                <w:color w:val="auto"/>
              </w:rPr>
            </w:pPr>
          </w:p>
        </w:tc>
        <w:tc>
          <w:tcPr>
            <w:tcW w:w="680" w:type="dxa"/>
            <w:vAlign w:val="bottom"/>
            <w:gridSpan w:val="2"/>
          </w:tcPr>
          <w:p>
            <w:pPr>
              <w:jc w:val="right"/>
              <w:spacing w:after="0"/>
              <w:rPr>
                <w:sz w:val="20"/>
                <w:szCs w:val="20"/>
                <w:color w:val="auto"/>
              </w:rPr>
            </w:pPr>
            <w:r>
              <w:rPr>
                <w:rFonts w:ascii="Arial" w:cs="Arial" w:eastAsia="Arial" w:hAnsi="Arial"/>
                <w:sz w:val="14"/>
                <w:szCs w:val="14"/>
                <w:b w:val="1"/>
                <w:bCs w:val="1"/>
                <w:color w:val="auto"/>
              </w:rPr>
              <w:t>$  5,405.4</w:t>
            </w:r>
          </w:p>
        </w:tc>
        <w:tc>
          <w:tcPr>
            <w:tcW w:w="100" w:type="dxa"/>
            <w:vAlign w:val="bottom"/>
          </w:tcPr>
          <w:p>
            <w:pPr>
              <w:spacing w:after="0"/>
              <w:rPr>
                <w:sz w:val="14"/>
                <w:szCs w:val="14"/>
                <w:color w:val="auto"/>
              </w:rPr>
            </w:pPr>
          </w:p>
        </w:tc>
        <w:tc>
          <w:tcPr>
            <w:tcW w:w="38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rPr>
              <w:t>$</w:t>
            </w:r>
          </w:p>
        </w:tc>
        <w:tc>
          <w:tcPr>
            <w:tcW w:w="620" w:type="dxa"/>
            <w:vAlign w:val="bottom"/>
          </w:tcPr>
          <w:p>
            <w:pPr>
              <w:jc w:val="right"/>
              <w:spacing w:after="0"/>
              <w:rPr>
                <w:sz w:val="20"/>
                <w:szCs w:val="20"/>
                <w:color w:val="auto"/>
              </w:rPr>
            </w:pPr>
            <w:r>
              <w:rPr>
                <w:rFonts w:ascii="Arial" w:cs="Arial" w:eastAsia="Arial" w:hAnsi="Arial"/>
                <w:sz w:val="14"/>
                <w:szCs w:val="14"/>
                <w:b w:val="1"/>
                <w:bCs w:val="1"/>
                <w:color w:val="auto"/>
              </w:rPr>
              <w:t>183.2</w:t>
            </w:r>
          </w:p>
        </w:tc>
        <w:tc>
          <w:tcPr>
            <w:tcW w:w="100" w:type="dxa"/>
            <w:vAlign w:val="bottom"/>
          </w:tcPr>
          <w:p>
            <w:pPr>
              <w:spacing w:after="0"/>
              <w:rPr>
                <w:sz w:val="14"/>
                <w:szCs w:val="14"/>
                <w:color w:val="auto"/>
              </w:rPr>
            </w:pPr>
          </w:p>
        </w:tc>
        <w:tc>
          <w:tcPr>
            <w:tcW w:w="1220" w:type="dxa"/>
            <w:vAlign w:val="bottom"/>
            <w:gridSpan w:val="4"/>
          </w:tcPr>
          <w:p>
            <w:pPr>
              <w:jc w:val="right"/>
              <w:ind w:right="300"/>
              <w:spacing w:after="0"/>
              <w:rPr>
                <w:sz w:val="20"/>
                <w:szCs w:val="20"/>
                <w:color w:val="auto"/>
              </w:rPr>
            </w:pPr>
            <w:r>
              <w:rPr>
                <w:rFonts w:ascii="Arial" w:cs="Arial" w:eastAsia="Arial" w:hAnsi="Arial"/>
                <w:sz w:val="14"/>
                <w:szCs w:val="14"/>
                <w:b w:val="1"/>
                <w:bCs w:val="1"/>
                <w:color w:val="auto"/>
              </w:rPr>
              <w:t>$  (5,708.0)  $</w:t>
            </w:r>
          </w:p>
        </w:tc>
        <w:tc>
          <w:tcPr>
            <w:tcW w:w="600" w:type="dxa"/>
            <w:vAlign w:val="bottom"/>
          </w:tcPr>
          <w:p>
            <w:pPr>
              <w:jc w:val="right"/>
              <w:spacing w:after="0"/>
              <w:rPr>
                <w:sz w:val="20"/>
                <w:szCs w:val="20"/>
                <w:color w:val="auto"/>
              </w:rPr>
            </w:pPr>
            <w:r>
              <w:rPr>
                <w:rFonts w:ascii="Arial" w:cs="Arial" w:eastAsia="Arial" w:hAnsi="Arial"/>
                <w:sz w:val="14"/>
                <w:szCs w:val="14"/>
                <w:b w:val="1"/>
                <w:bCs w:val="1"/>
                <w:color w:val="auto"/>
              </w:rPr>
              <w:t>92.8</w:t>
            </w:r>
          </w:p>
        </w:tc>
        <w:tc>
          <w:tcPr>
            <w:tcW w:w="100" w:type="dxa"/>
            <w:vAlign w:val="bottom"/>
          </w:tcPr>
          <w:p>
            <w:pPr>
              <w:spacing w:after="0"/>
              <w:rPr>
                <w:sz w:val="14"/>
                <w:szCs w:val="14"/>
                <w:color w:val="auto"/>
              </w:rPr>
            </w:pPr>
          </w:p>
        </w:tc>
        <w:tc>
          <w:tcPr>
            <w:tcW w:w="32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rPr>
              <w:t>$</w:t>
            </w:r>
          </w:p>
        </w:tc>
        <w:tc>
          <w:tcPr>
            <w:tcW w:w="620" w:type="dxa"/>
            <w:vAlign w:val="bottom"/>
          </w:tcPr>
          <w:p>
            <w:pPr>
              <w:jc w:val="right"/>
              <w:spacing w:after="0"/>
              <w:rPr>
                <w:sz w:val="20"/>
                <w:szCs w:val="20"/>
                <w:color w:val="auto"/>
              </w:rPr>
            </w:pPr>
            <w:r>
              <w:rPr>
                <w:rFonts w:ascii="Arial" w:cs="Arial" w:eastAsia="Arial" w:hAnsi="Arial"/>
                <w:sz w:val="14"/>
                <w:szCs w:val="14"/>
                <w:b w:val="1"/>
                <w:bCs w:val="1"/>
                <w:color w:val="auto"/>
              </w:rPr>
              <w:t>9,777.0</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400"/>
          </w:cols>
          <w:pgMar w:left="240" w:top="116" w:right="1259" w:bottom="1440" w:gutter="0" w:footer="0" w:header="0"/>
        </w:sectPr>
      </w:pPr>
    </w:p>
    <w:bookmarkStart w:id="93" w:name="page94"/>
    <w:bookmarkEnd w:id="9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ind w:left="4240"/>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27"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2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920" w:type="dxa"/>
            <w:vAlign w:val="bottom"/>
            <w:gridSpan w:val="8"/>
          </w:tcPr>
          <w:p>
            <w:pPr>
              <w:jc w:val="right"/>
              <w:ind w:right="660"/>
              <w:spacing w:after="0"/>
              <w:rPr>
                <w:sz w:val="20"/>
                <w:szCs w:val="20"/>
                <w:color w:val="auto"/>
              </w:rPr>
            </w:pPr>
            <w:r>
              <w:rPr>
                <w:rFonts w:ascii="Arial" w:cs="Arial" w:eastAsia="Arial" w:hAnsi="Arial"/>
                <w:sz w:val="14"/>
                <w:szCs w:val="14"/>
                <w:b w:val="1"/>
                <w:bCs w:val="1"/>
                <w:color w:val="auto"/>
              </w:rPr>
              <w:t>For the year ended December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2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132"/>
              <w:spacing w:after="0" w:line="142" w:lineRule="exact"/>
              <w:rPr>
                <w:sz w:val="20"/>
                <w:szCs w:val="20"/>
                <w:color w:val="auto"/>
              </w:rPr>
            </w:pPr>
            <w:r>
              <w:rPr>
                <w:rFonts w:ascii="Arial" w:cs="Arial" w:eastAsia="Arial" w:hAnsi="Arial"/>
                <w:sz w:val="14"/>
                <w:szCs w:val="14"/>
                <w:b w:val="1"/>
                <w:bCs w:val="1"/>
                <w:color w:val="auto"/>
              </w:rPr>
              <w:t>2013</w:t>
            </w:r>
          </w:p>
        </w:tc>
        <w:tc>
          <w:tcPr>
            <w:tcW w:w="10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880" w:type="dxa"/>
            <w:vAlign w:val="bottom"/>
            <w:tcBorders>
              <w:top w:val="single" w:sz="8" w:color="auto"/>
              <w:bottom w:val="single" w:sz="8" w:color="auto"/>
            </w:tcBorders>
          </w:tcPr>
          <w:p>
            <w:pPr>
              <w:jc w:val="right"/>
              <w:ind w:right="272"/>
              <w:spacing w:after="0" w:line="142" w:lineRule="exact"/>
              <w:rPr>
                <w:sz w:val="20"/>
                <w:szCs w:val="20"/>
                <w:color w:val="auto"/>
              </w:rPr>
            </w:pPr>
            <w:r>
              <w:rPr>
                <w:rFonts w:ascii="Arial" w:cs="Arial" w:eastAsia="Arial" w:hAnsi="Arial"/>
                <w:sz w:val="14"/>
                <w:szCs w:val="14"/>
                <w:b w:val="1"/>
                <w:bCs w:val="1"/>
                <w:color w:val="auto"/>
              </w:rPr>
              <w:t>2012</w:t>
            </w:r>
          </w:p>
        </w:tc>
        <w:tc>
          <w:tcPr>
            <w:tcW w:w="10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880" w:type="dxa"/>
            <w:vAlign w:val="bottom"/>
            <w:tcBorders>
              <w:top w:val="single" w:sz="8" w:color="auto"/>
              <w:bottom w:val="single" w:sz="8" w:color="auto"/>
            </w:tcBorders>
          </w:tcPr>
          <w:p>
            <w:pPr>
              <w:jc w:val="right"/>
              <w:ind w:right="272"/>
              <w:spacing w:after="0" w:line="142" w:lineRule="exact"/>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5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80" w:type="dxa"/>
            <w:vAlign w:val="bottom"/>
          </w:tcPr>
          <w:p>
            <w:pPr>
              <w:jc w:val="right"/>
              <w:ind w:right="32"/>
              <w:spacing w:after="0" w:line="131" w:lineRule="exact"/>
              <w:rPr>
                <w:sz w:val="20"/>
                <w:szCs w:val="20"/>
                <w:color w:val="auto"/>
              </w:rPr>
            </w:pPr>
            <w:r>
              <w:rPr>
                <w:rFonts w:ascii="Arial" w:cs="Arial" w:eastAsia="Arial" w:hAnsi="Arial"/>
                <w:sz w:val="14"/>
                <w:szCs w:val="14"/>
                <w:b w:val="1"/>
                <w:bCs w:val="1"/>
                <w:color w:val="auto"/>
                <w:w w:val="85"/>
              </w:rPr>
              <w:t>(As adjusted)</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tcPr>
          <w:p>
            <w:pPr>
              <w:jc w:val="right"/>
              <w:ind w:right="32"/>
              <w:spacing w:after="0" w:line="131" w:lineRule="exact"/>
              <w:rPr>
                <w:sz w:val="20"/>
                <w:szCs w:val="20"/>
                <w:color w:val="auto"/>
              </w:rPr>
            </w:pPr>
            <w:r>
              <w:rPr>
                <w:rFonts w:ascii="Arial" w:cs="Arial" w:eastAsia="Arial" w:hAnsi="Arial"/>
                <w:sz w:val="14"/>
                <w:szCs w:val="14"/>
                <w:b w:val="1"/>
                <w:bCs w:val="1"/>
                <w:color w:val="auto"/>
                <w:w w:val="85"/>
              </w:rPr>
              <w:t>(As adjusted)</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52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gridSpan w:val="2"/>
          </w:tcPr>
          <w:p>
            <w:pPr>
              <w:jc w:val="right"/>
              <w:ind w:right="100"/>
              <w:spacing w:after="0" w:line="159" w:lineRule="exact"/>
              <w:rPr>
                <w:sz w:val="20"/>
                <w:szCs w:val="20"/>
                <w:color w:val="auto"/>
              </w:rPr>
            </w:pPr>
            <w:r>
              <w:rPr>
                <w:rFonts w:ascii="Arial" w:cs="Arial" w:eastAsia="Arial" w:hAnsi="Arial"/>
                <w:sz w:val="14"/>
                <w:szCs w:val="14"/>
                <w:b w:val="1"/>
                <w:bCs w:val="1"/>
                <w:i w:val="1"/>
                <w:iCs w:val="1"/>
                <w:color w:val="auto"/>
              </w:rPr>
              <w:t>(in millions)</w:t>
            </w: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Operating activities</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spacing w:after="0" w:line="149" w:lineRule="exact"/>
              <w:rPr>
                <w:sz w:val="20"/>
                <w:szCs w:val="20"/>
                <w:color w:val="auto"/>
              </w:rPr>
            </w:pPr>
            <w:r>
              <w:rPr>
                <w:rFonts w:ascii="Arial" w:cs="Arial" w:eastAsia="Arial" w:hAnsi="Arial"/>
                <w:sz w:val="14"/>
                <w:szCs w:val="14"/>
                <w:color w:val="auto"/>
              </w:rPr>
              <w:t>Net income</w:t>
            </w:r>
          </w:p>
        </w:tc>
        <w:tc>
          <w:tcPr>
            <w:tcW w:w="98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936.1</w:t>
            </w:r>
          </w:p>
        </w:tc>
        <w:tc>
          <w:tcPr>
            <w:tcW w:w="100" w:type="dxa"/>
            <w:vAlign w:val="bottom"/>
          </w:tcPr>
          <w:p>
            <w:pPr>
              <w:spacing w:after="0"/>
              <w:rPr>
                <w:sz w:val="12"/>
                <w:szCs w:val="12"/>
                <w:color w:val="auto"/>
              </w:rPr>
            </w:pPr>
          </w:p>
        </w:tc>
        <w:tc>
          <w:tcPr>
            <w:tcW w:w="1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825.4</w:t>
            </w:r>
          </w:p>
        </w:tc>
        <w:tc>
          <w:tcPr>
            <w:tcW w:w="100" w:type="dxa"/>
            <w:vAlign w:val="bottom"/>
          </w:tcPr>
          <w:p>
            <w:pPr>
              <w:spacing w:after="0"/>
              <w:rPr>
                <w:sz w:val="12"/>
                <w:szCs w:val="12"/>
                <w:color w:val="auto"/>
              </w:rPr>
            </w:pPr>
          </w:p>
        </w:tc>
        <w:tc>
          <w:tcPr>
            <w:tcW w:w="1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674.5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Adjustments to reconcile net income to net cash provided by operating activities:</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ind w:left="140"/>
              <w:spacing w:after="0" w:line="149" w:lineRule="exact"/>
              <w:rPr>
                <w:sz w:val="20"/>
                <w:szCs w:val="20"/>
                <w:color w:val="auto"/>
              </w:rPr>
            </w:pPr>
            <w:r>
              <w:rPr>
                <w:rFonts w:ascii="Arial" w:cs="Arial" w:eastAsia="Arial" w:hAnsi="Arial"/>
                <w:sz w:val="14"/>
                <w:szCs w:val="14"/>
                <w:color w:val="auto"/>
              </w:rPr>
              <w:t>Amortization of deferred acquisition costs</w:t>
            </w: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187.1</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94.9</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271.4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Additions to deferred acquisition costs</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(447.0)</w:t>
            </w:r>
          </w:p>
        </w:tc>
        <w:tc>
          <w:tcPr>
            <w:tcW w:w="140" w:type="dxa"/>
            <w:vAlign w:val="bottom"/>
            <w:tcBorders>
              <w:right w:val="single" w:sz="8" w:color="CCEEFF"/>
            </w:tcBorders>
            <w:shd w:val="clear" w:color="auto" w:fill="CCEEFF"/>
          </w:tcPr>
          <w:p>
            <w:pPr>
              <w:spacing w:after="0"/>
              <w:rPr>
                <w:sz w:val="12"/>
                <w:szCs w:val="12"/>
                <w:color w:val="auto"/>
              </w:rPr>
            </w:pP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(428.9)</w:t>
            </w:r>
          </w:p>
        </w:tc>
        <w:tc>
          <w:tcPr>
            <w:tcW w:w="120" w:type="dxa"/>
            <w:vAlign w:val="bottom"/>
            <w:tcBorders>
              <w:right w:val="single" w:sz="8" w:color="CCEEFF"/>
            </w:tcBorders>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(344.4)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ind w:left="140"/>
              <w:spacing w:after="0" w:line="149" w:lineRule="exact"/>
              <w:rPr>
                <w:sz w:val="20"/>
                <w:szCs w:val="20"/>
                <w:color w:val="auto"/>
              </w:rPr>
            </w:pPr>
            <w:r>
              <w:rPr>
                <w:rFonts w:ascii="Arial" w:cs="Arial" w:eastAsia="Arial" w:hAnsi="Arial"/>
                <w:sz w:val="14"/>
                <w:szCs w:val="14"/>
                <w:color w:val="auto"/>
              </w:rPr>
              <w:t>Accrued investment income</w:t>
            </w: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52.3</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30.8</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50.9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Net cash flows for trading securities</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(76.0)</w:t>
            </w:r>
          </w:p>
        </w:tc>
        <w:tc>
          <w:tcPr>
            <w:tcW w:w="140" w:type="dxa"/>
            <w:vAlign w:val="bottom"/>
            <w:tcBorders>
              <w:right w:val="single" w:sz="8" w:color="CCEEFF"/>
            </w:tcBorders>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335.8</w:t>
            </w: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110.8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ind w:left="140"/>
              <w:spacing w:after="0" w:line="149" w:lineRule="exact"/>
              <w:rPr>
                <w:sz w:val="20"/>
                <w:szCs w:val="20"/>
                <w:color w:val="auto"/>
              </w:rPr>
            </w:pPr>
            <w:r>
              <w:rPr>
                <w:rFonts w:ascii="Arial" w:cs="Arial" w:eastAsia="Arial" w:hAnsi="Arial"/>
                <w:sz w:val="14"/>
                <w:szCs w:val="14"/>
                <w:color w:val="auto"/>
              </w:rPr>
              <w:t>Premiums due and other receivables</w:t>
            </w: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(131.9)</w:t>
            </w:r>
          </w:p>
        </w:tc>
        <w:tc>
          <w:tcPr>
            <w:tcW w:w="14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70.6</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(130.2)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Contractholder and policyholder liabilities and dividends</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1,614.7</w:t>
            </w: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2,054.7</w:t>
            </w: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1,017.7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ind w:left="140"/>
              <w:spacing w:after="0" w:line="149" w:lineRule="exact"/>
              <w:rPr>
                <w:sz w:val="20"/>
                <w:szCs w:val="20"/>
                <w:color w:val="auto"/>
              </w:rPr>
            </w:pPr>
            <w:r>
              <w:rPr>
                <w:rFonts w:ascii="Arial" w:cs="Arial" w:eastAsia="Arial" w:hAnsi="Arial"/>
                <w:sz w:val="14"/>
                <w:szCs w:val="14"/>
                <w:color w:val="auto"/>
              </w:rPr>
              <w:t>Current and deferred income taxes</w:t>
            </w: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211.7</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18.4</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17.8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Net realized capital (gains) losses</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225.2</w:t>
            </w: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(114.1)</w:t>
            </w:r>
          </w:p>
        </w:tc>
        <w:tc>
          <w:tcPr>
            <w:tcW w:w="120" w:type="dxa"/>
            <w:vAlign w:val="bottom"/>
            <w:tcBorders>
              <w:right w:val="single" w:sz="8" w:color="CCEEFF"/>
            </w:tcBorders>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122.3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ind w:left="140"/>
              <w:spacing w:after="0" w:line="149" w:lineRule="exact"/>
              <w:rPr>
                <w:sz w:val="20"/>
                <w:szCs w:val="20"/>
                <w:color w:val="auto"/>
              </w:rPr>
            </w:pPr>
            <w:r>
              <w:rPr>
                <w:rFonts w:ascii="Arial" w:cs="Arial" w:eastAsia="Arial" w:hAnsi="Arial"/>
                <w:sz w:val="14"/>
                <w:szCs w:val="14"/>
                <w:color w:val="auto"/>
              </w:rPr>
              <w:t>Depreciation and amortization expense</w:t>
            </w: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153.9</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132.1</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119.9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Mortgage loans held for sale, acquired or originated</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tcBorders>
              <w:right w:val="single" w:sz="8" w:color="CCEEFF"/>
            </w:tcBorders>
            <w:shd w:val="clear" w:color="auto" w:fill="CCEEFF"/>
          </w:tcPr>
          <w:p>
            <w:pPr>
              <w:spacing w:after="0"/>
              <w:rPr>
                <w:sz w:val="12"/>
                <w:szCs w:val="12"/>
                <w:color w:val="auto"/>
              </w:rPr>
            </w:pP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(48.0)</w:t>
            </w:r>
          </w:p>
        </w:tc>
        <w:tc>
          <w:tcPr>
            <w:tcW w:w="120" w:type="dxa"/>
            <w:vAlign w:val="bottom"/>
            <w:tcBorders>
              <w:right w:val="single" w:sz="8" w:color="CCEEFF"/>
            </w:tcBorders>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(132.3)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ind w:left="140"/>
              <w:spacing w:after="0" w:line="149" w:lineRule="exact"/>
              <w:rPr>
                <w:sz w:val="20"/>
                <w:szCs w:val="20"/>
                <w:color w:val="auto"/>
              </w:rPr>
            </w:pPr>
            <w:r>
              <w:rPr>
                <w:rFonts w:ascii="Arial" w:cs="Arial" w:eastAsia="Arial" w:hAnsi="Arial"/>
                <w:sz w:val="14"/>
                <w:szCs w:val="14"/>
                <w:color w:val="auto"/>
              </w:rPr>
              <w:t>Mortgage loans held for sale, sold or repaid, net of gain</w:t>
            </w: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0.2</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90.0</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82.0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Real estate acquired through operating activities</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(107.2)</w:t>
            </w:r>
          </w:p>
        </w:tc>
        <w:tc>
          <w:tcPr>
            <w:tcW w:w="140" w:type="dxa"/>
            <w:vAlign w:val="bottom"/>
            <w:tcBorders>
              <w:right w:val="single" w:sz="8" w:color="CCEEFF"/>
            </w:tcBorders>
            <w:shd w:val="clear" w:color="auto" w:fill="CCEEFF"/>
          </w:tcPr>
          <w:p>
            <w:pPr>
              <w:spacing w:after="0"/>
              <w:rPr>
                <w:sz w:val="12"/>
                <w:szCs w:val="12"/>
                <w:color w:val="auto"/>
              </w:rPr>
            </w:pP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(46.4)</w:t>
            </w:r>
          </w:p>
        </w:tc>
        <w:tc>
          <w:tcPr>
            <w:tcW w:w="120" w:type="dxa"/>
            <w:vAlign w:val="bottom"/>
            <w:tcBorders>
              <w:right w:val="single" w:sz="8" w:color="CCEEFF"/>
            </w:tcBorders>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(37.4)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ind w:left="140"/>
              <w:spacing w:after="0" w:line="149" w:lineRule="exact"/>
              <w:rPr>
                <w:sz w:val="20"/>
                <w:szCs w:val="20"/>
                <w:color w:val="auto"/>
              </w:rPr>
            </w:pPr>
            <w:r>
              <w:rPr>
                <w:rFonts w:ascii="Arial" w:cs="Arial" w:eastAsia="Arial" w:hAnsi="Arial"/>
                <w:sz w:val="14"/>
                <w:szCs w:val="14"/>
                <w:color w:val="auto"/>
              </w:rPr>
              <w:t>Real estate sold through operating activities</w:t>
            </w: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24.2</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43.9</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141.8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Stock-based compensation</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68.5</w:t>
            </w: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63.8</w:t>
            </w: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ind w:left="140"/>
              <w:spacing w:after="0" w:line="149" w:lineRule="exact"/>
              <w:rPr>
                <w:sz w:val="20"/>
                <w:szCs w:val="20"/>
                <w:color w:val="auto"/>
              </w:rPr>
            </w:pPr>
            <w:r>
              <w:rPr>
                <w:rFonts w:ascii="Arial" w:cs="Arial" w:eastAsia="Arial" w:hAnsi="Arial"/>
                <w:sz w:val="14"/>
                <w:szCs w:val="14"/>
                <w:color w:val="auto"/>
              </w:rPr>
              <w:t>Other</w:t>
            </w: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(490.6)</w:t>
            </w:r>
          </w:p>
        </w:tc>
        <w:tc>
          <w:tcPr>
            <w:tcW w:w="140" w:type="dxa"/>
            <w:vAlign w:val="bottom"/>
          </w:tcPr>
          <w:p>
            <w:pPr>
              <w:spacing w:after="0"/>
              <w:rPr>
                <w:sz w:val="12"/>
                <w:szCs w:val="12"/>
                <w:color w:val="auto"/>
              </w:rPr>
            </w:pPr>
          </w:p>
        </w:tc>
        <w:tc>
          <w:tcPr>
            <w:tcW w:w="9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(42.2)</w:t>
            </w:r>
          </w:p>
        </w:tc>
        <w:tc>
          <w:tcPr>
            <w:tcW w:w="12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705.1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2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adjustments</w:t>
            </w:r>
          </w:p>
        </w:tc>
        <w:tc>
          <w:tcPr>
            <w:tcW w:w="860" w:type="dxa"/>
            <w:vAlign w:val="bottom"/>
            <w:shd w:val="clear" w:color="auto" w:fill="CCEEFF"/>
          </w:tcPr>
          <w:p>
            <w:pPr>
              <w:spacing w:after="0"/>
              <w:rPr>
                <w:sz w:val="12"/>
                <w:szCs w:val="12"/>
                <w:color w:val="auto"/>
              </w:rPr>
            </w:pPr>
          </w:p>
        </w:tc>
        <w:tc>
          <w:tcPr>
            <w:tcW w:w="120" w:type="dxa"/>
            <w:vAlign w:val="bottom"/>
            <w:tcBorders>
              <w:top w:val="single" w:sz="8" w:color="auto"/>
              <w:bottom w:val="single" w:sz="8" w:color="auto"/>
            </w:tcBorders>
            <w:shd w:val="clear" w:color="auto" w:fill="CCEEFF"/>
          </w:tcPr>
          <w:p>
            <w:pPr>
              <w:spacing w:after="0"/>
              <w:rPr>
                <w:sz w:val="12"/>
                <w:szCs w:val="12"/>
                <w:color w:val="auto"/>
              </w:rPr>
            </w:pPr>
          </w:p>
        </w:tc>
        <w:tc>
          <w:tcPr>
            <w:tcW w:w="54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1,285.1</w:t>
            </w: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88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2,255.4</w:t>
            </w: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88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2,038.8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240" w:type="dxa"/>
            <w:vAlign w:val="bottom"/>
            <w:gridSpan w:val="2"/>
          </w:tcPr>
          <w:p>
            <w:pPr>
              <w:spacing w:after="0" w:line="142" w:lineRule="exact"/>
              <w:rPr>
                <w:sz w:val="20"/>
                <w:szCs w:val="20"/>
                <w:color w:val="auto"/>
              </w:rPr>
            </w:pPr>
            <w:r>
              <w:rPr>
                <w:rFonts w:ascii="Arial" w:cs="Arial" w:eastAsia="Arial" w:hAnsi="Arial"/>
                <w:sz w:val="14"/>
                <w:szCs w:val="14"/>
                <w:color w:val="auto"/>
              </w:rPr>
              <w:t>Net cash provided by operating activities</w:t>
            </w: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2,221.2</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jc w:val="right"/>
              <w:spacing w:after="0" w:line="142" w:lineRule="exact"/>
              <w:rPr>
                <w:sz w:val="20"/>
                <w:szCs w:val="20"/>
                <w:color w:val="auto"/>
              </w:rPr>
            </w:pPr>
            <w:r>
              <w:rPr>
                <w:rFonts w:ascii="Arial" w:cs="Arial" w:eastAsia="Arial" w:hAnsi="Arial"/>
                <w:sz w:val="14"/>
                <w:szCs w:val="14"/>
                <w:color w:val="auto"/>
              </w:rPr>
              <w:t>3,080.8</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jc w:val="right"/>
              <w:spacing w:after="0" w:line="142" w:lineRule="exact"/>
              <w:rPr>
                <w:sz w:val="20"/>
                <w:szCs w:val="20"/>
                <w:color w:val="auto"/>
              </w:rPr>
            </w:pPr>
            <w:r>
              <w:rPr>
                <w:rFonts w:ascii="Arial" w:cs="Arial" w:eastAsia="Arial" w:hAnsi="Arial"/>
                <w:sz w:val="14"/>
                <w:szCs w:val="14"/>
                <w:color w:val="auto"/>
              </w:rPr>
              <w:t>2,713.3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Investing activities</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spacing w:after="0" w:line="149" w:lineRule="exact"/>
              <w:rPr>
                <w:sz w:val="20"/>
                <w:szCs w:val="20"/>
                <w:color w:val="auto"/>
              </w:rPr>
            </w:pPr>
            <w:r>
              <w:rPr>
                <w:rFonts w:ascii="Arial" w:cs="Arial" w:eastAsia="Arial" w:hAnsi="Arial"/>
                <w:sz w:val="14"/>
                <w:szCs w:val="14"/>
                <w:color w:val="auto"/>
              </w:rPr>
              <w:t>Available-for-sale securities:</w:t>
            </w: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Purchases</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w w:val="99"/>
              </w:rPr>
              <w:t>(9,025.2)</w:t>
            </w:r>
          </w:p>
        </w:tc>
        <w:tc>
          <w:tcPr>
            <w:tcW w:w="140" w:type="dxa"/>
            <w:vAlign w:val="bottom"/>
            <w:tcBorders>
              <w:right w:val="single" w:sz="8" w:color="CCEEFF"/>
            </w:tcBorders>
            <w:shd w:val="clear" w:color="auto" w:fill="CCEEFF"/>
          </w:tcPr>
          <w:p>
            <w:pPr>
              <w:spacing w:after="0"/>
              <w:rPr>
                <w:sz w:val="12"/>
                <w:szCs w:val="12"/>
                <w:color w:val="auto"/>
              </w:rPr>
            </w:pP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(8,263.9)</w:t>
            </w:r>
          </w:p>
        </w:tc>
        <w:tc>
          <w:tcPr>
            <w:tcW w:w="120" w:type="dxa"/>
            <w:vAlign w:val="bottom"/>
            <w:tcBorders>
              <w:right w:val="single" w:sz="8" w:color="CCEEFF"/>
            </w:tcBorders>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(6,742.4)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ind w:left="140"/>
              <w:spacing w:after="0" w:line="149" w:lineRule="exact"/>
              <w:rPr>
                <w:sz w:val="20"/>
                <w:szCs w:val="20"/>
                <w:color w:val="auto"/>
              </w:rPr>
            </w:pPr>
            <w:r>
              <w:rPr>
                <w:rFonts w:ascii="Arial" w:cs="Arial" w:eastAsia="Arial" w:hAnsi="Arial"/>
                <w:sz w:val="14"/>
                <w:szCs w:val="14"/>
                <w:color w:val="auto"/>
              </w:rPr>
              <w:t>Sales</w:t>
            </w: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1,919.1</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1,303.7</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980.7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Maturities</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7,359.2</w:t>
            </w: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6,647.5</w:t>
            </w: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5,760.8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spacing w:after="0" w:line="149" w:lineRule="exact"/>
              <w:rPr>
                <w:sz w:val="20"/>
                <w:szCs w:val="20"/>
                <w:color w:val="auto"/>
              </w:rPr>
            </w:pPr>
            <w:r>
              <w:rPr>
                <w:rFonts w:ascii="Arial" w:cs="Arial" w:eastAsia="Arial" w:hAnsi="Arial"/>
                <w:sz w:val="14"/>
                <w:szCs w:val="14"/>
                <w:color w:val="auto"/>
              </w:rPr>
              <w:t>Mortgage loans acquired or originated</w:t>
            </w: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w w:val="99"/>
              </w:rPr>
              <w:t>(2,192.9)</w:t>
            </w:r>
          </w:p>
        </w:tc>
        <w:tc>
          <w:tcPr>
            <w:tcW w:w="140" w:type="dxa"/>
            <w:vAlign w:val="bottom"/>
          </w:tcPr>
          <w:p>
            <w:pPr>
              <w:spacing w:after="0"/>
              <w:rPr>
                <w:sz w:val="12"/>
                <w:szCs w:val="12"/>
                <w:color w:val="auto"/>
              </w:rPr>
            </w:pPr>
          </w:p>
        </w:tc>
        <w:tc>
          <w:tcPr>
            <w:tcW w:w="9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(2,538.4)</w:t>
            </w:r>
          </w:p>
        </w:tc>
        <w:tc>
          <w:tcPr>
            <w:tcW w:w="120" w:type="dxa"/>
            <w:vAlign w:val="bottom"/>
          </w:tcPr>
          <w:p>
            <w:pPr>
              <w:spacing w:after="0"/>
              <w:rPr>
                <w:sz w:val="12"/>
                <w:szCs w:val="12"/>
                <w:color w:val="auto"/>
              </w:rPr>
            </w:pP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(1,484.9)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Mortgage loans sold or repaid</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2,095.1</w:t>
            </w: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1,668.0</w:t>
            </w: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1,793.1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spacing w:after="0" w:line="149" w:lineRule="exact"/>
              <w:rPr>
                <w:sz w:val="20"/>
                <w:szCs w:val="20"/>
                <w:color w:val="auto"/>
              </w:rPr>
            </w:pPr>
            <w:r>
              <w:rPr>
                <w:rFonts w:ascii="Arial" w:cs="Arial" w:eastAsia="Arial" w:hAnsi="Arial"/>
                <w:sz w:val="14"/>
                <w:szCs w:val="14"/>
                <w:color w:val="auto"/>
              </w:rPr>
              <w:t>Real estate acquired</w:t>
            </w: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(85.6)</w:t>
            </w:r>
          </w:p>
        </w:tc>
        <w:tc>
          <w:tcPr>
            <w:tcW w:w="140" w:type="dxa"/>
            <w:vAlign w:val="bottom"/>
          </w:tcPr>
          <w:p>
            <w:pPr>
              <w:spacing w:after="0"/>
              <w:rPr>
                <w:sz w:val="12"/>
                <w:szCs w:val="12"/>
                <w:color w:val="auto"/>
              </w:rPr>
            </w:pPr>
          </w:p>
        </w:tc>
        <w:tc>
          <w:tcPr>
            <w:tcW w:w="9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(151.8)</w:t>
            </w:r>
          </w:p>
        </w:tc>
        <w:tc>
          <w:tcPr>
            <w:tcW w:w="120" w:type="dxa"/>
            <w:vAlign w:val="bottom"/>
          </w:tcPr>
          <w:p>
            <w:pPr>
              <w:spacing w:after="0"/>
              <w:rPr>
                <w:sz w:val="12"/>
                <w:szCs w:val="12"/>
                <w:color w:val="auto"/>
              </w:rPr>
            </w:pP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(129.9)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purchases of property and equipment</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(59.4)</w:t>
            </w:r>
          </w:p>
        </w:tc>
        <w:tc>
          <w:tcPr>
            <w:tcW w:w="140" w:type="dxa"/>
            <w:vAlign w:val="bottom"/>
            <w:tcBorders>
              <w:right w:val="single" w:sz="8" w:color="CCEEFF"/>
            </w:tcBorders>
            <w:shd w:val="clear" w:color="auto" w:fill="CCEEFF"/>
          </w:tcPr>
          <w:p>
            <w:pPr>
              <w:spacing w:after="0"/>
              <w:rPr>
                <w:sz w:val="12"/>
                <w:szCs w:val="12"/>
                <w:color w:val="auto"/>
              </w:rPr>
            </w:pP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(38.9)</w:t>
            </w:r>
          </w:p>
        </w:tc>
        <w:tc>
          <w:tcPr>
            <w:tcW w:w="120" w:type="dxa"/>
            <w:vAlign w:val="bottom"/>
            <w:tcBorders>
              <w:right w:val="single" w:sz="8" w:color="CCEEFF"/>
            </w:tcBorders>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(56.9)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spacing w:after="0" w:line="149" w:lineRule="exact"/>
              <w:rPr>
                <w:sz w:val="20"/>
                <w:szCs w:val="20"/>
                <w:color w:val="auto"/>
              </w:rPr>
            </w:pPr>
            <w:r>
              <w:rPr>
                <w:rFonts w:ascii="Arial" w:cs="Arial" w:eastAsia="Arial" w:hAnsi="Arial"/>
                <w:sz w:val="14"/>
                <w:szCs w:val="14"/>
                <w:color w:val="auto"/>
              </w:rPr>
              <w:t>Purchase of interests in subsidiaries, net of cash acquired</w:t>
            </w: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w w:val="99"/>
              </w:rPr>
              <w:t>(1,268.3)</w:t>
            </w:r>
          </w:p>
        </w:tc>
        <w:tc>
          <w:tcPr>
            <w:tcW w:w="140" w:type="dxa"/>
            <w:vAlign w:val="bottom"/>
          </w:tcPr>
          <w:p>
            <w:pPr>
              <w:spacing w:after="0"/>
              <w:rPr>
                <w:sz w:val="12"/>
                <w:szCs w:val="12"/>
                <w:color w:val="auto"/>
              </w:rPr>
            </w:pPr>
          </w:p>
        </w:tc>
        <w:tc>
          <w:tcPr>
            <w:tcW w:w="9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(80.4)</w:t>
            </w:r>
          </w:p>
        </w:tc>
        <w:tc>
          <w:tcPr>
            <w:tcW w:w="120" w:type="dxa"/>
            <w:vAlign w:val="bottom"/>
          </w:tcPr>
          <w:p>
            <w:pPr>
              <w:spacing w:after="0"/>
              <w:rPr>
                <w:sz w:val="12"/>
                <w:szCs w:val="12"/>
                <w:color w:val="auto"/>
              </w:rPr>
            </w:pP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(270.5)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change in other investments</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31.7</w:t>
            </w: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(157.1)</w:t>
            </w:r>
          </w:p>
        </w:tc>
        <w:tc>
          <w:tcPr>
            <w:tcW w:w="120" w:type="dxa"/>
            <w:vAlign w:val="bottom"/>
            <w:tcBorders>
              <w:right w:val="single" w:sz="8" w:color="CCEEFF"/>
            </w:tcBorders>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(52.1)</w:t>
            </w:r>
          </w:p>
        </w:tc>
        <w:tc>
          <w:tcPr>
            <w:tcW w:w="0" w:type="dxa"/>
            <w:vAlign w:val="bottom"/>
          </w:tcPr>
          <w:p>
            <w:pPr>
              <w:spacing w:after="0"/>
              <w:rPr>
                <w:sz w:val="1"/>
                <w:szCs w:val="1"/>
                <w:color w:val="auto"/>
              </w:rPr>
            </w:pPr>
          </w:p>
        </w:tc>
      </w:tr>
      <w:tr>
        <w:trPr>
          <w:trHeight w:val="20"/>
        </w:trPr>
        <w:tc>
          <w:tcPr>
            <w:tcW w:w="5240" w:type="dxa"/>
            <w:vAlign w:val="bottom"/>
            <w:gridSpan w:val="2"/>
            <w:vMerge w:val="restart"/>
          </w:tcPr>
          <w:p>
            <w:pPr>
              <w:spacing w:after="0"/>
              <w:rPr>
                <w:sz w:val="20"/>
                <w:szCs w:val="20"/>
                <w:color w:val="auto"/>
              </w:rPr>
            </w:pPr>
            <w:r>
              <w:rPr>
                <w:rFonts w:ascii="Arial" w:cs="Arial" w:eastAsia="Arial" w:hAnsi="Arial"/>
                <w:sz w:val="14"/>
                <w:szCs w:val="14"/>
                <w:color w:val="auto"/>
              </w:rPr>
              <w:t>Net cash used in investing activities</w:t>
            </w:r>
          </w:p>
        </w:tc>
        <w:tc>
          <w:tcPr>
            <w:tcW w:w="8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5240" w:type="dxa"/>
            <w:vAlign w:val="bottom"/>
            <w:gridSpan w:val="2"/>
            <w:vMerge w:val="continue"/>
          </w:tcPr>
          <w:p>
            <w:pPr>
              <w:spacing w:after="0"/>
              <w:rPr>
                <w:sz w:val="12"/>
                <w:szCs w:val="12"/>
                <w:color w:val="auto"/>
              </w:rPr>
            </w:pP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ind w:right="60"/>
              <w:spacing w:after="0" w:line="142" w:lineRule="exact"/>
              <w:rPr>
                <w:sz w:val="20"/>
                <w:szCs w:val="20"/>
                <w:color w:val="auto"/>
              </w:rPr>
            </w:pPr>
            <w:r>
              <w:rPr>
                <w:rFonts w:ascii="Arial" w:cs="Arial" w:eastAsia="Arial" w:hAnsi="Arial"/>
                <w:sz w:val="14"/>
                <w:szCs w:val="14"/>
                <w:b w:val="1"/>
                <w:bCs w:val="1"/>
                <w:color w:val="auto"/>
                <w:w w:val="99"/>
              </w:rPr>
              <w:t>(1,226.3)</w:t>
            </w:r>
          </w:p>
        </w:tc>
        <w:tc>
          <w:tcPr>
            <w:tcW w:w="140" w:type="dxa"/>
            <w:vAlign w:val="bottom"/>
          </w:tcPr>
          <w:p>
            <w:pPr>
              <w:spacing w:after="0"/>
              <w:rPr>
                <w:sz w:val="12"/>
                <w:szCs w:val="12"/>
                <w:color w:val="auto"/>
              </w:rPr>
            </w:pPr>
          </w:p>
        </w:tc>
        <w:tc>
          <w:tcPr>
            <w:tcW w:w="980" w:type="dxa"/>
            <w:vAlign w:val="bottom"/>
            <w:gridSpan w:val="2"/>
          </w:tcPr>
          <w:p>
            <w:pPr>
              <w:jc w:val="right"/>
              <w:ind w:right="60"/>
              <w:spacing w:after="0" w:line="142" w:lineRule="exact"/>
              <w:rPr>
                <w:sz w:val="20"/>
                <w:szCs w:val="20"/>
                <w:color w:val="auto"/>
              </w:rPr>
            </w:pPr>
            <w:r>
              <w:rPr>
                <w:rFonts w:ascii="Arial" w:cs="Arial" w:eastAsia="Arial" w:hAnsi="Arial"/>
                <w:sz w:val="14"/>
                <w:szCs w:val="14"/>
                <w:color w:val="auto"/>
              </w:rPr>
              <w:t>(1,611.3)</w:t>
            </w:r>
          </w:p>
        </w:tc>
        <w:tc>
          <w:tcPr>
            <w:tcW w:w="120" w:type="dxa"/>
            <w:vAlign w:val="bottom"/>
          </w:tcPr>
          <w:p>
            <w:pPr>
              <w:spacing w:after="0"/>
              <w:rPr>
                <w:sz w:val="12"/>
                <w:szCs w:val="12"/>
                <w:color w:val="auto"/>
              </w:rPr>
            </w:pPr>
          </w:p>
        </w:tc>
        <w:tc>
          <w:tcPr>
            <w:tcW w:w="104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(202.1)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Financing activities</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spacing w:after="0" w:line="149" w:lineRule="exact"/>
              <w:rPr>
                <w:sz w:val="20"/>
                <w:szCs w:val="20"/>
                <w:color w:val="auto"/>
              </w:rPr>
            </w:pPr>
            <w:r>
              <w:rPr>
                <w:rFonts w:ascii="Arial" w:cs="Arial" w:eastAsia="Arial" w:hAnsi="Arial"/>
                <w:sz w:val="14"/>
                <w:szCs w:val="14"/>
                <w:color w:val="auto"/>
              </w:rPr>
              <w:t>Issuance of common stock</w:t>
            </w: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125.8</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28.9</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25.9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Acquisition of treasury stock</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(153.6)</w:t>
            </w:r>
          </w:p>
        </w:tc>
        <w:tc>
          <w:tcPr>
            <w:tcW w:w="140" w:type="dxa"/>
            <w:vAlign w:val="bottom"/>
            <w:tcBorders>
              <w:right w:val="single" w:sz="8" w:color="CCEEFF"/>
            </w:tcBorders>
            <w:shd w:val="clear" w:color="auto" w:fill="CCEEFF"/>
          </w:tcPr>
          <w:p>
            <w:pPr>
              <w:spacing w:after="0"/>
              <w:rPr>
                <w:sz w:val="12"/>
                <w:szCs w:val="12"/>
                <w:color w:val="auto"/>
              </w:rPr>
            </w:pP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(272.7)</w:t>
            </w:r>
          </w:p>
        </w:tc>
        <w:tc>
          <w:tcPr>
            <w:tcW w:w="120" w:type="dxa"/>
            <w:vAlign w:val="bottom"/>
            <w:tcBorders>
              <w:right w:val="single" w:sz="8" w:color="CCEEFF"/>
            </w:tcBorders>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(556.4)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spacing w:after="0" w:line="149" w:lineRule="exact"/>
              <w:rPr>
                <w:sz w:val="20"/>
                <w:szCs w:val="20"/>
                <w:color w:val="auto"/>
              </w:rPr>
            </w:pPr>
            <w:r>
              <w:rPr>
                <w:rFonts w:ascii="Arial" w:cs="Arial" w:eastAsia="Arial" w:hAnsi="Arial"/>
                <w:sz w:val="14"/>
                <w:szCs w:val="14"/>
                <w:color w:val="auto"/>
              </w:rPr>
              <w:t>Proceeds from financing element derivatives</w:t>
            </w: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47.0</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51.8</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75.9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Payments for financing element derivatives</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(48.0)</w:t>
            </w:r>
          </w:p>
        </w:tc>
        <w:tc>
          <w:tcPr>
            <w:tcW w:w="140" w:type="dxa"/>
            <w:vAlign w:val="bottom"/>
            <w:tcBorders>
              <w:right w:val="single" w:sz="8" w:color="CCEEFF"/>
            </w:tcBorders>
            <w:shd w:val="clear" w:color="auto" w:fill="CCEEFF"/>
          </w:tcPr>
          <w:p>
            <w:pPr>
              <w:spacing w:after="0"/>
              <w:rPr>
                <w:sz w:val="12"/>
                <w:szCs w:val="12"/>
                <w:color w:val="auto"/>
              </w:rPr>
            </w:pP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(49.9)</w:t>
            </w:r>
          </w:p>
        </w:tc>
        <w:tc>
          <w:tcPr>
            <w:tcW w:w="120" w:type="dxa"/>
            <w:vAlign w:val="bottom"/>
            <w:tcBorders>
              <w:right w:val="single" w:sz="8" w:color="CCEEFF"/>
            </w:tcBorders>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(46.5)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spacing w:after="0" w:line="149" w:lineRule="exact"/>
              <w:rPr>
                <w:sz w:val="20"/>
                <w:szCs w:val="20"/>
                <w:color w:val="auto"/>
              </w:rPr>
            </w:pPr>
            <w:r>
              <w:rPr>
                <w:rFonts w:ascii="Arial" w:cs="Arial" w:eastAsia="Arial" w:hAnsi="Arial"/>
                <w:sz w:val="14"/>
                <w:szCs w:val="14"/>
                <w:color w:val="auto"/>
              </w:rPr>
              <w:t>Excess tax benefits from share-based payment arrangements</w:t>
            </w: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10.1</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10.8</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2.0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Purchase of subsidiary shares from noncontrolling interest</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(52.9)</w:t>
            </w:r>
          </w:p>
        </w:tc>
        <w:tc>
          <w:tcPr>
            <w:tcW w:w="140" w:type="dxa"/>
            <w:vAlign w:val="bottom"/>
            <w:tcBorders>
              <w:right w:val="single" w:sz="8" w:color="CCEEFF"/>
            </w:tcBorders>
            <w:shd w:val="clear" w:color="auto" w:fill="CCEEFF"/>
          </w:tcPr>
          <w:p>
            <w:pPr>
              <w:spacing w:after="0"/>
              <w:rPr>
                <w:sz w:val="12"/>
                <w:szCs w:val="12"/>
                <w:color w:val="auto"/>
              </w:rPr>
            </w:pPr>
          </w:p>
        </w:tc>
        <w:tc>
          <w:tcPr>
            <w:tcW w:w="9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20" w:type="dxa"/>
            <w:vAlign w:val="bottom"/>
            <w:tcBorders>
              <w:right w:val="single" w:sz="8" w:color="CCEEFF"/>
            </w:tcBorders>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spacing w:after="0" w:line="149" w:lineRule="exact"/>
              <w:rPr>
                <w:sz w:val="20"/>
                <w:szCs w:val="20"/>
                <w:color w:val="auto"/>
              </w:rPr>
            </w:pPr>
            <w:r>
              <w:rPr>
                <w:rFonts w:ascii="Arial" w:cs="Arial" w:eastAsia="Arial" w:hAnsi="Arial"/>
                <w:sz w:val="14"/>
                <w:szCs w:val="14"/>
                <w:color w:val="auto"/>
              </w:rPr>
              <w:t>Sale of subsidiary shares to noncontrolling interest</w:t>
            </w: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31.8</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0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Dividends to common stockholders</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(288.4)</w:t>
            </w:r>
          </w:p>
        </w:tc>
        <w:tc>
          <w:tcPr>
            <w:tcW w:w="140" w:type="dxa"/>
            <w:vAlign w:val="bottom"/>
            <w:tcBorders>
              <w:right w:val="single" w:sz="8" w:color="CCEEFF"/>
            </w:tcBorders>
            <w:shd w:val="clear" w:color="auto" w:fill="CCEEFF"/>
          </w:tcPr>
          <w:p>
            <w:pPr>
              <w:spacing w:after="0"/>
              <w:rPr>
                <w:sz w:val="12"/>
                <w:szCs w:val="12"/>
                <w:color w:val="auto"/>
              </w:rPr>
            </w:pP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(231.3)</w:t>
            </w:r>
          </w:p>
        </w:tc>
        <w:tc>
          <w:tcPr>
            <w:tcW w:w="120" w:type="dxa"/>
            <w:vAlign w:val="bottom"/>
            <w:tcBorders>
              <w:right w:val="single" w:sz="8" w:color="CCEEFF"/>
            </w:tcBorders>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(213.7)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spacing w:after="0" w:line="149" w:lineRule="exact"/>
              <w:rPr>
                <w:sz w:val="20"/>
                <w:szCs w:val="20"/>
                <w:color w:val="auto"/>
              </w:rPr>
            </w:pPr>
            <w:r>
              <w:rPr>
                <w:rFonts w:ascii="Arial" w:cs="Arial" w:eastAsia="Arial" w:hAnsi="Arial"/>
                <w:sz w:val="14"/>
                <w:szCs w:val="14"/>
                <w:color w:val="auto"/>
              </w:rPr>
              <w:t>Dividends to preferred stockholders</w:t>
            </w: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(33.0)</w:t>
            </w:r>
          </w:p>
        </w:tc>
        <w:tc>
          <w:tcPr>
            <w:tcW w:w="140" w:type="dxa"/>
            <w:vAlign w:val="bottom"/>
          </w:tcPr>
          <w:p>
            <w:pPr>
              <w:spacing w:after="0"/>
              <w:rPr>
                <w:sz w:val="12"/>
                <w:szCs w:val="12"/>
                <w:color w:val="auto"/>
              </w:rPr>
            </w:pPr>
          </w:p>
        </w:tc>
        <w:tc>
          <w:tcPr>
            <w:tcW w:w="9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(33.0)</w:t>
            </w:r>
          </w:p>
        </w:tc>
        <w:tc>
          <w:tcPr>
            <w:tcW w:w="120" w:type="dxa"/>
            <w:vAlign w:val="bottom"/>
          </w:tcPr>
          <w:p>
            <w:pPr>
              <w:spacing w:after="0"/>
              <w:rPr>
                <w:sz w:val="12"/>
                <w:szCs w:val="12"/>
                <w:color w:val="auto"/>
              </w:rPr>
            </w:pP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(33.0)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Issuance of long-term debt</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38.2</w:t>
            </w: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1,493.4</w:t>
            </w: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spacing w:after="0" w:line="149" w:lineRule="exact"/>
              <w:rPr>
                <w:sz w:val="20"/>
                <w:szCs w:val="20"/>
                <w:color w:val="auto"/>
              </w:rPr>
            </w:pPr>
            <w:r>
              <w:rPr>
                <w:rFonts w:ascii="Arial" w:cs="Arial" w:eastAsia="Arial" w:hAnsi="Arial"/>
                <w:sz w:val="14"/>
                <w:szCs w:val="14"/>
                <w:color w:val="auto"/>
              </w:rPr>
              <w:t>Principal repayments of long-term debt</w:t>
            </w: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(218.2)</w:t>
            </w:r>
          </w:p>
        </w:tc>
        <w:tc>
          <w:tcPr>
            <w:tcW w:w="140" w:type="dxa"/>
            <w:vAlign w:val="bottom"/>
          </w:tcPr>
          <w:p>
            <w:pPr>
              <w:spacing w:after="0"/>
              <w:rPr>
                <w:sz w:val="12"/>
                <w:szCs w:val="12"/>
                <w:color w:val="auto"/>
              </w:rPr>
            </w:pPr>
          </w:p>
        </w:tc>
        <w:tc>
          <w:tcPr>
            <w:tcW w:w="9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(450.6)</w:t>
            </w:r>
          </w:p>
        </w:tc>
        <w:tc>
          <w:tcPr>
            <w:tcW w:w="120" w:type="dxa"/>
            <w:vAlign w:val="bottom"/>
          </w:tcPr>
          <w:p>
            <w:pPr>
              <w:spacing w:after="0"/>
              <w:rPr>
                <w:sz w:val="12"/>
                <w:szCs w:val="12"/>
                <w:color w:val="auto"/>
              </w:rPr>
            </w:pP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(12.2)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proceeds from (repayments of) short-term borrowings</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108.0</w:t>
            </w: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(68.8)</w:t>
            </w:r>
          </w:p>
        </w:tc>
        <w:tc>
          <w:tcPr>
            <w:tcW w:w="120" w:type="dxa"/>
            <w:vAlign w:val="bottom"/>
            <w:tcBorders>
              <w:right w:val="single" w:sz="8" w:color="CCEEFF"/>
            </w:tcBorders>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spacing w:after="0" w:line="149" w:lineRule="exact"/>
              <w:rPr>
                <w:sz w:val="20"/>
                <w:szCs w:val="20"/>
                <w:color w:val="auto"/>
              </w:rPr>
            </w:pPr>
            <w:r>
              <w:rPr>
                <w:rFonts w:ascii="Arial" w:cs="Arial" w:eastAsia="Arial" w:hAnsi="Arial"/>
                <w:sz w:val="14"/>
                <w:szCs w:val="14"/>
                <w:color w:val="auto"/>
              </w:rPr>
              <w:t>Investment contract deposits</w:t>
            </w: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6,716.3</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6,900.4</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6,302.1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Investment contract withdrawals</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w w:val="99"/>
              </w:rPr>
              <w:t>(8,852.7)</w:t>
            </w:r>
          </w:p>
        </w:tc>
        <w:tc>
          <w:tcPr>
            <w:tcW w:w="140" w:type="dxa"/>
            <w:vAlign w:val="bottom"/>
            <w:tcBorders>
              <w:right w:val="single" w:sz="8" w:color="CCEEFF"/>
            </w:tcBorders>
            <w:shd w:val="clear" w:color="auto" w:fill="CCEEFF"/>
          </w:tcPr>
          <w:p>
            <w:pPr>
              <w:spacing w:after="0"/>
              <w:rPr>
                <w:sz w:val="12"/>
                <w:szCs w:val="12"/>
                <w:color w:val="auto"/>
              </w:rPr>
            </w:pP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(7,522.6)</w:t>
            </w:r>
          </w:p>
        </w:tc>
        <w:tc>
          <w:tcPr>
            <w:tcW w:w="120" w:type="dxa"/>
            <w:vAlign w:val="bottom"/>
            <w:tcBorders>
              <w:right w:val="single" w:sz="8" w:color="CCEEFF"/>
            </w:tcBorders>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(7,079.0)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spacing w:after="0" w:line="149" w:lineRule="exact"/>
              <w:rPr>
                <w:sz w:val="20"/>
                <w:szCs w:val="20"/>
                <w:color w:val="auto"/>
              </w:rPr>
            </w:pPr>
            <w:r>
              <w:rPr>
                <w:rFonts w:ascii="Arial" w:cs="Arial" w:eastAsia="Arial" w:hAnsi="Arial"/>
                <w:sz w:val="14"/>
                <w:szCs w:val="14"/>
                <w:color w:val="auto"/>
              </w:rPr>
              <w:t>Net increase (decrease) in banking operation deposits</w:t>
            </w: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(225.7)</w:t>
            </w:r>
          </w:p>
        </w:tc>
        <w:tc>
          <w:tcPr>
            <w:tcW w:w="14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32.0</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(18.5)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(5.0)</w:t>
            </w:r>
          </w:p>
        </w:tc>
        <w:tc>
          <w:tcPr>
            <w:tcW w:w="140" w:type="dxa"/>
            <w:vAlign w:val="bottom"/>
            <w:tcBorders>
              <w:right w:val="single" w:sz="8" w:color="CCEEFF"/>
            </w:tcBorders>
            <w:shd w:val="clear" w:color="auto" w:fill="CCEEFF"/>
          </w:tcPr>
          <w:p>
            <w:pPr>
              <w:spacing w:after="0"/>
              <w:rPr>
                <w:sz w:val="12"/>
                <w:szCs w:val="12"/>
                <w:color w:val="auto"/>
              </w:rPr>
            </w:pP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(14.6)</w:t>
            </w:r>
          </w:p>
        </w:tc>
        <w:tc>
          <w:tcPr>
            <w:tcW w:w="120" w:type="dxa"/>
            <w:vAlign w:val="bottom"/>
            <w:tcBorders>
              <w:right w:val="single" w:sz="8" w:color="CCEEFF"/>
            </w:tcBorders>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(4.5)</w:t>
            </w:r>
          </w:p>
        </w:tc>
        <w:tc>
          <w:tcPr>
            <w:tcW w:w="0" w:type="dxa"/>
            <w:vAlign w:val="bottom"/>
          </w:tcPr>
          <w:p>
            <w:pPr>
              <w:spacing w:after="0"/>
              <w:rPr>
                <w:sz w:val="1"/>
                <w:szCs w:val="1"/>
                <w:color w:val="auto"/>
              </w:rPr>
            </w:pPr>
          </w:p>
        </w:tc>
      </w:tr>
      <w:tr>
        <w:trPr>
          <w:trHeight w:val="142"/>
        </w:trPr>
        <w:tc>
          <w:tcPr>
            <w:tcW w:w="5240" w:type="dxa"/>
            <w:vAlign w:val="bottom"/>
            <w:gridSpan w:val="2"/>
          </w:tcPr>
          <w:p>
            <w:pPr>
              <w:spacing w:after="0" w:line="142" w:lineRule="exact"/>
              <w:rPr>
                <w:sz w:val="20"/>
                <w:szCs w:val="20"/>
                <w:color w:val="auto"/>
              </w:rPr>
            </w:pPr>
            <w:r>
              <w:rPr>
                <w:rFonts w:ascii="Arial" w:cs="Arial" w:eastAsia="Arial" w:hAnsi="Arial"/>
                <w:sz w:val="14"/>
                <w:szCs w:val="14"/>
                <w:color w:val="auto"/>
              </w:rPr>
              <w:t>Net cash used in financing activities</w:t>
            </w:r>
          </w:p>
        </w:tc>
        <w:tc>
          <w:tcPr>
            <w:tcW w:w="86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2"/>
              </w:rPr>
              <w:t>(2,800.3)</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(126.2)</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(1,554.7)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2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increase (decrease) in cash and cash equivalents</w:t>
            </w: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w w:val="99"/>
              </w:rPr>
              <w:t>(1,805.4)</w:t>
            </w:r>
          </w:p>
        </w:tc>
        <w:tc>
          <w:tcPr>
            <w:tcW w:w="140" w:type="dxa"/>
            <w:vAlign w:val="bottom"/>
            <w:tcBorders>
              <w:right w:val="single" w:sz="8" w:color="CCEEFF"/>
            </w:tcBorders>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1,343.3</w:t>
            </w: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956.5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spacing w:after="0" w:line="149" w:lineRule="exact"/>
              <w:rPr>
                <w:sz w:val="20"/>
                <w:szCs w:val="20"/>
                <w:color w:val="auto"/>
              </w:rPr>
            </w:pPr>
            <w:r>
              <w:rPr>
                <w:rFonts w:ascii="Arial" w:cs="Arial" w:eastAsia="Arial" w:hAnsi="Arial"/>
                <w:sz w:val="14"/>
                <w:szCs w:val="14"/>
                <w:color w:val="auto"/>
              </w:rPr>
              <w:t>Cash and cash equivalents at beginning of period</w:t>
            </w:r>
          </w:p>
        </w:tc>
        <w:tc>
          <w:tcPr>
            <w:tcW w:w="8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4,177.2</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2,833.9</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1,877.4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2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Cash and cash equivalents at end of period</w:t>
            </w:r>
          </w:p>
        </w:tc>
        <w:tc>
          <w:tcPr>
            <w:tcW w:w="98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w:t>
            </w:r>
          </w:p>
        </w:tc>
        <w:tc>
          <w:tcPr>
            <w:tcW w:w="5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2,371.8</w:t>
            </w: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4,177.2</w:t>
            </w: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2,833.9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52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Supplemental Information:</w:t>
            </w:r>
          </w:p>
        </w:tc>
        <w:tc>
          <w:tcPr>
            <w:tcW w:w="8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5240" w:type="dxa"/>
            <w:vAlign w:val="bottom"/>
            <w:gridSpan w:val="2"/>
            <w:vMerge w:val="continue"/>
          </w:tcPr>
          <w:p>
            <w:pPr>
              <w:spacing w:after="0"/>
              <w:rPr>
                <w:sz w:val="11"/>
                <w:szCs w:val="11"/>
                <w:color w:val="auto"/>
              </w:rPr>
            </w:pPr>
          </w:p>
        </w:tc>
        <w:tc>
          <w:tcPr>
            <w:tcW w:w="8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paid for interest</w:t>
            </w: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144.1</w:t>
            </w:r>
          </w:p>
        </w:tc>
        <w:tc>
          <w:tcPr>
            <w:tcW w:w="1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127.7</w:t>
            </w: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154.1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5220" w:type="dxa"/>
            <w:vAlign w:val="bottom"/>
          </w:tcPr>
          <w:p>
            <w:pPr>
              <w:spacing w:after="0"/>
              <w:rPr>
                <w:sz w:val="20"/>
                <w:szCs w:val="20"/>
                <w:color w:val="auto"/>
              </w:rPr>
            </w:pPr>
            <w:r>
              <w:rPr>
                <w:rFonts w:ascii="Arial" w:cs="Arial" w:eastAsia="Arial" w:hAnsi="Arial"/>
                <w:sz w:val="14"/>
                <w:szCs w:val="14"/>
                <w:color w:val="auto"/>
              </w:rPr>
              <w:t>Cash paid for income taxes</w:t>
            </w:r>
          </w:p>
        </w:tc>
        <w:tc>
          <w:tcPr>
            <w:tcW w:w="98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rPr>
              <w:t>$</w:t>
            </w:r>
          </w:p>
        </w:tc>
        <w:tc>
          <w:tcPr>
            <w:tcW w:w="540" w:type="dxa"/>
            <w:vAlign w:val="bottom"/>
          </w:tcPr>
          <w:p>
            <w:pPr>
              <w:jc w:val="right"/>
              <w:spacing w:after="0"/>
              <w:rPr>
                <w:sz w:val="20"/>
                <w:szCs w:val="20"/>
                <w:color w:val="auto"/>
              </w:rPr>
            </w:pPr>
            <w:r>
              <w:rPr>
                <w:rFonts w:ascii="Arial" w:cs="Arial" w:eastAsia="Arial" w:hAnsi="Arial"/>
                <w:sz w:val="14"/>
                <w:szCs w:val="14"/>
                <w:b w:val="1"/>
                <w:bCs w:val="1"/>
                <w:color w:val="auto"/>
              </w:rPr>
              <w:t>61.2</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82.7</w:t>
            </w:r>
          </w:p>
        </w:tc>
        <w:tc>
          <w:tcPr>
            <w:tcW w:w="10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152.8</w:t>
            </w: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18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94" w:name="page95"/>
    <w:bookmarkEnd w:id="9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ind w:right="6940" w:firstLine="8"/>
        <w:spacing w:after="0" w:line="504" w:lineRule="auto"/>
        <w:tabs>
          <w:tab w:leader="none" w:pos="176" w:val="left"/>
        </w:tabs>
        <w:numPr>
          <w:ilvl w:val="0"/>
          <w:numId w:val="44"/>
        </w:numPr>
        <w:rPr>
          <w:rFonts w:ascii="Arial" w:cs="Arial" w:eastAsia="Arial" w:hAnsi="Arial"/>
          <w:sz w:val="18"/>
          <w:szCs w:val="18"/>
          <w:b w:val="1"/>
          <w:bCs w:val="1"/>
          <w:color w:val="auto"/>
        </w:rPr>
      </w:pPr>
      <w:r>
        <w:rPr>
          <w:rFonts w:ascii="Arial" w:cs="Arial" w:eastAsia="Arial" w:hAnsi="Arial"/>
          <w:sz w:val="18"/>
          <w:szCs w:val="18"/>
          <w:b w:val="1"/>
          <w:bCs w:val="1"/>
          <w:color w:val="auto"/>
        </w:rPr>
        <w:t>Nature of Operations and Significant Accounting Policies Description of Business</w:t>
      </w:r>
    </w:p>
    <w:p>
      <w:pPr>
        <w:spacing w:after="0" w:line="1" w:lineRule="exact"/>
        <w:rPr>
          <w:sz w:val="20"/>
          <w:szCs w:val="20"/>
          <w:color w:val="auto"/>
        </w:rPr>
      </w:pPr>
    </w:p>
    <w:p>
      <w:pPr>
        <w:jc w:val="both"/>
        <w:ind w:firstLine="372"/>
        <w:spacing w:after="0" w:line="268" w:lineRule="auto"/>
        <w:rPr>
          <w:sz w:val="20"/>
          <w:szCs w:val="20"/>
          <w:color w:val="auto"/>
        </w:rPr>
      </w:pPr>
      <w:r>
        <w:rPr>
          <w:rFonts w:ascii="Arial" w:cs="Arial" w:eastAsia="Arial" w:hAnsi="Arial"/>
          <w:sz w:val="18"/>
          <w:szCs w:val="18"/>
          <w:color w:val="auto"/>
        </w:rPr>
        <w:t>Principal Financial Group, Inc. ("PFG"), along with its consolidated subsidiaries, is a diversified financial services organization offering retirement services, insurance solutions and asset management in the U.S. and selected international markets.</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of Presentation</w:t>
      </w:r>
    </w:p>
    <w:p>
      <w:pPr>
        <w:spacing w:after="0" w:line="231" w:lineRule="exact"/>
        <w:rPr>
          <w:sz w:val="20"/>
          <w:szCs w:val="20"/>
          <w:color w:val="auto"/>
        </w:rPr>
      </w:pPr>
    </w:p>
    <w:p>
      <w:pPr>
        <w:jc w:val="both"/>
        <w:ind w:firstLine="384"/>
        <w:spacing w:after="0" w:line="294" w:lineRule="auto"/>
        <w:rPr>
          <w:sz w:val="20"/>
          <w:szCs w:val="20"/>
          <w:color w:val="auto"/>
        </w:rPr>
      </w:pPr>
      <w:r>
        <w:rPr>
          <w:rFonts w:ascii="Arial" w:cs="Arial" w:eastAsia="Arial" w:hAnsi="Arial"/>
          <w:sz w:val="16"/>
          <w:szCs w:val="16"/>
          <w:color w:val="auto"/>
        </w:rPr>
        <w:t>The accompanying consolidated financial statements include the accounts of PFG and all other entities in which we directly or indirectly have a controlling financial interest as well as those variable interest entities ("VIEs") in which we are the primary beneficiary. Entities in which we have significant management influence over the operating and financing decisions but are not required to consolidate, other than investments accounted for at fair value under the fair value option, are reported using the equity method. The consolidated financial statements have been prepared in conformity with U.S. generally accepted accounting principles ("U.S. GAAP"). All significant intercompany accounts and transactions have been eliminated.</w:t>
      </w:r>
    </w:p>
    <w:p>
      <w:pPr>
        <w:spacing w:after="0" w:line="17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Reclassifications have been made to prior period financial statements to conform to the December 31, 2013, presentation.</w:t>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Revisions of Previously Issued Financial Statements</w:t>
      </w:r>
    </w:p>
    <w:p>
      <w:pPr>
        <w:spacing w:after="0" w:line="231" w:lineRule="exact"/>
        <w:rPr>
          <w:sz w:val="20"/>
          <w:szCs w:val="20"/>
          <w:color w:val="auto"/>
        </w:rPr>
      </w:pPr>
    </w:p>
    <w:p>
      <w:pPr>
        <w:jc w:val="both"/>
        <w:ind w:firstLine="500"/>
        <w:spacing w:after="0" w:line="294" w:lineRule="auto"/>
        <w:rPr>
          <w:sz w:val="20"/>
          <w:szCs w:val="20"/>
          <w:color w:val="auto"/>
        </w:rPr>
      </w:pPr>
      <w:r>
        <w:rPr>
          <w:rFonts w:ascii="Arial" w:cs="Arial" w:eastAsia="Arial" w:hAnsi="Arial"/>
          <w:sz w:val="16"/>
          <w:szCs w:val="16"/>
          <w:color w:val="auto"/>
        </w:rPr>
        <w:t xml:space="preserve">In conjunction with our first quarter 2013 acquisition of AFP Cuprum S.A. ("Cuprum") in Chile, we re-evaluated the accounting treatment for similar products offered in other foreign jurisdictions, including the AFORE retirement accumulation business in Mexico. As a result of this re-evaluation, we have concluded that the AFORE product, which was previously accounted for under Accounting Standards Codification 944, </w:t>
      </w:r>
      <w:r>
        <w:rPr>
          <w:rFonts w:ascii="Arial" w:cs="Arial" w:eastAsia="Arial" w:hAnsi="Arial"/>
          <w:sz w:val="16"/>
          <w:szCs w:val="16"/>
          <w:i w:val="1"/>
          <w:iCs w:val="1"/>
          <w:color w:val="auto"/>
        </w:rPr>
        <w:t>Financial Services — Insurance</w:t>
      </w:r>
      <w:r>
        <w:rPr>
          <w:rFonts w:ascii="Arial" w:cs="Arial" w:eastAsia="Arial" w:hAnsi="Arial"/>
          <w:sz w:val="16"/>
          <w:szCs w:val="16"/>
          <w:color w:val="auto"/>
        </w:rPr>
        <w:t>, should be accounted for as a long-term service contract, consistent with the accounting requirements for our recently acquired retirement accumulation business in Chile. The revision to the accounting treatment for the AFORE product in Mexico resulted in the following changes:</w:t>
      </w:r>
    </w:p>
    <w:p>
      <w:pPr>
        <w:spacing w:after="0" w:line="183" w:lineRule="exact"/>
        <w:rPr>
          <w:sz w:val="20"/>
          <w:szCs w:val="20"/>
          <w:color w:val="auto"/>
        </w:rPr>
      </w:pPr>
    </w:p>
    <w:p>
      <w:pPr>
        <w:ind w:left="1080" w:hanging="532"/>
        <w:spacing w:after="0" w:line="332" w:lineRule="auto"/>
        <w:tabs>
          <w:tab w:leader="none" w:pos="1080" w:val="left"/>
        </w:tabs>
        <w:numPr>
          <w:ilvl w:val="0"/>
          <w:numId w:val="45"/>
        </w:numPr>
        <w:rPr>
          <w:rFonts w:ascii="Arial" w:cs="Arial" w:eastAsia="Arial" w:hAnsi="Arial"/>
          <w:sz w:val="16"/>
          <w:szCs w:val="16"/>
          <w:color w:val="auto"/>
        </w:rPr>
      </w:pPr>
      <w:r>
        <w:rPr>
          <w:rFonts w:ascii="Arial" w:cs="Arial" w:eastAsia="Arial" w:hAnsi="Arial"/>
          <w:sz w:val="16"/>
          <w:szCs w:val="16"/>
          <w:color w:val="auto"/>
        </w:rPr>
        <w:t>Fewer acquisition costs are capitalized. Specifically, we expense as incurred salary and related costs associated with the successful efforts of our proprietary sales force and sales support staff. All direct and incremental costs such as commissions will continue to be deferred.</w:t>
      </w:r>
    </w:p>
    <w:p>
      <w:pPr>
        <w:spacing w:after="0" w:line="166" w:lineRule="exact"/>
        <w:rPr>
          <w:rFonts w:ascii="Arial" w:cs="Arial" w:eastAsia="Arial" w:hAnsi="Arial"/>
          <w:sz w:val="16"/>
          <w:szCs w:val="16"/>
          <w:color w:val="auto"/>
        </w:rPr>
      </w:pPr>
    </w:p>
    <w:p>
      <w:pPr>
        <w:ind w:left="1080" w:hanging="532"/>
        <w:spacing w:after="0" w:line="268" w:lineRule="auto"/>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Deferred costs are amortized on a straight line basis over the expected contract life rather than based on estimated gross profits. The amortization method change also impacts purchased customer intangible assets.</w:t>
      </w:r>
    </w:p>
    <w:p>
      <w:pPr>
        <w:spacing w:after="0" w:line="186" w:lineRule="exact"/>
        <w:rPr>
          <w:sz w:val="20"/>
          <w:szCs w:val="20"/>
          <w:color w:val="auto"/>
        </w:rPr>
      </w:pPr>
    </w:p>
    <w:p>
      <w:pPr>
        <w:jc w:val="both"/>
        <w:ind w:firstLine="524"/>
        <w:spacing w:after="0" w:line="259" w:lineRule="auto"/>
        <w:rPr>
          <w:sz w:val="20"/>
          <w:szCs w:val="20"/>
          <w:color w:val="auto"/>
        </w:rPr>
      </w:pPr>
      <w:r>
        <w:rPr>
          <w:rFonts w:ascii="Arial" w:cs="Arial" w:eastAsia="Arial" w:hAnsi="Arial"/>
          <w:sz w:val="18"/>
          <w:szCs w:val="18"/>
          <w:color w:val="auto"/>
        </w:rPr>
        <w:t>We have revised our prior period consolidated financial statements accordingly. These revisions, inclusive of any other potential adjustments, are not material in any prior period based on an analysis of quantitative and qualitative factors in accordance with SEC Staff Accounting Bulletins 99 and 108, and, as a result, amendment of previously filed periodic reports is not required.</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tables quantify the prior period impact of this revision.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5" w:name="page96"/>
    <w:bookmarkEnd w:id="9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Nature of Operations and Significant Accounting Policies — (continued)</w:t>
      </w:r>
    </w:p>
    <w:p>
      <w:pPr>
        <w:spacing w:after="0" w:line="200" w:lineRule="exact"/>
        <w:rPr>
          <w:sz w:val="20"/>
          <w:szCs w:val="20"/>
          <w:color w:val="auto"/>
        </w:rPr>
      </w:pPr>
    </w:p>
    <w:p>
      <w:pPr>
        <w:spacing w:after="0" w:line="241"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Principal Financial Group, Inc.</w:t>
      </w:r>
    </w:p>
    <w:p>
      <w:pPr>
        <w:spacing w:after="0" w:line="21"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Consolidated Statements of Financial Position</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920" w:type="dxa"/>
            <w:vAlign w:val="bottom"/>
            <w:gridSpan w:val="5"/>
          </w:tcPr>
          <w:p>
            <w:pPr>
              <w:jc w:val="right"/>
              <w:ind w:right="560"/>
              <w:spacing w:after="0"/>
              <w:rPr>
                <w:sz w:val="20"/>
                <w:szCs w:val="20"/>
                <w:color w:val="auto"/>
              </w:rPr>
            </w:pPr>
            <w:r>
              <w:rPr>
                <w:rFonts w:ascii="Arial" w:cs="Arial" w:eastAsia="Arial" w:hAnsi="Arial"/>
                <w:sz w:val="14"/>
                <w:szCs w:val="14"/>
                <w:b w:val="1"/>
                <w:bCs w:val="1"/>
                <w:color w:val="auto"/>
              </w:rPr>
              <w:t>December 31, 2012</w:t>
            </w:r>
          </w:p>
        </w:tc>
      </w:tr>
      <w:tr>
        <w:trPr>
          <w:trHeight w:val="129"/>
        </w:trPr>
        <w:tc>
          <w:tcPr>
            <w:tcW w:w="20" w:type="dxa"/>
            <w:vAlign w:val="bottom"/>
          </w:tcPr>
          <w:p>
            <w:pPr>
              <w:spacing w:after="0"/>
              <w:rPr>
                <w:sz w:val="11"/>
                <w:szCs w:val="11"/>
                <w:color w:val="auto"/>
              </w:rPr>
            </w:pPr>
          </w:p>
        </w:tc>
        <w:tc>
          <w:tcPr>
            <w:tcW w:w="7080" w:type="dxa"/>
            <w:vAlign w:val="bottom"/>
          </w:tcPr>
          <w:p>
            <w:pPr>
              <w:spacing w:after="0"/>
              <w:rPr>
                <w:sz w:val="11"/>
                <w:szCs w:val="11"/>
                <w:color w:val="auto"/>
              </w:rPr>
            </w:pPr>
          </w:p>
        </w:tc>
        <w:tc>
          <w:tcPr>
            <w:tcW w:w="1040" w:type="dxa"/>
            <w:vAlign w:val="bottom"/>
            <w:tcBorders>
              <w:top w:val="single" w:sz="8" w:color="auto"/>
            </w:tcBorders>
            <w:gridSpan w:val="3"/>
          </w:tcPr>
          <w:p>
            <w:pPr>
              <w:jc w:val="right"/>
              <w:ind w:right="178"/>
              <w:spacing w:after="0" w:line="129" w:lineRule="exact"/>
              <w:rPr>
                <w:sz w:val="20"/>
                <w:szCs w:val="20"/>
                <w:color w:val="auto"/>
              </w:rPr>
            </w:pPr>
            <w:r>
              <w:rPr>
                <w:rFonts w:ascii="Arial" w:cs="Arial" w:eastAsia="Arial" w:hAnsi="Arial"/>
                <w:sz w:val="14"/>
                <w:szCs w:val="14"/>
                <w:b w:val="1"/>
                <w:bCs w:val="1"/>
                <w:color w:val="auto"/>
                <w:w w:val="92"/>
              </w:rPr>
              <w:t>As originally</w:t>
            </w:r>
          </w:p>
        </w:tc>
        <w:tc>
          <w:tcPr>
            <w:tcW w:w="8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r>
      <w:tr>
        <w:trPr>
          <w:trHeight w:val="161"/>
        </w:trPr>
        <w:tc>
          <w:tcPr>
            <w:tcW w:w="20" w:type="dxa"/>
            <w:vAlign w:val="bottom"/>
          </w:tcPr>
          <w:p>
            <w:pPr>
              <w:spacing w:after="0"/>
              <w:rPr>
                <w:sz w:val="14"/>
                <w:szCs w:val="14"/>
                <w:color w:val="auto"/>
              </w:rPr>
            </w:pPr>
          </w:p>
        </w:tc>
        <w:tc>
          <w:tcPr>
            <w:tcW w:w="70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b w:val="1"/>
                <w:bCs w:val="1"/>
                <w:color w:val="auto"/>
                <w:w w:val="95"/>
              </w:rPr>
              <w:t>reported</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3"/>
              </w:rPr>
              <w:t>As adjusted</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70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ind w:right="7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1000" w:type="dxa"/>
            <w:vAlign w:val="bottom"/>
            <w:gridSpan w:val="3"/>
          </w:tcPr>
          <w:p>
            <w:pPr>
              <w:jc w:val="center"/>
              <w:ind w:right="532"/>
              <w:spacing w:after="0"/>
              <w:rPr>
                <w:sz w:val="20"/>
                <w:szCs w:val="20"/>
                <w:color w:val="auto"/>
              </w:rPr>
            </w:pPr>
            <w:r>
              <w:rPr>
                <w:rFonts w:ascii="Arial" w:cs="Arial" w:eastAsia="Arial" w:hAnsi="Arial"/>
                <w:sz w:val="12"/>
                <w:szCs w:val="12"/>
                <w:b w:val="1"/>
                <w:bCs w:val="1"/>
                <w:i w:val="1"/>
                <w:iCs w:val="1"/>
                <w:color w:val="auto"/>
                <w:w w:val="80"/>
              </w:rPr>
              <w:t>millions)</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120" w:type="dxa"/>
            <w:vAlign w:val="bottom"/>
          </w:tcPr>
          <w:p>
            <w:pPr>
              <w:jc w:val="right"/>
              <w:ind w:right="6"/>
              <w:spacing w:after="0"/>
              <w:rPr>
                <w:sz w:val="20"/>
                <w:szCs w:val="20"/>
                <w:color w:val="auto"/>
              </w:rPr>
            </w:pPr>
            <w:r>
              <w:rPr>
                <w:rFonts w:ascii="Arial" w:cs="Arial" w:eastAsia="Arial" w:hAnsi="Arial"/>
                <w:sz w:val="10"/>
                <w:szCs w:val="10"/>
                <w:color w:val="auto"/>
                <w:w w:val="71"/>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50,939.3</w:t>
            </w:r>
          </w:p>
        </w:tc>
        <w:tc>
          <w:tcPr>
            <w:tcW w:w="160" w:type="dxa"/>
            <w:vAlign w:val="bottom"/>
          </w:tcPr>
          <w:p>
            <w:pPr>
              <w:spacing w:after="0"/>
              <w:rPr>
                <w:sz w:val="12"/>
                <w:szCs w:val="12"/>
                <w:color w:val="auto"/>
              </w:rPr>
            </w:pPr>
          </w:p>
        </w:tc>
        <w:tc>
          <w:tcPr>
            <w:tcW w:w="80" w:type="dxa"/>
            <w:vAlign w:val="bottom"/>
          </w:tcPr>
          <w:p>
            <w:pPr>
              <w:jc w:val="center"/>
              <w:spacing w:after="0" w:line="149" w:lineRule="exact"/>
              <w:rPr>
                <w:sz w:val="20"/>
                <w:szCs w:val="20"/>
                <w:color w:val="auto"/>
              </w:rPr>
            </w:pPr>
            <w:r>
              <w:rPr>
                <w:rFonts w:ascii="Arial" w:cs="Arial" w:eastAsia="Arial" w:hAnsi="Arial"/>
                <w:sz w:val="14"/>
                <w:szCs w:val="14"/>
                <w:color w:val="auto"/>
                <w:w w:val="76"/>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50,939.3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maturities, trading</w:t>
            </w: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626.7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626.7</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tcPr>
          <w:p>
            <w:pPr>
              <w:spacing w:after="0" w:line="149" w:lineRule="exact"/>
              <w:rPr>
                <w:sz w:val="20"/>
                <w:szCs w:val="20"/>
                <w:color w:val="auto"/>
              </w:rPr>
            </w:pPr>
            <w:r>
              <w:rPr>
                <w:rFonts w:ascii="Arial" w:cs="Arial" w:eastAsia="Arial" w:hAnsi="Arial"/>
                <w:sz w:val="14"/>
                <w:szCs w:val="14"/>
                <w:color w:val="auto"/>
              </w:rPr>
              <w:t>Equity securities, available-for-sale</w:t>
            </w: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136.5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136.5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Equity securities, trading</w:t>
            </w: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252.8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252.8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tcPr>
          <w:p>
            <w:pPr>
              <w:spacing w:after="0" w:line="149" w:lineRule="exact"/>
              <w:rPr>
                <w:sz w:val="20"/>
                <w:szCs w:val="20"/>
                <w:color w:val="auto"/>
              </w:rPr>
            </w:pPr>
            <w:r>
              <w:rPr>
                <w:rFonts w:ascii="Arial" w:cs="Arial" w:eastAsia="Arial" w:hAnsi="Arial"/>
                <w:sz w:val="14"/>
                <w:szCs w:val="14"/>
                <w:color w:val="auto"/>
              </w:rPr>
              <w:t>Mortgage loans</w:t>
            </w: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11,519.7</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11,519.7</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Real estate</w:t>
            </w: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1,180.3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1,180.3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tcPr>
          <w:p>
            <w:pPr>
              <w:spacing w:after="0" w:line="149" w:lineRule="exact"/>
              <w:rPr>
                <w:sz w:val="20"/>
                <w:szCs w:val="20"/>
                <w:color w:val="auto"/>
              </w:rPr>
            </w:pPr>
            <w:r>
              <w:rPr>
                <w:rFonts w:ascii="Arial" w:cs="Arial" w:eastAsia="Arial" w:hAnsi="Arial"/>
                <w:sz w:val="14"/>
                <w:szCs w:val="14"/>
                <w:color w:val="auto"/>
              </w:rPr>
              <w:t>Policy loans</w:t>
            </w: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864.9</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864.9</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investments</w:t>
            </w:r>
          </w:p>
        </w:tc>
        <w:tc>
          <w:tcPr>
            <w:tcW w:w="12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3,291.1</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3,291.1</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7080" w:type="dxa"/>
            <w:vAlign w:val="bottom"/>
          </w:tcPr>
          <w:p>
            <w:pPr>
              <w:ind w:left="140"/>
              <w:spacing w:after="0" w:line="142" w:lineRule="exact"/>
              <w:rPr>
                <w:sz w:val="20"/>
                <w:szCs w:val="20"/>
                <w:color w:val="auto"/>
              </w:rPr>
            </w:pPr>
            <w:r>
              <w:rPr>
                <w:rFonts w:ascii="Arial" w:cs="Arial" w:eastAsia="Arial" w:hAnsi="Arial"/>
                <w:sz w:val="14"/>
                <w:szCs w:val="14"/>
                <w:color w:val="auto"/>
              </w:rPr>
              <w:t>Total investments</w:t>
            </w:r>
          </w:p>
        </w:tc>
        <w:tc>
          <w:tcPr>
            <w:tcW w:w="120" w:type="dxa"/>
            <w:vAlign w:val="bottom"/>
          </w:tcPr>
          <w:p>
            <w:pPr>
              <w:spacing w:after="0"/>
              <w:rPr>
                <w:sz w:val="12"/>
                <w:szCs w:val="12"/>
                <w:color w:val="auto"/>
              </w:rPr>
            </w:pPr>
          </w:p>
        </w:tc>
        <w:tc>
          <w:tcPr>
            <w:tcW w:w="760" w:type="dxa"/>
            <w:vAlign w:val="bottom"/>
          </w:tcPr>
          <w:p>
            <w:pPr>
              <w:jc w:val="right"/>
              <w:spacing w:after="0" w:line="142" w:lineRule="exact"/>
              <w:rPr>
                <w:sz w:val="20"/>
                <w:szCs w:val="20"/>
                <w:color w:val="auto"/>
              </w:rPr>
            </w:pPr>
            <w:r>
              <w:rPr>
                <w:rFonts w:ascii="Arial" w:cs="Arial" w:eastAsia="Arial" w:hAnsi="Arial"/>
                <w:sz w:val="14"/>
                <w:szCs w:val="14"/>
                <w:color w:val="auto"/>
              </w:rPr>
              <w:t>68,811.3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right"/>
              <w:spacing w:after="0" w:line="142" w:lineRule="exact"/>
              <w:rPr>
                <w:sz w:val="20"/>
                <w:szCs w:val="20"/>
                <w:color w:val="auto"/>
              </w:rPr>
            </w:pPr>
            <w:r>
              <w:rPr>
                <w:rFonts w:ascii="Arial" w:cs="Arial" w:eastAsia="Arial" w:hAnsi="Arial"/>
                <w:sz w:val="14"/>
                <w:szCs w:val="14"/>
                <w:color w:val="auto"/>
              </w:rPr>
              <w:t>68,811.3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and cash equivalents</w:t>
            </w: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4,177.2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4,177.2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tcPr>
          <w:p>
            <w:pPr>
              <w:spacing w:after="0" w:line="149" w:lineRule="exact"/>
              <w:rPr>
                <w:sz w:val="20"/>
                <w:szCs w:val="20"/>
                <w:color w:val="auto"/>
              </w:rPr>
            </w:pPr>
            <w:r>
              <w:rPr>
                <w:rFonts w:ascii="Arial" w:cs="Arial" w:eastAsia="Arial" w:hAnsi="Arial"/>
                <w:sz w:val="14"/>
                <w:szCs w:val="14"/>
                <w:color w:val="auto"/>
              </w:rPr>
              <w:t>Accrued investment income</w:t>
            </w: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584.4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584.4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Premiums due and other receivables</w:t>
            </w: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1,084.4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1,084.4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tcPr>
          <w:p>
            <w:pPr>
              <w:spacing w:after="0" w:line="149" w:lineRule="exact"/>
              <w:rPr>
                <w:sz w:val="20"/>
                <w:szCs w:val="20"/>
                <w:color w:val="auto"/>
              </w:rPr>
            </w:pPr>
            <w:r>
              <w:rPr>
                <w:rFonts w:ascii="Arial" w:cs="Arial" w:eastAsia="Arial" w:hAnsi="Arial"/>
                <w:sz w:val="14"/>
                <w:szCs w:val="14"/>
                <w:color w:val="auto"/>
              </w:rPr>
              <w:t>Deferred acquisition costs</w:t>
            </w: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2,673.8</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2,590.0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Property and equipment</w:t>
            </w: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464.2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464.2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tcPr>
          <w:p>
            <w:pPr>
              <w:spacing w:after="0" w:line="149" w:lineRule="exact"/>
              <w:rPr>
                <w:sz w:val="20"/>
                <w:szCs w:val="20"/>
                <w:color w:val="auto"/>
              </w:rPr>
            </w:pPr>
            <w:r>
              <w:rPr>
                <w:rFonts w:ascii="Arial" w:cs="Arial" w:eastAsia="Arial" w:hAnsi="Arial"/>
                <w:sz w:val="14"/>
                <w:szCs w:val="14"/>
                <w:color w:val="auto"/>
              </w:rPr>
              <w:t>Goodwill</w:t>
            </w: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543.4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543.4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intangibles</w:t>
            </w: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927.2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914.7</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tcPr>
          <w:p>
            <w:pPr>
              <w:spacing w:after="0" w:line="149" w:lineRule="exact"/>
              <w:rPr>
                <w:sz w:val="20"/>
                <w:szCs w:val="20"/>
                <w:color w:val="auto"/>
              </w:rPr>
            </w:pPr>
            <w:r>
              <w:rPr>
                <w:rFonts w:ascii="Arial" w:cs="Arial" w:eastAsia="Arial" w:hAnsi="Arial"/>
                <w:sz w:val="14"/>
                <w:szCs w:val="14"/>
                <w:color w:val="auto"/>
              </w:rPr>
              <w:t>Separate account assets</w:t>
            </w: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81,653.8</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81,653.8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assets</w:t>
            </w:r>
          </w:p>
        </w:tc>
        <w:tc>
          <w:tcPr>
            <w:tcW w:w="12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1,006.8</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1,006.8</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7080" w:type="dxa"/>
            <w:vAlign w:val="bottom"/>
          </w:tcPr>
          <w:p>
            <w:pPr>
              <w:ind w:left="140"/>
              <w:spacing w:after="0" w:line="142" w:lineRule="exact"/>
              <w:rPr>
                <w:sz w:val="20"/>
                <w:szCs w:val="20"/>
                <w:color w:val="auto"/>
              </w:rPr>
            </w:pPr>
            <w:r>
              <w:rPr>
                <w:rFonts w:ascii="Arial" w:cs="Arial" w:eastAsia="Arial" w:hAnsi="Arial"/>
                <w:sz w:val="14"/>
                <w:szCs w:val="14"/>
                <w:color w:val="auto"/>
              </w:rPr>
              <w:t>Total assets</w:t>
            </w:r>
          </w:p>
        </w:tc>
        <w:tc>
          <w:tcPr>
            <w:tcW w:w="120" w:type="dxa"/>
            <w:vAlign w:val="bottom"/>
            <w:tcBorders>
              <w:bottom w:val="single" w:sz="8" w:color="auto"/>
            </w:tcBorders>
          </w:tcPr>
          <w:p>
            <w:pPr>
              <w:jc w:val="right"/>
              <w:ind w:right="6"/>
              <w:spacing w:after="0"/>
              <w:rPr>
                <w:sz w:val="20"/>
                <w:szCs w:val="20"/>
                <w:color w:val="auto"/>
              </w:rPr>
            </w:pPr>
            <w:r>
              <w:rPr>
                <w:rFonts w:ascii="Arial" w:cs="Arial" w:eastAsia="Arial" w:hAnsi="Arial"/>
                <w:sz w:val="10"/>
                <w:szCs w:val="10"/>
                <w:color w:val="auto"/>
                <w:w w:val="71"/>
              </w:rPr>
              <w:t>$</w:t>
            </w:r>
          </w:p>
        </w:tc>
        <w:tc>
          <w:tcPr>
            <w:tcW w:w="7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161,926.5</w:t>
            </w:r>
          </w:p>
        </w:tc>
        <w:tc>
          <w:tcPr>
            <w:tcW w:w="160" w:type="dxa"/>
            <w:vAlign w:val="bottom"/>
          </w:tcPr>
          <w:p>
            <w:pPr>
              <w:spacing w:after="0"/>
              <w:rPr>
                <w:sz w:val="12"/>
                <w:szCs w:val="12"/>
                <w:color w:val="auto"/>
              </w:rPr>
            </w:pPr>
          </w:p>
        </w:tc>
        <w:tc>
          <w:tcPr>
            <w:tcW w:w="8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161,830.</w:t>
            </w:r>
            <w:r>
              <w:rPr>
                <w:rFonts w:ascii="Arial" w:cs="Arial" w:eastAsia="Arial" w:hAnsi="Arial"/>
                <w:sz w:val="14"/>
                <w:szCs w:val="14"/>
                <w:u w:val="single" w:color="auto"/>
                <w:color w:val="auto"/>
              </w:rPr>
              <w:t>2</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70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7080" w:type="dxa"/>
            <w:vAlign w:val="bottom"/>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Liabilities</w:t>
            </w:r>
          </w:p>
        </w:tc>
        <w:tc>
          <w:tcPr>
            <w:tcW w:w="12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7080" w:type="dxa"/>
            <w:vAlign w:val="bottom"/>
          </w:tcPr>
          <w:p>
            <w:pPr>
              <w:spacing w:after="0" w:line="149" w:lineRule="exact"/>
              <w:rPr>
                <w:sz w:val="20"/>
                <w:szCs w:val="20"/>
                <w:color w:val="auto"/>
              </w:rPr>
            </w:pPr>
            <w:r>
              <w:rPr>
                <w:rFonts w:ascii="Arial" w:cs="Arial" w:eastAsia="Arial" w:hAnsi="Arial"/>
                <w:sz w:val="14"/>
                <w:szCs w:val="14"/>
                <w:color w:val="auto"/>
              </w:rPr>
              <w:t>Contractholder funds</w:t>
            </w:r>
          </w:p>
        </w:tc>
        <w:tc>
          <w:tcPr>
            <w:tcW w:w="120" w:type="dxa"/>
            <w:vAlign w:val="bottom"/>
          </w:tcPr>
          <w:p>
            <w:pPr>
              <w:jc w:val="right"/>
              <w:ind w:right="6"/>
              <w:spacing w:after="0"/>
              <w:rPr>
                <w:sz w:val="20"/>
                <w:szCs w:val="20"/>
                <w:color w:val="auto"/>
              </w:rPr>
            </w:pPr>
            <w:r>
              <w:rPr>
                <w:rFonts w:ascii="Arial" w:cs="Arial" w:eastAsia="Arial" w:hAnsi="Arial"/>
                <w:sz w:val="10"/>
                <w:szCs w:val="10"/>
                <w:color w:val="auto"/>
                <w:w w:val="71"/>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37,786.5</w:t>
            </w:r>
          </w:p>
        </w:tc>
        <w:tc>
          <w:tcPr>
            <w:tcW w:w="160" w:type="dxa"/>
            <w:vAlign w:val="bottom"/>
          </w:tcPr>
          <w:p>
            <w:pPr>
              <w:spacing w:after="0"/>
              <w:rPr>
                <w:sz w:val="12"/>
                <w:szCs w:val="12"/>
                <w:color w:val="auto"/>
              </w:rPr>
            </w:pPr>
          </w:p>
        </w:tc>
        <w:tc>
          <w:tcPr>
            <w:tcW w:w="80" w:type="dxa"/>
            <w:vAlign w:val="bottom"/>
          </w:tcPr>
          <w:p>
            <w:pPr>
              <w:jc w:val="center"/>
              <w:spacing w:after="0" w:line="149" w:lineRule="exact"/>
              <w:rPr>
                <w:sz w:val="20"/>
                <w:szCs w:val="20"/>
                <w:color w:val="auto"/>
              </w:rPr>
            </w:pPr>
            <w:r>
              <w:rPr>
                <w:rFonts w:ascii="Arial" w:cs="Arial" w:eastAsia="Arial" w:hAnsi="Arial"/>
                <w:sz w:val="14"/>
                <w:szCs w:val="14"/>
                <w:color w:val="auto"/>
                <w:w w:val="76"/>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37,786.5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Future policy benefits and claims</w:t>
            </w: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22,436.2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22,436.2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tcPr>
          <w:p>
            <w:pPr>
              <w:spacing w:after="0" w:line="149" w:lineRule="exact"/>
              <w:rPr>
                <w:sz w:val="20"/>
                <w:szCs w:val="20"/>
                <w:color w:val="auto"/>
              </w:rPr>
            </w:pPr>
            <w:r>
              <w:rPr>
                <w:rFonts w:ascii="Arial" w:cs="Arial" w:eastAsia="Arial" w:hAnsi="Arial"/>
                <w:sz w:val="14"/>
                <w:szCs w:val="14"/>
                <w:color w:val="auto"/>
              </w:rPr>
              <w:t>Other policyholder funds</w:t>
            </w: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716.4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716.4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Short-term debt</w:t>
            </w: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tcPr>
          <w:p>
            <w:pPr>
              <w:spacing w:after="0" w:line="149" w:lineRule="exact"/>
              <w:rPr>
                <w:sz w:val="20"/>
                <w:szCs w:val="20"/>
                <w:color w:val="auto"/>
              </w:rPr>
            </w:pPr>
            <w:r>
              <w:rPr>
                <w:rFonts w:ascii="Arial" w:cs="Arial" w:eastAsia="Arial" w:hAnsi="Arial"/>
                <w:sz w:val="14"/>
                <w:szCs w:val="14"/>
                <w:color w:val="auto"/>
              </w:rPr>
              <w:t>Long-term debt</w:t>
            </w: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2,671.3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2,671.3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Income taxes currently payable</w:t>
            </w: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tcPr>
          <w:p>
            <w:pPr>
              <w:spacing w:after="0" w:line="149" w:lineRule="exact"/>
              <w:rPr>
                <w:sz w:val="20"/>
                <w:szCs w:val="20"/>
                <w:color w:val="auto"/>
              </w:rPr>
            </w:pPr>
            <w:r>
              <w:rPr>
                <w:rFonts w:ascii="Arial" w:cs="Arial" w:eastAsia="Arial" w:hAnsi="Arial"/>
                <w:sz w:val="14"/>
                <w:szCs w:val="14"/>
                <w:color w:val="auto"/>
              </w:rPr>
              <w:t>Deferred income taxes</w:t>
            </w: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626.5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600.0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Separate account liabilities</w:t>
            </w: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81,653.8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81,653.8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tcPr>
          <w:p>
            <w:pPr>
              <w:spacing w:after="0" w:line="149" w:lineRule="exact"/>
              <w:rPr>
                <w:sz w:val="20"/>
                <w:szCs w:val="20"/>
                <w:color w:val="auto"/>
              </w:rPr>
            </w:pPr>
            <w:r>
              <w:rPr>
                <w:rFonts w:ascii="Arial" w:cs="Arial" w:eastAsia="Arial" w:hAnsi="Arial"/>
                <w:sz w:val="14"/>
                <w:szCs w:val="14"/>
                <w:color w:val="auto"/>
              </w:rPr>
              <w:t>Other liabilities</w:t>
            </w:r>
          </w:p>
        </w:tc>
        <w:tc>
          <w:tcPr>
            <w:tcW w:w="12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6,146.1</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6,146.1</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708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liabilities</w:t>
            </w: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152,092.9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152,066.4</w:t>
            </w:r>
          </w:p>
        </w:tc>
        <w:tc>
          <w:tcPr>
            <w:tcW w:w="160" w:type="dxa"/>
            <w:vAlign w:val="bottom"/>
            <w:shd w:val="clear" w:color="auto" w:fill="CCEEFF"/>
          </w:tcPr>
          <w:p>
            <w:pPr>
              <w:spacing w:after="0"/>
              <w:rPr>
                <w:sz w:val="12"/>
                <w:szCs w:val="12"/>
                <w:color w:val="auto"/>
              </w:rPr>
            </w:pPr>
          </w:p>
        </w:tc>
      </w:tr>
      <w:tr>
        <w:trPr>
          <w:trHeight w:val="311"/>
        </w:trPr>
        <w:tc>
          <w:tcPr>
            <w:tcW w:w="7100" w:type="dxa"/>
            <w:vAlign w:val="bottom"/>
            <w:gridSpan w:val="2"/>
          </w:tcPr>
          <w:p>
            <w:pPr>
              <w:spacing w:after="0"/>
              <w:rPr>
                <w:sz w:val="20"/>
                <w:szCs w:val="20"/>
                <w:color w:val="auto"/>
              </w:rPr>
            </w:pPr>
            <w:r>
              <w:rPr>
                <w:rFonts w:ascii="Arial" w:cs="Arial" w:eastAsia="Arial" w:hAnsi="Arial"/>
                <w:sz w:val="14"/>
                <w:szCs w:val="14"/>
                <w:color w:val="auto"/>
              </w:rPr>
              <w:t>Redeemable noncontrolling interest</w:t>
            </w:r>
          </w:p>
        </w:tc>
        <w:tc>
          <w:tcPr>
            <w:tcW w:w="12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60.4</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60.4</w:t>
            </w:r>
          </w:p>
        </w:tc>
        <w:tc>
          <w:tcPr>
            <w:tcW w:w="160" w:type="dxa"/>
            <w:vAlign w:val="bottom"/>
          </w:tcPr>
          <w:p>
            <w:pPr>
              <w:spacing w:after="0"/>
              <w:rPr>
                <w:sz w:val="24"/>
                <w:szCs w:val="24"/>
                <w:color w:val="auto"/>
              </w:rPr>
            </w:pPr>
          </w:p>
        </w:tc>
      </w:tr>
      <w:tr>
        <w:trPr>
          <w:trHeight w:val="311"/>
        </w:trPr>
        <w:tc>
          <w:tcPr>
            <w:tcW w:w="20" w:type="dxa"/>
            <w:vAlign w:val="bottom"/>
          </w:tcPr>
          <w:p>
            <w:pPr>
              <w:spacing w:after="0"/>
              <w:rPr>
                <w:sz w:val="24"/>
                <w:szCs w:val="24"/>
                <w:color w:val="auto"/>
              </w:rPr>
            </w:pPr>
          </w:p>
        </w:tc>
        <w:tc>
          <w:tcPr>
            <w:tcW w:w="708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Stockholders' equity</w:t>
            </w:r>
          </w:p>
        </w:tc>
        <w:tc>
          <w:tcPr>
            <w:tcW w:w="12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r>
      <w:tr>
        <w:trPr>
          <w:trHeight w:val="149"/>
        </w:trPr>
        <w:tc>
          <w:tcPr>
            <w:tcW w:w="20" w:type="dxa"/>
            <w:vAlign w:val="bottom"/>
          </w:tcPr>
          <w:p>
            <w:pPr>
              <w:spacing w:after="0"/>
              <w:rPr>
                <w:sz w:val="12"/>
                <w:szCs w:val="12"/>
                <w:color w:val="auto"/>
              </w:rPr>
            </w:pPr>
          </w:p>
        </w:tc>
        <w:tc>
          <w:tcPr>
            <w:tcW w:w="7080" w:type="dxa"/>
            <w:vAlign w:val="bottom"/>
          </w:tcPr>
          <w:p>
            <w:pPr>
              <w:spacing w:after="0" w:line="149" w:lineRule="exact"/>
              <w:rPr>
                <w:sz w:val="20"/>
                <w:szCs w:val="20"/>
                <w:color w:val="auto"/>
              </w:rPr>
            </w:pPr>
            <w:r>
              <w:rPr>
                <w:rFonts w:ascii="Arial" w:cs="Arial" w:eastAsia="Arial" w:hAnsi="Arial"/>
                <w:sz w:val="14"/>
                <w:szCs w:val="14"/>
                <w:color w:val="auto"/>
              </w:rPr>
              <w:t>Series A preferred stock, par value</w:t>
            </w:r>
          </w:p>
        </w:tc>
        <w:tc>
          <w:tcPr>
            <w:tcW w:w="120" w:type="dxa"/>
            <w:vAlign w:val="bottom"/>
          </w:tcPr>
          <w:p>
            <w:pPr>
              <w:spacing w:after="0"/>
              <w:rPr>
                <w:sz w:val="12"/>
                <w:szCs w:val="12"/>
                <w:color w:val="auto"/>
              </w:rPr>
            </w:pPr>
          </w:p>
        </w:tc>
        <w:tc>
          <w:tcPr>
            <w:tcW w:w="920" w:type="dxa"/>
            <w:vAlign w:val="bottom"/>
            <w:gridSpan w:val="2"/>
          </w:tcPr>
          <w:p>
            <w:pPr>
              <w:jc w:val="right"/>
              <w:ind w:right="98"/>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9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r>
      <w:tr>
        <w:trPr>
          <w:trHeight w:val="149"/>
        </w:trPr>
        <w:tc>
          <w:tcPr>
            <w:tcW w:w="20" w:type="dxa"/>
            <w:vAlign w:val="bottom"/>
          </w:tcPr>
          <w:p>
            <w:pPr>
              <w:spacing w:after="0"/>
              <w:rPr>
                <w:sz w:val="12"/>
                <w:szCs w:val="12"/>
                <w:color w:val="auto"/>
              </w:rPr>
            </w:pPr>
          </w:p>
        </w:tc>
        <w:tc>
          <w:tcPr>
            <w:tcW w:w="7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Series B preferred stock, par value</w:t>
            </w: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tcPr>
          <w:p>
            <w:pPr>
              <w:spacing w:after="0" w:line="149" w:lineRule="exact"/>
              <w:rPr>
                <w:sz w:val="20"/>
                <w:szCs w:val="20"/>
                <w:color w:val="auto"/>
              </w:rPr>
            </w:pPr>
            <w:r>
              <w:rPr>
                <w:rFonts w:ascii="Arial" w:cs="Arial" w:eastAsia="Arial" w:hAnsi="Arial"/>
                <w:sz w:val="14"/>
                <w:szCs w:val="14"/>
                <w:color w:val="auto"/>
              </w:rPr>
              <w:t>Common stock, par value</w:t>
            </w: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4.5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4.5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Additional paid-in capital</w:t>
            </w: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9,730.9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9,730.9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tcPr>
          <w:p>
            <w:pPr>
              <w:spacing w:after="0" w:line="149" w:lineRule="exact"/>
              <w:rPr>
                <w:sz w:val="20"/>
                <w:szCs w:val="20"/>
                <w:color w:val="auto"/>
              </w:rPr>
            </w:pPr>
            <w:r>
              <w:rPr>
                <w:rFonts w:ascii="Arial" w:cs="Arial" w:eastAsia="Arial" w:hAnsi="Arial"/>
                <w:sz w:val="14"/>
                <w:szCs w:val="14"/>
                <w:color w:val="auto"/>
              </w:rPr>
              <w:t>Retained earnings</w:t>
            </w: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4,940.2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4,862.0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Accumulated other comprehensive income</w:t>
            </w: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631.9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640.3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tcPr>
          <w:p>
            <w:pPr>
              <w:spacing w:after="0" w:line="149" w:lineRule="exact"/>
              <w:rPr>
                <w:sz w:val="20"/>
                <w:szCs w:val="20"/>
                <w:color w:val="auto"/>
              </w:rPr>
            </w:pPr>
            <w:r>
              <w:rPr>
                <w:rFonts w:ascii="Arial" w:cs="Arial" w:eastAsia="Arial" w:hAnsi="Arial"/>
                <w:sz w:val="14"/>
                <w:szCs w:val="14"/>
                <w:color w:val="auto"/>
              </w:rPr>
              <w:t>Treasury stock, at cost</w:t>
            </w:r>
          </w:p>
        </w:tc>
        <w:tc>
          <w:tcPr>
            <w:tcW w:w="120" w:type="dxa"/>
            <w:vAlign w:val="bottom"/>
          </w:tcPr>
          <w:p>
            <w:pPr>
              <w:spacing w:after="0"/>
              <w:rPr>
                <w:sz w:val="12"/>
                <w:szCs w:val="12"/>
                <w:color w:val="auto"/>
              </w:rPr>
            </w:pPr>
          </w:p>
        </w:tc>
        <w:tc>
          <w:tcPr>
            <w:tcW w:w="920" w:type="dxa"/>
            <w:vAlign w:val="bottom"/>
            <w:gridSpan w:val="2"/>
          </w:tcPr>
          <w:p>
            <w:pPr>
              <w:jc w:val="right"/>
              <w:ind w:right="58"/>
              <w:spacing w:after="0" w:line="149" w:lineRule="exact"/>
              <w:rPr>
                <w:sz w:val="20"/>
                <w:szCs w:val="20"/>
                <w:color w:val="auto"/>
              </w:rPr>
            </w:pPr>
            <w:r>
              <w:rPr>
                <w:rFonts w:ascii="Arial" w:cs="Arial" w:eastAsia="Arial" w:hAnsi="Arial"/>
                <w:sz w:val="14"/>
                <w:szCs w:val="14"/>
                <w:color w:val="auto"/>
              </w:rPr>
              <w:t>(5,554.4)</w:t>
            </w:r>
          </w:p>
        </w:tc>
        <w:tc>
          <w:tcPr>
            <w:tcW w:w="80" w:type="dxa"/>
            <w:vAlign w:val="bottom"/>
          </w:tcPr>
          <w:p>
            <w:pPr>
              <w:spacing w:after="0"/>
              <w:rPr>
                <w:sz w:val="12"/>
                <w:szCs w:val="12"/>
                <w:color w:val="auto"/>
              </w:rPr>
            </w:pPr>
          </w:p>
        </w:tc>
        <w:tc>
          <w:tcPr>
            <w:tcW w:w="9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(5,554.4)</w:t>
            </w:r>
          </w:p>
        </w:tc>
      </w:tr>
      <w:tr>
        <w:trPr>
          <w:trHeight w:val="142"/>
        </w:trPr>
        <w:tc>
          <w:tcPr>
            <w:tcW w:w="20" w:type="dxa"/>
            <w:vAlign w:val="bottom"/>
          </w:tcPr>
          <w:p>
            <w:pPr>
              <w:spacing w:after="0"/>
              <w:rPr>
                <w:sz w:val="12"/>
                <w:szCs w:val="12"/>
                <w:color w:val="auto"/>
              </w:rPr>
            </w:pPr>
          </w:p>
        </w:tc>
        <w:tc>
          <w:tcPr>
            <w:tcW w:w="708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stockholders' equity attributable to Principal Financial Group, Inc.</w:t>
            </w:r>
          </w:p>
        </w:tc>
        <w:tc>
          <w:tcPr>
            <w:tcW w:w="120" w:type="dxa"/>
            <w:vAlign w:val="bottom"/>
            <w:tcBorders>
              <w:top w:val="single" w:sz="8" w:color="auto"/>
            </w:tcBorders>
            <w:shd w:val="clear" w:color="auto" w:fill="CCEEFF"/>
          </w:tcPr>
          <w:p>
            <w:pPr>
              <w:spacing w:after="0"/>
              <w:rPr>
                <w:sz w:val="12"/>
                <w:szCs w:val="12"/>
                <w:color w:val="auto"/>
              </w:rPr>
            </w:pPr>
          </w:p>
        </w:tc>
        <w:tc>
          <w:tcPr>
            <w:tcW w:w="76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9,753.2</w:t>
            </w:r>
          </w:p>
        </w:tc>
        <w:tc>
          <w:tcPr>
            <w:tcW w:w="16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76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9,683.4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080" w:type="dxa"/>
            <w:vAlign w:val="bottom"/>
          </w:tcPr>
          <w:p>
            <w:pPr>
              <w:spacing w:after="0" w:line="149" w:lineRule="exact"/>
              <w:rPr>
                <w:sz w:val="20"/>
                <w:szCs w:val="20"/>
                <w:color w:val="auto"/>
              </w:rPr>
            </w:pPr>
            <w:r>
              <w:rPr>
                <w:rFonts w:ascii="Arial" w:cs="Arial" w:eastAsia="Arial" w:hAnsi="Arial"/>
                <w:sz w:val="14"/>
                <w:szCs w:val="14"/>
                <w:color w:val="auto"/>
              </w:rPr>
              <w:t>Noncontrolling interest</w:t>
            </w:r>
          </w:p>
        </w:tc>
        <w:tc>
          <w:tcPr>
            <w:tcW w:w="12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20.0</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20.0</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708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stockholders' equity</w:t>
            </w:r>
          </w:p>
        </w:tc>
        <w:tc>
          <w:tcPr>
            <w:tcW w:w="12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9,773.2</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9,703.4</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7080" w:type="dxa"/>
            <w:vAlign w:val="bottom"/>
          </w:tcPr>
          <w:p>
            <w:pPr>
              <w:ind w:left="140"/>
              <w:spacing w:after="0" w:line="142" w:lineRule="exact"/>
              <w:rPr>
                <w:sz w:val="20"/>
                <w:szCs w:val="20"/>
                <w:color w:val="auto"/>
              </w:rPr>
            </w:pPr>
            <w:r>
              <w:rPr>
                <w:rFonts w:ascii="Arial" w:cs="Arial" w:eastAsia="Arial" w:hAnsi="Arial"/>
                <w:sz w:val="14"/>
                <w:szCs w:val="14"/>
                <w:color w:val="auto"/>
              </w:rPr>
              <w:t>Total liabilities and stockholders' equity</w:t>
            </w:r>
          </w:p>
        </w:tc>
        <w:tc>
          <w:tcPr>
            <w:tcW w:w="120" w:type="dxa"/>
            <w:vAlign w:val="bottom"/>
            <w:tcBorders>
              <w:bottom w:val="single" w:sz="8" w:color="auto"/>
            </w:tcBorders>
          </w:tcPr>
          <w:p>
            <w:pPr>
              <w:jc w:val="right"/>
              <w:ind w:right="6"/>
              <w:spacing w:after="0"/>
              <w:rPr>
                <w:sz w:val="20"/>
                <w:szCs w:val="20"/>
                <w:color w:val="auto"/>
              </w:rPr>
            </w:pPr>
            <w:r>
              <w:rPr>
                <w:rFonts w:ascii="Arial" w:cs="Arial" w:eastAsia="Arial" w:hAnsi="Arial"/>
                <w:sz w:val="10"/>
                <w:szCs w:val="10"/>
                <w:color w:val="auto"/>
                <w:w w:val="71"/>
              </w:rPr>
              <w:t>$</w:t>
            </w:r>
          </w:p>
        </w:tc>
        <w:tc>
          <w:tcPr>
            <w:tcW w:w="7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161,926.5</w:t>
            </w:r>
          </w:p>
        </w:tc>
        <w:tc>
          <w:tcPr>
            <w:tcW w:w="160" w:type="dxa"/>
            <w:vAlign w:val="bottom"/>
          </w:tcPr>
          <w:p>
            <w:pPr>
              <w:spacing w:after="0"/>
              <w:rPr>
                <w:sz w:val="12"/>
                <w:szCs w:val="12"/>
                <w:color w:val="auto"/>
              </w:rPr>
            </w:pPr>
          </w:p>
        </w:tc>
        <w:tc>
          <w:tcPr>
            <w:tcW w:w="8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161,830.2</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70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96" w:name="page97"/>
    <w:bookmarkEnd w:id="9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Nature of Operations and Significant Accounting Policies — (continued)</w:t>
      </w:r>
    </w:p>
    <w:p>
      <w:pPr>
        <w:spacing w:after="0" w:line="200" w:lineRule="exact"/>
        <w:rPr>
          <w:sz w:val="20"/>
          <w:szCs w:val="20"/>
          <w:color w:val="auto"/>
        </w:rPr>
      </w:pPr>
    </w:p>
    <w:p>
      <w:pPr>
        <w:spacing w:after="0" w:line="241" w:lineRule="exact"/>
        <w:rPr>
          <w:sz w:val="20"/>
          <w:szCs w:val="20"/>
          <w:color w:val="auto"/>
        </w:rPr>
      </w:pPr>
    </w:p>
    <w:p>
      <w:pPr>
        <w:ind w:left="4540"/>
        <w:spacing w:after="0"/>
        <w:rPr>
          <w:sz w:val="20"/>
          <w:szCs w:val="20"/>
          <w:color w:val="auto"/>
        </w:rPr>
      </w:pPr>
      <w:r>
        <w:rPr>
          <w:rFonts w:ascii="Arial" w:cs="Arial" w:eastAsia="Arial" w:hAnsi="Arial"/>
          <w:sz w:val="18"/>
          <w:szCs w:val="18"/>
          <w:b w:val="1"/>
          <w:bCs w:val="1"/>
          <w:color w:val="auto"/>
        </w:rPr>
        <w:t>Principal Financial Group, Inc.</w:t>
      </w:r>
    </w:p>
    <w:p>
      <w:pPr>
        <w:spacing w:after="0" w:line="21" w:lineRule="exact"/>
        <w:rPr>
          <w:sz w:val="20"/>
          <w:szCs w:val="20"/>
          <w:color w:val="auto"/>
        </w:rPr>
      </w:pPr>
    </w:p>
    <w:p>
      <w:pPr>
        <w:ind w:left="4220"/>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0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920" w:type="dxa"/>
            <w:vAlign w:val="bottom"/>
            <w:gridSpan w:val="6"/>
          </w:tcPr>
          <w:p>
            <w:pPr>
              <w:jc w:val="right"/>
              <w:ind w:right="580"/>
              <w:spacing w:after="0"/>
              <w:rPr>
                <w:sz w:val="20"/>
                <w:szCs w:val="20"/>
                <w:color w:val="auto"/>
              </w:rPr>
            </w:pPr>
            <w:r>
              <w:rPr>
                <w:rFonts w:ascii="Arial" w:cs="Arial" w:eastAsia="Arial" w:hAnsi="Arial"/>
                <w:sz w:val="14"/>
                <w:szCs w:val="14"/>
                <w:b w:val="1"/>
                <w:bCs w:val="1"/>
                <w:color w:val="auto"/>
              </w:rPr>
              <w:t>For the year ended</w:t>
            </w:r>
          </w:p>
        </w:tc>
        <w:tc>
          <w:tcPr>
            <w:tcW w:w="120" w:type="dxa"/>
            <w:vAlign w:val="bottom"/>
          </w:tcPr>
          <w:p>
            <w:pPr>
              <w:spacing w:after="0"/>
              <w:rPr>
                <w:sz w:val="14"/>
                <w:szCs w:val="14"/>
                <w:color w:val="auto"/>
              </w:rPr>
            </w:pPr>
          </w:p>
        </w:tc>
        <w:tc>
          <w:tcPr>
            <w:tcW w:w="1920" w:type="dxa"/>
            <w:vAlign w:val="bottom"/>
            <w:gridSpan w:val="5"/>
          </w:tcPr>
          <w:p>
            <w:pPr>
              <w:jc w:val="right"/>
              <w:ind w:right="560"/>
              <w:spacing w:after="0"/>
              <w:rPr>
                <w:sz w:val="20"/>
                <w:szCs w:val="20"/>
                <w:color w:val="auto"/>
              </w:rPr>
            </w:pPr>
            <w:r>
              <w:rPr>
                <w:rFonts w:ascii="Arial" w:cs="Arial" w:eastAsia="Arial" w:hAnsi="Arial"/>
                <w:sz w:val="14"/>
                <w:szCs w:val="14"/>
                <w:b w:val="1"/>
                <w:bCs w:val="1"/>
                <w:color w:val="auto"/>
              </w:rPr>
              <w:t>For the year ended</w:t>
            </w:r>
          </w:p>
        </w:tc>
      </w:tr>
      <w:tr>
        <w:trPr>
          <w:trHeight w:val="161"/>
        </w:trPr>
        <w:tc>
          <w:tcPr>
            <w:tcW w:w="20" w:type="dxa"/>
            <w:vAlign w:val="bottom"/>
          </w:tcPr>
          <w:p>
            <w:pPr>
              <w:spacing w:after="0"/>
              <w:rPr>
                <w:sz w:val="14"/>
                <w:szCs w:val="14"/>
                <w:color w:val="auto"/>
              </w:rPr>
            </w:pPr>
          </w:p>
        </w:tc>
        <w:tc>
          <w:tcPr>
            <w:tcW w:w="50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920" w:type="dxa"/>
            <w:vAlign w:val="bottom"/>
            <w:gridSpan w:val="6"/>
          </w:tcPr>
          <w:p>
            <w:pPr>
              <w:jc w:val="right"/>
              <w:ind w:right="580"/>
              <w:spacing w:after="0"/>
              <w:rPr>
                <w:sz w:val="20"/>
                <w:szCs w:val="20"/>
                <w:color w:val="auto"/>
              </w:rPr>
            </w:pPr>
            <w:r>
              <w:rPr>
                <w:rFonts w:ascii="Arial" w:cs="Arial" w:eastAsia="Arial" w:hAnsi="Arial"/>
                <w:sz w:val="14"/>
                <w:szCs w:val="14"/>
                <w:b w:val="1"/>
                <w:bCs w:val="1"/>
                <w:color w:val="auto"/>
              </w:rPr>
              <w:t>December 31, 2012</w:t>
            </w:r>
          </w:p>
        </w:tc>
        <w:tc>
          <w:tcPr>
            <w:tcW w:w="120" w:type="dxa"/>
            <w:vAlign w:val="bottom"/>
          </w:tcPr>
          <w:p>
            <w:pPr>
              <w:spacing w:after="0"/>
              <w:rPr>
                <w:sz w:val="14"/>
                <w:szCs w:val="14"/>
                <w:color w:val="auto"/>
              </w:rPr>
            </w:pPr>
          </w:p>
        </w:tc>
        <w:tc>
          <w:tcPr>
            <w:tcW w:w="1920" w:type="dxa"/>
            <w:vAlign w:val="bottom"/>
            <w:gridSpan w:val="5"/>
          </w:tcPr>
          <w:p>
            <w:pPr>
              <w:jc w:val="right"/>
              <w:ind w:right="560"/>
              <w:spacing w:after="0"/>
              <w:rPr>
                <w:sz w:val="20"/>
                <w:szCs w:val="20"/>
                <w:color w:val="auto"/>
              </w:rPr>
            </w:pPr>
            <w:r>
              <w:rPr>
                <w:rFonts w:ascii="Arial" w:cs="Arial" w:eastAsia="Arial" w:hAnsi="Arial"/>
                <w:sz w:val="14"/>
                <w:szCs w:val="14"/>
                <w:b w:val="1"/>
                <w:bCs w:val="1"/>
                <w:color w:val="auto"/>
              </w:rPr>
              <w:t>December 31, 2011</w:t>
            </w:r>
          </w:p>
        </w:tc>
      </w:tr>
      <w:tr>
        <w:trPr>
          <w:trHeight w:val="129"/>
        </w:trPr>
        <w:tc>
          <w:tcPr>
            <w:tcW w:w="20" w:type="dxa"/>
            <w:vAlign w:val="bottom"/>
          </w:tcPr>
          <w:p>
            <w:pPr>
              <w:spacing w:after="0"/>
              <w:rPr>
                <w:sz w:val="11"/>
                <w:szCs w:val="11"/>
                <w:color w:val="auto"/>
              </w:rPr>
            </w:pPr>
          </w:p>
        </w:tc>
        <w:tc>
          <w:tcPr>
            <w:tcW w:w="5020" w:type="dxa"/>
            <w:vAlign w:val="bottom"/>
          </w:tcPr>
          <w:p>
            <w:pPr>
              <w:spacing w:after="0"/>
              <w:rPr>
                <w:sz w:val="11"/>
                <w:szCs w:val="11"/>
                <w:color w:val="auto"/>
              </w:rPr>
            </w:pPr>
          </w:p>
        </w:tc>
        <w:tc>
          <w:tcPr>
            <w:tcW w:w="960" w:type="dxa"/>
            <w:vAlign w:val="bottom"/>
            <w:tcBorders>
              <w:top w:val="single" w:sz="8" w:color="auto"/>
            </w:tcBorders>
            <w:gridSpan w:val="3"/>
          </w:tcPr>
          <w:p>
            <w:pPr>
              <w:jc w:val="right"/>
              <w:ind w:right="160"/>
              <w:spacing w:after="0" w:line="129" w:lineRule="exact"/>
              <w:rPr>
                <w:sz w:val="20"/>
                <w:szCs w:val="20"/>
                <w:color w:val="auto"/>
              </w:rPr>
            </w:pPr>
            <w:r>
              <w:rPr>
                <w:rFonts w:ascii="Arial" w:cs="Arial" w:eastAsia="Arial" w:hAnsi="Arial"/>
                <w:sz w:val="14"/>
                <w:szCs w:val="14"/>
                <w:b w:val="1"/>
                <w:bCs w:val="1"/>
                <w:color w:val="auto"/>
                <w:w w:val="92"/>
              </w:rPr>
              <w:t>As originally</w:t>
            </w:r>
          </w:p>
        </w:tc>
        <w:tc>
          <w:tcPr>
            <w:tcW w:w="10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Borders>
              <w:top w:val="single" w:sz="8" w:color="auto"/>
            </w:tcBorders>
            <w:gridSpan w:val="3"/>
          </w:tcPr>
          <w:p>
            <w:pPr>
              <w:jc w:val="right"/>
              <w:ind w:right="240"/>
              <w:spacing w:after="0" w:line="129" w:lineRule="exact"/>
              <w:rPr>
                <w:sz w:val="20"/>
                <w:szCs w:val="20"/>
                <w:color w:val="auto"/>
              </w:rPr>
            </w:pPr>
            <w:r>
              <w:rPr>
                <w:rFonts w:ascii="Arial" w:cs="Arial" w:eastAsia="Arial" w:hAnsi="Arial"/>
                <w:sz w:val="14"/>
                <w:szCs w:val="14"/>
                <w:b w:val="1"/>
                <w:bCs w:val="1"/>
                <w:color w:val="auto"/>
                <w:w w:val="92"/>
              </w:rPr>
              <w:t>As originally</w:t>
            </w:r>
          </w:p>
        </w:tc>
        <w:tc>
          <w:tcPr>
            <w:tcW w:w="8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r>
      <w:tr>
        <w:trPr>
          <w:trHeight w:val="161"/>
        </w:trPr>
        <w:tc>
          <w:tcPr>
            <w:tcW w:w="20" w:type="dxa"/>
            <w:vAlign w:val="bottom"/>
          </w:tcPr>
          <w:p>
            <w:pPr>
              <w:spacing w:after="0"/>
              <w:rPr>
                <w:sz w:val="14"/>
                <w:szCs w:val="14"/>
                <w:color w:val="auto"/>
              </w:rPr>
            </w:pPr>
          </w:p>
        </w:tc>
        <w:tc>
          <w:tcPr>
            <w:tcW w:w="50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52"/>
              <w:spacing w:after="0"/>
              <w:rPr>
                <w:sz w:val="20"/>
                <w:szCs w:val="20"/>
                <w:color w:val="auto"/>
              </w:rPr>
            </w:pPr>
            <w:r>
              <w:rPr>
                <w:rFonts w:ascii="Arial" w:cs="Arial" w:eastAsia="Arial" w:hAnsi="Arial"/>
                <w:sz w:val="14"/>
                <w:szCs w:val="14"/>
                <w:b w:val="1"/>
                <w:bCs w:val="1"/>
                <w:color w:val="auto"/>
                <w:w w:val="91"/>
              </w:rPr>
              <w:t>reported</w:t>
            </w: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3"/>
              </w:rPr>
              <w:t>As adjusted</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b w:val="1"/>
                <w:bCs w:val="1"/>
                <w:color w:val="auto"/>
                <w:w w:val="95"/>
              </w:rPr>
              <w:t>reported</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3"/>
              </w:rPr>
              <w:t>As adjusted</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50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140" w:type="dxa"/>
            <w:vAlign w:val="bottom"/>
            <w:gridSpan w:val="7"/>
          </w:tcPr>
          <w:p>
            <w:pPr>
              <w:jc w:val="right"/>
              <w:ind w:right="160"/>
              <w:spacing w:after="0" w:line="142" w:lineRule="exact"/>
              <w:rPr>
                <w:sz w:val="20"/>
                <w:szCs w:val="20"/>
                <w:color w:val="auto"/>
              </w:rPr>
            </w:pPr>
            <w:r>
              <w:rPr>
                <w:rFonts w:ascii="Arial" w:cs="Arial" w:eastAsia="Arial" w:hAnsi="Arial"/>
                <w:sz w:val="14"/>
                <w:szCs w:val="14"/>
                <w:b w:val="1"/>
                <w:bCs w:val="1"/>
                <w:i w:val="1"/>
                <w:iCs w:val="1"/>
                <w:color w:val="auto"/>
                <w:w w:val="85"/>
              </w:rPr>
              <w:t>(in millions, except per share data)</w:t>
            </w: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Revenues</w:t>
            </w: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20" w:type="dxa"/>
            <w:vAlign w:val="bottom"/>
          </w:tcPr>
          <w:p>
            <w:pPr>
              <w:spacing w:after="0" w:line="149" w:lineRule="exact"/>
              <w:rPr>
                <w:sz w:val="20"/>
                <w:szCs w:val="20"/>
                <w:color w:val="auto"/>
              </w:rPr>
            </w:pPr>
            <w:r>
              <w:rPr>
                <w:rFonts w:ascii="Arial" w:cs="Arial" w:eastAsia="Arial" w:hAnsi="Arial"/>
                <w:sz w:val="14"/>
                <w:szCs w:val="14"/>
                <w:color w:val="auto"/>
              </w:rPr>
              <w:t>Premiums and other considerations</w:t>
            </w:r>
          </w:p>
        </w:tc>
        <w:tc>
          <w:tcPr>
            <w:tcW w:w="14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3,219.4</w:t>
            </w:r>
          </w:p>
        </w:tc>
        <w:tc>
          <w:tcPr>
            <w:tcW w:w="60" w:type="dxa"/>
            <w:vAlign w:val="bottom"/>
          </w:tcPr>
          <w:p>
            <w:pPr>
              <w:spacing w:after="0"/>
              <w:rPr>
                <w:sz w:val="12"/>
                <w:szCs w:val="12"/>
                <w:color w:val="auto"/>
              </w:rPr>
            </w:pP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3,219.4</w:t>
            </w:r>
          </w:p>
        </w:tc>
        <w:tc>
          <w:tcPr>
            <w:tcW w:w="160" w:type="dxa"/>
            <w:vAlign w:val="bottom"/>
          </w:tcPr>
          <w:p>
            <w:pPr>
              <w:spacing w:after="0"/>
              <w:rPr>
                <w:sz w:val="12"/>
                <w:szCs w:val="12"/>
                <w:color w:val="auto"/>
              </w:rPr>
            </w:pPr>
          </w:p>
        </w:tc>
        <w:tc>
          <w:tcPr>
            <w:tcW w:w="120" w:type="dxa"/>
            <w:vAlign w:val="bottom"/>
          </w:tcPr>
          <w:p>
            <w:pPr>
              <w:jc w:val="right"/>
              <w:ind w:right="6"/>
              <w:spacing w:after="0"/>
              <w:rPr>
                <w:sz w:val="20"/>
                <w:szCs w:val="20"/>
                <w:color w:val="auto"/>
              </w:rPr>
            </w:pPr>
            <w:r>
              <w:rPr>
                <w:rFonts w:ascii="Arial" w:cs="Arial" w:eastAsia="Arial" w:hAnsi="Arial"/>
                <w:sz w:val="10"/>
                <w:szCs w:val="10"/>
                <w:color w:val="auto"/>
                <w:w w:val="71"/>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2,891.0</w:t>
            </w:r>
          </w:p>
        </w:tc>
        <w:tc>
          <w:tcPr>
            <w:tcW w:w="160" w:type="dxa"/>
            <w:vAlign w:val="bottom"/>
          </w:tcPr>
          <w:p>
            <w:pPr>
              <w:spacing w:after="0"/>
              <w:rPr>
                <w:sz w:val="12"/>
                <w:szCs w:val="12"/>
                <w:color w:val="auto"/>
              </w:rPr>
            </w:pP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2,891.0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Fees and other revenues</w:t>
            </w: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2,626.7</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2,626.7</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2,526.7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2,526.7</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20" w:type="dxa"/>
            <w:vAlign w:val="bottom"/>
          </w:tcPr>
          <w:p>
            <w:pPr>
              <w:spacing w:after="0" w:line="149" w:lineRule="exact"/>
              <w:rPr>
                <w:sz w:val="20"/>
                <w:szCs w:val="20"/>
                <w:color w:val="auto"/>
              </w:rPr>
            </w:pPr>
            <w:r>
              <w:rPr>
                <w:rFonts w:ascii="Arial" w:cs="Arial" w:eastAsia="Arial" w:hAnsi="Arial"/>
                <w:sz w:val="14"/>
                <w:szCs w:val="14"/>
                <w:color w:val="auto"/>
              </w:rPr>
              <w:t>Net investment income</w:t>
            </w:r>
          </w:p>
        </w:tc>
        <w:tc>
          <w:tcPr>
            <w:tcW w:w="14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3,254.9</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3,254.9</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3,375.3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3,375.3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93"/>
              </w:rPr>
              <w:t>Net realized capital gains, excluding impairment losses on available-for-sale securities</w:t>
            </w: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232.7</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232.7</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75.0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75.0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20" w:type="dxa"/>
            <w:vAlign w:val="bottom"/>
          </w:tcPr>
          <w:p>
            <w:pPr>
              <w:spacing w:after="0" w:line="149" w:lineRule="exact"/>
              <w:rPr>
                <w:sz w:val="20"/>
                <w:szCs w:val="20"/>
                <w:color w:val="auto"/>
              </w:rPr>
            </w:pPr>
            <w:r>
              <w:rPr>
                <w:rFonts w:ascii="Arial" w:cs="Arial" w:eastAsia="Arial" w:hAnsi="Arial"/>
                <w:sz w:val="14"/>
                <w:szCs w:val="14"/>
                <w:color w:val="auto"/>
              </w:rPr>
              <w:t>Total other-than-temporary impairment losses on available-for- sale securities</w:t>
            </w:r>
          </w:p>
        </w:tc>
        <w:tc>
          <w:tcPr>
            <w:tcW w:w="140" w:type="dxa"/>
            <w:vAlign w:val="bottom"/>
          </w:tcPr>
          <w:p>
            <w:pPr>
              <w:spacing w:after="0"/>
              <w:rPr>
                <w:sz w:val="12"/>
                <w:szCs w:val="12"/>
                <w:color w:val="auto"/>
              </w:rPr>
            </w:pPr>
          </w:p>
        </w:tc>
        <w:tc>
          <w:tcPr>
            <w:tcW w:w="82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(135.9)</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(135.9)</w:t>
            </w:r>
          </w:p>
        </w:tc>
        <w:tc>
          <w:tcPr>
            <w:tcW w:w="120" w:type="dxa"/>
            <w:vAlign w:val="bottom"/>
          </w:tcPr>
          <w:p>
            <w:pPr>
              <w:spacing w:after="0"/>
              <w:rPr>
                <w:sz w:val="12"/>
                <w:szCs w:val="12"/>
                <w:color w:val="auto"/>
              </w:rPr>
            </w:pPr>
          </w:p>
        </w:tc>
        <w:tc>
          <w:tcPr>
            <w:tcW w:w="9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(147.6)</w:t>
            </w:r>
          </w:p>
        </w:tc>
        <w:tc>
          <w:tcPr>
            <w:tcW w:w="80" w:type="dxa"/>
            <w:vAlign w:val="bottom"/>
          </w:tcPr>
          <w:p>
            <w:pPr>
              <w:spacing w:after="0"/>
              <w:rPr>
                <w:sz w:val="12"/>
                <w:szCs w:val="12"/>
                <w:color w:val="auto"/>
              </w:rPr>
            </w:pPr>
          </w:p>
        </w:tc>
        <w:tc>
          <w:tcPr>
            <w:tcW w:w="9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(147.6)</w:t>
            </w:r>
          </w:p>
        </w:tc>
      </w:tr>
      <w:tr>
        <w:trPr>
          <w:trHeight w:val="138"/>
        </w:trPr>
        <w:tc>
          <w:tcPr>
            <w:tcW w:w="20" w:type="dxa"/>
            <w:vAlign w:val="bottom"/>
          </w:tcPr>
          <w:p>
            <w:pPr>
              <w:spacing w:after="0"/>
              <w:rPr>
                <w:sz w:val="11"/>
                <w:szCs w:val="11"/>
                <w:color w:val="auto"/>
              </w:rPr>
            </w:pPr>
          </w:p>
        </w:tc>
        <w:tc>
          <w:tcPr>
            <w:tcW w:w="502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Other-than-temporary impairment losses on fixed maturities, available-for-sale</w:t>
            </w:r>
          </w:p>
        </w:tc>
        <w:tc>
          <w:tcPr>
            <w:tcW w:w="14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r>
      <w:tr>
        <w:trPr>
          <w:trHeight w:val="159"/>
        </w:trPr>
        <w:tc>
          <w:tcPr>
            <w:tcW w:w="20" w:type="dxa"/>
            <w:vAlign w:val="bottom"/>
          </w:tcPr>
          <w:p>
            <w:pPr>
              <w:spacing w:after="0"/>
              <w:rPr>
                <w:sz w:val="13"/>
                <w:szCs w:val="13"/>
                <w:color w:val="auto"/>
              </w:rPr>
            </w:pPr>
          </w:p>
        </w:tc>
        <w:tc>
          <w:tcPr>
            <w:tcW w:w="502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reclassified to (from) other comprehensive income</w:t>
            </w:r>
          </w:p>
        </w:tc>
        <w:tc>
          <w:tcPr>
            <w:tcW w:w="140" w:type="dxa"/>
            <w:vAlign w:val="bottom"/>
            <w:shd w:val="clear" w:color="auto" w:fill="CCEEFF"/>
          </w:tcPr>
          <w:p>
            <w:pPr>
              <w:spacing w:after="0"/>
              <w:rPr>
                <w:sz w:val="13"/>
                <w:szCs w:val="13"/>
                <w:color w:val="auto"/>
              </w:rPr>
            </w:pPr>
          </w:p>
        </w:tc>
        <w:tc>
          <w:tcPr>
            <w:tcW w:w="7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17.3</w:t>
            </w:r>
          </w:p>
        </w:tc>
        <w:tc>
          <w:tcPr>
            <w:tcW w:w="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17.3</w:t>
            </w:r>
          </w:p>
        </w:tc>
        <w:tc>
          <w:tcPr>
            <w:tcW w:w="1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92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(49.7)</w:t>
            </w:r>
          </w:p>
        </w:tc>
        <w:tc>
          <w:tcPr>
            <w:tcW w:w="80" w:type="dxa"/>
            <w:vAlign w:val="bottom"/>
            <w:shd w:val="clear" w:color="auto" w:fill="CCEEFF"/>
          </w:tcPr>
          <w:p>
            <w:pPr>
              <w:spacing w:after="0"/>
              <w:rPr>
                <w:sz w:val="13"/>
                <w:szCs w:val="13"/>
                <w:color w:val="auto"/>
              </w:rPr>
            </w:pPr>
          </w:p>
        </w:tc>
        <w:tc>
          <w:tcPr>
            <w:tcW w:w="92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(49.7)</w:t>
            </w:r>
          </w:p>
        </w:tc>
      </w:tr>
      <w:tr>
        <w:trPr>
          <w:trHeight w:val="142"/>
        </w:trPr>
        <w:tc>
          <w:tcPr>
            <w:tcW w:w="5040" w:type="dxa"/>
            <w:vAlign w:val="bottom"/>
            <w:gridSpan w:val="2"/>
          </w:tcPr>
          <w:p>
            <w:pPr>
              <w:spacing w:after="0" w:line="142" w:lineRule="exact"/>
              <w:rPr>
                <w:sz w:val="20"/>
                <w:szCs w:val="20"/>
                <w:color w:val="auto"/>
              </w:rPr>
            </w:pPr>
            <w:r>
              <w:rPr>
                <w:rFonts w:ascii="Arial" w:cs="Arial" w:eastAsia="Arial" w:hAnsi="Arial"/>
                <w:sz w:val="14"/>
                <w:szCs w:val="14"/>
                <w:color w:val="auto"/>
              </w:rPr>
              <w:t>Net impairment losses on available-for-sale securities</w:t>
            </w:r>
          </w:p>
        </w:tc>
        <w:tc>
          <w:tcPr>
            <w:tcW w:w="14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(118.6)</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(118.6)</w:t>
            </w:r>
          </w:p>
        </w:tc>
        <w:tc>
          <w:tcPr>
            <w:tcW w:w="16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(197.3)</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(197.3)</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50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realized capital gains (losses)</w:t>
            </w: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114.1</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114.1</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(122.3)</w:t>
            </w:r>
          </w:p>
        </w:tc>
        <w:tc>
          <w:tcPr>
            <w:tcW w:w="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(122.3)</w:t>
            </w:r>
          </w:p>
        </w:tc>
      </w:tr>
      <w:tr>
        <w:trPr>
          <w:trHeight w:val="142"/>
        </w:trPr>
        <w:tc>
          <w:tcPr>
            <w:tcW w:w="20" w:type="dxa"/>
            <w:vAlign w:val="bottom"/>
          </w:tcPr>
          <w:p>
            <w:pPr>
              <w:spacing w:after="0"/>
              <w:rPr>
                <w:sz w:val="12"/>
                <w:szCs w:val="12"/>
                <w:color w:val="auto"/>
              </w:rPr>
            </w:pPr>
          </w:p>
        </w:tc>
        <w:tc>
          <w:tcPr>
            <w:tcW w:w="5020" w:type="dxa"/>
            <w:vAlign w:val="bottom"/>
          </w:tcPr>
          <w:p>
            <w:pPr>
              <w:ind w:left="140"/>
              <w:spacing w:after="0" w:line="142" w:lineRule="exact"/>
              <w:rPr>
                <w:sz w:val="20"/>
                <w:szCs w:val="20"/>
                <w:color w:val="auto"/>
              </w:rPr>
            </w:pPr>
            <w:r>
              <w:rPr>
                <w:rFonts w:ascii="Arial" w:cs="Arial" w:eastAsia="Arial" w:hAnsi="Arial"/>
                <w:sz w:val="14"/>
                <w:szCs w:val="14"/>
                <w:color w:val="auto"/>
              </w:rPr>
              <w:t>Total revenues</w:t>
            </w:r>
          </w:p>
        </w:tc>
        <w:tc>
          <w:tcPr>
            <w:tcW w:w="14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9,215.1</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9,215.1</w:t>
            </w:r>
          </w:p>
        </w:tc>
        <w:tc>
          <w:tcPr>
            <w:tcW w:w="1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8,670.7</w:t>
            </w: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8,670.7</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Expenses</w:t>
            </w: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20" w:type="dxa"/>
            <w:vAlign w:val="bottom"/>
          </w:tcPr>
          <w:p>
            <w:pPr>
              <w:spacing w:after="0" w:line="149" w:lineRule="exact"/>
              <w:rPr>
                <w:sz w:val="20"/>
                <w:szCs w:val="20"/>
                <w:color w:val="auto"/>
              </w:rPr>
            </w:pPr>
            <w:r>
              <w:rPr>
                <w:rFonts w:ascii="Arial" w:cs="Arial" w:eastAsia="Arial" w:hAnsi="Arial"/>
                <w:sz w:val="14"/>
                <w:szCs w:val="14"/>
                <w:color w:val="auto"/>
              </w:rPr>
              <w:t>Benefits, claims and settlement expenses</w:t>
            </w:r>
          </w:p>
        </w:tc>
        <w:tc>
          <w:tcPr>
            <w:tcW w:w="14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5,123.9</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5,123.9</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4,616.6</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4,616.6</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Dividends to policyholders</w:t>
            </w: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197.7</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197.7</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210.2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210.2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20" w:type="dxa"/>
            <w:vAlign w:val="bottom"/>
          </w:tcPr>
          <w:p>
            <w:pPr>
              <w:spacing w:after="0" w:line="149" w:lineRule="exact"/>
              <w:rPr>
                <w:sz w:val="20"/>
                <w:szCs w:val="20"/>
                <w:color w:val="auto"/>
              </w:rPr>
            </w:pPr>
            <w:r>
              <w:rPr>
                <w:rFonts w:ascii="Arial" w:cs="Arial" w:eastAsia="Arial" w:hAnsi="Arial"/>
                <w:sz w:val="14"/>
                <w:szCs w:val="14"/>
                <w:color w:val="auto"/>
              </w:rPr>
              <w:t>Operating expenses</w:t>
            </w:r>
          </w:p>
        </w:tc>
        <w:tc>
          <w:tcPr>
            <w:tcW w:w="14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2,934.1</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2,933.5</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2,950.8</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2,971.1</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502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expenses</w:t>
            </w:r>
          </w:p>
        </w:tc>
        <w:tc>
          <w:tcPr>
            <w:tcW w:w="14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8,255.7</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7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8,255.1</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7,777.6</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7,797.9</w:t>
            </w:r>
          </w:p>
        </w:tc>
        <w:tc>
          <w:tcPr>
            <w:tcW w:w="160" w:type="dxa"/>
            <w:vAlign w:val="bottom"/>
            <w:shd w:val="clear" w:color="auto" w:fill="CCEEFF"/>
          </w:tcPr>
          <w:p>
            <w:pPr>
              <w:spacing w:after="0"/>
              <w:rPr>
                <w:sz w:val="12"/>
                <w:szCs w:val="12"/>
                <w:color w:val="auto"/>
              </w:rPr>
            </w:pPr>
          </w:p>
        </w:tc>
      </w:tr>
      <w:tr>
        <w:trPr>
          <w:trHeight w:val="142"/>
        </w:trPr>
        <w:tc>
          <w:tcPr>
            <w:tcW w:w="5040" w:type="dxa"/>
            <w:vAlign w:val="bottom"/>
            <w:gridSpan w:val="2"/>
          </w:tcPr>
          <w:p>
            <w:pPr>
              <w:spacing w:after="0" w:line="142" w:lineRule="exact"/>
              <w:rPr>
                <w:sz w:val="20"/>
                <w:szCs w:val="20"/>
                <w:color w:val="auto"/>
              </w:rPr>
            </w:pPr>
            <w:r>
              <w:rPr>
                <w:rFonts w:ascii="Arial" w:cs="Arial" w:eastAsia="Arial" w:hAnsi="Arial"/>
                <w:sz w:val="14"/>
                <w:szCs w:val="14"/>
                <w:color w:val="auto"/>
              </w:rPr>
              <w:t>Income before income taxes</w:t>
            </w:r>
          </w:p>
        </w:tc>
        <w:tc>
          <w:tcPr>
            <w:tcW w:w="140" w:type="dxa"/>
            <w:vAlign w:val="bottom"/>
          </w:tcPr>
          <w:p>
            <w:pPr>
              <w:spacing w:after="0"/>
              <w:rPr>
                <w:sz w:val="12"/>
                <w:szCs w:val="12"/>
                <w:color w:val="auto"/>
              </w:rPr>
            </w:pPr>
          </w:p>
        </w:tc>
        <w:tc>
          <w:tcPr>
            <w:tcW w:w="760" w:type="dxa"/>
            <w:vAlign w:val="bottom"/>
          </w:tcPr>
          <w:p>
            <w:pPr>
              <w:jc w:val="right"/>
              <w:spacing w:after="0" w:line="142" w:lineRule="exact"/>
              <w:rPr>
                <w:sz w:val="20"/>
                <w:szCs w:val="20"/>
                <w:color w:val="auto"/>
              </w:rPr>
            </w:pPr>
            <w:r>
              <w:rPr>
                <w:rFonts w:ascii="Arial" w:cs="Arial" w:eastAsia="Arial" w:hAnsi="Arial"/>
                <w:sz w:val="14"/>
                <w:szCs w:val="14"/>
                <w:color w:val="auto"/>
              </w:rPr>
              <w:t>959.4</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jc w:val="right"/>
              <w:spacing w:after="0" w:line="142" w:lineRule="exact"/>
              <w:rPr>
                <w:sz w:val="20"/>
                <w:szCs w:val="20"/>
                <w:color w:val="auto"/>
              </w:rPr>
            </w:pPr>
            <w:r>
              <w:rPr>
                <w:rFonts w:ascii="Arial" w:cs="Arial" w:eastAsia="Arial" w:hAnsi="Arial"/>
                <w:sz w:val="14"/>
                <w:szCs w:val="14"/>
                <w:color w:val="auto"/>
              </w:rPr>
              <w:t>960.0</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line="142" w:lineRule="exact"/>
              <w:rPr>
                <w:sz w:val="20"/>
                <w:szCs w:val="20"/>
                <w:color w:val="auto"/>
              </w:rPr>
            </w:pPr>
            <w:r>
              <w:rPr>
                <w:rFonts w:ascii="Arial" w:cs="Arial" w:eastAsia="Arial" w:hAnsi="Arial"/>
                <w:sz w:val="14"/>
                <w:szCs w:val="14"/>
                <w:color w:val="auto"/>
              </w:rPr>
              <w:t>893.1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right"/>
              <w:spacing w:after="0" w:line="142" w:lineRule="exact"/>
              <w:rPr>
                <w:sz w:val="20"/>
                <w:szCs w:val="20"/>
                <w:color w:val="auto"/>
              </w:rPr>
            </w:pPr>
            <w:r>
              <w:rPr>
                <w:rFonts w:ascii="Arial" w:cs="Arial" w:eastAsia="Arial" w:hAnsi="Arial"/>
                <w:sz w:val="14"/>
                <w:szCs w:val="14"/>
                <w:color w:val="auto"/>
              </w:rPr>
              <w:t>872.8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Income taxes</w:t>
            </w:r>
          </w:p>
        </w:tc>
        <w:tc>
          <w:tcPr>
            <w:tcW w:w="14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134.7</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7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134.6</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204.2</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198.3</w:t>
            </w:r>
          </w:p>
        </w:tc>
        <w:tc>
          <w:tcPr>
            <w:tcW w:w="160" w:type="dxa"/>
            <w:vAlign w:val="bottom"/>
            <w:shd w:val="clear" w:color="auto" w:fill="CCEEFF"/>
          </w:tcPr>
          <w:p>
            <w:pPr>
              <w:spacing w:after="0"/>
              <w:rPr>
                <w:sz w:val="12"/>
                <w:szCs w:val="12"/>
                <w:color w:val="auto"/>
              </w:rPr>
            </w:pPr>
          </w:p>
        </w:tc>
      </w:tr>
      <w:tr>
        <w:trPr>
          <w:trHeight w:val="142"/>
        </w:trPr>
        <w:tc>
          <w:tcPr>
            <w:tcW w:w="5040" w:type="dxa"/>
            <w:vAlign w:val="bottom"/>
            <w:gridSpan w:val="2"/>
          </w:tcPr>
          <w:p>
            <w:pPr>
              <w:spacing w:after="0" w:line="142" w:lineRule="exact"/>
              <w:rPr>
                <w:sz w:val="20"/>
                <w:szCs w:val="20"/>
                <w:color w:val="auto"/>
              </w:rPr>
            </w:pPr>
            <w:r>
              <w:rPr>
                <w:rFonts w:ascii="Arial" w:cs="Arial" w:eastAsia="Arial" w:hAnsi="Arial"/>
                <w:sz w:val="14"/>
                <w:szCs w:val="14"/>
                <w:color w:val="auto"/>
              </w:rPr>
              <w:t>Net income</w:t>
            </w:r>
          </w:p>
        </w:tc>
        <w:tc>
          <w:tcPr>
            <w:tcW w:w="140" w:type="dxa"/>
            <w:vAlign w:val="bottom"/>
          </w:tcPr>
          <w:p>
            <w:pPr>
              <w:spacing w:after="0"/>
              <w:rPr>
                <w:sz w:val="12"/>
                <w:szCs w:val="12"/>
                <w:color w:val="auto"/>
              </w:rPr>
            </w:pPr>
          </w:p>
        </w:tc>
        <w:tc>
          <w:tcPr>
            <w:tcW w:w="760" w:type="dxa"/>
            <w:vAlign w:val="bottom"/>
          </w:tcPr>
          <w:p>
            <w:pPr>
              <w:jc w:val="right"/>
              <w:spacing w:after="0" w:line="142" w:lineRule="exact"/>
              <w:rPr>
                <w:sz w:val="20"/>
                <w:szCs w:val="20"/>
                <w:color w:val="auto"/>
              </w:rPr>
            </w:pPr>
            <w:r>
              <w:rPr>
                <w:rFonts w:ascii="Arial" w:cs="Arial" w:eastAsia="Arial" w:hAnsi="Arial"/>
                <w:sz w:val="14"/>
                <w:szCs w:val="14"/>
                <w:color w:val="auto"/>
              </w:rPr>
              <w:t>824.7</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jc w:val="right"/>
              <w:spacing w:after="0" w:line="142" w:lineRule="exact"/>
              <w:rPr>
                <w:sz w:val="20"/>
                <w:szCs w:val="20"/>
                <w:color w:val="auto"/>
              </w:rPr>
            </w:pPr>
            <w:r>
              <w:rPr>
                <w:rFonts w:ascii="Arial" w:cs="Arial" w:eastAsia="Arial" w:hAnsi="Arial"/>
                <w:sz w:val="14"/>
                <w:szCs w:val="14"/>
                <w:color w:val="auto"/>
              </w:rPr>
              <w:t>825.4</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line="142" w:lineRule="exact"/>
              <w:rPr>
                <w:sz w:val="20"/>
                <w:szCs w:val="20"/>
                <w:color w:val="auto"/>
              </w:rPr>
            </w:pPr>
            <w:r>
              <w:rPr>
                <w:rFonts w:ascii="Arial" w:cs="Arial" w:eastAsia="Arial" w:hAnsi="Arial"/>
                <w:sz w:val="14"/>
                <w:szCs w:val="14"/>
                <w:color w:val="auto"/>
              </w:rPr>
              <w:t>688.9</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right"/>
              <w:spacing w:after="0" w:line="142" w:lineRule="exact"/>
              <w:rPr>
                <w:sz w:val="20"/>
                <w:szCs w:val="20"/>
                <w:color w:val="auto"/>
              </w:rPr>
            </w:pPr>
            <w:r>
              <w:rPr>
                <w:rFonts w:ascii="Arial" w:cs="Arial" w:eastAsia="Arial" w:hAnsi="Arial"/>
                <w:sz w:val="14"/>
                <w:szCs w:val="14"/>
                <w:color w:val="auto"/>
              </w:rPr>
              <w:t>674.5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income attributable to noncontrolling interest</w:t>
            </w:r>
          </w:p>
        </w:tc>
        <w:tc>
          <w:tcPr>
            <w:tcW w:w="14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18.8</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7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18.8</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36.2</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36.2</w:t>
            </w:r>
          </w:p>
        </w:tc>
        <w:tc>
          <w:tcPr>
            <w:tcW w:w="160" w:type="dxa"/>
            <w:vAlign w:val="bottom"/>
            <w:shd w:val="clear" w:color="auto" w:fill="CCEEFF"/>
          </w:tcPr>
          <w:p>
            <w:pPr>
              <w:spacing w:after="0"/>
              <w:rPr>
                <w:sz w:val="12"/>
                <w:szCs w:val="12"/>
                <w:color w:val="auto"/>
              </w:rPr>
            </w:pPr>
          </w:p>
        </w:tc>
      </w:tr>
      <w:tr>
        <w:trPr>
          <w:trHeight w:val="142"/>
        </w:trPr>
        <w:tc>
          <w:tcPr>
            <w:tcW w:w="5040" w:type="dxa"/>
            <w:vAlign w:val="bottom"/>
            <w:gridSpan w:val="2"/>
          </w:tcPr>
          <w:p>
            <w:pPr>
              <w:spacing w:after="0" w:line="142" w:lineRule="exact"/>
              <w:rPr>
                <w:sz w:val="20"/>
                <w:szCs w:val="20"/>
                <w:color w:val="auto"/>
              </w:rPr>
            </w:pPr>
            <w:r>
              <w:rPr>
                <w:rFonts w:ascii="Arial" w:cs="Arial" w:eastAsia="Arial" w:hAnsi="Arial"/>
                <w:sz w:val="14"/>
                <w:szCs w:val="14"/>
                <w:color w:val="auto"/>
              </w:rPr>
              <w:t>Net income attributable to Principal Financial Group, Inc.</w:t>
            </w:r>
          </w:p>
        </w:tc>
        <w:tc>
          <w:tcPr>
            <w:tcW w:w="140" w:type="dxa"/>
            <w:vAlign w:val="bottom"/>
          </w:tcPr>
          <w:p>
            <w:pPr>
              <w:spacing w:after="0"/>
              <w:rPr>
                <w:sz w:val="12"/>
                <w:szCs w:val="12"/>
                <w:color w:val="auto"/>
              </w:rPr>
            </w:pPr>
          </w:p>
        </w:tc>
        <w:tc>
          <w:tcPr>
            <w:tcW w:w="760" w:type="dxa"/>
            <w:vAlign w:val="bottom"/>
          </w:tcPr>
          <w:p>
            <w:pPr>
              <w:jc w:val="right"/>
              <w:spacing w:after="0" w:line="142" w:lineRule="exact"/>
              <w:rPr>
                <w:sz w:val="20"/>
                <w:szCs w:val="20"/>
                <w:color w:val="auto"/>
              </w:rPr>
            </w:pPr>
            <w:r>
              <w:rPr>
                <w:rFonts w:ascii="Arial" w:cs="Arial" w:eastAsia="Arial" w:hAnsi="Arial"/>
                <w:sz w:val="14"/>
                <w:szCs w:val="14"/>
                <w:color w:val="auto"/>
              </w:rPr>
              <w:t>805.9</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jc w:val="right"/>
              <w:spacing w:after="0" w:line="142" w:lineRule="exact"/>
              <w:rPr>
                <w:sz w:val="20"/>
                <w:szCs w:val="20"/>
                <w:color w:val="auto"/>
              </w:rPr>
            </w:pPr>
            <w:r>
              <w:rPr>
                <w:rFonts w:ascii="Arial" w:cs="Arial" w:eastAsia="Arial" w:hAnsi="Arial"/>
                <w:sz w:val="14"/>
                <w:szCs w:val="14"/>
                <w:color w:val="auto"/>
              </w:rPr>
              <w:t>806.6</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line="142" w:lineRule="exact"/>
              <w:rPr>
                <w:sz w:val="20"/>
                <w:szCs w:val="20"/>
                <w:color w:val="auto"/>
              </w:rPr>
            </w:pPr>
            <w:r>
              <w:rPr>
                <w:rFonts w:ascii="Arial" w:cs="Arial" w:eastAsia="Arial" w:hAnsi="Arial"/>
                <w:sz w:val="14"/>
                <w:szCs w:val="14"/>
                <w:color w:val="auto"/>
              </w:rPr>
              <w:t>652.7</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right"/>
              <w:spacing w:after="0" w:line="142" w:lineRule="exact"/>
              <w:rPr>
                <w:sz w:val="20"/>
                <w:szCs w:val="20"/>
                <w:color w:val="auto"/>
              </w:rPr>
            </w:pPr>
            <w:r>
              <w:rPr>
                <w:rFonts w:ascii="Arial" w:cs="Arial" w:eastAsia="Arial" w:hAnsi="Arial"/>
                <w:sz w:val="14"/>
                <w:szCs w:val="14"/>
                <w:color w:val="auto"/>
              </w:rPr>
              <w:t>638.3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Preferred stock dividends</w:t>
            </w:r>
          </w:p>
        </w:tc>
        <w:tc>
          <w:tcPr>
            <w:tcW w:w="14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33.0</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7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33.0</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33.0</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33.0</w:t>
            </w:r>
          </w:p>
        </w:tc>
        <w:tc>
          <w:tcPr>
            <w:tcW w:w="160" w:type="dxa"/>
            <w:vAlign w:val="bottom"/>
            <w:shd w:val="clear" w:color="auto" w:fill="CCEEFF"/>
          </w:tcPr>
          <w:p>
            <w:pPr>
              <w:spacing w:after="0"/>
              <w:rPr>
                <w:sz w:val="12"/>
                <w:szCs w:val="12"/>
                <w:color w:val="auto"/>
              </w:rPr>
            </w:pPr>
          </w:p>
        </w:tc>
      </w:tr>
      <w:tr>
        <w:trPr>
          <w:trHeight w:val="142"/>
        </w:trPr>
        <w:tc>
          <w:tcPr>
            <w:tcW w:w="5040" w:type="dxa"/>
            <w:vAlign w:val="bottom"/>
            <w:gridSpan w:val="2"/>
          </w:tcPr>
          <w:p>
            <w:pPr>
              <w:spacing w:after="0" w:line="142" w:lineRule="exact"/>
              <w:rPr>
                <w:sz w:val="20"/>
                <w:szCs w:val="20"/>
                <w:color w:val="auto"/>
              </w:rPr>
            </w:pPr>
            <w:r>
              <w:rPr>
                <w:rFonts w:ascii="Arial" w:cs="Arial" w:eastAsia="Arial" w:hAnsi="Arial"/>
                <w:sz w:val="14"/>
                <w:szCs w:val="14"/>
                <w:color w:val="auto"/>
              </w:rPr>
              <w:t>Net income available to common stockholders</w:t>
            </w:r>
          </w:p>
        </w:tc>
        <w:tc>
          <w:tcPr>
            <w:tcW w:w="1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772.9</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773.6</w:t>
            </w:r>
          </w:p>
        </w:tc>
        <w:tc>
          <w:tcPr>
            <w:tcW w:w="160" w:type="dxa"/>
            <w:vAlign w:val="bottom"/>
          </w:tcPr>
          <w:p>
            <w:pPr>
              <w:spacing w:after="0"/>
              <w:rPr>
                <w:sz w:val="12"/>
                <w:szCs w:val="12"/>
                <w:color w:val="auto"/>
              </w:rPr>
            </w:pPr>
          </w:p>
        </w:tc>
        <w:tc>
          <w:tcPr>
            <w:tcW w:w="120" w:type="dxa"/>
            <w:vAlign w:val="bottom"/>
            <w:tcBorders>
              <w:bottom w:val="single" w:sz="8" w:color="auto"/>
            </w:tcBorders>
          </w:tcPr>
          <w:p>
            <w:pPr>
              <w:jc w:val="right"/>
              <w:ind w:right="6"/>
              <w:spacing w:after="0"/>
              <w:rPr>
                <w:sz w:val="20"/>
                <w:szCs w:val="20"/>
                <w:color w:val="auto"/>
              </w:rPr>
            </w:pPr>
            <w:r>
              <w:rPr>
                <w:rFonts w:ascii="Arial" w:cs="Arial" w:eastAsia="Arial" w:hAnsi="Arial"/>
                <w:sz w:val="10"/>
                <w:szCs w:val="10"/>
                <w:color w:val="auto"/>
                <w:w w:val="71"/>
              </w:rPr>
              <w:t>$</w:t>
            </w:r>
          </w:p>
        </w:tc>
        <w:tc>
          <w:tcPr>
            <w:tcW w:w="7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619.7</w:t>
            </w:r>
          </w:p>
        </w:tc>
        <w:tc>
          <w:tcPr>
            <w:tcW w:w="160" w:type="dxa"/>
            <w:vAlign w:val="bottom"/>
          </w:tcPr>
          <w:p>
            <w:pPr>
              <w:spacing w:after="0"/>
              <w:rPr>
                <w:sz w:val="12"/>
                <w:szCs w:val="12"/>
                <w:color w:val="auto"/>
              </w:rPr>
            </w:pPr>
          </w:p>
        </w:tc>
        <w:tc>
          <w:tcPr>
            <w:tcW w:w="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605.3</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50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5020" w:type="dxa"/>
            <w:vAlign w:val="bottom"/>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Earnings per common share</w:t>
            </w:r>
          </w:p>
        </w:tc>
        <w:tc>
          <w:tcPr>
            <w:tcW w:w="14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5020" w:type="dxa"/>
            <w:vAlign w:val="bottom"/>
          </w:tcPr>
          <w:p>
            <w:pPr>
              <w:spacing w:after="0" w:line="149" w:lineRule="exact"/>
              <w:rPr>
                <w:sz w:val="20"/>
                <w:szCs w:val="20"/>
                <w:color w:val="auto"/>
              </w:rPr>
            </w:pPr>
            <w:r>
              <w:rPr>
                <w:rFonts w:ascii="Arial" w:cs="Arial" w:eastAsia="Arial" w:hAnsi="Arial"/>
                <w:sz w:val="14"/>
                <w:szCs w:val="14"/>
                <w:color w:val="auto"/>
              </w:rPr>
              <w:t>Basic earnings per common share</w:t>
            </w:r>
          </w:p>
        </w:tc>
        <w:tc>
          <w:tcPr>
            <w:tcW w:w="14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2.60</w:t>
            </w:r>
          </w:p>
        </w:tc>
        <w:tc>
          <w:tcPr>
            <w:tcW w:w="60" w:type="dxa"/>
            <w:vAlign w:val="bottom"/>
          </w:tcPr>
          <w:p>
            <w:pPr>
              <w:spacing w:after="0"/>
              <w:rPr>
                <w:sz w:val="12"/>
                <w:szCs w:val="12"/>
                <w:color w:val="auto"/>
              </w:rPr>
            </w:pP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2.60</w:t>
            </w:r>
          </w:p>
        </w:tc>
        <w:tc>
          <w:tcPr>
            <w:tcW w:w="160" w:type="dxa"/>
            <w:vAlign w:val="bottom"/>
          </w:tcPr>
          <w:p>
            <w:pPr>
              <w:spacing w:after="0"/>
              <w:rPr>
                <w:sz w:val="12"/>
                <w:szCs w:val="12"/>
                <w:color w:val="auto"/>
              </w:rPr>
            </w:pPr>
          </w:p>
        </w:tc>
        <w:tc>
          <w:tcPr>
            <w:tcW w:w="120" w:type="dxa"/>
            <w:vAlign w:val="bottom"/>
          </w:tcPr>
          <w:p>
            <w:pPr>
              <w:jc w:val="right"/>
              <w:ind w:right="6"/>
              <w:spacing w:after="0"/>
              <w:rPr>
                <w:sz w:val="20"/>
                <w:szCs w:val="20"/>
                <w:color w:val="auto"/>
              </w:rPr>
            </w:pPr>
            <w:r>
              <w:rPr>
                <w:rFonts w:ascii="Arial" w:cs="Arial" w:eastAsia="Arial" w:hAnsi="Arial"/>
                <w:sz w:val="10"/>
                <w:szCs w:val="10"/>
                <w:color w:val="auto"/>
                <w:w w:val="71"/>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1.97</w:t>
            </w:r>
          </w:p>
        </w:tc>
        <w:tc>
          <w:tcPr>
            <w:tcW w:w="160" w:type="dxa"/>
            <w:vAlign w:val="bottom"/>
          </w:tcPr>
          <w:p>
            <w:pPr>
              <w:spacing w:after="0"/>
              <w:rPr>
                <w:sz w:val="12"/>
                <w:szCs w:val="12"/>
                <w:color w:val="auto"/>
              </w:rPr>
            </w:pP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1.92</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50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5020" w:type="dxa"/>
            <w:vAlign w:val="bottom"/>
            <w:shd w:val="clear" w:color="auto" w:fill="CCEEFF"/>
          </w:tcPr>
          <w:p>
            <w:pPr>
              <w:spacing w:after="0" w:line="129" w:lineRule="exact"/>
              <w:rPr>
                <w:sz w:val="20"/>
                <w:szCs w:val="20"/>
                <w:color w:val="auto"/>
              </w:rPr>
            </w:pPr>
            <w:r>
              <w:rPr>
                <w:rFonts w:ascii="Arial" w:cs="Arial" w:eastAsia="Arial" w:hAnsi="Arial"/>
                <w:sz w:val="14"/>
                <w:szCs w:val="14"/>
                <w:color w:val="auto"/>
              </w:rPr>
              <w:t>Diluted earnings per common share</w:t>
            </w:r>
          </w:p>
        </w:tc>
        <w:tc>
          <w:tcPr>
            <w:tcW w:w="14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rPr>
              <w:t>2.57</w:t>
            </w:r>
          </w:p>
        </w:tc>
        <w:tc>
          <w:tcPr>
            <w:tcW w:w="60" w:type="dxa"/>
            <w:vAlign w:val="bottom"/>
            <w:shd w:val="clear" w:color="auto" w:fill="CCEEFF"/>
          </w:tcPr>
          <w:p>
            <w:pPr>
              <w:spacing w:after="0"/>
              <w:rPr>
                <w:sz w:val="11"/>
                <w:szCs w:val="11"/>
                <w:color w:val="auto"/>
              </w:rPr>
            </w:pPr>
          </w:p>
        </w:tc>
        <w:tc>
          <w:tcPr>
            <w:tcW w:w="160" w:type="dxa"/>
            <w:vAlign w:val="bottom"/>
            <w:gridSpan w:val="2"/>
            <w:shd w:val="clear" w:color="auto" w:fill="CCEEFF"/>
          </w:tcPr>
          <w:p>
            <w:pPr>
              <w:jc w:val="right"/>
              <w:spacing w:after="0" w:line="129" w:lineRule="exact"/>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rPr>
              <w:t>2.58</w:t>
            </w: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jc w:val="right"/>
              <w:ind w:right="6"/>
              <w:spacing w:after="0"/>
              <w:rPr>
                <w:sz w:val="20"/>
                <w:szCs w:val="20"/>
                <w:color w:val="auto"/>
              </w:rPr>
            </w:pPr>
            <w:r>
              <w:rPr>
                <w:rFonts w:ascii="Arial" w:cs="Arial" w:eastAsia="Arial" w:hAnsi="Arial"/>
                <w:sz w:val="10"/>
                <w:szCs w:val="10"/>
                <w:color w:val="auto"/>
                <w:w w:val="71"/>
              </w:rPr>
              <w:t>$</w:t>
            </w:r>
          </w:p>
        </w:tc>
        <w:tc>
          <w:tcPr>
            <w:tcW w:w="76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rPr>
              <w:t>1.95</w:t>
            </w: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rPr>
              <w:t>1.91</w:t>
            </w:r>
          </w:p>
        </w:tc>
        <w:tc>
          <w:tcPr>
            <w:tcW w:w="160" w:type="dxa"/>
            <w:vAlign w:val="bottom"/>
            <w:shd w:val="clear" w:color="auto" w:fill="CCEEFF"/>
          </w:tcPr>
          <w:p>
            <w:pPr>
              <w:spacing w:after="0"/>
              <w:rPr>
                <w:sz w:val="11"/>
                <w:szCs w:val="11"/>
                <w:color w:val="auto"/>
              </w:rPr>
            </w:pPr>
          </w:p>
        </w:tc>
      </w:tr>
      <w:tr>
        <w:trPr>
          <w:trHeight w:val="20"/>
        </w:trPr>
        <w:tc>
          <w:tcPr>
            <w:tcW w:w="20" w:type="dxa"/>
            <w:vAlign w:val="bottom"/>
          </w:tcPr>
          <w:p>
            <w:pPr>
              <w:spacing w:after="0" w:line="20" w:lineRule="exact"/>
              <w:rPr>
                <w:sz w:val="1"/>
                <w:szCs w:val="1"/>
                <w:color w:val="auto"/>
              </w:rPr>
            </w:pPr>
          </w:p>
        </w:tc>
        <w:tc>
          <w:tcPr>
            <w:tcW w:w="50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97" w:name="page98"/>
    <w:bookmarkEnd w:id="9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1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01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Nature of Operations and Significant Accounting Policies — (continued)</w:t>
      </w:r>
    </w:p>
    <w:p>
      <w:pPr>
        <w:spacing w:after="0" w:line="200" w:lineRule="exact"/>
        <w:rPr>
          <w:sz w:val="20"/>
          <w:szCs w:val="20"/>
          <w:color w:val="auto"/>
        </w:rPr>
      </w:pPr>
    </w:p>
    <w:p>
      <w:pPr>
        <w:spacing w:after="0" w:line="241" w:lineRule="exact"/>
        <w:rPr>
          <w:sz w:val="20"/>
          <w:szCs w:val="20"/>
          <w:color w:val="auto"/>
        </w:rPr>
      </w:pPr>
    </w:p>
    <w:p>
      <w:pPr>
        <w:ind w:left="4540"/>
        <w:spacing w:after="0"/>
        <w:rPr>
          <w:sz w:val="20"/>
          <w:szCs w:val="20"/>
          <w:color w:val="auto"/>
        </w:rPr>
      </w:pPr>
      <w:r>
        <w:rPr>
          <w:rFonts w:ascii="Arial" w:cs="Arial" w:eastAsia="Arial" w:hAnsi="Arial"/>
          <w:sz w:val="18"/>
          <w:szCs w:val="18"/>
          <w:b w:val="1"/>
          <w:bCs w:val="1"/>
          <w:color w:val="auto"/>
        </w:rPr>
        <w:t>Principal Financial Group, Inc.</w:t>
      </w:r>
    </w:p>
    <w:p>
      <w:pPr>
        <w:spacing w:after="0" w:line="21" w:lineRule="exact"/>
        <w:rPr>
          <w:sz w:val="20"/>
          <w:szCs w:val="20"/>
          <w:color w:val="auto"/>
        </w:rPr>
      </w:pPr>
    </w:p>
    <w:p>
      <w:pPr>
        <w:ind w:left="4220"/>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760" w:type="dxa"/>
            <w:vAlign w:val="bottom"/>
            <w:gridSpan w:val="6"/>
          </w:tcPr>
          <w:p>
            <w:pPr>
              <w:jc w:val="right"/>
              <w:ind w:right="380"/>
              <w:spacing w:after="0"/>
              <w:rPr>
                <w:sz w:val="20"/>
                <w:szCs w:val="20"/>
                <w:color w:val="auto"/>
              </w:rPr>
            </w:pPr>
            <w:r>
              <w:rPr>
                <w:rFonts w:ascii="Arial" w:cs="Arial" w:eastAsia="Arial" w:hAnsi="Arial"/>
                <w:sz w:val="14"/>
                <w:szCs w:val="14"/>
                <w:b w:val="1"/>
                <w:bCs w:val="1"/>
                <w:color w:val="auto"/>
                <w:w w:val="97"/>
              </w:rPr>
              <w:t>For the three months</w:t>
            </w: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60" w:type="dxa"/>
            <w:vAlign w:val="bottom"/>
            <w:gridSpan w:val="6"/>
          </w:tcPr>
          <w:p>
            <w:pPr>
              <w:jc w:val="right"/>
              <w:ind w:right="380"/>
              <w:spacing w:after="0"/>
              <w:rPr>
                <w:sz w:val="20"/>
                <w:szCs w:val="20"/>
                <w:color w:val="auto"/>
              </w:rPr>
            </w:pPr>
            <w:r>
              <w:rPr>
                <w:rFonts w:ascii="Arial" w:cs="Arial" w:eastAsia="Arial" w:hAnsi="Arial"/>
                <w:sz w:val="14"/>
                <w:szCs w:val="14"/>
                <w:b w:val="1"/>
                <w:bCs w:val="1"/>
                <w:color w:val="auto"/>
                <w:w w:val="97"/>
              </w:rPr>
              <w:t>For the three months</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60" w:type="dxa"/>
            <w:vAlign w:val="bottom"/>
            <w:gridSpan w:val="6"/>
          </w:tcPr>
          <w:p>
            <w:pPr>
              <w:jc w:val="right"/>
              <w:ind w:right="380"/>
              <w:spacing w:after="0"/>
              <w:rPr>
                <w:sz w:val="20"/>
                <w:szCs w:val="20"/>
                <w:color w:val="auto"/>
              </w:rPr>
            </w:pPr>
            <w:r>
              <w:rPr>
                <w:rFonts w:ascii="Arial" w:cs="Arial" w:eastAsia="Arial" w:hAnsi="Arial"/>
                <w:sz w:val="14"/>
                <w:szCs w:val="14"/>
                <w:b w:val="1"/>
                <w:bCs w:val="1"/>
                <w:color w:val="auto"/>
                <w:w w:val="97"/>
              </w:rPr>
              <w:t>For the three months</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20" w:type="dxa"/>
            <w:vAlign w:val="bottom"/>
            <w:gridSpan w:val="6"/>
          </w:tcPr>
          <w:p>
            <w:pPr>
              <w:jc w:val="right"/>
              <w:ind w:right="460"/>
              <w:spacing w:after="0"/>
              <w:rPr>
                <w:sz w:val="20"/>
                <w:szCs w:val="20"/>
                <w:color w:val="auto"/>
              </w:rPr>
            </w:pPr>
            <w:r>
              <w:rPr>
                <w:rFonts w:ascii="Arial" w:cs="Arial" w:eastAsia="Arial" w:hAnsi="Arial"/>
                <w:sz w:val="14"/>
                <w:szCs w:val="14"/>
                <w:b w:val="1"/>
                <w:bCs w:val="1"/>
                <w:color w:val="auto"/>
                <w:w w:val="95"/>
              </w:rPr>
              <w:t>For the three months</w:t>
            </w:r>
          </w:p>
        </w:tc>
      </w:tr>
      <w:tr>
        <w:trPr>
          <w:trHeight w:val="149"/>
        </w:trPr>
        <w:tc>
          <w:tcPr>
            <w:tcW w:w="2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gridSpan w:val="4"/>
          </w:tcPr>
          <w:p>
            <w:pPr>
              <w:jc w:val="right"/>
              <w:ind w:right="212"/>
              <w:spacing w:after="0" w:line="149" w:lineRule="exact"/>
              <w:rPr>
                <w:sz w:val="20"/>
                <w:szCs w:val="20"/>
                <w:color w:val="auto"/>
              </w:rPr>
            </w:pPr>
            <w:r>
              <w:rPr>
                <w:rFonts w:ascii="Arial" w:cs="Arial" w:eastAsia="Arial" w:hAnsi="Arial"/>
                <w:sz w:val="14"/>
                <w:szCs w:val="14"/>
                <w:b w:val="1"/>
                <w:bCs w:val="1"/>
                <w:color w:val="auto"/>
              </w:rPr>
              <w:t>ended</w:t>
            </w: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gridSpan w:val="4"/>
          </w:tcPr>
          <w:p>
            <w:pPr>
              <w:jc w:val="right"/>
              <w:ind w:right="192"/>
              <w:spacing w:after="0" w:line="149" w:lineRule="exact"/>
              <w:rPr>
                <w:sz w:val="20"/>
                <w:szCs w:val="20"/>
                <w:color w:val="auto"/>
              </w:rPr>
            </w:pPr>
            <w:r>
              <w:rPr>
                <w:rFonts w:ascii="Arial" w:cs="Arial" w:eastAsia="Arial" w:hAnsi="Arial"/>
                <w:sz w:val="14"/>
                <w:szCs w:val="14"/>
                <w:b w:val="1"/>
                <w:bCs w:val="1"/>
                <w:color w:val="auto"/>
              </w:rPr>
              <w:t>ended</w:t>
            </w: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00" w:type="dxa"/>
            <w:vAlign w:val="bottom"/>
            <w:gridSpan w:val="4"/>
          </w:tcPr>
          <w:p>
            <w:pPr>
              <w:jc w:val="right"/>
              <w:ind w:right="92"/>
              <w:spacing w:after="0" w:line="149" w:lineRule="exact"/>
              <w:rPr>
                <w:sz w:val="20"/>
                <w:szCs w:val="20"/>
                <w:color w:val="auto"/>
              </w:rPr>
            </w:pPr>
            <w:r>
              <w:rPr>
                <w:rFonts w:ascii="Arial" w:cs="Arial" w:eastAsia="Arial" w:hAnsi="Arial"/>
                <w:sz w:val="14"/>
                <w:szCs w:val="14"/>
                <w:b w:val="1"/>
                <w:bCs w:val="1"/>
                <w:color w:val="auto"/>
              </w:rPr>
              <w:t>ended</w:t>
            </w:r>
          </w:p>
        </w:tc>
        <w:tc>
          <w:tcPr>
            <w:tcW w:w="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gridSpan w:val="4"/>
          </w:tcPr>
          <w:p>
            <w:pPr>
              <w:jc w:val="right"/>
              <w:ind w:right="72"/>
              <w:spacing w:after="0" w:line="149" w:lineRule="exact"/>
              <w:rPr>
                <w:sz w:val="20"/>
                <w:szCs w:val="20"/>
                <w:color w:val="auto"/>
              </w:rPr>
            </w:pPr>
            <w:r>
              <w:rPr>
                <w:rFonts w:ascii="Arial" w:cs="Arial" w:eastAsia="Arial" w:hAnsi="Arial"/>
                <w:sz w:val="14"/>
                <w:szCs w:val="14"/>
                <w:b w:val="1"/>
                <w:bCs w:val="1"/>
                <w:color w:val="auto"/>
              </w:rPr>
              <w:t>ended</w:t>
            </w: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61"/>
        </w:trPr>
        <w:tc>
          <w:tcPr>
            <w:tcW w:w="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20" w:type="dxa"/>
            <w:vAlign w:val="bottom"/>
            <w:gridSpan w:val="4"/>
          </w:tcPr>
          <w:p>
            <w:pPr>
              <w:jc w:val="right"/>
              <w:spacing w:after="0"/>
              <w:rPr>
                <w:sz w:val="20"/>
                <w:szCs w:val="20"/>
                <w:color w:val="auto"/>
              </w:rPr>
            </w:pPr>
            <w:r>
              <w:rPr>
                <w:rFonts w:ascii="Arial" w:cs="Arial" w:eastAsia="Arial" w:hAnsi="Arial"/>
                <w:sz w:val="14"/>
                <w:szCs w:val="14"/>
                <w:b w:val="1"/>
                <w:bCs w:val="1"/>
                <w:color w:val="auto"/>
              </w:rPr>
              <w:t>March 31, 2012</w:t>
            </w:r>
          </w:p>
        </w:tc>
        <w:tc>
          <w:tcPr>
            <w:tcW w:w="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20" w:type="dxa"/>
            <w:vAlign w:val="bottom"/>
            <w:gridSpan w:val="4"/>
          </w:tcPr>
          <w:p>
            <w:pPr>
              <w:jc w:val="right"/>
              <w:spacing w:after="0"/>
              <w:rPr>
                <w:sz w:val="20"/>
                <w:szCs w:val="20"/>
                <w:color w:val="auto"/>
              </w:rPr>
            </w:pPr>
            <w:r>
              <w:rPr>
                <w:rFonts w:ascii="Arial" w:cs="Arial" w:eastAsia="Arial" w:hAnsi="Arial"/>
                <w:sz w:val="14"/>
                <w:szCs w:val="14"/>
                <w:b w:val="1"/>
                <w:bCs w:val="1"/>
                <w:color w:val="auto"/>
              </w:rPr>
              <w:t>June 30, 2012</w:t>
            </w:r>
          </w:p>
        </w:tc>
        <w:tc>
          <w:tcPr>
            <w:tcW w:w="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60" w:type="dxa"/>
            <w:vAlign w:val="bottom"/>
            <w:gridSpan w:val="6"/>
          </w:tcPr>
          <w:p>
            <w:pPr>
              <w:jc w:val="right"/>
              <w:ind w:right="420"/>
              <w:spacing w:after="0"/>
              <w:rPr>
                <w:sz w:val="20"/>
                <w:szCs w:val="20"/>
                <w:color w:val="auto"/>
              </w:rPr>
            </w:pPr>
            <w:r>
              <w:rPr>
                <w:rFonts w:ascii="Arial" w:cs="Arial" w:eastAsia="Arial" w:hAnsi="Arial"/>
                <w:sz w:val="14"/>
                <w:szCs w:val="14"/>
                <w:b w:val="1"/>
                <w:bCs w:val="1"/>
                <w:color w:val="auto"/>
              </w:rPr>
              <w:t>September 30, 2012</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20" w:type="dxa"/>
            <w:vAlign w:val="bottom"/>
            <w:gridSpan w:val="6"/>
          </w:tcPr>
          <w:p>
            <w:pPr>
              <w:jc w:val="right"/>
              <w:ind w:right="520"/>
              <w:spacing w:after="0"/>
              <w:rPr>
                <w:sz w:val="20"/>
                <w:szCs w:val="20"/>
                <w:color w:val="auto"/>
              </w:rPr>
            </w:pPr>
            <w:r>
              <w:rPr>
                <w:rFonts w:ascii="Arial" w:cs="Arial" w:eastAsia="Arial" w:hAnsi="Arial"/>
                <w:sz w:val="14"/>
                <w:szCs w:val="14"/>
                <w:b w:val="1"/>
                <w:bCs w:val="1"/>
                <w:color w:val="auto"/>
              </w:rPr>
              <w:t>December 31, 2012</w:t>
            </w:r>
          </w:p>
        </w:tc>
      </w:tr>
      <w:tr>
        <w:trPr>
          <w:trHeight w:val="129"/>
        </w:trPr>
        <w:tc>
          <w:tcPr>
            <w:tcW w:w="2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Borders>
              <w:top w:val="single" w:sz="8" w:color="auto"/>
            </w:tcBorders>
            <w:gridSpan w:val="3"/>
          </w:tcPr>
          <w:p>
            <w:pPr>
              <w:jc w:val="right"/>
              <w:ind w:right="140"/>
              <w:spacing w:after="0" w:line="129" w:lineRule="exact"/>
              <w:rPr>
                <w:sz w:val="20"/>
                <w:szCs w:val="20"/>
                <w:color w:val="auto"/>
              </w:rPr>
            </w:pPr>
            <w:r>
              <w:rPr>
                <w:rFonts w:ascii="Arial" w:cs="Arial" w:eastAsia="Arial" w:hAnsi="Arial"/>
                <w:sz w:val="14"/>
                <w:szCs w:val="14"/>
                <w:b w:val="1"/>
                <w:bCs w:val="1"/>
                <w:color w:val="auto"/>
                <w:w w:val="90"/>
              </w:rPr>
              <w:t>As originally</w:t>
            </w:r>
          </w:p>
        </w:tc>
        <w:tc>
          <w:tcPr>
            <w:tcW w:w="80" w:type="dxa"/>
            <w:vAlign w:val="bottom"/>
            <w:tcBorders>
              <w:top w:val="single" w:sz="8" w:color="auto"/>
            </w:tcBorders>
          </w:tcPr>
          <w:p>
            <w:pPr>
              <w:spacing w:after="0"/>
              <w:rPr>
                <w:sz w:val="11"/>
                <w:szCs w:val="11"/>
                <w:color w:val="auto"/>
              </w:rPr>
            </w:pPr>
          </w:p>
        </w:tc>
        <w:tc>
          <w:tcPr>
            <w:tcW w:w="340" w:type="dxa"/>
            <w:vAlign w:val="bottom"/>
            <w:tcBorders>
              <w:top w:val="single" w:sz="8" w:color="auto"/>
            </w:tcBorders>
          </w:tcPr>
          <w:p>
            <w:pPr>
              <w:spacing w:after="0"/>
              <w:rPr>
                <w:sz w:val="11"/>
                <w:szCs w:val="11"/>
                <w:color w:val="auto"/>
              </w:rPr>
            </w:pPr>
          </w:p>
        </w:tc>
        <w:tc>
          <w:tcPr>
            <w:tcW w:w="44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60" w:type="dxa"/>
            <w:vAlign w:val="bottom"/>
            <w:tcBorders>
              <w:top w:val="single" w:sz="8" w:color="auto"/>
            </w:tcBorders>
            <w:gridSpan w:val="3"/>
          </w:tcPr>
          <w:p>
            <w:pPr>
              <w:jc w:val="right"/>
              <w:ind w:right="80"/>
              <w:spacing w:after="0" w:line="129" w:lineRule="exact"/>
              <w:rPr>
                <w:sz w:val="20"/>
                <w:szCs w:val="20"/>
                <w:color w:val="auto"/>
              </w:rPr>
            </w:pPr>
            <w:r>
              <w:rPr>
                <w:rFonts w:ascii="Arial" w:cs="Arial" w:eastAsia="Arial" w:hAnsi="Arial"/>
                <w:sz w:val="14"/>
                <w:szCs w:val="14"/>
                <w:b w:val="1"/>
                <w:bCs w:val="1"/>
                <w:color w:val="auto"/>
                <w:w w:val="90"/>
              </w:rPr>
              <w:t>As originally</w:t>
            </w:r>
          </w:p>
        </w:tc>
        <w:tc>
          <w:tcPr>
            <w:tcW w:w="120" w:type="dxa"/>
            <w:vAlign w:val="bottom"/>
            <w:tcBorders>
              <w:top w:val="single" w:sz="8" w:color="auto"/>
            </w:tcBorders>
          </w:tcPr>
          <w:p>
            <w:pPr>
              <w:spacing w:after="0"/>
              <w:rPr>
                <w:sz w:val="11"/>
                <w:szCs w:val="11"/>
                <w:color w:val="auto"/>
              </w:rPr>
            </w:pPr>
          </w:p>
        </w:tc>
        <w:tc>
          <w:tcPr>
            <w:tcW w:w="340" w:type="dxa"/>
            <w:vAlign w:val="bottom"/>
            <w:tcBorders>
              <w:top w:val="single" w:sz="8" w:color="auto"/>
            </w:tcBorders>
          </w:tcPr>
          <w:p>
            <w:pPr>
              <w:spacing w:after="0"/>
              <w:rPr>
                <w:sz w:val="11"/>
                <w:szCs w:val="11"/>
                <w:color w:val="auto"/>
              </w:rPr>
            </w:pPr>
          </w:p>
        </w:tc>
        <w:tc>
          <w:tcPr>
            <w:tcW w:w="44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Borders>
              <w:top w:val="single" w:sz="8" w:color="auto"/>
            </w:tcBorders>
            <w:gridSpan w:val="3"/>
          </w:tcPr>
          <w:p>
            <w:pPr>
              <w:jc w:val="right"/>
              <w:ind w:right="160"/>
              <w:spacing w:after="0" w:line="129" w:lineRule="exact"/>
              <w:rPr>
                <w:sz w:val="20"/>
                <w:szCs w:val="20"/>
                <w:color w:val="auto"/>
              </w:rPr>
            </w:pPr>
            <w:r>
              <w:rPr>
                <w:rFonts w:ascii="Arial" w:cs="Arial" w:eastAsia="Arial" w:hAnsi="Arial"/>
                <w:sz w:val="14"/>
                <w:szCs w:val="14"/>
                <w:b w:val="1"/>
                <w:bCs w:val="1"/>
                <w:color w:val="auto"/>
                <w:w w:val="88"/>
              </w:rPr>
              <w:t>As originally</w:t>
            </w:r>
          </w:p>
        </w:tc>
        <w:tc>
          <w:tcPr>
            <w:tcW w:w="6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56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20" w:type="dxa"/>
            <w:vAlign w:val="bottom"/>
            <w:tcBorders>
              <w:top w:val="single" w:sz="8" w:color="auto"/>
            </w:tcBorders>
            <w:gridSpan w:val="3"/>
          </w:tcPr>
          <w:p>
            <w:pPr>
              <w:jc w:val="right"/>
              <w:ind w:right="140"/>
              <w:spacing w:after="0" w:line="129" w:lineRule="exact"/>
              <w:rPr>
                <w:sz w:val="20"/>
                <w:szCs w:val="20"/>
                <w:color w:val="auto"/>
              </w:rPr>
            </w:pPr>
            <w:r>
              <w:rPr>
                <w:rFonts w:ascii="Arial" w:cs="Arial" w:eastAsia="Arial" w:hAnsi="Arial"/>
                <w:sz w:val="14"/>
                <w:szCs w:val="14"/>
                <w:b w:val="1"/>
                <w:bCs w:val="1"/>
                <w:color w:val="auto"/>
                <w:w w:val="90"/>
              </w:rPr>
              <w:t>As originally</w:t>
            </w:r>
          </w:p>
        </w:tc>
        <w:tc>
          <w:tcPr>
            <w:tcW w:w="6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58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r>
      <w:tr>
        <w:trPr>
          <w:trHeight w:val="161"/>
        </w:trPr>
        <w:tc>
          <w:tcPr>
            <w:tcW w:w="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12"/>
              <w:spacing w:after="0"/>
              <w:rPr>
                <w:sz w:val="20"/>
                <w:szCs w:val="20"/>
                <w:color w:val="auto"/>
              </w:rPr>
            </w:pPr>
            <w:r>
              <w:rPr>
                <w:rFonts w:ascii="Arial" w:cs="Arial" w:eastAsia="Arial" w:hAnsi="Arial"/>
                <w:sz w:val="14"/>
                <w:szCs w:val="14"/>
                <w:b w:val="1"/>
                <w:bCs w:val="1"/>
                <w:color w:val="auto"/>
                <w:w w:val="91"/>
              </w:rPr>
              <w:t>reported</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88"/>
              </w:rPr>
              <w:t>As adjusted</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92"/>
              <w:spacing w:after="0"/>
              <w:rPr>
                <w:sz w:val="20"/>
                <w:szCs w:val="20"/>
                <w:color w:val="auto"/>
              </w:rPr>
            </w:pPr>
            <w:r>
              <w:rPr>
                <w:rFonts w:ascii="Arial" w:cs="Arial" w:eastAsia="Arial" w:hAnsi="Arial"/>
                <w:sz w:val="14"/>
                <w:szCs w:val="14"/>
                <w:b w:val="1"/>
                <w:bCs w:val="1"/>
                <w:color w:val="auto"/>
                <w:w w:val="95"/>
              </w:rPr>
              <w:t>reported</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0"/>
              </w:rPr>
              <w:t>As adjusted</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12"/>
              <w:spacing w:after="0"/>
              <w:rPr>
                <w:sz w:val="20"/>
                <w:szCs w:val="20"/>
                <w:color w:val="auto"/>
              </w:rPr>
            </w:pPr>
            <w:r>
              <w:rPr>
                <w:rFonts w:ascii="Arial" w:cs="Arial" w:eastAsia="Arial" w:hAnsi="Arial"/>
                <w:sz w:val="14"/>
                <w:szCs w:val="14"/>
                <w:b w:val="1"/>
                <w:bCs w:val="1"/>
                <w:color w:val="auto"/>
                <w:w w:val="91"/>
              </w:rPr>
              <w:t>reported</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88"/>
              </w:rPr>
              <w:t>As adjusted</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92"/>
              <w:spacing w:after="0"/>
              <w:rPr>
                <w:sz w:val="20"/>
                <w:szCs w:val="20"/>
                <w:color w:val="auto"/>
              </w:rPr>
            </w:pPr>
            <w:r>
              <w:rPr>
                <w:rFonts w:ascii="Arial" w:cs="Arial" w:eastAsia="Arial" w:hAnsi="Arial"/>
                <w:sz w:val="14"/>
                <w:szCs w:val="14"/>
                <w:b w:val="1"/>
                <w:bCs w:val="1"/>
                <w:color w:val="auto"/>
                <w:w w:val="91"/>
              </w:rPr>
              <w:t>reported</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0"/>
              </w:rPr>
              <w:t>As adjusted</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0" w:type="dxa"/>
            <w:vAlign w:val="bottom"/>
            <w:gridSpan w:val="8"/>
          </w:tcPr>
          <w:p>
            <w:pPr>
              <w:jc w:val="right"/>
              <w:ind w:right="40"/>
              <w:spacing w:after="0" w:line="142" w:lineRule="exact"/>
              <w:rPr>
                <w:sz w:val="20"/>
                <w:szCs w:val="20"/>
                <w:color w:val="auto"/>
              </w:rPr>
            </w:pPr>
            <w:r>
              <w:rPr>
                <w:rFonts w:ascii="Arial" w:cs="Arial" w:eastAsia="Arial" w:hAnsi="Arial"/>
                <w:sz w:val="14"/>
                <w:szCs w:val="14"/>
                <w:b w:val="1"/>
                <w:bCs w:val="1"/>
                <w:i w:val="1"/>
                <w:iCs w:val="1"/>
                <w:color w:val="auto"/>
                <w:w w:val="84"/>
              </w:rPr>
              <w:t>(in millions, except per share data)</w:t>
            </w:r>
          </w:p>
        </w:tc>
        <w:tc>
          <w:tcPr>
            <w:tcW w:w="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14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Revenues</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38"/>
        </w:trPr>
        <w:tc>
          <w:tcPr>
            <w:tcW w:w="20" w:type="dxa"/>
            <w:vAlign w:val="bottom"/>
          </w:tcPr>
          <w:p>
            <w:pPr>
              <w:spacing w:after="0"/>
              <w:rPr>
                <w:sz w:val="11"/>
                <w:szCs w:val="11"/>
                <w:color w:val="auto"/>
              </w:rPr>
            </w:pPr>
          </w:p>
        </w:tc>
        <w:tc>
          <w:tcPr>
            <w:tcW w:w="1420" w:type="dxa"/>
            <w:vAlign w:val="bottom"/>
          </w:tcPr>
          <w:p>
            <w:pPr>
              <w:spacing w:after="0" w:line="138" w:lineRule="exact"/>
              <w:rPr>
                <w:sz w:val="20"/>
                <w:szCs w:val="20"/>
                <w:color w:val="auto"/>
              </w:rPr>
            </w:pPr>
            <w:r>
              <w:rPr>
                <w:rFonts w:ascii="Arial" w:cs="Arial" w:eastAsia="Arial" w:hAnsi="Arial"/>
                <w:sz w:val="14"/>
                <w:szCs w:val="14"/>
                <w:color w:val="auto"/>
              </w:rPr>
              <w:t>Premiums and other</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r>
      <w:tr>
        <w:trPr>
          <w:trHeight w:val="159"/>
        </w:trPr>
        <w:tc>
          <w:tcPr>
            <w:tcW w:w="20" w:type="dxa"/>
            <w:vAlign w:val="bottom"/>
          </w:tcPr>
          <w:p>
            <w:pPr>
              <w:spacing w:after="0"/>
              <w:rPr>
                <w:sz w:val="13"/>
                <w:szCs w:val="13"/>
                <w:color w:val="auto"/>
              </w:rPr>
            </w:pPr>
          </w:p>
        </w:tc>
        <w:tc>
          <w:tcPr>
            <w:tcW w:w="1420" w:type="dxa"/>
            <w:vAlign w:val="bottom"/>
          </w:tcPr>
          <w:p>
            <w:pPr>
              <w:ind w:left="120"/>
              <w:spacing w:after="0" w:line="159" w:lineRule="exact"/>
              <w:rPr>
                <w:sz w:val="20"/>
                <w:szCs w:val="20"/>
                <w:color w:val="auto"/>
              </w:rPr>
            </w:pPr>
            <w:r>
              <w:rPr>
                <w:rFonts w:ascii="Arial" w:cs="Arial" w:eastAsia="Arial" w:hAnsi="Arial"/>
                <w:sz w:val="14"/>
                <w:szCs w:val="14"/>
                <w:color w:val="auto"/>
              </w:rPr>
              <w:t>considerations</w:t>
            </w:r>
          </w:p>
        </w:tc>
        <w:tc>
          <w:tcPr>
            <w:tcW w:w="20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679.8</w:t>
            </w:r>
          </w:p>
        </w:tc>
        <w:tc>
          <w:tcPr>
            <w:tcW w:w="80" w:type="dxa"/>
            <w:vAlign w:val="bottom"/>
          </w:tcPr>
          <w:p>
            <w:pPr>
              <w:spacing w:after="0"/>
              <w:rPr>
                <w:sz w:val="13"/>
                <w:szCs w:val="13"/>
                <w:color w:val="auto"/>
              </w:rPr>
            </w:pPr>
          </w:p>
        </w:tc>
        <w:tc>
          <w:tcPr>
            <w:tcW w:w="420" w:type="dxa"/>
            <w:vAlign w:val="bottom"/>
            <w:gridSpan w:val="2"/>
          </w:tcPr>
          <w:p>
            <w:pPr>
              <w:jc w:val="right"/>
              <w:ind w:right="212"/>
              <w:spacing w:after="0" w:line="159" w:lineRule="exact"/>
              <w:rPr>
                <w:sz w:val="20"/>
                <w:szCs w:val="20"/>
                <w:color w:val="auto"/>
              </w:rPr>
            </w:pPr>
            <w:r>
              <w:rPr>
                <w:rFonts w:ascii="Arial" w:cs="Arial" w:eastAsia="Arial" w:hAnsi="Arial"/>
                <w:sz w:val="14"/>
                <w:szCs w:val="14"/>
                <w:color w:val="auto"/>
              </w:rPr>
              <w:t>$</w:t>
            </w:r>
          </w:p>
        </w:tc>
        <w:tc>
          <w:tcPr>
            <w:tcW w:w="440" w:type="dxa"/>
            <w:vAlign w:val="bottom"/>
          </w:tcPr>
          <w:p>
            <w:pPr>
              <w:jc w:val="right"/>
              <w:spacing w:after="0" w:line="159" w:lineRule="exact"/>
              <w:rPr>
                <w:sz w:val="20"/>
                <w:szCs w:val="20"/>
                <w:color w:val="auto"/>
              </w:rPr>
            </w:pPr>
            <w:r>
              <w:rPr>
                <w:rFonts w:ascii="Arial" w:cs="Arial" w:eastAsia="Arial" w:hAnsi="Arial"/>
                <w:sz w:val="14"/>
                <w:szCs w:val="14"/>
                <w:color w:val="auto"/>
              </w:rPr>
              <w:t>679.8</w:t>
            </w:r>
          </w:p>
        </w:tc>
        <w:tc>
          <w:tcPr>
            <w:tcW w:w="100" w:type="dxa"/>
            <w:vAlign w:val="bottom"/>
          </w:tcPr>
          <w:p>
            <w:pPr>
              <w:spacing w:after="0"/>
              <w:rPr>
                <w:sz w:val="13"/>
                <w:szCs w:val="13"/>
                <w:color w:val="auto"/>
              </w:rPr>
            </w:pPr>
          </w:p>
        </w:tc>
        <w:tc>
          <w:tcPr>
            <w:tcW w:w="16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681.3</w:t>
            </w:r>
          </w:p>
        </w:tc>
        <w:tc>
          <w:tcPr>
            <w:tcW w:w="40" w:type="dxa"/>
            <w:vAlign w:val="bottom"/>
          </w:tcPr>
          <w:p>
            <w:pPr>
              <w:spacing w:after="0"/>
              <w:rPr>
                <w:sz w:val="13"/>
                <w:szCs w:val="13"/>
                <w:color w:val="auto"/>
              </w:rPr>
            </w:pPr>
          </w:p>
        </w:tc>
        <w:tc>
          <w:tcPr>
            <w:tcW w:w="460" w:type="dxa"/>
            <w:vAlign w:val="bottom"/>
            <w:gridSpan w:val="2"/>
          </w:tcPr>
          <w:p>
            <w:pPr>
              <w:jc w:val="right"/>
              <w:ind w:right="212"/>
              <w:spacing w:after="0" w:line="159" w:lineRule="exact"/>
              <w:rPr>
                <w:sz w:val="20"/>
                <w:szCs w:val="20"/>
                <w:color w:val="auto"/>
              </w:rPr>
            </w:pPr>
            <w:r>
              <w:rPr>
                <w:rFonts w:ascii="Arial" w:cs="Arial" w:eastAsia="Arial" w:hAnsi="Arial"/>
                <w:sz w:val="14"/>
                <w:szCs w:val="14"/>
                <w:color w:val="auto"/>
              </w:rPr>
              <w:t>$</w:t>
            </w:r>
          </w:p>
        </w:tc>
        <w:tc>
          <w:tcPr>
            <w:tcW w:w="440" w:type="dxa"/>
            <w:vAlign w:val="bottom"/>
          </w:tcPr>
          <w:p>
            <w:pPr>
              <w:jc w:val="right"/>
              <w:spacing w:after="0" w:line="159" w:lineRule="exact"/>
              <w:rPr>
                <w:sz w:val="20"/>
                <w:szCs w:val="20"/>
                <w:color w:val="auto"/>
              </w:rPr>
            </w:pPr>
            <w:r>
              <w:rPr>
                <w:rFonts w:ascii="Arial" w:cs="Arial" w:eastAsia="Arial" w:hAnsi="Arial"/>
                <w:sz w:val="14"/>
                <w:szCs w:val="14"/>
                <w:color w:val="auto"/>
              </w:rPr>
              <w:t>681.3</w:t>
            </w:r>
          </w:p>
        </w:tc>
        <w:tc>
          <w:tcPr>
            <w:tcW w:w="100" w:type="dxa"/>
            <w:vAlign w:val="bottom"/>
          </w:tcPr>
          <w:p>
            <w:pPr>
              <w:spacing w:after="0"/>
              <w:rPr>
                <w:sz w:val="13"/>
                <w:szCs w:val="13"/>
                <w:color w:val="auto"/>
              </w:rPr>
            </w:pPr>
          </w:p>
        </w:tc>
        <w:tc>
          <w:tcPr>
            <w:tcW w:w="18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1,158.2</w:t>
            </w:r>
          </w:p>
        </w:tc>
        <w:tc>
          <w:tcPr>
            <w:tcW w:w="100" w:type="dxa"/>
            <w:vAlign w:val="bottom"/>
          </w:tcPr>
          <w:p>
            <w:pPr>
              <w:spacing w:after="0"/>
              <w:rPr>
                <w:sz w:val="13"/>
                <w:szCs w:val="13"/>
                <w:color w:val="auto"/>
              </w:rPr>
            </w:pPr>
          </w:p>
        </w:tc>
        <w:tc>
          <w:tcPr>
            <w:tcW w:w="280" w:type="dxa"/>
            <w:vAlign w:val="bottom"/>
            <w:gridSpan w:val="2"/>
          </w:tcPr>
          <w:p>
            <w:pPr>
              <w:jc w:val="right"/>
              <w:ind w:right="92"/>
              <w:spacing w:after="0" w:line="159" w:lineRule="exact"/>
              <w:rPr>
                <w:sz w:val="20"/>
                <w:szCs w:val="20"/>
                <w:color w:val="auto"/>
              </w:rPr>
            </w:pPr>
            <w:r>
              <w:rPr>
                <w:rFonts w:ascii="Arial" w:cs="Arial" w:eastAsia="Arial" w:hAnsi="Arial"/>
                <w:sz w:val="14"/>
                <w:szCs w:val="14"/>
                <w:color w:val="auto"/>
              </w:rPr>
              <w:t>$</w:t>
            </w:r>
          </w:p>
        </w:tc>
        <w:tc>
          <w:tcPr>
            <w:tcW w:w="560" w:type="dxa"/>
            <w:vAlign w:val="bottom"/>
          </w:tcPr>
          <w:p>
            <w:pPr>
              <w:jc w:val="right"/>
              <w:spacing w:after="0" w:line="159" w:lineRule="exact"/>
              <w:rPr>
                <w:sz w:val="20"/>
                <w:szCs w:val="20"/>
                <w:color w:val="auto"/>
              </w:rPr>
            </w:pPr>
            <w:r>
              <w:rPr>
                <w:rFonts w:ascii="Arial" w:cs="Arial" w:eastAsia="Arial" w:hAnsi="Arial"/>
                <w:sz w:val="14"/>
                <w:szCs w:val="14"/>
                <w:color w:val="auto"/>
              </w:rPr>
              <w:t>1,158.2</w:t>
            </w:r>
          </w:p>
        </w:tc>
        <w:tc>
          <w:tcPr>
            <w:tcW w:w="100" w:type="dxa"/>
            <w:vAlign w:val="bottom"/>
          </w:tcPr>
          <w:p>
            <w:pPr>
              <w:spacing w:after="0"/>
              <w:rPr>
                <w:sz w:val="13"/>
                <w:szCs w:val="13"/>
                <w:color w:val="auto"/>
              </w:rPr>
            </w:pPr>
          </w:p>
        </w:tc>
        <w:tc>
          <w:tcPr>
            <w:tcW w:w="18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700" w:type="dxa"/>
            <w:vAlign w:val="bottom"/>
          </w:tcPr>
          <w:p>
            <w:pPr>
              <w:jc w:val="right"/>
              <w:spacing w:after="0" w:line="159" w:lineRule="exact"/>
              <w:rPr>
                <w:sz w:val="20"/>
                <w:szCs w:val="20"/>
                <w:color w:val="auto"/>
              </w:rPr>
            </w:pPr>
            <w:r>
              <w:rPr>
                <w:rFonts w:ascii="Arial" w:cs="Arial" w:eastAsia="Arial" w:hAnsi="Arial"/>
                <w:sz w:val="14"/>
                <w:szCs w:val="14"/>
                <w:color w:val="auto"/>
              </w:rPr>
              <w:t>700.1</w:t>
            </w:r>
          </w:p>
        </w:tc>
        <w:tc>
          <w:tcPr>
            <w:tcW w:w="100" w:type="dxa"/>
            <w:vAlign w:val="bottom"/>
          </w:tcPr>
          <w:p>
            <w:pPr>
              <w:spacing w:after="0"/>
              <w:rPr>
                <w:sz w:val="13"/>
                <w:szCs w:val="13"/>
                <w:color w:val="auto"/>
              </w:rPr>
            </w:pPr>
          </w:p>
        </w:tc>
        <w:tc>
          <w:tcPr>
            <w:tcW w:w="280" w:type="dxa"/>
            <w:vAlign w:val="bottom"/>
            <w:gridSpan w:val="2"/>
          </w:tcPr>
          <w:p>
            <w:pPr>
              <w:jc w:val="right"/>
              <w:ind w:right="92"/>
              <w:spacing w:after="0" w:line="159" w:lineRule="exact"/>
              <w:rPr>
                <w:sz w:val="20"/>
                <w:szCs w:val="20"/>
                <w:color w:val="auto"/>
              </w:rPr>
            </w:pPr>
            <w:r>
              <w:rPr>
                <w:rFonts w:ascii="Arial" w:cs="Arial" w:eastAsia="Arial" w:hAnsi="Arial"/>
                <w:sz w:val="14"/>
                <w:szCs w:val="14"/>
                <w:color w:val="auto"/>
              </w:rPr>
              <w:t>$</w:t>
            </w:r>
          </w:p>
        </w:tc>
        <w:tc>
          <w:tcPr>
            <w:tcW w:w="580" w:type="dxa"/>
            <w:vAlign w:val="bottom"/>
          </w:tcPr>
          <w:p>
            <w:pPr>
              <w:jc w:val="right"/>
              <w:spacing w:after="0" w:line="159" w:lineRule="exact"/>
              <w:rPr>
                <w:sz w:val="20"/>
                <w:szCs w:val="20"/>
                <w:color w:val="auto"/>
              </w:rPr>
            </w:pPr>
            <w:r>
              <w:rPr>
                <w:rFonts w:ascii="Arial" w:cs="Arial" w:eastAsia="Arial" w:hAnsi="Arial"/>
                <w:sz w:val="14"/>
                <w:szCs w:val="14"/>
                <w:color w:val="auto"/>
              </w:rPr>
              <w:t>700.1</w:t>
            </w:r>
          </w:p>
        </w:tc>
        <w:tc>
          <w:tcPr>
            <w:tcW w:w="160" w:type="dxa"/>
            <w:vAlign w:val="bottom"/>
          </w:tcPr>
          <w:p>
            <w:pPr>
              <w:spacing w:after="0"/>
              <w:rPr>
                <w:sz w:val="13"/>
                <w:szCs w:val="13"/>
                <w:color w:val="auto"/>
              </w:rPr>
            </w:pPr>
          </w:p>
        </w:tc>
      </w:tr>
      <w:tr>
        <w:trPr>
          <w:trHeight w:val="149"/>
        </w:trPr>
        <w:tc>
          <w:tcPr>
            <w:tcW w:w="20" w:type="dxa"/>
            <w:vAlign w:val="bottom"/>
          </w:tcPr>
          <w:p>
            <w:pPr>
              <w:spacing w:after="0"/>
              <w:rPr>
                <w:sz w:val="12"/>
                <w:szCs w:val="12"/>
                <w:color w:val="auto"/>
              </w:rPr>
            </w:pPr>
          </w:p>
        </w:tc>
        <w:tc>
          <w:tcPr>
            <w:tcW w:w="14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89"/>
              </w:rPr>
              <w:t>Fees and other revenues</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598.0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598.0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636.1</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636.1</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675.0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675.0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717.6</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717.6</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1420" w:type="dxa"/>
            <w:vAlign w:val="bottom"/>
          </w:tcPr>
          <w:p>
            <w:pPr>
              <w:spacing w:after="0" w:line="149" w:lineRule="exact"/>
              <w:rPr>
                <w:sz w:val="20"/>
                <w:szCs w:val="20"/>
                <w:color w:val="auto"/>
              </w:rPr>
            </w:pPr>
            <w:r>
              <w:rPr>
                <w:rFonts w:ascii="Arial" w:cs="Arial" w:eastAsia="Arial" w:hAnsi="Arial"/>
                <w:sz w:val="14"/>
                <w:szCs w:val="14"/>
                <w:color w:val="auto"/>
                <w:w w:val="98"/>
              </w:rPr>
              <w:t>Net investment income</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tcPr>
          <w:p>
            <w:pPr>
              <w:jc w:val="right"/>
              <w:spacing w:after="0" w:line="149" w:lineRule="exact"/>
              <w:rPr>
                <w:sz w:val="20"/>
                <w:szCs w:val="20"/>
                <w:color w:val="auto"/>
              </w:rPr>
            </w:pPr>
            <w:r>
              <w:rPr>
                <w:rFonts w:ascii="Arial" w:cs="Arial" w:eastAsia="Arial" w:hAnsi="Arial"/>
                <w:sz w:val="14"/>
                <w:szCs w:val="14"/>
                <w:color w:val="auto"/>
              </w:rPr>
              <w:t>824.8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40" w:type="dxa"/>
            <w:vAlign w:val="bottom"/>
          </w:tcPr>
          <w:p>
            <w:pPr>
              <w:jc w:val="right"/>
              <w:spacing w:after="0" w:line="149" w:lineRule="exact"/>
              <w:rPr>
                <w:sz w:val="20"/>
                <w:szCs w:val="20"/>
                <w:color w:val="auto"/>
              </w:rPr>
            </w:pPr>
            <w:r>
              <w:rPr>
                <w:rFonts w:ascii="Arial" w:cs="Arial" w:eastAsia="Arial" w:hAnsi="Arial"/>
                <w:sz w:val="14"/>
                <w:szCs w:val="14"/>
                <w:color w:val="auto"/>
              </w:rPr>
              <w:t>824.8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jc w:val="right"/>
              <w:spacing w:after="0" w:line="149" w:lineRule="exact"/>
              <w:rPr>
                <w:sz w:val="20"/>
                <w:szCs w:val="20"/>
                <w:color w:val="auto"/>
              </w:rPr>
            </w:pPr>
            <w:r>
              <w:rPr>
                <w:rFonts w:ascii="Arial" w:cs="Arial" w:eastAsia="Arial" w:hAnsi="Arial"/>
                <w:sz w:val="14"/>
                <w:szCs w:val="14"/>
                <w:color w:val="auto"/>
              </w:rPr>
              <w:t>801.0</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40" w:type="dxa"/>
            <w:vAlign w:val="bottom"/>
          </w:tcPr>
          <w:p>
            <w:pPr>
              <w:jc w:val="right"/>
              <w:spacing w:after="0" w:line="149" w:lineRule="exact"/>
              <w:rPr>
                <w:sz w:val="20"/>
                <w:szCs w:val="20"/>
                <w:color w:val="auto"/>
              </w:rPr>
            </w:pPr>
            <w:r>
              <w:rPr>
                <w:rFonts w:ascii="Arial" w:cs="Arial" w:eastAsia="Arial" w:hAnsi="Arial"/>
                <w:sz w:val="14"/>
                <w:szCs w:val="14"/>
                <w:color w:val="auto"/>
              </w:rPr>
              <w:t>801.0</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jc w:val="right"/>
              <w:spacing w:after="0" w:line="149" w:lineRule="exact"/>
              <w:rPr>
                <w:sz w:val="20"/>
                <w:szCs w:val="20"/>
                <w:color w:val="auto"/>
              </w:rPr>
            </w:pPr>
            <w:r>
              <w:rPr>
                <w:rFonts w:ascii="Arial" w:cs="Arial" w:eastAsia="Arial" w:hAnsi="Arial"/>
                <w:sz w:val="14"/>
                <w:szCs w:val="14"/>
                <w:color w:val="auto"/>
              </w:rPr>
              <w:t>783.8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783.8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color w:val="auto"/>
              </w:rPr>
              <w:t>845.3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845.3</w:t>
            </w:r>
          </w:p>
        </w:tc>
        <w:tc>
          <w:tcPr>
            <w:tcW w:w="160" w:type="dxa"/>
            <w:vAlign w:val="bottom"/>
          </w:tcPr>
          <w:p>
            <w:pPr>
              <w:spacing w:after="0"/>
              <w:rPr>
                <w:sz w:val="12"/>
                <w:szCs w:val="12"/>
                <w:color w:val="auto"/>
              </w:rPr>
            </w:pPr>
          </w:p>
        </w:tc>
      </w:tr>
      <w:tr>
        <w:trPr>
          <w:trHeight w:val="138"/>
        </w:trPr>
        <w:tc>
          <w:tcPr>
            <w:tcW w:w="20" w:type="dxa"/>
            <w:vAlign w:val="bottom"/>
          </w:tcPr>
          <w:p>
            <w:pPr>
              <w:spacing w:after="0"/>
              <w:rPr>
                <w:sz w:val="11"/>
                <w:szCs w:val="11"/>
                <w:color w:val="auto"/>
              </w:rPr>
            </w:pPr>
          </w:p>
        </w:tc>
        <w:tc>
          <w:tcPr>
            <w:tcW w:w="142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Net realized capital</w:t>
            </w:r>
          </w:p>
        </w:tc>
        <w:tc>
          <w:tcPr>
            <w:tcW w:w="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142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gains, excluding</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142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w w:val="96"/>
              </w:rPr>
              <w:t>impairment losses on</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142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available-for-sale</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59"/>
        </w:trPr>
        <w:tc>
          <w:tcPr>
            <w:tcW w:w="20" w:type="dxa"/>
            <w:vAlign w:val="bottom"/>
          </w:tcPr>
          <w:p>
            <w:pPr>
              <w:spacing w:after="0"/>
              <w:rPr>
                <w:sz w:val="13"/>
                <w:szCs w:val="13"/>
                <w:color w:val="auto"/>
              </w:rPr>
            </w:pPr>
          </w:p>
        </w:tc>
        <w:tc>
          <w:tcPr>
            <w:tcW w:w="142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securities</w:t>
            </w:r>
          </w:p>
        </w:tc>
        <w:tc>
          <w:tcPr>
            <w:tcW w:w="8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22.1</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4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22.1</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32.2</w:t>
            </w: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4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32.2</w:t>
            </w:r>
          </w:p>
        </w:tc>
        <w:tc>
          <w:tcPr>
            <w:tcW w:w="1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122.1</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122.1</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56.3</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5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56.3</w:t>
            </w:r>
          </w:p>
        </w:tc>
        <w:tc>
          <w:tcPr>
            <w:tcW w:w="160" w:type="dxa"/>
            <w:vAlign w:val="bottom"/>
            <w:shd w:val="clear" w:color="auto" w:fill="CCEEFF"/>
          </w:tcPr>
          <w:p>
            <w:pPr>
              <w:spacing w:after="0"/>
              <w:rPr>
                <w:sz w:val="13"/>
                <w:szCs w:val="13"/>
                <w:color w:val="auto"/>
              </w:rPr>
            </w:pPr>
          </w:p>
        </w:tc>
      </w:tr>
      <w:tr>
        <w:trPr>
          <w:trHeight w:val="138"/>
        </w:trPr>
        <w:tc>
          <w:tcPr>
            <w:tcW w:w="20" w:type="dxa"/>
            <w:vAlign w:val="bottom"/>
          </w:tcPr>
          <w:p>
            <w:pPr>
              <w:spacing w:after="0"/>
              <w:rPr>
                <w:sz w:val="11"/>
                <w:szCs w:val="11"/>
                <w:color w:val="auto"/>
              </w:rPr>
            </w:pPr>
          </w:p>
        </w:tc>
        <w:tc>
          <w:tcPr>
            <w:tcW w:w="1420" w:type="dxa"/>
            <w:vAlign w:val="bottom"/>
          </w:tcPr>
          <w:p>
            <w:pPr>
              <w:spacing w:after="0" w:line="138" w:lineRule="exact"/>
              <w:rPr>
                <w:sz w:val="20"/>
                <w:szCs w:val="20"/>
                <w:color w:val="auto"/>
              </w:rPr>
            </w:pPr>
            <w:r>
              <w:rPr>
                <w:rFonts w:ascii="Arial" w:cs="Arial" w:eastAsia="Arial" w:hAnsi="Arial"/>
                <w:sz w:val="14"/>
                <w:szCs w:val="14"/>
                <w:color w:val="auto"/>
              </w:rPr>
              <w:t>Total other-than-</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1420" w:type="dxa"/>
            <w:vAlign w:val="bottom"/>
          </w:tcPr>
          <w:p>
            <w:pPr>
              <w:ind w:left="120"/>
              <w:spacing w:after="0" w:line="149" w:lineRule="exact"/>
              <w:rPr>
                <w:sz w:val="20"/>
                <w:szCs w:val="20"/>
                <w:color w:val="auto"/>
              </w:rPr>
            </w:pPr>
            <w:r>
              <w:rPr>
                <w:rFonts w:ascii="Arial" w:cs="Arial" w:eastAsia="Arial" w:hAnsi="Arial"/>
                <w:sz w:val="14"/>
                <w:szCs w:val="14"/>
                <w:color w:val="auto"/>
                <w:w w:val="93"/>
              </w:rPr>
              <w:t>temporary impairment</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1420" w:type="dxa"/>
            <w:vAlign w:val="bottom"/>
          </w:tcPr>
          <w:p>
            <w:pPr>
              <w:ind w:left="120"/>
              <w:spacing w:after="0" w:line="149" w:lineRule="exact"/>
              <w:rPr>
                <w:sz w:val="20"/>
                <w:szCs w:val="20"/>
                <w:color w:val="auto"/>
              </w:rPr>
            </w:pPr>
            <w:r>
              <w:rPr>
                <w:rFonts w:ascii="Arial" w:cs="Arial" w:eastAsia="Arial" w:hAnsi="Arial"/>
                <w:sz w:val="14"/>
                <w:szCs w:val="14"/>
                <w:color w:val="auto"/>
              </w:rPr>
              <w:t>losses on available-</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59"/>
        </w:trPr>
        <w:tc>
          <w:tcPr>
            <w:tcW w:w="20" w:type="dxa"/>
            <w:vAlign w:val="bottom"/>
          </w:tcPr>
          <w:p>
            <w:pPr>
              <w:spacing w:after="0"/>
              <w:rPr>
                <w:sz w:val="13"/>
                <w:szCs w:val="13"/>
                <w:color w:val="auto"/>
              </w:rPr>
            </w:pPr>
          </w:p>
        </w:tc>
        <w:tc>
          <w:tcPr>
            <w:tcW w:w="1420" w:type="dxa"/>
            <w:vAlign w:val="bottom"/>
          </w:tcPr>
          <w:p>
            <w:pPr>
              <w:ind w:left="120"/>
              <w:spacing w:after="0" w:line="159" w:lineRule="exact"/>
              <w:rPr>
                <w:sz w:val="20"/>
                <w:szCs w:val="20"/>
                <w:color w:val="auto"/>
              </w:rPr>
            </w:pPr>
            <w:r>
              <w:rPr>
                <w:rFonts w:ascii="Arial" w:cs="Arial" w:eastAsia="Arial" w:hAnsi="Arial"/>
                <w:sz w:val="14"/>
                <w:szCs w:val="14"/>
                <w:color w:val="auto"/>
              </w:rPr>
              <w:t>for-sale securities</w:t>
            </w: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gridSpan w:val="2"/>
          </w:tcPr>
          <w:p>
            <w:pPr>
              <w:jc w:val="right"/>
              <w:ind w:right="40"/>
              <w:spacing w:after="0" w:line="159" w:lineRule="exact"/>
              <w:rPr>
                <w:sz w:val="20"/>
                <w:szCs w:val="20"/>
                <w:color w:val="auto"/>
              </w:rPr>
            </w:pPr>
            <w:r>
              <w:rPr>
                <w:rFonts w:ascii="Arial" w:cs="Arial" w:eastAsia="Arial" w:hAnsi="Arial"/>
                <w:sz w:val="14"/>
                <w:szCs w:val="14"/>
                <w:color w:val="auto"/>
              </w:rPr>
              <w:t>(33.7)</w:t>
            </w: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4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(33.7)</w:t>
            </w: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(49.1)</w:t>
            </w:r>
          </w:p>
        </w:tc>
        <w:tc>
          <w:tcPr>
            <w:tcW w:w="1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4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(49.1)</w:t>
            </w: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(43.6)</w:t>
            </w: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6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(43.6)</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(9.5)</w:t>
            </w: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4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(9.5)</w:t>
            </w:r>
          </w:p>
        </w:tc>
      </w:tr>
      <w:tr>
        <w:trPr>
          <w:trHeight w:val="138"/>
        </w:trPr>
        <w:tc>
          <w:tcPr>
            <w:tcW w:w="20" w:type="dxa"/>
            <w:vAlign w:val="bottom"/>
          </w:tcPr>
          <w:p>
            <w:pPr>
              <w:spacing w:after="0"/>
              <w:rPr>
                <w:sz w:val="11"/>
                <w:szCs w:val="11"/>
                <w:color w:val="auto"/>
              </w:rPr>
            </w:pPr>
          </w:p>
        </w:tc>
        <w:tc>
          <w:tcPr>
            <w:tcW w:w="142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Other-than-temporary</w:t>
            </w:r>
          </w:p>
        </w:tc>
        <w:tc>
          <w:tcPr>
            <w:tcW w:w="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142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w w:val="96"/>
              </w:rPr>
              <w:t>impairment losses on</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142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fixed maturities,</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142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available-for- sale</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142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reclassified to (from)</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142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w w:val="97"/>
              </w:rPr>
              <w:t>other comprehensive</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59"/>
        </w:trPr>
        <w:tc>
          <w:tcPr>
            <w:tcW w:w="20" w:type="dxa"/>
            <w:vAlign w:val="bottom"/>
          </w:tcPr>
          <w:p>
            <w:pPr>
              <w:spacing w:after="0"/>
              <w:rPr>
                <w:sz w:val="13"/>
                <w:szCs w:val="13"/>
                <w:color w:val="auto"/>
              </w:rPr>
            </w:pPr>
          </w:p>
        </w:tc>
        <w:tc>
          <w:tcPr>
            <w:tcW w:w="142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income</w:t>
            </w:r>
          </w:p>
        </w:tc>
        <w:tc>
          <w:tcPr>
            <w:tcW w:w="8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4.9</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4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4.9</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17.1</w:t>
            </w: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4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17.1</w:t>
            </w:r>
          </w:p>
        </w:tc>
        <w:tc>
          <w:tcPr>
            <w:tcW w:w="1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9.2</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9.2</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(13.9)</w:t>
            </w:r>
          </w:p>
        </w:tc>
        <w:tc>
          <w:tcPr>
            <w:tcW w:w="6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(13.9)</w:t>
            </w:r>
          </w:p>
        </w:tc>
      </w:tr>
      <w:tr>
        <w:trPr>
          <w:trHeight w:val="131"/>
        </w:trPr>
        <w:tc>
          <w:tcPr>
            <w:tcW w:w="1440" w:type="dxa"/>
            <w:vAlign w:val="bottom"/>
            <w:gridSpan w:val="2"/>
          </w:tcPr>
          <w:p>
            <w:pPr>
              <w:spacing w:after="0" w:line="131" w:lineRule="exact"/>
              <w:rPr>
                <w:sz w:val="20"/>
                <w:szCs w:val="20"/>
                <w:color w:val="auto"/>
              </w:rPr>
            </w:pPr>
            <w:r>
              <w:rPr>
                <w:rFonts w:ascii="Arial" w:cs="Arial" w:eastAsia="Arial" w:hAnsi="Arial"/>
                <w:sz w:val="14"/>
                <w:szCs w:val="14"/>
                <w:color w:val="auto"/>
              </w:rPr>
              <w:t>Net impairment losses</w:t>
            </w:r>
          </w:p>
        </w:tc>
        <w:tc>
          <w:tcPr>
            <w:tcW w:w="8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2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Borders>
              <w:top w:val="single" w:sz="8" w:color="auto"/>
            </w:tcBorders>
          </w:tcPr>
          <w:p>
            <w:pPr>
              <w:spacing w:after="0"/>
              <w:rPr>
                <w:sz w:val="11"/>
                <w:szCs w:val="11"/>
                <w:color w:val="auto"/>
              </w:rPr>
            </w:pPr>
          </w:p>
        </w:tc>
        <w:tc>
          <w:tcPr>
            <w:tcW w:w="44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20" w:type="dxa"/>
            <w:vAlign w:val="bottom"/>
            <w:tcBorders>
              <w:top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40" w:type="dxa"/>
            <w:vAlign w:val="bottom"/>
            <w:tcBorders>
              <w:top w:val="single" w:sz="8" w:color="auto"/>
            </w:tcBorders>
          </w:tcPr>
          <w:p>
            <w:pPr>
              <w:spacing w:after="0"/>
              <w:rPr>
                <w:sz w:val="11"/>
                <w:szCs w:val="11"/>
                <w:color w:val="auto"/>
              </w:rPr>
            </w:pPr>
          </w:p>
        </w:tc>
        <w:tc>
          <w:tcPr>
            <w:tcW w:w="44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2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56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0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58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1420" w:type="dxa"/>
            <w:vAlign w:val="bottom"/>
          </w:tcPr>
          <w:p>
            <w:pPr>
              <w:ind w:left="120"/>
              <w:spacing w:after="0" w:line="149" w:lineRule="exact"/>
              <w:rPr>
                <w:sz w:val="20"/>
                <w:szCs w:val="20"/>
                <w:color w:val="auto"/>
              </w:rPr>
            </w:pPr>
            <w:r>
              <w:rPr>
                <w:rFonts w:ascii="Arial" w:cs="Arial" w:eastAsia="Arial" w:hAnsi="Arial"/>
                <w:sz w:val="14"/>
                <w:szCs w:val="14"/>
                <w:color w:val="auto"/>
              </w:rPr>
              <w:t>on available-for-sale</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59"/>
        </w:trPr>
        <w:tc>
          <w:tcPr>
            <w:tcW w:w="20" w:type="dxa"/>
            <w:vAlign w:val="bottom"/>
          </w:tcPr>
          <w:p>
            <w:pPr>
              <w:spacing w:after="0"/>
              <w:rPr>
                <w:sz w:val="13"/>
                <w:szCs w:val="13"/>
                <w:color w:val="auto"/>
              </w:rPr>
            </w:pPr>
          </w:p>
        </w:tc>
        <w:tc>
          <w:tcPr>
            <w:tcW w:w="1420" w:type="dxa"/>
            <w:vAlign w:val="bottom"/>
          </w:tcPr>
          <w:p>
            <w:pPr>
              <w:ind w:left="120"/>
              <w:spacing w:after="0" w:line="159" w:lineRule="exact"/>
              <w:rPr>
                <w:sz w:val="20"/>
                <w:szCs w:val="20"/>
                <w:color w:val="auto"/>
              </w:rPr>
            </w:pPr>
            <w:r>
              <w:rPr>
                <w:rFonts w:ascii="Arial" w:cs="Arial" w:eastAsia="Arial" w:hAnsi="Arial"/>
                <w:sz w:val="14"/>
                <w:szCs w:val="14"/>
                <w:color w:val="auto"/>
              </w:rPr>
              <w:t>securities</w:t>
            </w: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gridSpan w:val="2"/>
          </w:tcPr>
          <w:p>
            <w:pPr>
              <w:jc w:val="right"/>
              <w:ind w:right="40"/>
              <w:spacing w:after="0" w:line="159" w:lineRule="exact"/>
              <w:rPr>
                <w:sz w:val="20"/>
                <w:szCs w:val="20"/>
                <w:color w:val="auto"/>
              </w:rPr>
            </w:pPr>
            <w:r>
              <w:rPr>
                <w:rFonts w:ascii="Arial" w:cs="Arial" w:eastAsia="Arial" w:hAnsi="Arial"/>
                <w:sz w:val="14"/>
                <w:szCs w:val="14"/>
                <w:color w:val="auto"/>
              </w:rPr>
              <w:t>(28.8)</w:t>
            </w: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4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(28.8)</w:t>
            </w: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(32.0)</w:t>
            </w:r>
          </w:p>
        </w:tc>
        <w:tc>
          <w:tcPr>
            <w:tcW w:w="1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4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(32.0)</w:t>
            </w: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(34.4)</w:t>
            </w: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6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(34.4)</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(23.4)</w:t>
            </w: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4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(23.4)</w:t>
            </w:r>
          </w:p>
        </w:tc>
      </w:tr>
      <w:tr>
        <w:trPr>
          <w:trHeight w:val="131"/>
        </w:trPr>
        <w:tc>
          <w:tcPr>
            <w:tcW w:w="20" w:type="dxa"/>
            <w:vAlign w:val="bottom"/>
          </w:tcPr>
          <w:p>
            <w:pPr>
              <w:spacing w:after="0"/>
              <w:rPr>
                <w:sz w:val="11"/>
                <w:szCs w:val="11"/>
                <w:color w:val="auto"/>
              </w:rPr>
            </w:pPr>
          </w:p>
        </w:tc>
        <w:tc>
          <w:tcPr>
            <w:tcW w:w="1420" w:type="dxa"/>
            <w:vAlign w:val="bottom"/>
            <w:shd w:val="clear" w:color="auto" w:fill="CCEEFF"/>
          </w:tcPr>
          <w:p>
            <w:pPr>
              <w:spacing w:after="0" w:line="131" w:lineRule="exact"/>
              <w:rPr>
                <w:sz w:val="20"/>
                <w:szCs w:val="20"/>
                <w:color w:val="auto"/>
              </w:rPr>
            </w:pPr>
            <w:r>
              <w:rPr>
                <w:rFonts w:ascii="Arial" w:cs="Arial" w:eastAsia="Arial" w:hAnsi="Arial"/>
                <w:sz w:val="14"/>
                <w:szCs w:val="14"/>
                <w:color w:val="auto"/>
              </w:rPr>
              <w:t>Net realized capital</w:t>
            </w:r>
          </w:p>
        </w:tc>
        <w:tc>
          <w:tcPr>
            <w:tcW w:w="80" w:type="dxa"/>
            <w:vAlign w:val="bottom"/>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spacing w:after="0"/>
              <w:rPr>
                <w:sz w:val="11"/>
                <w:szCs w:val="11"/>
                <w:color w:val="auto"/>
              </w:rPr>
            </w:pPr>
          </w:p>
        </w:tc>
        <w:tc>
          <w:tcPr>
            <w:tcW w:w="720" w:type="dxa"/>
            <w:vAlign w:val="bottom"/>
            <w:tcBorders>
              <w:top w:val="single" w:sz="8" w:color="auto"/>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40" w:type="dxa"/>
            <w:vAlign w:val="bottom"/>
            <w:tcBorders>
              <w:top w:val="single" w:sz="8" w:color="auto"/>
            </w:tcBorders>
            <w:shd w:val="clear" w:color="auto" w:fill="CCEEFF"/>
          </w:tcPr>
          <w:p>
            <w:pPr>
              <w:spacing w:after="0"/>
              <w:rPr>
                <w:sz w:val="11"/>
                <w:szCs w:val="11"/>
                <w:color w:val="auto"/>
              </w:rPr>
            </w:pPr>
          </w:p>
        </w:tc>
        <w:tc>
          <w:tcPr>
            <w:tcW w:w="440" w:type="dxa"/>
            <w:vAlign w:val="bottom"/>
            <w:tcBorders>
              <w:top w:val="single" w:sz="8" w:color="auto"/>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720" w:type="dxa"/>
            <w:vAlign w:val="bottom"/>
            <w:tcBorders>
              <w:top w:val="single" w:sz="8" w:color="auto"/>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40" w:type="dxa"/>
            <w:vAlign w:val="bottom"/>
            <w:tcBorders>
              <w:top w:val="single" w:sz="8" w:color="auto"/>
            </w:tcBorders>
            <w:shd w:val="clear" w:color="auto" w:fill="CCEEFF"/>
          </w:tcPr>
          <w:p>
            <w:pPr>
              <w:spacing w:after="0"/>
              <w:rPr>
                <w:sz w:val="11"/>
                <w:szCs w:val="11"/>
                <w:color w:val="auto"/>
              </w:rPr>
            </w:pPr>
          </w:p>
        </w:tc>
        <w:tc>
          <w:tcPr>
            <w:tcW w:w="440" w:type="dxa"/>
            <w:vAlign w:val="bottom"/>
            <w:tcBorders>
              <w:top w:val="single" w:sz="8" w:color="auto"/>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720" w:type="dxa"/>
            <w:vAlign w:val="bottom"/>
            <w:tcBorders>
              <w:top w:val="single" w:sz="8" w:color="auto"/>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20" w:type="dxa"/>
            <w:vAlign w:val="bottom"/>
            <w:tcBorders>
              <w:top w:val="single" w:sz="8" w:color="auto"/>
            </w:tcBorders>
            <w:shd w:val="clear" w:color="auto" w:fill="CCEEFF"/>
          </w:tcPr>
          <w:p>
            <w:pPr>
              <w:spacing w:after="0"/>
              <w:rPr>
                <w:sz w:val="11"/>
                <w:szCs w:val="11"/>
                <w:color w:val="auto"/>
              </w:rPr>
            </w:pPr>
          </w:p>
        </w:tc>
        <w:tc>
          <w:tcPr>
            <w:tcW w:w="560" w:type="dxa"/>
            <w:vAlign w:val="bottom"/>
            <w:tcBorders>
              <w:top w:val="single" w:sz="8" w:color="auto"/>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spacing w:after="0"/>
              <w:rPr>
                <w:sz w:val="11"/>
                <w:szCs w:val="11"/>
                <w:color w:val="auto"/>
              </w:rPr>
            </w:pPr>
          </w:p>
        </w:tc>
        <w:tc>
          <w:tcPr>
            <w:tcW w:w="700" w:type="dxa"/>
            <w:vAlign w:val="bottom"/>
            <w:tcBorders>
              <w:top w:val="single" w:sz="8" w:color="auto"/>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20" w:type="dxa"/>
            <w:vAlign w:val="bottom"/>
            <w:tcBorders>
              <w:top w:val="single" w:sz="8" w:color="auto"/>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r>
      <w:tr>
        <w:trPr>
          <w:trHeight w:val="159"/>
        </w:trPr>
        <w:tc>
          <w:tcPr>
            <w:tcW w:w="20" w:type="dxa"/>
            <w:vAlign w:val="bottom"/>
          </w:tcPr>
          <w:p>
            <w:pPr>
              <w:spacing w:after="0"/>
              <w:rPr>
                <w:sz w:val="13"/>
                <w:szCs w:val="13"/>
                <w:color w:val="auto"/>
              </w:rPr>
            </w:pPr>
          </w:p>
        </w:tc>
        <w:tc>
          <w:tcPr>
            <w:tcW w:w="142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gains (losses)</w:t>
            </w:r>
          </w:p>
        </w:tc>
        <w:tc>
          <w:tcPr>
            <w:tcW w:w="8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(6.7)</w:t>
            </w: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(6.7)</w:t>
            </w:r>
          </w:p>
        </w:tc>
        <w:tc>
          <w:tcPr>
            <w:tcW w:w="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0.2</w:t>
            </w: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4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0.2</w:t>
            </w:r>
          </w:p>
        </w:tc>
        <w:tc>
          <w:tcPr>
            <w:tcW w:w="1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87.7</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87.7</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32.9</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5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32.9</w:t>
            </w:r>
          </w:p>
        </w:tc>
        <w:tc>
          <w:tcPr>
            <w:tcW w:w="160" w:type="dxa"/>
            <w:vAlign w:val="bottom"/>
            <w:shd w:val="clear" w:color="auto" w:fill="CCEEFF"/>
          </w:tcPr>
          <w:p>
            <w:pPr>
              <w:spacing w:after="0"/>
              <w:rPr>
                <w:sz w:val="13"/>
                <w:szCs w:val="13"/>
                <w:color w:val="auto"/>
              </w:rPr>
            </w:pPr>
          </w:p>
        </w:tc>
      </w:tr>
      <w:tr>
        <w:trPr>
          <w:trHeight w:val="142"/>
        </w:trPr>
        <w:tc>
          <w:tcPr>
            <w:tcW w:w="20" w:type="dxa"/>
            <w:vAlign w:val="bottom"/>
          </w:tcPr>
          <w:p>
            <w:pPr>
              <w:spacing w:after="0"/>
              <w:rPr>
                <w:sz w:val="12"/>
                <w:szCs w:val="12"/>
                <w:color w:val="auto"/>
              </w:rPr>
            </w:pPr>
          </w:p>
        </w:tc>
        <w:tc>
          <w:tcPr>
            <w:tcW w:w="1420" w:type="dxa"/>
            <w:vAlign w:val="bottom"/>
          </w:tcPr>
          <w:p>
            <w:pPr>
              <w:ind w:left="120"/>
              <w:spacing w:after="0" w:line="142" w:lineRule="exact"/>
              <w:rPr>
                <w:sz w:val="20"/>
                <w:szCs w:val="20"/>
                <w:color w:val="auto"/>
              </w:rPr>
            </w:pPr>
            <w:r>
              <w:rPr>
                <w:rFonts w:ascii="Arial" w:cs="Arial" w:eastAsia="Arial" w:hAnsi="Arial"/>
                <w:sz w:val="14"/>
                <w:szCs w:val="14"/>
                <w:color w:val="auto"/>
              </w:rPr>
              <w:t>Total revenues</w:t>
            </w:r>
          </w:p>
        </w:tc>
        <w:tc>
          <w:tcPr>
            <w:tcW w:w="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2,095.9</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w w:val="89"/>
              </w:rPr>
              <w:t>2,095.9</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2,118.6</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w w:val="89"/>
              </w:rPr>
              <w:t>2,118.6</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2,704.7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2,704.7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2,295.9</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2,295.9</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14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Expenses</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38"/>
        </w:trPr>
        <w:tc>
          <w:tcPr>
            <w:tcW w:w="20" w:type="dxa"/>
            <w:vAlign w:val="bottom"/>
          </w:tcPr>
          <w:p>
            <w:pPr>
              <w:spacing w:after="0"/>
              <w:rPr>
                <w:sz w:val="11"/>
                <w:szCs w:val="11"/>
                <w:color w:val="auto"/>
              </w:rPr>
            </w:pPr>
          </w:p>
        </w:tc>
        <w:tc>
          <w:tcPr>
            <w:tcW w:w="1420" w:type="dxa"/>
            <w:vAlign w:val="bottom"/>
          </w:tcPr>
          <w:p>
            <w:pPr>
              <w:spacing w:after="0" w:line="138" w:lineRule="exact"/>
              <w:rPr>
                <w:sz w:val="20"/>
                <w:szCs w:val="20"/>
                <w:color w:val="auto"/>
              </w:rPr>
            </w:pPr>
            <w:r>
              <w:rPr>
                <w:rFonts w:ascii="Arial" w:cs="Arial" w:eastAsia="Arial" w:hAnsi="Arial"/>
                <w:sz w:val="14"/>
                <w:szCs w:val="14"/>
                <w:color w:val="auto"/>
              </w:rPr>
              <w:t>Benefits, claims and</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r>
      <w:tr>
        <w:trPr>
          <w:trHeight w:val="159"/>
        </w:trPr>
        <w:tc>
          <w:tcPr>
            <w:tcW w:w="20" w:type="dxa"/>
            <w:vAlign w:val="bottom"/>
          </w:tcPr>
          <w:p>
            <w:pPr>
              <w:spacing w:after="0"/>
              <w:rPr>
                <w:sz w:val="13"/>
                <w:szCs w:val="13"/>
                <w:color w:val="auto"/>
              </w:rPr>
            </w:pPr>
          </w:p>
        </w:tc>
        <w:tc>
          <w:tcPr>
            <w:tcW w:w="1420" w:type="dxa"/>
            <w:vAlign w:val="bottom"/>
          </w:tcPr>
          <w:p>
            <w:pPr>
              <w:ind w:left="120"/>
              <w:spacing w:after="0" w:line="159" w:lineRule="exact"/>
              <w:rPr>
                <w:sz w:val="20"/>
                <w:szCs w:val="20"/>
                <w:color w:val="auto"/>
              </w:rPr>
            </w:pPr>
            <w:r>
              <w:rPr>
                <w:rFonts w:ascii="Arial" w:cs="Arial" w:eastAsia="Arial" w:hAnsi="Arial"/>
                <w:sz w:val="14"/>
                <w:szCs w:val="14"/>
                <w:color w:val="auto"/>
                <w:w w:val="99"/>
              </w:rPr>
              <w:t>settlement expenses</w:t>
            </w: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1,212.5</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40" w:type="dxa"/>
            <w:vAlign w:val="bottom"/>
          </w:tcPr>
          <w:p>
            <w:pPr>
              <w:jc w:val="right"/>
              <w:spacing w:after="0" w:line="159" w:lineRule="exact"/>
              <w:rPr>
                <w:sz w:val="20"/>
                <w:szCs w:val="20"/>
                <w:color w:val="auto"/>
              </w:rPr>
            </w:pPr>
            <w:r>
              <w:rPr>
                <w:rFonts w:ascii="Arial" w:cs="Arial" w:eastAsia="Arial" w:hAnsi="Arial"/>
                <w:sz w:val="14"/>
                <w:szCs w:val="14"/>
                <w:color w:val="auto"/>
                <w:w w:val="89"/>
              </w:rPr>
              <w:t>1,212.5</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1,110.0</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40" w:type="dxa"/>
            <w:vAlign w:val="bottom"/>
          </w:tcPr>
          <w:p>
            <w:pPr>
              <w:jc w:val="right"/>
              <w:spacing w:after="0" w:line="159" w:lineRule="exact"/>
              <w:rPr>
                <w:sz w:val="20"/>
                <w:szCs w:val="20"/>
                <w:color w:val="auto"/>
              </w:rPr>
            </w:pPr>
            <w:r>
              <w:rPr>
                <w:rFonts w:ascii="Arial" w:cs="Arial" w:eastAsia="Arial" w:hAnsi="Arial"/>
                <w:sz w:val="14"/>
                <w:szCs w:val="14"/>
                <w:color w:val="auto"/>
                <w:w w:val="89"/>
              </w:rPr>
              <w:t>1,110.0</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1,647.0</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tcPr>
          <w:p>
            <w:pPr>
              <w:jc w:val="right"/>
              <w:spacing w:after="0" w:line="159" w:lineRule="exact"/>
              <w:rPr>
                <w:sz w:val="20"/>
                <w:szCs w:val="20"/>
                <w:color w:val="auto"/>
              </w:rPr>
            </w:pPr>
            <w:r>
              <w:rPr>
                <w:rFonts w:ascii="Arial" w:cs="Arial" w:eastAsia="Arial" w:hAnsi="Arial"/>
                <w:sz w:val="14"/>
                <w:szCs w:val="14"/>
                <w:color w:val="auto"/>
              </w:rPr>
              <w:t>1,647.0</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jc w:val="right"/>
              <w:spacing w:after="0" w:line="159" w:lineRule="exact"/>
              <w:rPr>
                <w:sz w:val="20"/>
                <w:szCs w:val="20"/>
                <w:color w:val="auto"/>
              </w:rPr>
            </w:pPr>
            <w:r>
              <w:rPr>
                <w:rFonts w:ascii="Arial" w:cs="Arial" w:eastAsia="Arial" w:hAnsi="Arial"/>
                <w:sz w:val="14"/>
                <w:szCs w:val="14"/>
                <w:color w:val="auto"/>
              </w:rPr>
              <w:t>1,154.4</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80" w:type="dxa"/>
            <w:vAlign w:val="bottom"/>
          </w:tcPr>
          <w:p>
            <w:pPr>
              <w:jc w:val="right"/>
              <w:spacing w:after="0" w:line="159" w:lineRule="exact"/>
              <w:rPr>
                <w:sz w:val="20"/>
                <w:szCs w:val="20"/>
                <w:color w:val="auto"/>
              </w:rPr>
            </w:pPr>
            <w:r>
              <w:rPr>
                <w:rFonts w:ascii="Arial" w:cs="Arial" w:eastAsia="Arial" w:hAnsi="Arial"/>
                <w:sz w:val="14"/>
                <w:szCs w:val="14"/>
                <w:color w:val="auto"/>
              </w:rPr>
              <w:t>1,154.4</w:t>
            </w:r>
          </w:p>
        </w:tc>
        <w:tc>
          <w:tcPr>
            <w:tcW w:w="160" w:type="dxa"/>
            <w:vAlign w:val="bottom"/>
          </w:tcPr>
          <w:p>
            <w:pPr>
              <w:spacing w:after="0"/>
              <w:rPr>
                <w:sz w:val="13"/>
                <w:szCs w:val="13"/>
                <w:color w:val="auto"/>
              </w:rPr>
            </w:pPr>
          </w:p>
        </w:tc>
      </w:tr>
      <w:tr>
        <w:trPr>
          <w:trHeight w:val="138"/>
        </w:trPr>
        <w:tc>
          <w:tcPr>
            <w:tcW w:w="20" w:type="dxa"/>
            <w:vAlign w:val="bottom"/>
          </w:tcPr>
          <w:p>
            <w:pPr>
              <w:spacing w:after="0"/>
              <w:rPr>
                <w:sz w:val="11"/>
                <w:szCs w:val="11"/>
                <w:color w:val="auto"/>
              </w:rPr>
            </w:pPr>
          </w:p>
        </w:tc>
        <w:tc>
          <w:tcPr>
            <w:tcW w:w="142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Dividends to</w:t>
            </w:r>
          </w:p>
        </w:tc>
        <w:tc>
          <w:tcPr>
            <w:tcW w:w="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r>
      <w:tr>
        <w:trPr>
          <w:trHeight w:val="159"/>
        </w:trPr>
        <w:tc>
          <w:tcPr>
            <w:tcW w:w="20" w:type="dxa"/>
            <w:vAlign w:val="bottom"/>
          </w:tcPr>
          <w:p>
            <w:pPr>
              <w:spacing w:after="0"/>
              <w:rPr>
                <w:sz w:val="13"/>
                <w:szCs w:val="13"/>
                <w:color w:val="auto"/>
              </w:rPr>
            </w:pPr>
          </w:p>
        </w:tc>
        <w:tc>
          <w:tcPr>
            <w:tcW w:w="142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policyholders</w:t>
            </w:r>
          </w:p>
        </w:tc>
        <w:tc>
          <w:tcPr>
            <w:tcW w:w="8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50.3</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4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50.3</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49.5</w:t>
            </w: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4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49.5</w:t>
            </w:r>
          </w:p>
        </w:tc>
        <w:tc>
          <w:tcPr>
            <w:tcW w:w="1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49.7</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49.7</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48.2</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5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48.2</w:t>
            </w:r>
          </w:p>
        </w:tc>
        <w:tc>
          <w:tcPr>
            <w:tcW w:w="160" w:type="dxa"/>
            <w:vAlign w:val="bottom"/>
            <w:shd w:val="clear" w:color="auto" w:fill="CCEEFF"/>
          </w:tcPr>
          <w:p>
            <w:pPr>
              <w:spacing w:after="0"/>
              <w:rPr>
                <w:sz w:val="13"/>
                <w:szCs w:val="13"/>
                <w:color w:val="auto"/>
              </w:rPr>
            </w:pPr>
          </w:p>
        </w:tc>
      </w:tr>
      <w:tr>
        <w:trPr>
          <w:trHeight w:val="149"/>
        </w:trPr>
        <w:tc>
          <w:tcPr>
            <w:tcW w:w="20" w:type="dxa"/>
            <w:vAlign w:val="bottom"/>
          </w:tcPr>
          <w:p>
            <w:pPr>
              <w:spacing w:after="0"/>
              <w:rPr>
                <w:sz w:val="12"/>
                <w:szCs w:val="12"/>
                <w:color w:val="auto"/>
              </w:rPr>
            </w:pPr>
          </w:p>
        </w:tc>
        <w:tc>
          <w:tcPr>
            <w:tcW w:w="1420" w:type="dxa"/>
            <w:vAlign w:val="bottom"/>
          </w:tcPr>
          <w:p>
            <w:pPr>
              <w:spacing w:after="0" w:line="149" w:lineRule="exact"/>
              <w:rPr>
                <w:sz w:val="20"/>
                <w:szCs w:val="20"/>
                <w:color w:val="auto"/>
              </w:rPr>
            </w:pPr>
            <w:r>
              <w:rPr>
                <w:rFonts w:ascii="Arial" w:cs="Arial" w:eastAsia="Arial" w:hAnsi="Arial"/>
                <w:sz w:val="14"/>
                <w:szCs w:val="14"/>
                <w:color w:val="auto"/>
              </w:rPr>
              <w:t>Operating expenses</w:t>
            </w:r>
          </w:p>
        </w:tc>
        <w:tc>
          <w:tcPr>
            <w:tcW w:w="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556.0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555.1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724.1</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729.6</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826.6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816.4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827.4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832.4</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1420" w:type="dxa"/>
            <w:vAlign w:val="bottom"/>
            <w:shd w:val="clear" w:color="auto" w:fill="CCEEFF"/>
          </w:tcPr>
          <w:p>
            <w:pPr>
              <w:ind w:left="120"/>
              <w:spacing w:after="0" w:line="142" w:lineRule="exact"/>
              <w:rPr>
                <w:sz w:val="20"/>
                <w:szCs w:val="20"/>
                <w:color w:val="auto"/>
              </w:rPr>
            </w:pPr>
            <w:r>
              <w:rPr>
                <w:rFonts w:ascii="Arial" w:cs="Arial" w:eastAsia="Arial" w:hAnsi="Arial"/>
                <w:sz w:val="14"/>
                <w:szCs w:val="14"/>
                <w:color w:val="auto"/>
              </w:rPr>
              <w:t>Total expenses</w:t>
            </w:r>
          </w:p>
        </w:tc>
        <w:tc>
          <w:tcPr>
            <w:tcW w:w="8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7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1,818.8</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tcBorders>
              <w:bottom w:val="single" w:sz="8" w:color="auto"/>
            </w:tcBorders>
            <w:shd w:val="clear" w:color="auto" w:fill="CCEEFF"/>
          </w:tcPr>
          <w:p>
            <w:pPr>
              <w:spacing w:after="0"/>
              <w:rPr>
                <w:sz w:val="12"/>
                <w:szCs w:val="12"/>
                <w:color w:val="auto"/>
              </w:rPr>
            </w:pPr>
          </w:p>
        </w:tc>
        <w:tc>
          <w:tcPr>
            <w:tcW w:w="44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89"/>
              </w:rPr>
              <w:t>1,817.9</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7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1,883.6</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tcBorders>
              <w:bottom w:val="single" w:sz="8" w:color="auto"/>
            </w:tcBorders>
            <w:shd w:val="clear" w:color="auto" w:fill="CCEEFF"/>
          </w:tcPr>
          <w:p>
            <w:pPr>
              <w:spacing w:after="0"/>
              <w:rPr>
                <w:sz w:val="12"/>
                <w:szCs w:val="12"/>
                <w:color w:val="auto"/>
              </w:rPr>
            </w:pPr>
          </w:p>
        </w:tc>
        <w:tc>
          <w:tcPr>
            <w:tcW w:w="44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89"/>
              </w:rPr>
              <w:t>1,889.1</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7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2,523.3</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2,513.1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7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2,030.0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2,035.0</w:t>
            </w:r>
          </w:p>
        </w:tc>
        <w:tc>
          <w:tcPr>
            <w:tcW w:w="160" w:type="dxa"/>
            <w:vAlign w:val="bottom"/>
            <w:shd w:val="clear" w:color="auto" w:fill="CCEEFF"/>
          </w:tcPr>
          <w:p>
            <w:pPr>
              <w:spacing w:after="0"/>
              <w:rPr>
                <w:sz w:val="12"/>
                <w:szCs w:val="12"/>
                <w:color w:val="auto"/>
              </w:rPr>
            </w:pPr>
          </w:p>
        </w:tc>
      </w:tr>
      <w:tr>
        <w:trPr>
          <w:trHeight w:val="131"/>
        </w:trPr>
        <w:tc>
          <w:tcPr>
            <w:tcW w:w="1440" w:type="dxa"/>
            <w:vAlign w:val="bottom"/>
            <w:gridSpan w:val="2"/>
          </w:tcPr>
          <w:p>
            <w:pPr>
              <w:spacing w:after="0" w:line="131" w:lineRule="exact"/>
              <w:rPr>
                <w:sz w:val="20"/>
                <w:szCs w:val="20"/>
                <w:color w:val="auto"/>
              </w:rPr>
            </w:pPr>
            <w:r>
              <w:rPr>
                <w:rFonts w:ascii="Arial" w:cs="Arial" w:eastAsia="Arial" w:hAnsi="Arial"/>
                <w:sz w:val="14"/>
                <w:szCs w:val="14"/>
                <w:color w:val="auto"/>
              </w:rPr>
              <w:t>Income before income</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r>
      <w:tr>
        <w:trPr>
          <w:trHeight w:val="159"/>
        </w:trPr>
        <w:tc>
          <w:tcPr>
            <w:tcW w:w="20" w:type="dxa"/>
            <w:vAlign w:val="bottom"/>
          </w:tcPr>
          <w:p>
            <w:pPr>
              <w:spacing w:after="0"/>
              <w:rPr>
                <w:sz w:val="13"/>
                <w:szCs w:val="13"/>
                <w:color w:val="auto"/>
              </w:rPr>
            </w:pPr>
          </w:p>
        </w:tc>
        <w:tc>
          <w:tcPr>
            <w:tcW w:w="1420" w:type="dxa"/>
            <w:vAlign w:val="bottom"/>
          </w:tcPr>
          <w:p>
            <w:pPr>
              <w:ind w:left="120"/>
              <w:spacing w:after="0" w:line="159" w:lineRule="exact"/>
              <w:rPr>
                <w:sz w:val="20"/>
                <w:szCs w:val="20"/>
                <w:color w:val="auto"/>
              </w:rPr>
            </w:pPr>
            <w:r>
              <w:rPr>
                <w:rFonts w:ascii="Arial" w:cs="Arial" w:eastAsia="Arial" w:hAnsi="Arial"/>
                <w:sz w:val="14"/>
                <w:szCs w:val="14"/>
                <w:color w:val="auto"/>
              </w:rPr>
              <w:t>taxes</w:t>
            </w: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277.1</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40" w:type="dxa"/>
            <w:vAlign w:val="bottom"/>
          </w:tcPr>
          <w:p>
            <w:pPr>
              <w:jc w:val="right"/>
              <w:spacing w:after="0" w:line="159" w:lineRule="exact"/>
              <w:rPr>
                <w:sz w:val="20"/>
                <w:szCs w:val="20"/>
                <w:color w:val="auto"/>
              </w:rPr>
            </w:pPr>
            <w:r>
              <w:rPr>
                <w:rFonts w:ascii="Arial" w:cs="Arial" w:eastAsia="Arial" w:hAnsi="Arial"/>
                <w:sz w:val="14"/>
                <w:szCs w:val="14"/>
                <w:color w:val="auto"/>
              </w:rPr>
              <w:t>278.0</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235.0</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40" w:type="dxa"/>
            <w:vAlign w:val="bottom"/>
          </w:tcPr>
          <w:p>
            <w:pPr>
              <w:jc w:val="right"/>
              <w:spacing w:after="0" w:line="159" w:lineRule="exact"/>
              <w:rPr>
                <w:sz w:val="20"/>
                <w:szCs w:val="20"/>
                <w:color w:val="auto"/>
              </w:rPr>
            </w:pPr>
            <w:r>
              <w:rPr>
                <w:rFonts w:ascii="Arial" w:cs="Arial" w:eastAsia="Arial" w:hAnsi="Arial"/>
                <w:sz w:val="14"/>
                <w:szCs w:val="14"/>
                <w:color w:val="auto"/>
              </w:rPr>
              <w:t>229.5</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181.4</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tcPr>
          <w:p>
            <w:pPr>
              <w:jc w:val="right"/>
              <w:spacing w:after="0" w:line="159" w:lineRule="exact"/>
              <w:rPr>
                <w:sz w:val="20"/>
                <w:szCs w:val="20"/>
                <w:color w:val="auto"/>
              </w:rPr>
            </w:pPr>
            <w:r>
              <w:rPr>
                <w:rFonts w:ascii="Arial" w:cs="Arial" w:eastAsia="Arial" w:hAnsi="Arial"/>
                <w:sz w:val="14"/>
                <w:szCs w:val="14"/>
                <w:color w:val="auto"/>
              </w:rPr>
              <w:t>191.6</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jc w:val="right"/>
              <w:spacing w:after="0" w:line="159" w:lineRule="exact"/>
              <w:rPr>
                <w:sz w:val="20"/>
                <w:szCs w:val="20"/>
                <w:color w:val="auto"/>
              </w:rPr>
            </w:pPr>
            <w:r>
              <w:rPr>
                <w:rFonts w:ascii="Arial" w:cs="Arial" w:eastAsia="Arial" w:hAnsi="Arial"/>
                <w:sz w:val="14"/>
                <w:szCs w:val="14"/>
                <w:color w:val="auto"/>
              </w:rPr>
              <w:t>265.9</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80" w:type="dxa"/>
            <w:vAlign w:val="bottom"/>
          </w:tcPr>
          <w:p>
            <w:pPr>
              <w:jc w:val="right"/>
              <w:spacing w:after="0" w:line="159" w:lineRule="exact"/>
              <w:rPr>
                <w:sz w:val="20"/>
                <w:szCs w:val="20"/>
                <w:color w:val="auto"/>
              </w:rPr>
            </w:pPr>
            <w:r>
              <w:rPr>
                <w:rFonts w:ascii="Arial" w:cs="Arial" w:eastAsia="Arial" w:hAnsi="Arial"/>
                <w:sz w:val="14"/>
                <w:szCs w:val="14"/>
                <w:color w:val="auto"/>
              </w:rPr>
              <w:t>260.9</w:t>
            </w:r>
          </w:p>
        </w:tc>
        <w:tc>
          <w:tcPr>
            <w:tcW w:w="160" w:type="dxa"/>
            <w:vAlign w:val="bottom"/>
          </w:tcPr>
          <w:p>
            <w:pPr>
              <w:spacing w:after="0"/>
              <w:rPr>
                <w:sz w:val="13"/>
                <w:szCs w:val="13"/>
                <w:color w:val="auto"/>
              </w:rPr>
            </w:pPr>
          </w:p>
        </w:tc>
      </w:tr>
      <w:tr>
        <w:trPr>
          <w:trHeight w:val="149"/>
        </w:trPr>
        <w:tc>
          <w:tcPr>
            <w:tcW w:w="20" w:type="dxa"/>
            <w:vAlign w:val="bottom"/>
          </w:tcPr>
          <w:p>
            <w:pPr>
              <w:spacing w:after="0"/>
              <w:rPr>
                <w:sz w:val="12"/>
                <w:szCs w:val="12"/>
                <w:color w:val="auto"/>
              </w:rPr>
            </w:pPr>
          </w:p>
        </w:tc>
        <w:tc>
          <w:tcPr>
            <w:tcW w:w="14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96"/>
              </w:rPr>
              <w:t>Income taxes (benefits)</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58.2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56.7</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50.9</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50.9</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(9.9)</w:t>
            </w: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(7.2)</w:t>
            </w: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35.5</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34.2</w:t>
            </w:r>
          </w:p>
        </w:tc>
        <w:tc>
          <w:tcPr>
            <w:tcW w:w="160" w:type="dxa"/>
            <w:vAlign w:val="bottom"/>
            <w:shd w:val="clear" w:color="auto" w:fill="CCEEFF"/>
          </w:tcPr>
          <w:p>
            <w:pPr>
              <w:spacing w:after="0"/>
              <w:rPr>
                <w:sz w:val="12"/>
                <w:szCs w:val="12"/>
                <w:color w:val="auto"/>
              </w:rPr>
            </w:pPr>
          </w:p>
        </w:tc>
      </w:tr>
      <w:tr>
        <w:trPr>
          <w:trHeight w:val="142"/>
        </w:trPr>
        <w:tc>
          <w:tcPr>
            <w:tcW w:w="1440" w:type="dxa"/>
            <w:vAlign w:val="bottom"/>
            <w:gridSpan w:val="2"/>
          </w:tcPr>
          <w:p>
            <w:pPr>
              <w:spacing w:after="0" w:line="142" w:lineRule="exact"/>
              <w:rPr>
                <w:sz w:val="20"/>
                <w:szCs w:val="20"/>
                <w:color w:val="auto"/>
              </w:rPr>
            </w:pPr>
            <w:r>
              <w:rPr>
                <w:rFonts w:ascii="Arial" w:cs="Arial" w:eastAsia="Arial" w:hAnsi="Arial"/>
                <w:sz w:val="14"/>
                <w:szCs w:val="14"/>
                <w:color w:val="auto"/>
              </w:rPr>
              <w:t>Net income</w:t>
            </w:r>
          </w:p>
        </w:tc>
        <w:tc>
          <w:tcPr>
            <w:tcW w:w="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218.9</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221.3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184.1</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178.6</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191.3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198.8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230.4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226.7</w:t>
            </w:r>
          </w:p>
        </w:tc>
        <w:tc>
          <w:tcPr>
            <w:tcW w:w="160" w:type="dxa"/>
            <w:vAlign w:val="bottom"/>
          </w:tcPr>
          <w:p>
            <w:pPr>
              <w:spacing w:after="0"/>
              <w:rPr>
                <w:sz w:val="12"/>
                <w:szCs w:val="12"/>
                <w:color w:val="auto"/>
              </w:rPr>
            </w:pPr>
          </w:p>
        </w:tc>
      </w:tr>
      <w:tr>
        <w:trPr>
          <w:trHeight w:val="138"/>
        </w:trPr>
        <w:tc>
          <w:tcPr>
            <w:tcW w:w="20" w:type="dxa"/>
            <w:vAlign w:val="bottom"/>
          </w:tcPr>
          <w:p>
            <w:pPr>
              <w:spacing w:after="0"/>
              <w:rPr>
                <w:sz w:val="11"/>
                <w:szCs w:val="11"/>
                <w:color w:val="auto"/>
              </w:rPr>
            </w:pPr>
          </w:p>
        </w:tc>
        <w:tc>
          <w:tcPr>
            <w:tcW w:w="142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7"/>
              </w:rPr>
              <w:t>Net income attributable</w:t>
            </w:r>
          </w:p>
        </w:tc>
        <w:tc>
          <w:tcPr>
            <w:tcW w:w="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142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to noncontrolling</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59"/>
        </w:trPr>
        <w:tc>
          <w:tcPr>
            <w:tcW w:w="20" w:type="dxa"/>
            <w:vAlign w:val="bottom"/>
          </w:tcPr>
          <w:p>
            <w:pPr>
              <w:spacing w:after="0"/>
              <w:rPr>
                <w:sz w:val="13"/>
                <w:szCs w:val="13"/>
                <w:color w:val="auto"/>
              </w:rPr>
            </w:pPr>
          </w:p>
        </w:tc>
        <w:tc>
          <w:tcPr>
            <w:tcW w:w="142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interest</w:t>
            </w:r>
          </w:p>
        </w:tc>
        <w:tc>
          <w:tcPr>
            <w:tcW w:w="80" w:type="dxa"/>
            <w:vAlign w:val="bottom"/>
            <w:shd w:val="clear" w:color="auto" w:fill="CCEEFF"/>
          </w:tcPr>
          <w:p>
            <w:pPr>
              <w:spacing w:after="0"/>
              <w:rPr>
                <w:sz w:val="13"/>
                <w:szCs w:val="13"/>
                <w:color w:val="auto"/>
              </w:rPr>
            </w:pPr>
          </w:p>
        </w:tc>
        <w:tc>
          <w:tcPr>
            <w:tcW w:w="120" w:type="dxa"/>
            <w:vAlign w:val="bottom"/>
            <w:tcBorders>
              <w:bottom w:val="single" w:sz="8" w:color="auto"/>
            </w:tcBorders>
            <w:shd w:val="clear" w:color="auto" w:fill="CCEEFF"/>
          </w:tcPr>
          <w:p>
            <w:pPr>
              <w:spacing w:after="0"/>
              <w:rPr>
                <w:sz w:val="13"/>
                <w:szCs w:val="13"/>
                <w:color w:val="auto"/>
              </w:rPr>
            </w:pPr>
          </w:p>
        </w:tc>
        <w:tc>
          <w:tcPr>
            <w:tcW w:w="72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9.2</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tcBorders>
              <w:bottom w:val="single" w:sz="8" w:color="auto"/>
            </w:tcBorders>
            <w:shd w:val="clear" w:color="auto" w:fill="CCEEFF"/>
          </w:tcPr>
          <w:p>
            <w:pPr>
              <w:spacing w:after="0"/>
              <w:rPr>
                <w:sz w:val="13"/>
                <w:szCs w:val="13"/>
                <w:color w:val="auto"/>
              </w:rPr>
            </w:pPr>
          </w:p>
        </w:tc>
        <w:tc>
          <w:tcPr>
            <w:tcW w:w="44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9.2</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0" w:type="dxa"/>
            <w:vAlign w:val="bottom"/>
            <w:tcBorders>
              <w:bottom w:val="single" w:sz="8" w:color="auto"/>
            </w:tcBorders>
            <w:shd w:val="clear" w:color="auto" w:fill="CCEEFF"/>
          </w:tcPr>
          <w:p>
            <w:pPr>
              <w:spacing w:after="0"/>
              <w:rPr>
                <w:sz w:val="13"/>
                <w:szCs w:val="13"/>
                <w:color w:val="auto"/>
              </w:rPr>
            </w:pPr>
          </w:p>
        </w:tc>
        <w:tc>
          <w:tcPr>
            <w:tcW w:w="72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2.7</w:t>
            </w: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340" w:type="dxa"/>
            <w:vAlign w:val="bottom"/>
            <w:tcBorders>
              <w:bottom w:val="single" w:sz="8" w:color="auto"/>
            </w:tcBorders>
            <w:shd w:val="clear" w:color="auto" w:fill="CCEEFF"/>
          </w:tcPr>
          <w:p>
            <w:pPr>
              <w:spacing w:after="0"/>
              <w:rPr>
                <w:sz w:val="13"/>
                <w:szCs w:val="13"/>
                <w:color w:val="auto"/>
              </w:rPr>
            </w:pPr>
          </w:p>
        </w:tc>
        <w:tc>
          <w:tcPr>
            <w:tcW w:w="44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2.7</w:t>
            </w:r>
          </w:p>
        </w:tc>
        <w:tc>
          <w:tcPr>
            <w:tcW w:w="1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00" w:type="dxa"/>
            <w:vAlign w:val="bottom"/>
            <w:tcBorders>
              <w:bottom w:val="single" w:sz="8" w:color="auto"/>
            </w:tcBorders>
            <w:shd w:val="clear" w:color="auto" w:fill="CCEEFF"/>
          </w:tcPr>
          <w:p>
            <w:pPr>
              <w:spacing w:after="0"/>
              <w:rPr>
                <w:sz w:val="13"/>
                <w:szCs w:val="13"/>
                <w:color w:val="auto"/>
              </w:rPr>
            </w:pPr>
          </w:p>
        </w:tc>
        <w:tc>
          <w:tcPr>
            <w:tcW w:w="72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3.4</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20" w:type="dxa"/>
            <w:vAlign w:val="bottom"/>
            <w:tcBorders>
              <w:bottom w:val="single" w:sz="8" w:color="auto"/>
            </w:tcBorders>
            <w:shd w:val="clear" w:color="auto" w:fill="CCEEFF"/>
          </w:tcPr>
          <w:p>
            <w:pPr>
              <w:spacing w:after="0"/>
              <w:rPr>
                <w:sz w:val="13"/>
                <w:szCs w:val="13"/>
                <w:color w:val="auto"/>
              </w:rPr>
            </w:pPr>
          </w:p>
        </w:tc>
        <w:tc>
          <w:tcPr>
            <w:tcW w:w="56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3.4</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tcBorders>
              <w:bottom w:val="single" w:sz="8" w:color="auto"/>
            </w:tcBorders>
            <w:shd w:val="clear" w:color="auto" w:fill="CCEEFF"/>
          </w:tcPr>
          <w:p>
            <w:pPr>
              <w:spacing w:after="0"/>
              <w:rPr>
                <w:sz w:val="13"/>
                <w:szCs w:val="13"/>
                <w:color w:val="auto"/>
              </w:rPr>
            </w:pPr>
          </w:p>
        </w:tc>
        <w:tc>
          <w:tcPr>
            <w:tcW w:w="70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3.5</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20" w:type="dxa"/>
            <w:vAlign w:val="bottom"/>
            <w:tcBorders>
              <w:bottom w:val="single" w:sz="8" w:color="auto"/>
            </w:tcBorders>
            <w:shd w:val="clear" w:color="auto" w:fill="CCEEFF"/>
          </w:tcPr>
          <w:p>
            <w:pPr>
              <w:spacing w:after="0"/>
              <w:rPr>
                <w:sz w:val="13"/>
                <w:szCs w:val="13"/>
                <w:color w:val="auto"/>
              </w:rPr>
            </w:pPr>
          </w:p>
        </w:tc>
        <w:tc>
          <w:tcPr>
            <w:tcW w:w="58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3.5</w:t>
            </w:r>
          </w:p>
        </w:tc>
        <w:tc>
          <w:tcPr>
            <w:tcW w:w="160" w:type="dxa"/>
            <w:vAlign w:val="bottom"/>
            <w:shd w:val="clear" w:color="auto" w:fill="CCEEFF"/>
          </w:tcPr>
          <w:p>
            <w:pPr>
              <w:spacing w:after="0"/>
              <w:rPr>
                <w:sz w:val="13"/>
                <w:szCs w:val="13"/>
                <w:color w:val="auto"/>
              </w:rPr>
            </w:pPr>
          </w:p>
        </w:tc>
      </w:tr>
      <w:tr>
        <w:trPr>
          <w:trHeight w:val="131"/>
        </w:trPr>
        <w:tc>
          <w:tcPr>
            <w:tcW w:w="1440" w:type="dxa"/>
            <w:vAlign w:val="bottom"/>
            <w:gridSpan w:val="2"/>
          </w:tcPr>
          <w:p>
            <w:pPr>
              <w:spacing w:after="0" w:line="131" w:lineRule="exact"/>
              <w:rPr>
                <w:sz w:val="20"/>
                <w:szCs w:val="20"/>
                <w:color w:val="auto"/>
              </w:rPr>
            </w:pPr>
            <w:r>
              <w:rPr>
                <w:rFonts w:ascii="Arial" w:cs="Arial" w:eastAsia="Arial" w:hAnsi="Arial"/>
                <w:sz w:val="14"/>
                <w:szCs w:val="14"/>
                <w:color w:val="auto"/>
                <w:w w:val="98"/>
              </w:rPr>
              <w:t>Net income attributable</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1420" w:type="dxa"/>
            <w:vAlign w:val="bottom"/>
          </w:tcPr>
          <w:p>
            <w:pPr>
              <w:ind w:left="120"/>
              <w:spacing w:after="0" w:line="149" w:lineRule="exact"/>
              <w:rPr>
                <w:sz w:val="20"/>
                <w:szCs w:val="20"/>
                <w:color w:val="auto"/>
              </w:rPr>
            </w:pPr>
            <w:r>
              <w:rPr>
                <w:rFonts w:ascii="Arial" w:cs="Arial" w:eastAsia="Arial" w:hAnsi="Arial"/>
                <w:sz w:val="14"/>
                <w:szCs w:val="14"/>
                <w:color w:val="auto"/>
                <w:w w:val="99"/>
              </w:rPr>
              <w:t>to Principal Financial</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59"/>
        </w:trPr>
        <w:tc>
          <w:tcPr>
            <w:tcW w:w="20" w:type="dxa"/>
            <w:vAlign w:val="bottom"/>
          </w:tcPr>
          <w:p>
            <w:pPr>
              <w:spacing w:after="0"/>
              <w:rPr>
                <w:sz w:val="13"/>
                <w:szCs w:val="13"/>
                <w:color w:val="auto"/>
              </w:rPr>
            </w:pPr>
          </w:p>
        </w:tc>
        <w:tc>
          <w:tcPr>
            <w:tcW w:w="1420" w:type="dxa"/>
            <w:vAlign w:val="bottom"/>
          </w:tcPr>
          <w:p>
            <w:pPr>
              <w:ind w:left="120"/>
              <w:spacing w:after="0" w:line="159" w:lineRule="exact"/>
              <w:rPr>
                <w:sz w:val="20"/>
                <w:szCs w:val="20"/>
                <w:color w:val="auto"/>
              </w:rPr>
            </w:pPr>
            <w:r>
              <w:rPr>
                <w:rFonts w:ascii="Arial" w:cs="Arial" w:eastAsia="Arial" w:hAnsi="Arial"/>
                <w:sz w:val="14"/>
                <w:szCs w:val="14"/>
                <w:color w:val="auto"/>
              </w:rPr>
              <w:t>Group, Inc.</w:t>
            </w: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209.7</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40" w:type="dxa"/>
            <w:vAlign w:val="bottom"/>
          </w:tcPr>
          <w:p>
            <w:pPr>
              <w:jc w:val="right"/>
              <w:spacing w:after="0" w:line="159" w:lineRule="exact"/>
              <w:rPr>
                <w:sz w:val="20"/>
                <w:szCs w:val="20"/>
                <w:color w:val="auto"/>
              </w:rPr>
            </w:pPr>
            <w:r>
              <w:rPr>
                <w:rFonts w:ascii="Arial" w:cs="Arial" w:eastAsia="Arial" w:hAnsi="Arial"/>
                <w:sz w:val="14"/>
                <w:szCs w:val="14"/>
                <w:color w:val="auto"/>
              </w:rPr>
              <w:t>212.1</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181.4</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40" w:type="dxa"/>
            <w:vAlign w:val="bottom"/>
          </w:tcPr>
          <w:p>
            <w:pPr>
              <w:jc w:val="right"/>
              <w:spacing w:after="0" w:line="159" w:lineRule="exact"/>
              <w:rPr>
                <w:sz w:val="20"/>
                <w:szCs w:val="20"/>
                <w:color w:val="auto"/>
              </w:rPr>
            </w:pPr>
            <w:r>
              <w:rPr>
                <w:rFonts w:ascii="Arial" w:cs="Arial" w:eastAsia="Arial" w:hAnsi="Arial"/>
                <w:sz w:val="14"/>
                <w:szCs w:val="14"/>
                <w:color w:val="auto"/>
              </w:rPr>
              <w:t>175.9</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187.9</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tcPr>
          <w:p>
            <w:pPr>
              <w:jc w:val="right"/>
              <w:spacing w:after="0" w:line="159" w:lineRule="exact"/>
              <w:rPr>
                <w:sz w:val="20"/>
                <w:szCs w:val="20"/>
                <w:color w:val="auto"/>
              </w:rPr>
            </w:pPr>
            <w:r>
              <w:rPr>
                <w:rFonts w:ascii="Arial" w:cs="Arial" w:eastAsia="Arial" w:hAnsi="Arial"/>
                <w:sz w:val="14"/>
                <w:szCs w:val="14"/>
                <w:color w:val="auto"/>
              </w:rPr>
              <w:t>195.4</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jc w:val="right"/>
              <w:spacing w:after="0" w:line="159" w:lineRule="exact"/>
              <w:rPr>
                <w:sz w:val="20"/>
                <w:szCs w:val="20"/>
                <w:color w:val="auto"/>
              </w:rPr>
            </w:pPr>
            <w:r>
              <w:rPr>
                <w:rFonts w:ascii="Arial" w:cs="Arial" w:eastAsia="Arial" w:hAnsi="Arial"/>
                <w:sz w:val="14"/>
                <w:szCs w:val="14"/>
                <w:color w:val="auto"/>
              </w:rPr>
              <w:t>226.9</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80" w:type="dxa"/>
            <w:vAlign w:val="bottom"/>
          </w:tcPr>
          <w:p>
            <w:pPr>
              <w:jc w:val="right"/>
              <w:spacing w:after="0" w:line="159" w:lineRule="exact"/>
              <w:rPr>
                <w:sz w:val="20"/>
                <w:szCs w:val="20"/>
                <w:color w:val="auto"/>
              </w:rPr>
            </w:pPr>
            <w:r>
              <w:rPr>
                <w:rFonts w:ascii="Arial" w:cs="Arial" w:eastAsia="Arial" w:hAnsi="Arial"/>
                <w:sz w:val="14"/>
                <w:szCs w:val="14"/>
                <w:color w:val="auto"/>
              </w:rPr>
              <w:t>223.2</w:t>
            </w:r>
          </w:p>
        </w:tc>
        <w:tc>
          <w:tcPr>
            <w:tcW w:w="160" w:type="dxa"/>
            <w:vAlign w:val="bottom"/>
          </w:tcPr>
          <w:p>
            <w:pPr>
              <w:spacing w:after="0"/>
              <w:rPr>
                <w:sz w:val="13"/>
                <w:szCs w:val="13"/>
                <w:color w:val="auto"/>
              </w:rPr>
            </w:pPr>
          </w:p>
        </w:tc>
      </w:tr>
      <w:tr>
        <w:trPr>
          <w:trHeight w:val="138"/>
        </w:trPr>
        <w:tc>
          <w:tcPr>
            <w:tcW w:w="20" w:type="dxa"/>
            <w:vAlign w:val="bottom"/>
          </w:tcPr>
          <w:p>
            <w:pPr>
              <w:spacing w:after="0"/>
              <w:rPr>
                <w:sz w:val="11"/>
                <w:szCs w:val="11"/>
                <w:color w:val="auto"/>
              </w:rPr>
            </w:pPr>
          </w:p>
        </w:tc>
        <w:tc>
          <w:tcPr>
            <w:tcW w:w="142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Preferred stock</w:t>
            </w:r>
          </w:p>
        </w:tc>
        <w:tc>
          <w:tcPr>
            <w:tcW w:w="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r>
      <w:tr>
        <w:trPr>
          <w:trHeight w:val="159"/>
        </w:trPr>
        <w:tc>
          <w:tcPr>
            <w:tcW w:w="20" w:type="dxa"/>
            <w:vAlign w:val="bottom"/>
          </w:tcPr>
          <w:p>
            <w:pPr>
              <w:spacing w:after="0"/>
              <w:rPr>
                <w:sz w:val="13"/>
                <w:szCs w:val="13"/>
                <w:color w:val="auto"/>
              </w:rPr>
            </w:pPr>
          </w:p>
        </w:tc>
        <w:tc>
          <w:tcPr>
            <w:tcW w:w="142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dividends</w:t>
            </w:r>
          </w:p>
        </w:tc>
        <w:tc>
          <w:tcPr>
            <w:tcW w:w="80" w:type="dxa"/>
            <w:vAlign w:val="bottom"/>
            <w:shd w:val="clear" w:color="auto" w:fill="CCEEFF"/>
          </w:tcPr>
          <w:p>
            <w:pPr>
              <w:spacing w:after="0"/>
              <w:rPr>
                <w:sz w:val="13"/>
                <w:szCs w:val="13"/>
                <w:color w:val="auto"/>
              </w:rPr>
            </w:pPr>
          </w:p>
        </w:tc>
        <w:tc>
          <w:tcPr>
            <w:tcW w:w="120" w:type="dxa"/>
            <w:vAlign w:val="bottom"/>
            <w:tcBorders>
              <w:bottom w:val="single" w:sz="8" w:color="auto"/>
            </w:tcBorders>
            <w:shd w:val="clear" w:color="auto" w:fill="CCEEFF"/>
          </w:tcPr>
          <w:p>
            <w:pPr>
              <w:spacing w:after="0"/>
              <w:rPr>
                <w:sz w:val="13"/>
                <w:szCs w:val="13"/>
                <w:color w:val="auto"/>
              </w:rPr>
            </w:pPr>
          </w:p>
        </w:tc>
        <w:tc>
          <w:tcPr>
            <w:tcW w:w="72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8.2</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tcBorders>
              <w:bottom w:val="single" w:sz="8" w:color="auto"/>
            </w:tcBorders>
            <w:shd w:val="clear" w:color="auto" w:fill="CCEEFF"/>
          </w:tcPr>
          <w:p>
            <w:pPr>
              <w:spacing w:after="0"/>
              <w:rPr>
                <w:sz w:val="13"/>
                <w:szCs w:val="13"/>
                <w:color w:val="auto"/>
              </w:rPr>
            </w:pPr>
          </w:p>
        </w:tc>
        <w:tc>
          <w:tcPr>
            <w:tcW w:w="44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8.2</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0" w:type="dxa"/>
            <w:vAlign w:val="bottom"/>
            <w:tcBorders>
              <w:bottom w:val="single" w:sz="8" w:color="auto"/>
            </w:tcBorders>
            <w:shd w:val="clear" w:color="auto" w:fill="CCEEFF"/>
          </w:tcPr>
          <w:p>
            <w:pPr>
              <w:spacing w:after="0"/>
              <w:rPr>
                <w:sz w:val="13"/>
                <w:szCs w:val="13"/>
                <w:color w:val="auto"/>
              </w:rPr>
            </w:pPr>
          </w:p>
        </w:tc>
        <w:tc>
          <w:tcPr>
            <w:tcW w:w="72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8.3</w:t>
            </w: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340" w:type="dxa"/>
            <w:vAlign w:val="bottom"/>
            <w:tcBorders>
              <w:bottom w:val="single" w:sz="8" w:color="auto"/>
            </w:tcBorders>
            <w:shd w:val="clear" w:color="auto" w:fill="CCEEFF"/>
          </w:tcPr>
          <w:p>
            <w:pPr>
              <w:spacing w:after="0"/>
              <w:rPr>
                <w:sz w:val="13"/>
                <w:szCs w:val="13"/>
                <w:color w:val="auto"/>
              </w:rPr>
            </w:pPr>
          </w:p>
        </w:tc>
        <w:tc>
          <w:tcPr>
            <w:tcW w:w="44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8.3</w:t>
            </w:r>
          </w:p>
        </w:tc>
        <w:tc>
          <w:tcPr>
            <w:tcW w:w="1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00" w:type="dxa"/>
            <w:vAlign w:val="bottom"/>
            <w:tcBorders>
              <w:bottom w:val="single" w:sz="8" w:color="auto"/>
            </w:tcBorders>
            <w:shd w:val="clear" w:color="auto" w:fill="CCEEFF"/>
          </w:tcPr>
          <w:p>
            <w:pPr>
              <w:spacing w:after="0"/>
              <w:rPr>
                <w:sz w:val="13"/>
                <w:szCs w:val="13"/>
                <w:color w:val="auto"/>
              </w:rPr>
            </w:pPr>
          </w:p>
        </w:tc>
        <w:tc>
          <w:tcPr>
            <w:tcW w:w="72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8.2</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20" w:type="dxa"/>
            <w:vAlign w:val="bottom"/>
            <w:tcBorders>
              <w:bottom w:val="single" w:sz="8" w:color="auto"/>
            </w:tcBorders>
            <w:shd w:val="clear" w:color="auto" w:fill="CCEEFF"/>
          </w:tcPr>
          <w:p>
            <w:pPr>
              <w:spacing w:after="0"/>
              <w:rPr>
                <w:sz w:val="13"/>
                <w:szCs w:val="13"/>
                <w:color w:val="auto"/>
              </w:rPr>
            </w:pPr>
          </w:p>
        </w:tc>
        <w:tc>
          <w:tcPr>
            <w:tcW w:w="56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8.2</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tcBorders>
              <w:bottom w:val="single" w:sz="8" w:color="auto"/>
            </w:tcBorders>
            <w:shd w:val="clear" w:color="auto" w:fill="CCEEFF"/>
          </w:tcPr>
          <w:p>
            <w:pPr>
              <w:spacing w:after="0"/>
              <w:rPr>
                <w:sz w:val="13"/>
                <w:szCs w:val="13"/>
                <w:color w:val="auto"/>
              </w:rPr>
            </w:pPr>
          </w:p>
        </w:tc>
        <w:tc>
          <w:tcPr>
            <w:tcW w:w="70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8.3</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20" w:type="dxa"/>
            <w:vAlign w:val="bottom"/>
            <w:tcBorders>
              <w:bottom w:val="single" w:sz="8" w:color="auto"/>
            </w:tcBorders>
            <w:shd w:val="clear" w:color="auto" w:fill="CCEEFF"/>
          </w:tcPr>
          <w:p>
            <w:pPr>
              <w:spacing w:after="0"/>
              <w:rPr>
                <w:sz w:val="13"/>
                <w:szCs w:val="13"/>
                <w:color w:val="auto"/>
              </w:rPr>
            </w:pPr>
          </w:p>
        </w:tc>
        <w:tc>
          <w:tcPr>
            <w:tcW w:w="58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8.3</w:t>
            </w:r>
          </w:p>
        </w:tc>
        <w:tc>
          <w:tcPr>
            <w:tcW w:w="160" w:type="dxa"/>
            <w:vAlign w:val="bottom"/>
            <w:shd w:val="clear" w:color="auto" w:fill="CCEEFF"/>
          </w:tcPr>
          <w:p>
            <w:pPr>
              <w:spacing w:after="0"/>
              <w:rPr>
                <w:sz w:val="13"/>
                <w:szCs w:val="13"/>
                <w:color w:val="auto"/>
              </w:rPr>
            </w:pPr>
          </w:p>
        </w:tc>
      </w:tr>
      <w:tr>
        <w:trPr>
          <w:trHeight w:val="131"/>
        </w:trPr>
        <w:tc>
          <w:tcPr>
            <w:tcW w:w="1440" w:type="dxa"/>
            <w:vAlign w:val="bottom"/>
            <w:gridSpan w:val="2"/>
          </w:tcPr>
          <w:p>
            <w:pPr>
              <w:spacing w:after="0" w:line="131" w:lineRule="exact"/>
              <w:rPr>
                <w:sz w:val="20"/>
                <w:szCs w:val="20"/>
                <w:color w:val="auto"/>
              </w:rPr>
            </w:pPr>
            <w:r>
              <w:rPr>
                <w:rFonts w:ascii="Arial" w:cs="Arial" w:eastAsia="Arial" w:hAnsi="Arial"/>
                <w:sz w:val="14"/>
                <w:szCs w:val="14"/>
                <w:color w:val="auto"/>
                <w:w w:val="97"/>
              </w:rPr>
              <w:t>Net income available to</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r>
      <w:tr>
        <w:trPr>
          <w:trHeight w:val="159"/>
        </w:trPr>
        <w:tc>
          <w:tcPr>
            <w:tcW w:w="20" w:type="dxa"/>
            <w:vAlign w:val="bottom"/>
          </w:tcPr>
          <w:p>
            <w:pPr>
              <w:spacing w:after="0"/>
              <w:rPr>
                <w:sz w:val="13"/>
                <w:szCs w:val="13"/>
                <w:color w:val="auto"/>
              </w:rPr>
            </w:pPr>
          </w:p>
        </w:tc>
        <w:tc>
          <w:tcPr>
            <w:tcW w:w="1420" w:type="dxa"/>
            <w:vAlign w:val="bottom"/>
          </w:tcPr>
          <w:p>
            <w:pPr>
              <w:ind w:left="120"/>
              <w:spacing w:after="0" w:line="159" w:lineRule="exact"/>
              <w:rPr>
                <w:sz w:val="20"/>
                <w:szCs w:val="20"/>
                <w:color w:val="auto"/>
              </w:rPr>
            </w:pPr>
            <w:r>
              <w:rPr>
                <w:rFonts w:ascii="Arial" w:cs="Arial" w:eastAsia="Arial" w:hAnsi="Arial"/>
                <w:sz w:val="14"/>
                <w:szCs w:val="14"/>
                <w:color w:val="auto"/>
                <w:w w:val="93"/>
              </w:rPr>
              <w:t>common stockholders</w:t>
            </w:r>
          </w:p>
        </w:tc>
        <w:tc>
          <w:tcPr>
            <w:tcW w:w="20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201.5</w:t>
            </w:r>
          </w:p>
        </w:tc>
        <w:tc>
          <w:tcPr>
            <w:tcW w:w="80" w:type="dxa"/>
            <w:vAlign w:val="bottom"/>
          </w:tcPr>
          <w:p>
            <w:pPr>
              <w:spacing w:after="0"/>
              <w:rPr>
                <w:sz w:val="13"/>
                <w:szCs w:val="13"/>
                <w:color w:val="auto"/>
              </w:rPr>
            </w:pPr>
          </w:p>
        </w:tc>
        <w:tc>
          <w:tcPr>
            <w:tcW w:w="420" w:type="dxa"/>
            <w:vAlign w:val="bottom"/>
            <w:gridSpan w:val="2"/>
          </w:tcPr>
          <w:p>
            <w:pPr>
              <w:jc w:val="right"/>
              <w:ind w:right="212"/>
              <w:spacing w:after="0" w:line="159" w:lineRule="exact"/>
              <w:rPr>
                <w:sz w:val="20"/>
                <w:szCs w:val="20"/>
                <w:color w:val="auto"/>
              </w:rPr>
            </w:pPr>
            <w:r>
              <w:rPr>
                <w:rFonts w:ascii="Arial" w:cs="Arial" w:eastAsia="Arial" w:hAnsi="Arial"/>
                <w:sz w:val="14"/>
                <w:szCs w:val="14"/>
                <w:color w:val="auto"/>
              </w:rPr>
              <w:t>$</w:t>
            </w:r>
          </w:p>
        </w:tc>
        <w:tc>
          <w:tcPr>
            <w:tcW w:w="440" w:type="dxa"/>
            <w:vAlign w:val="bottom"/>
          </w:tcPr>
          <w:p>
            <w:pPr>
              <w:jc w:val="right"/>
              <w:spacing w:after="0" w:line="159" w:lineRule="exact"/>
              <w:rPr>
                <w:sz w:val="20"/>
                <w:szCs w:val="20"/>
                <w:color w:val="auto"/>
              </w:rPr>
            </w:pPr>
            <w:r>
              <w:rPr>
                <w:rFonts w:ascii="Arial" w:cs="Arial" w:eastAsia="Arial" w:hAnsi="Arial"/>
                <w:sz w:val="14"/>
                <w:szCs w:val="14"/>
                <w:color w:val="auto"/>
              </w:rPr>
              <w:t>203.9</w:t>
            </w:r>
          </w:p>
        </w:tc>
        <w:tc>
          <w:tcPr>
            <w:tcW w:w="100" w:type="dxa"/>
            <w:vAlign w:val="bottom"/>
          </w:tcPr>
          <w:p>
            <w:pPr>
              <w:spacing w:after="0"/>
              <w:rPr>
                <w:sz w:val="13"/>
                <w:szCs w:val="13"/>
                <w:color w:val="auto"/>
              </w:rPr>
            </w:pPr>
          </w:p>
        </w:tc>
        <w:tc>
          <w:tcPr>
            <w:tcW w:w="16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173.1</w:t>
            </w:r>
          </w:p>
        </w:tc>
        <w:tc>
          <w:tcPr>
            <w:tcW w:w="40" w:type="dxa"/>
            <w:vAlign w:val="bottom"/>
          </w:tcPr>
          <w:p>
            <w:pPr>
              <w:spacing w:after="0"/>
              <w:rPr>
                <w:sz w:val="13"/>
                <w:szCs w:val="13"/>
                <w:color w:val="auto"/>
              </w:rPr>
            </w:pPr>
          </w:p>
        </w:tc>
        <w:tc>
          <w:tcPr>
            <w:tcW w:w="460" w:type="dxa"/>
            <w:vAlign w:val="bottom"/>
            <w:gridSpan w:val="2"/>
          </w:tcPr>
          <w:p>
            <w:pPr>
              <w:jc w:val="right"/>
              <w:ind w:right="212"/>
              <w:spacing w:after="0" w:line="159" w:lineRule="exact"/>
              <w:rPr>
                <w:sz w:val="20"/>
                <w:szCs w:val="20"/>
                <w:color w:val="auto"/>
              </w:rPr>
            </w:pPr>
            <w:r>
              <w:rPr>
                <w:rFonts w:ascii="Arial" w:cs="Arial" w:eastAsia="Arial" w:hAnsi="Arial"/>
                <w:sz w:val="14"/>
                <w:szCs w:val="14"/>
                <w:color w:val="auto"/>
              </w:rPr>
              <w:t>$</w:t>
            </w:r>
          </w:p>
        </w:tc>
        <w:tc>
          <w:tcPr>
            <w:tcW w:w="440" w:type="dxa"/>
            <w:vAlign w:val="bottom"/>
          </w:tcPr>
          <w:p>
            <w:pPr>
              <w:jc w:val="right"/>
              <w:spacing w:after="0" w:line="159" w:lineRule="exact"/>
              <w:rPr>
                <w:sz w:val="20"/>
                <w:szCs w:val="20"/>
                <w:color w:val="auto"/>
              </w:rPr>
            </w:pPr>
            <w:r>
              <w:rPr>
                <w:rFonts w:ascii="Arial" w:cs="Arial" w:eastAsia="Arial" w:hAnsi="Arial"/>
                <w:sz w:val="14"/>
                <w:szCs w:val="14"/>
                <w:color w:val="auto"/>
              </w:rPr>
              <w:t>167.6</w:t>
            </w:r>
          </w:p>
        </w:tc>
        <w:tc>
          <w:tcPr>
            <w:tcW w:w="100" w:type="dxa"/>
            <w:vAlign w:val="bottom"/>
          </w:tcPr>
          <w:p>
            <w:pPr>
              <w:spacing w:after="0"/>
              <w:rPr>
                <w:sz w:val="13"/>
                <w:szCs w:val="13"/>
                <w:color w:val="auto"/>
              </w:rPr>
            </w:pPr>
          </w:p>
        </w:tc>
        <w:tc>
          <w:tcPr>
            <w:tcW w:w="18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179.7</w:t>
            </w:r>
          </w:p>
        </w:tc>
        <w:tc>
          <w:tcPr>
            <w:tcW w:w="100" w:type="dxa"/>
            <w:vAlign w:val="bottom"/>
          </w:tcPr>
          <w:p>
            <w:pPr>
              <w:spacing w:after="0"/>
              <w:rPr>
                <w:sz w:val="13"/>
                <w:szCs w:val="13"/>
                <w:color w:val="auto"/>
              </w:rPr>
            </w:pPr>
          </w:p>
        </w:tc>
        <w:tc>
          <w:tcPr>
            <w:tcW w:w="280" w:type="dxa"/>
            <w:vAlign w:val="bottom"/>
            <w:gridSpan w:val="2"/>
          </w:tcPr>
          <w:p>
            <w:pPr>
              <w:jc w:val="right"/>
              <w:ind w:right="92"/>
              <w:spacing w:after="0" w:line="159" w:lineRule="exact"/>
              <w:rPr>
                <w:sz w:val="20"/>
                <w:szCs w:val="20"/>
                <w:color w:val="auto"/>
              </w:rPr>
            </w:pPr>
            <w:r>
              <w:rPr>
                <w:rFonts w:ascii="Arial" w:cs="Arial" w:eastAsia="Arial" w:hAnsi="Arial"/>
                <w:sz w:val="14"/>
                <w:szCs w:val="14"/>
                <w:color w:val="auto"/>
              </w:rPr>
              <w:t>$</w:t>
            </w:r>
          </w:p>
        </w:tc>
        <w:tc>
          <w:tcPr>
            <w:tcW w:w="560" w:type="dxa"/>
            <w:vAlign w:val="bottom"/>
          </w:tcPr>
          <w:p>
            <w:pPr>
              <w:jc w:val="right"/>
              <w:spacing w:after="0" w:line="159" w:lineRule="exact"/>
              <w:rPr>
                <w:sz w:val="20"/>
                <w:szCs w:val="20"/>
                <w:color w:val="auto"/>
              </w:rPr>
            </w:pPr>
            <w:r>
              <w:rPr>
                <w:rFonts w:ascii="Arial" w:cs="Arial" w:eastAsia="Arial" w:hAnsi="Arial"/>
                <w:sz w:val="14"/>
                <w:szCs w:val="14"/>
                <w:color w:val="auto"/>
              </w:rPr>
              <w:t>187.2</w:t>
            </w:r>
          </w:p>
        </w:tc>
        <w:tc>
          <w:tcPr>
            <w:tcW w:w="100" w:type="dxa"/>
            <w:vAlign w:val="bottom"/>
          </w:tcPr>
          <w:p>
            <w:pPr>
              <w:spacing w:after="0"/>
              <w:rPr>
                <w:sz w:val="13"/>
                <w:szCs w:val="13"/>
                <w:color w:val="auto"/>
              </w:rPr>
            </w:pPr>
          </w:p>
        </w:tc>
        <w:tc>
          <w:tcPr>
            <w:tcW w:w="18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700" w:type="dxa"/>
            <w:vAlign w:val="bottom"/>
          </w:tcPr>
          <w:p>
            <w:pPr>
              <w:jc w:val="right"/>
              <w:spacing w:after="0" w:line="159" w:lineRule="exact"/>
              <w:rPr>
                <w:sz w:val="20"/>
                <w:szCs w:val="20"/>
                <w:color w:val="auto"/>
              </w:rPr>
            </w:pPr>
            <w:r>
              <w:rPr>
                <w:rFonts w:ascii="Arial" w:cs="Arial" w:eastAsia="Arial" w:hAnsi="Arial"/>
                <w:sz w:val="14"/>
                <w:szCs w:val="14"/>
                <w:color w:val="auto"/>
              </w:rPr>
              <w:t>218.6</w:t>
            </w:r>
          </w:p>
        </w:tc>
        <w:tc>
          <w:tcPr>
            <w:tcW w:w="100" w:type="dxa"/>
            <w:vAlign w:val="bottom"/>
          </w:tcPr>
          <w:p>
            <w:pPr>
              <w:spacing w:after="0"/>
              <w:rPr>
                <w:sz w:val="13"/>
                <w:szCs w:val="13"/>
                <w:color w:val="auto"/>
              </w:rPr>
            </w:pPr>
          </w:p>
        </w:tc>
        <w:tc>
          <w:tcPr>
            <w:tcW w:w="280" w:type="dxa"/>
            <w:vAlign w:val="bottom"/>
            <w:gridSpan w:val="2"/>
          </w:tcPr>
          <w:p>
            <w:pPr>
              <w:jc w:val="right"/>
              <w:ind w:right="92"/>
              <w:spacing w:after="0" w:line="159" w:lineRule="exact"/>
              <w:rPr>
                <w:sz w:val="20"/>
                <w:szCs w:val="20"/>
                <w:color w:val="auto"/>
              </w:rPr>
            </w:pPr>
            <w:r>
              <w:rPr>
                <w:rFonts w:ascii="Arial" w:cs="Arial" w:eastAsia="Arial" w:hAnsi="Arial"/>
                <w:sz w:val="14"/>
                <w:szCs w:val="14"/>
                <w:color w:val="auto"/>
              </w:rPr>
              <w:t>$</w:t>
            </w:r>
          </w:p>
        </w:tc>
        <w:tc>
          <w:tcPr>
            <w:tcW w:w="580" w:type="dxa"/>
            <w:vAlign w:val="bottom"/>
          </w:tcPr>
          <w:p>
            <w:pPr>
              <w:jc w:val="right"/>
              <w:spacing w:after="0" w:line="159" w:lineRule="exact"/>
              <w:rPr>
                <w:sz w:val="20"/>
                <w:szCs w:val="20"/>
                <w:color w:val="auto"/>
              </w:rPr>
            </w:pPr>
            <w:r>
              <w:rPr>
                <w:rFonts w:ascii="Arial" w:cs="Arial" w:eastAsia="Arial" w:hAnsi="Arial"/>
                <w:sz w:val="14"/>
                <w:szCs w:val="14"/>
                <w:color w:val="auto"/>
              </w:rPr>
              <w:t>214.9</w:t>
            </w:r>
          </w:p>
        </w:tc>
        <w:tc>
          <w:tcPr>
            <w:tcW w:w="160" w:type="dxa"/>
            <w:vAlign w:val="bottom"/>
          </w:tcPr>
          <w:p>
            <w:pPr>
              <w:spacing w:after="0"/>
              <w:rPr>
                <w:sz w:val="13"/>
                <w:szCs w:val="13"/>
                <w:color w:val="auto"/>
              </w:rPr>
            </w:pPr>
          </w:p>
        </w:tc>
      </w:tr>
      <w:tr>
        <w:trPr>
          <w:trHeight w:val="20"/>
        </w:trPr>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16"/>
        </w:trPr>
        <w:tc>
          <w:tcPr>
            <w:tcW w:w="20" w:type="dxa"/>
            <w:vAlign w:val="bottom"/>
          </w:tcPr>
          <w:p>
            <w:pPr>
              <w:spacing w:after="0"/>
              <w:rPr>
                <w:sz w:val="10"/>
                <w:szCs w:val="10"/>
                <w:color w:val="auto"/>
              </w:rPr>
            </w:pPr>
          </w:p>
        </w:tc>
        <w:tc>
          <w:tcPr>
            <w:tcW w:w="1420" w:type="dxa"/>
            <w:vAlign w:val="bottom"/>
            <w:shd w:val="clear" w:color="auto" w:fill="CCEEFF"/>
          </w:tcPr>
          <w:p>
            <w:pPr>
              <w:spacing w:after="0" w:line="117" w:lineRule="exact"/>
              <w:rPr>
                <w:sz w:val="20"/>
                <w:szCs w:val="20"/>
                <w:color w:val="auto"/>
              </w:rPr>
            </w:pPr>
            <w:r>
              <w:rPr>
                <w:rFonts w:ascii="Arial" w:cs="Arial" w:eastAsia="Arial" w:hAnsi="Arial"/>
                <w:sz w:val="12"/>
                <w:szCs w:val="12"/>
                <w:b w:val="1"/>
                <w:bCs w:val="1"/>
                <w:color w:val="auto"/>
              </w:rPr>
              <w:t>Earnings per common</w:t>
            </w:r>
          </w:p>
        </w:tc>
        <w:tc>
          <w:tcPr>
            <w:tcW w:w="8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72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4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2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34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5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7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r>
      <w:tr>
        <w:trPr>
          <w:trHeight w:val="161"/>
        </w:trPr>
        <w:tc>
          <w:tcPr>
            <w:tcW w:w="20" w:type="dxa"/>
            <w:vAlign w:val="bottom"/>
          </w:tcPr>
          <w:p>
            <w:pPr>
              <w:spacing w:after="0"/>
              <w:rPr>
                <w:sz w:val="14"/>
                <w:szCs w:val="14"/>
                <w:color w:val="auto"/>
              </w:rPr>
            </w:pPr>
          </w:p>
        </w:tc>
        <w:tc>
          <w:tcPr>
            <w:tcW w:w="1420" w:type="dxa"/>
            <w:vAlign w:val="bottom"/>
            <w:shd w:val="clear" w:color="auto" w:fill="CCEEFF"/>
          </w:tcPr>
          <w:p>
            <w:pPr>
              <w:ind w:left="120"/>
              <w:spacing w:after="0"/>
              <w:rPr>
                <w:sz w:val="20"/>
                <w:szCs w:val="20"/>
                <w:color w:val="auto"/>
              </w:rPr>
            </w:pPr>
            <w:r>
              <w:rPr>
                <w:rFonts w:ascii="Arial" w:cs="Arial" w:eastAsia="Arial" w:hAnsi="Arial"/>
                <w:sz w:val="14"/>
                <w:szCs w:val="14"/>
                <w:b w:val="1"/>
                <w:bCs w:val="1"/>
                <w:color w:val="auto"/>
              </w:rPr>
              <w:t>share</w:t>
            </w: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r>
      <w:tr>
        <w:trPr>
          <w:trHeight w:val="138"/>
        </w:trPr>
        <w:tc>
          <w:tcPr>
            <w:tcW w:w="20" w:type="dxa"/>
            <w:vAlign w:val="bottom"/>
          </w:tcPr>
          <w:p>
            <w:pPr>
              <w:spacing w:after="0"/>
              <w:rPr>
                <w:sz w:val="11"/>
                <w:szCs w:val="11"/>
                <w:color w:val="auto"/>
              </w:rPr>
            </w:pPr>
          </w:p>
        </w:tc>
        <w:tc>
          <w:tcPr>
            <w:tcW w:w="1420" w:type="dxa"/>
            <w:vAlign w:val="bottom"/>
          </w:tcPr>
          <w:p>
            <w:pPr>
              <w:spacing w:after="0" w:line="138" w:lineRule="exact"/>
              <w:rPr>
                <w:sz w:val="20"/>
                <w:szCs w:val="20"/>
                <w:color w:val="auto"/>
              </w:rPr>
            </w:pPr>
            <w:r>
              <w:rPr>
                <w:rFonts w:ascii="Arial" w:cs="Arial" w:eastAsia="Arial" w:hAnsi="Arial"/>
                <w:sz w:val="14"/>
                <w:szCs w:val="14"/>
                <w:color w:val="auto"/>
              </w:rPr>
              <w:t>Basic earnings per</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r>
      <w:tr>
        <w:trPr>
          <w:trHeight w:val="159"/>
        </w:trPr>
        <w:tc>
          <w:tcPr>
            <w:tcW w:w="20" w:type="dxa"/>
            <w:vAlign w:val="bottom"/>
          </w:tcPr>
          <w:p>
            <w:pPr>
              <w:spacing w:after="0"/>
              <w:rPr>
                <w:sz w:val="13"/>
                <w:szCs w:val="13"/>
                <w:color w:val="auto"/>
              </w:rPr>
            </w:pPr>
          </w:p>
        </w:tc>
        <w:tc>
          <w:tcPr>
            <w:tcW w:w="1420" w:type="dxa"/>
            <w:vAlign w:val="bottom"/>
          </w:tcPr>
          <w:p>
            <w:pPr>
              <w:ind w:left="120"/>
              <w:spacing w:after="0" w:line="159" w:lineRule="exact"/>
              <w:rPr>
                <w:sz w:val="20"/>
                <w:szCs w:val="20"/>
                <w:color w:val="auto"/>
              </w:rPr>
            </w:pPr>
            <w:r>
              <w:rPr>
                <w:rFonts w:ascii="Arial" w:cs="Arial" w:eastAsia="Arial" w:hAnsi="Arial"/>
                <w:sz w:val="14"/>
                <w:szCs w:val="14"/>
                <w:color w:val="auto"/>
              </w:rPr>
              <w:t>common share</w:t>
            </w:r>
          </w:p>
        </w:tc>
        <w:tc>
          <w:tcPr>
            <w:tcW w:w="20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0.67</w:t>
            </w:r>
          </w:p>
        </w:tc>
        <w:tc>
          <w:tcPr>
            <w:tcW w:w="80" w:type="dxa"/>
            <w:vAlign w:val="bottom"/>
          </w:tcPr>
          <w:p>
            <w:pPr>
              <w:spacing w:after="0"/>
              <w:rPr>
                <w:sz w:val="13"/>
                <w:szCs w:val="13"/>
                <w:color w:val="auto"/>
              </w:rPr>
            </w:pPr>
          </w:p>
        </w:tc>
        <w:tc>
          <w:tcPr>
            <w:tcW w:w="420" w:type="dxa"/>
            <w:vAlign w:val="bottom"/>
            <w:gridSpan w:val="2"/>
          </w:tcPr>
          <w:p>
            <w:pPr>
              <w:jc w:val="right"/>
              <w:ind w:right="212"/>
              <w:spacing w:after="0" w:line="159" w:lineRule="exact"/>
              <w:rPr>
                <w:sz w:val="20"/>
                <w:szCs w:val="20"/>
                <w:color w:val="auto"/>
              </w:rPr>
            </w:pPr>
            <w:r>
              <w:rPr>
                <w:rFonts w:ascii="Arial" w:cs="Arial" w:eastAsia="Arial" w:hAnsi="Arial"/>
                <w:sz w:val="14"/>
                <w:szCs w:val="14"/>
                <w:color w:val="auto"/>
              </w:rPr>
              <w:t>$</w:t>
            </w:r>
          </w:p>
        </w:tc>
        <w:tc>
          <w:tcPr>
            <w:tcW w:w="440" w:type="dxa"/>
            <w:vAlign w:val="bottom"/>
          </w:tcPr>
          <w:p>
            <w:pPr>
              <w:jc w:val="right"/>
              <w:spacing w:after="0" w:line="159" w:lineRule="exact"/>
              <w:rPr>
                <w:sz w:val="20"/>
                <w:szCs w:val="20"/>
                <w:color w:val="auto"/>
              </w:rPr>
            </w:pPr>
            <w:r>
              <w:rPr>
                <w:rFonts w:ascii="Arial" w:cs="Arial" w:eastAsia="Arial" w:hAnsi="Arial"/>
                <w:sz w:val="14"/>
                <w:szCs w:val="14"/>
                <w:color w:val="auto"/>
              </w:rPr>
              <w:t>0.68</w:t>
            </w:r>
          </w:p>
        </w:tc>
        <w:tc>
          <w:tcPr>
            <w:tcW w:w="100" w:type="dxa"/>
            <w:vAlign w:val="bottom"/>
          </w:tcPr>
          <w:p>
            <w:pPr>
              <w:spacing w:after="0"/>
              <w:rPr>
                <w:sz w:val="13"/>
                <w:szCs w:val="13"/>
                <w:color w:val="auto"/>
              </w:rPr>
            </w:pPr>
          </w:p>
        </w:tc>
        <w:tc>
          <w:tcPr>
            <w:tcW w:w="16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0.58</w:t>
            </w:r>
          </w:p>
        </w:tc>
        <w:tc>
          <w:tcPr>
            <w:tcW w:w="40" w:type="dxa"/>
            <w:vAlign w:val="bottom"/>
          </w:tcPr>
          <w:p>
            <w:pPr>
              <w:spacing w:after="0"/>
              <w:rPr>
                <w:sz w:val="13"/>
                <w:szCs w:val="13"/>
                <w:color w:val="auto"/>
              </w:rPr>
            </w:pPr>
          </w:p>
        </w:tc>
        <w:tc>
          <w:tcPr>
            <w:tcW w:w="460" w:type="dxa"/>
            <w:vAlign w:val="bottom"/>
            <w:gridSpan w:val="2"/>
          </w:tcPr>
          <w:p>
            <w:pPr>
              <w:jc w:val="right"/>
              <w:ind w:right="212"/>
              <w:spacing w:after="0" w:line="159" w:lineRule="exact"/>
              <w:rPr>
                <w:sz w:val="20"/>
                <w:szCs w:val="20"/>
                <w:color w:val="auto"/>
              </w:rPr>
            </w:pPr>
            <w:r>
              <w:rPr>
                <w:rFonts w:ascii="Arial" w:cs="Arial" w:eastAsia="Arial" w:hAnsi="Arial"/>
                <w:sz w:val="14"/>
                <w:szCs w:val="14"/>
                <w:color w:val="auto"/>
              </w:rPr>
              <w:t>$</w:t>
            </w:r>
          </w:p>
        </w:tc>
        <w:tc>
          <w:tcPr>
            <w:tcW w:w="440" w:type="dxa"/>
            <w:vAlign w:val="bottom"/>
          </w:tcPr>
          <w:p>
            <w:pPr>
              <w:jc w:val="right"/>
              <w:spacing w:after="0" w:line="159" w:lineRule="exact"/>
              <w:rPr>
                <w:sz w:val="20"/>
                <w:szCs w:val="20"/>
                <w:color w:val="auto"/>
              </w:rPr>
            </w:pPr>
            <w:r>
              <w:rPr>
                <w:rFonts w:ascii="Arial" w:cs="Arial" w:eastAsia="Arial" w:hAnsi="Arial"/>
                <w:sz w:val="14"/>
                <w:szCs w:val="14"/>
                <w:color w:val="auto"/>
              </w:rPr>
              <w:t>0.56</w:t>
            </w:r>
          </w:p>
        </w:tc>
        <w:tc>
          <w:tcPr>
            <w:tcW w:w="100" w:type="dxa"/>
            <w:vAlign w:val="bottom"/>
          </w:tcPr>
          <w:p>
            <w:pPr>
              <w:spacing w:after="0"/>
              <w:rPr>
                <w:sz w:val="13"/>
                <w:szCs w:val="13"/>
                <w:color w:val="auto"/>
              </w:rPr>
            </w:pPr>
          </w:p>
        </w:tc>
        <w:tc>
          <w:tcPr>
            <w:tcW w:w="18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0.61</w:t>
            </w:r>
          </w:p>
        </w:tc>
        <w:tc>
          <w:tcPr>
            <w:tcW w:w="100" w:type="dxa"/>
            <w:vAlign w:val="bottom"/>
          </w:tcPr>
          <w:p>
            <w:pPr>
              <w:spacing w:after="0"/>
              <w:rPr>
                <w:sz w:val="13"/>
                <w:szCs w:val="13"/>
                <w:color w:val="auto"/>
              </w:rPr>
            </w:pPr>
          </w:p>
        </w:tc>
        <w:tc>
          <w:tcPr>
            <w:tcW w:w="280" w:type="dxa"/>
            <w:vAlign w:val="bottom"/>
            <w:gridSpan w:val="2"/>
          </w:tcPr>
          <w:p>
            <w:pPr>
              <w:jc w:val="right"/>
              <w:ind w:right="92"/>
              <w:spacing w:after="0" w:line="159" w:lineRule="exact"/>
              <w:rPr>
                <w:sz w:val="20"/>
                <w:szCs w:val="20"/>
                <w:color w:val="auto"/>
              </w:rPr>
            </w:pPr>
            <w:r>
              <w:rPr>
                <w:rFonts w:ascii="Arial" w:cs="Arial" w:eastAsia="Arial" w:hAnsi="Arial"/>
                <w:sz w:val="14"/>
                <w:szCs w:val="14"/>
                <w:color w:val="auto"/>
              </w:rPr>
              <w:t>$</w:t>
            </w:r>
          </w:p>
        </w:tc>
        <w:tc>
          <w:tcPr>
            <w:tcW w:w="560" w:type="dxa"/>
            <w:vAlign w:val="bottom"/>
          </w:tcPr>
          <w:p>
            <w:pPr>
              <w:jc w:val="right"/>
              <w:spacing w:after="0" w:line="159" w:lineRule="exact"/>
              <w:rPr>
                <w:sz w:val="20"/>
                <w:szCs w:val="20"/>
                <w:color w:val="auto"/>
              </w:rPr>
            </w:pPr>
            <w:r>
              <w:rPr>
                <w:rFonts w:ascii="Arial" w:cs="Arial" w:eastAsia="Arial" w:hAnsi="Arial"/>
                <w:sz w:val="14"/>
                <w:szCs w:val="14"/>
                <w:color w:val="auto"/>
              </w:rPr>
              <w:t>0.64</w:t>
            </w:r>
          </w:p>
        </w:tc>
        <w:tc>
          <w:tcPr>
            <w:tcW w:w="100" w:type="dxa"/>
            <w:vAlign w:val="bottom"/>
          </w:tcPr>
          <w:p>
            <w:pPr>
              <w:spacing w:after="0"/>
              <w:rPr>
                <w:sz w:val="13"/>
                <w:szCs w:val="13"/>
                <w:color w:val="auto"/>
              </w:rPr>
            </w:pPr>
          </w:p>
        </w:tc>
        <w:tc>
          <w:tcPr>
            <w:tcW w:w="18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700" w:type="dxa"/>
            <w:vAlign w:val="bottom"/>
          </w:tcPr>
          <w:p>
            <w:pPr>
              <w:jc w:val="right"/>
              <w:spacing w:after="0" w:line="159" w:lineRule="exact"/>
              <w:rPr>
                <w:sz w:val="20"/>
                <w:szCs w:val="20"/>
                <w:color w:val="auto"/>
              </w:rPr>
            </w:pPr>
            <w:r>
              <w:rPr>
                <w:rFonts w:ascii="Arial" w:cs="Arial" w:eastAsia="Arial" w:hAnsi="Arial"/>
                <w:sz w:val="14"/>
                <w:szCs w:val="14"/>
                <w:color w:val="auto"/>
              </w:rPr>
              <w:t>0.74</w:t>
            </w:r>
          </w:p>
        </w:tc>
        <w:tc>
          <w:tcPr>
            <w:tcW w:w="100" w:type="dxa"/>
            <w:vAlign w:val="bottom"/>
          </w:tcPr>
          <w:p>
            <w:pPr>
              <w:spacing w:after="0"/>
              <w:rPr>
                <w:sz w:val="13"/>
                <w:szCs w:val="13"/>
                <w:color w:val="auto"/>
              </w:rPr>
            </w:pPr>
          </w:p>
        </w:tc>
        <w:tc>
          <w:tcPr>
            <w:tcW w:w="280" w:type="dxa"/>
            <w:vAlign w:val="bottom"/>
            <w:gridSpan w:val="2"/>
          </w:tcPr>
          <w:p>
            <w:pPr>
              <w:jc w:val="right"/>
              <w:ind w:right="92"/>
              <w:spacing w:after="0" w:line="159" w:lineRule="exact"/>
              <w:rPr>
                <w:sz w:val="20"/>
                <w:szCs w:val="20"/>
                <w:color w:val="auto"/>
              </w:rPr>
            </w:pPr>
            <w:r>
              <w:rPr>
                <w:rFonts w:ascii="Arial" w:cs="Arial" w:eastAsia="Arial" w:hAnsi="Arial"/>
                <w:sz w:val="14"/>
                <w:szCs w:val="14"/>
                <w:color w:val="auto"/>
              </w:rPr>
              <w:t>$</w:t>
            </w:r>
          </w:p>
        </w:tc>
        <w:tc>
          <w:tcPr>
            <w:tcW w:w="580" w:type="dxa"/>
            <w:vAlign w:val="bottom"/>
          </w:tcPr>
          <w:p>
            <w:pPr>
              <w:jc w:val="right"/>
              <w:spacing w:after="0" w:line="159" w:lineRule="exact"/>
              <w:rPr>
                <w:sz w:val="20"/>
                <w:szCs w:val="20"/>
                <w:color w:val="auto"/>
              </w:rPr>
            </w:pPr>
            <w:r>
              <w:rPr>
                <w:rFonts w:ascii="Arial" w:cs="Arial" w:eastAsia="Arial" w:hAnsi="Arial"/>
                <w:sz w:val="14"/>
                <w:szCs w:val="14"/>
                <w:color w:val="auto"/>
              </w:rPr>
              <w:t>0.72</w:t>
            </w:r>
          </w:p>
        </w:tc>
        <w:tc>
          <w:tcPr>
            <w:tcW w:w="160" w:type="dxa"/>
            <w:vAlign w:val="bottom"/>
          </w:tcPr>
          <w:p>
            <w:pPr>
              <w:spacing w:after="0"/>
              <w:rPr>
                <w:sz w:val="13"/>
                <w:szCs w:val="13"/>
                <w:color w:val="auto"/>
              </w:rPr>
            </w:pPr>
          </w:p>
        </w:tc>
      </w:tr>
      <w:tr>
        <w:trPr>
          <w:trHeight w:val="20"/>
        </w:trPr>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18"/>
        </w:trPr>
        <w:tc>
          <w:tcPr>
            <w:tcW w:w="20" w:type="dxa"/>
            <w:vAlign w:val="bottom"/>
          </w:tcPr>
          <w:p>
            <w:pPr>
              <w:spacing w:after="0"/>
              <w:rPr>
                <w:sz w:val="10"/>
                <w:szCs w:val="10"/>
                <w:color w:val="auto"/>
              </w:rPr>
            </w:pPr>
          </w:p>
        </w:tc>
        <w:tc>
          <w:tcPr>
            <w:tcW w:w="1420" w:type="dxa"/>
            <w:vAlign w:val="bottom"/>
            <w:shd w:val="clear" w:color="auto" w:fill="CCEEFF"/>
          </w:tcPr>
          <w:p>
            <w:pPr>
              <w:spacing w:after="0" w:line="118" w:lineRule="exact"/>
              <w:rPr>
                <w:sz w:val="20"/>
                <w:szCs w:val="20"/>
                <w:color w:val="auto"/>
              </w:rPr>
            </w:pPr>
            <w:r>
              <w:rPr>
                <w:rFonts w:ascii="Arial" w:cs="Arial" w:eastAsia="Arial" w:hAnsi="Arial"/>
                <w:sz w:val="12"/>
                <w:szCs w:val="12"/>
                <w:color w:val="auto"/>
              </w:rPr>
              <w:t>Diluted earnings per</w:t>
            </w:r>
          </w:p>
        </w:tc>
        <w:tc>
          <w:tcPr>
            <w:tcW w:w="8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72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4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2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34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5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7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r>
      <w:tr>
        <w:trPr>
          <w:trHeight w:val="159"/>
        </w:trPr>
        <w:tc>
          <w:tcPr>
            <w:tcW w:w="20" w:type="dxa"/>
            <w:vAlign w:val="bottom"/>
          </w:tcPr>
          <w:p>
            <w:pPr>
              <w:spacing w:after="0"/>
              <w:rPr>
                <w:sz w:val="13"/>
                <w:szCs w:val="13"/>
                <w:color w:val="auto"/>
              </w:rPr>
            </w:pPr>
          </w:p>
        </w:tc>
        <w:tc>
          <w:tcPr>
            <w:tcW w:w="1420" w:type="dxa"/>
            <w:vAlign w:val="bottom"/>
            <w:shd w:val="clear" w:color="auto" w:fill="CCEEFF"/>
          </w:tcPr>
          <w:p>
            <w:pPr>
              <w:ind w:left="120"/>
              <w:spacing w:after="0" w:line="159" w:lineRule="exact"/>
              <w:rPr>
                <w:sz w:val="20"/>
                <w:szCs w:val="20"/>
                <w:color w:val="auto"/>
              </w:rPr>
            </w:pPr>
            <w:r>
              <w:rPr>
                <w:rFonts w:ascii="Arial" w:cs="Arial" w:eastAsia="Arial" w:hAnsi="Arial"/>
                <w:sz w:val="14"/>
                <w:szCs w:val="14"/>
                <w:color w:val="auto"/>
              </w:rPr>
              <w:t>common share</w:t>
            </w:r>
          </w:p>
        </w:tc>
        <w:tc>
          <w:tcPr>
            <w:tcW w:w="20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0.66</w:t>
            </w:r>
          </w:p>
        </w:tc>
        <w:tc>
          <w:tcPr>
            <w:tcW w:w="80" w:type="dxa"/>
            <w:vAlign w:val="bottom"/>
            <w:shd w:val="clear" w:color="auto" w:fill="CCEEFF"/>
          </w:tcPr>
          <w:p>
            <w:pPr>
              <w:spacing w:after="0"/>
              <w:rPr>
                <w:sz w:val="13"/>
                <w:szCs w:val="13"/>
                <w:color w:val="auto"/>
              </w:rPr>
            </w:pPr>
          </w:p>
        </w:tc>
        <w:tc>
          <w:tcPr>
            <w:tcW w:w="420" w:type="dxa"/>
            <w:vAlign w:val="bottom"/>
            <w:gridSpan w:val="2"/>
            <w:shd w:val="clear" w:color="auto" w:fill="CCEEFF"/>
          </w:tcPr>
          <w:p>
            <w:pPr>
              <w:jc w:val="right"/>
              <w:ind w:right="212"/>
              <w:spacing w:after="0" w:line="159" w:lineRule="exact"/>
              <w:rPr>
                <w:sz w:val="20"/>
                <w:szCs w:val="20"/>
                <w:color w:val="auto"/>
              </w:rPr>
            </w:pPr>
            <w:r>
              <w:rPr>
                <w:rFonts w:ascii="Arial" w:cs="Arial" w:eastAsia="Arial" w:hAnsi="Arial"/>
                <w:sz w:val="14"/>
                <w:szCs w:val="14"/>
                <w:color w:val="auto"/>
              </w:rPr>
              <w:t>$</w:t>
            </w:r>
          </w:p>
        </w:tc>
        <w:tc>
          <w:tcPr>
            <w:tcW w:w="4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0.68</w:t>
            </w:r>
          </w:p>
        </w:tc>
        <w:tc>
          <w:tcPr>
            <w:tcW w:w="100" w:type="dxa"/>
            <w:vAlign w:val="bottom"/>
            <w:shd w:val="clear" w:color="auto" w:fill="CCEEFF"/>
          </w:tcPr>
          <w:p>
            <w:pPr>
              <w:spacing w:after="0"/>
              <w:rPr>
                <w:sz w:val="13"/>
                <w:szCs w:val="13"/>
                <w:color w:val="auto"/>
              </w:rPr>
            </w:pPr>
          </w:p>
        </w:tc>
        <w:tc>
          <w:tcPr>
            <w:tcW w:w="1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0.58</w:t>
            </w:r>
          </w:p>
        </w:tc>
        <w:tc>
          <w:tcPr>
            <w:tcW w:w="40" w:type="dxa"/>
            <w:vAlign w:val="bottom"/>
            <w:shd w:val="clear" w:color="auto" w:fill="CCEEFF"/>
          </w:tcPr>
          <w:p>
            <w:pPr>
              <w:spacing w:after="0"/>
              <w:rPr>
                <w:sz w:val="13"/>
                <w:szCs w:val="13"/>
                <w:color w:val="auto"/>
              </w:rPr>
            </w:pPr>
          </w:p>
        </w:tc>
        <w:tc>
          <w:tcPr>
            <w:tcW w:w="460" w:type="dxa"/>
            <w:vAlign w:val="bottom"/>
            <w:gridSpan w:val="2"/>
            <w:shd w:val="clear" w:color="auto" w:fill="CCEEFF"/>
          </w:tcPr>
          <w:p>
            <w:pPr>
              <w:jc w:val="right"/>
              <w:ind w:right="212"/>
              <w:spacing w:after="0" w:line="159" w:lineRule="exact"/>
              <w:rPr>
                <w:sz w:val="20"/>
                <w:szCs w:val="20"/>
                <w:color w:val="auto"/>
              </w:rPr>
            </w:pPr>
            <w:r>
              <w:rPr>
                <w:rFonts w:ascii="Arial" w:cs="Arial" w:eastAsia="Arial" w:hAnsi="Arial"/>
                <w:sz w:val="14"/>
                <w:szCs w:val="14"/>
                <w:color w:val="auto"/>
              </w:rPr>
              <w:t>$</w:t>
            </w:r>
          </w:p>
        </w:tc>
        <w:tc>
          <w:tcPr>
            <w:tcW w:w="4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0.56</w:t>
            </w:r>
          </w:p>
        </w:tc>
        <w:tc>
          <w:tcPr>
            <w:tcW w:w="100" w:type="dxa"/>
            <w:vAlign w:val="bottom"/>
            <w:shd w:val="clear" w:color="auto" w:fill="CCEEFF"/>
          </w:tcPr>
          <w:p>
            <w:pPr>
              <w:spacing w:after="0"/>
              <w:rPr>
                <w:sz w:val="13"/>
                <w:szCs w:val="13"/>
                <w:color w:val="auto"/>
              </w:rPr>
            </w:pPr>
          </w:p>
        </w:tc>
        <w:tc>
          <w:tcPr>
            <w:tcW w:w="18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0.60</w:t>
            </w:r>
          </w:p>
        </w:tc>
        <w:tc>
          <w:tcPr>
            <w:tcW w:w="100" w:type="dxa"/>
            <w:vAlign w:val="bottom"/>
            <w:shd w:val="clear" w:color="auto" w:fill="CCEEFF"/>
          </w:tcPr>
          <w:p>
            <w:pPr>
              <w:spacing w:after="0"/>
              <w:rPr>
                <w:sz w:val="13"/>
                <w:szCs w:val="13"/>
                <w:color w:val="auto"/>
              </w:rPr>
            </w:pPr>
          </w:p>
        </w:tc>
        <w:tc>
          <w:tcPr>
            <w:tcW w:w="280" w:type="dxa"/>
            <w:vAlign w:val="bottom"/>
            <w:gridSpan w:val="2"/>
            <w:shd w:val="clear" w:color="auto" w:fill="CCEEFF"/>
          </w:tcPr>
          <w:p>
            <w:pPr>
              <w:jc w:val="right"/>
              <w:ind w:right="92"/>
              <w:spacing w:after="0" w:line="159"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0.63</w:t>
            </w:r>
          </w:p>
        </w:tc>
        <w:tc>
          <w:tcPr>
            <w:tcW w:w="100" w:type="dxa"/>
            <w:vAlign w:val="bottom"/>
            <w:shd w:val="clear" w:color="auto" w:fill="CCEEFF"/>
          </w:tcPr>
          <w:p>
            <w:pPr>
              <w:spacing w:after="0"/>
              <w:rPr>
                <w:sz w:val="13"/>
                <w:szCs w:val="13"/>
                <w:color w:val="auto"/>
              </w:rPr>
            </w:pPr>
          </w:p>
        </w:tc>
        <w:tc>
          <w:tcPr>
            <w:tcW w:w="18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0.74</w:t>
            </w:r>
          </w:p>
        </w:tc>
        <w:tc>
          <w:tcPr>
            <w:tcW w:w="100" w:type="dxa"/>
            <w:vAlign w:val="bottom"/>
            <w:shd w:val="clear" w:color="auto" w:fill="CCEEFF"/>
          </w:tcPr>
          <w:p>
            <w:pPr>
              <w:spacing w:after="0"/>
              <w:rPr>
                <w:sz w:val="13"/>
                <w:szCs w:val="13"/>
                <w:color w:val="auto"/>
              </w:rPr>
            </w:pPr>
          </w:p>
        </w:tc>
        <w:tc>
          <w:tcPr>
            <w:tcW w:w="280" w:type="dxa"/>
            <w:vAlign w:val="bottom"/>
            <w:gridSpan w:val="2"/>
            <w:shd w:val="clear" w:color="auto" w:fill="CCEEFF"/>
          </w:tcPr>
          <w:p>
            <w:pPr>
              <w:jc w:val="right"/>
              <w:ind w:right="92"/>
              <w:spacing w:after="0" w:line="159" w:lineRule="exact"/>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0.72</w:t>
            </w:r>
          </w:p>
        </w:tc>
        <w:tc>
          <w:tcPr>
            <w:tcW w:w="160" w:type="dxa"/>
            <w:vAlign w:val="bottom"/>
            <w:shd w:val="clear" w:color="auto" w:fill="CCEEFF"/>
          </w:tcPr>
          <w:p>
            <w:pPr>
              <w:spacing w:after="0"/>
              <w:rPr>
                <w:sz w:val="13"/>
                <w:szCs w:val="13"/>
                <w:color w:val="auto"/>
              </w:rPr>
            </w:pPr>
          </w:p>
        </w:tc>
      </w:tr>
      <w:tr>
        <w:trPr>
          <w:trHeight w:val="20"/>
        </w:trPr>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400"/>
          </w:cols>
          <w:pgMar w:left="240" w:top="131" w:right="1259" w:bottom="1440" w:gutter="0" w:footer="0" w:header="0"/>
        </w:sectPr>
      </w:pPr>
    </w:p>
    <w:bookmarkStart w:id="98" w:name="page99"/>
    <w:bookmarkEnd w:id="9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Nature of Operations and Significant Accounting Policies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0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920" w:type="dxa"/>
            <w:vAlign w:val="bottom"/>
            <w:gridSpan w:val="5"/>
          </w:tcPr>
          <w:p>
            <w:pPr>
              <w:jc w:val="right"/>
              <w:ind w:right="518"/>
              <w:spacing w:after="0"/>
              <w:rPr>
                <w:sz w:val="20"/>
                <w:szCs w:val="20"/>
                <w:color w:val="auto"/>
              </w:rPr>
            </w:pPr>
            <w:r>
              <w:rPr>
                <w:rFonts w:ascii="Arial" w:cs="Arial" w:eastAsia="Arial" w:hAnsi="Arial"/>
                <w:sz w:val="14"/>
                <w:szCs w:val="14"/>
                <w:b w:val="1"/>
                <w:bCs w:val="1"/>
                <w:color w:val="auto"/>
              </w:rPr>
              <w:t>For the year ended</w:t>
            </w:r>
          </w:p>
        </w:tc>
        <w:tc>
          <w:tcPr>
            <w:tcW w:w="120" w:type="dxa"/>
            <w:vAlign w:val="bottom"/>
          </w:tcPr>
          <w:p>
            <w:pPr>
              <w:spacing w:after="0"/>
              <w:rPr>
                <w:sz w:val="14"/>
                <w:szCs w:val="14"/>
                <w:color w:val="auto"/>
              </w:rPr>
            </w:pPr>
          </w:p>
        </w:tc>
        <w:tc>
          <w:tcPr>
            <w:tcW w:w="1920" w:type="dxa"/>
            <w:vAlign w:val="bottom"/>
            <w:gridSpan w:val="5"/>
          </w:tcPr>
          <w:p>
            <w:pPr>
              <w:jc w:val="right"/>
              <w:ind w:right="560"/>
              <w:spacing w:after="0"/>
              <w:rPr>
                <w:sz w:val="20"/>
                <w:szCs w:val="20"/>
                <w:color w:val="auto"/>
              </w:rPr>
            </w:pPr>
            <w:r>
              <w:rPr>
                <w:rFonts w:ascii="Arial" w:cs="Arial" w:eastAsia="Arial" w:hAnsi="Arial"/>
                <w:sz w:val="14"/>
                <w:szCs w:val="14"/>
                <w:b w:val="1"/>
                <w:bCs w:val="1"/>
                <w:color w:val="auto"/>
              </w:rPr>
              <w:t>For the year ended</w:t>
            </w:r>
          </w:p>
        </w:tc>
      </w:tr>
      <w:tr>
        <w:trPr>
          <w:trHeight w:val="161"/>
        </w:trPr>
        <w:tc>
          <w:tcPr>
            <w:tcW w:w="20" w:type="dxa"/>
            <w:vAlign w:val="bottom"/>
          </w:tcPr>
          <w:p>
            <w:pPr>
              <w:spacing w:after="0"/>
              <w:rPr>
                <w:sz w:val="14"/>
                <w:szCs w:val="14"/>
                <w:color w:val="auto"/>
              </w:rPr>
            </w:pPr>
          </w:p>
        </w:tc>
        <w:tc>
          <w:tcPr>
            <w:tcW w:w="50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920" w:type="dxa"/>
            <w:vAlign w:val="bottom"/>
            <w:gridSpan w:val="5"/>
          </w:tcPr>
          <w:p>
            <w:pPr>
              <w:jc w:val="right"/>
              <w:ind w:right="518"/>
              <w:spacing w:after="0"/>
              <w:rPr>
                <w:sz w:val="20"/>
                <w:szCs w:val="20"/>
                <w:color w:val="auto"/>
              </w:rPr>
            </w:pPr>
            <w:r>
              <w:rPr>
                <w:rFonts w:ascii="Arial" w:cs="Arial" w:eastAsia="Arial" w:hAnsi="Arial"/>
                <w:sz w:val="14"/>
                <w:szCs w:val="14"/>
                <w:b w:val="1"/>
                <w:bCs w:val="1"/>
                <w:color w:val="auto"/>
              </w:rPr>
              <w:t>December 31, 2012</w:t>
            </w:r>
          </w:p>
        </w:tc>
        <w:tc>
          <w:tcPr>
            <w:tcW w:w="120" w:type="dxa"/>
            <w:vAlign w:val="bottom"/>
          </w:tcPr>
          <w:p>
            <w:pPr>
              <w:spacing w:after="0"/>
              <w:rPr>
                <w:sz w:val="14"/>
                <w:szCs w:val="14"/>
                <w:color w:val="auto"/>
              </w:rPr>
            </w:pPr>
          </w:p>
        </w:tc>
        <w:tc>
          <w:tcPr>
            <w:tcW w:w="1920" w:type="dxa"/>
            <w:vAlign w:val="bottom"/>
            <w:gridSpan w:val="5"/>
          </w:tcPr>
          <w:p>
            <w:pPr>
              <w:jc w:val="right"/>
              <w:ind w:right="560"/>
              <w:spacing w:after="0"/>
              <w:rPr>
                <w:sz w:val="20"/>
                <w:szCs w:val="20"/>
                <w:color w:val="auto"/>
              </w:rPr>
            </w:pPr>
            <w:r>
              <w:rPr>
                <w:rFonts w:ascii="Arial" w:cs="Arial" w:eastAsia="Arial" w:hAnsi="Arial"/>
                <w:sz w:val="14"/>
                <w:szCs w:val="14"/>
                <w:b w:val="1"/>
                <w:bCs w:val="1"/>
                <w:color w:val="auto"/>
              </w:rPr>
              <w:t>December 31, 2011</w:t>
            </w:r>
          </w:p>
        </w:tc>
      </w:tr>
      <w:tr>
        <w:trPr>
          <w:trHeight w:val="129"/>
        </w:trPr>
        <w:tc>
          <w:tcPr>
            <w:tcW w:w="20" w:type="dxa"/>
            <w:vAlign w:val="bottom"/>
          </w:tcPr>
          <w:p>
            <w:pPr>
              <w:spacing w:after="0"/>
              <w:rPr>
                <w:sz w:val="11"/>
                <w:szCs w:val="11"/>
                <w:color w:val="auto"/>
              </w:rPr>
            </w:pPr>
          </w:p>
        </w:tc>
        <w:tc>
          <w:tcPr>
            <w:tcW w:w="5020" w:type="dxa"/>
            <w:vAlign w:val="bottom"/>
          </w:tcPr>
          <w:p>
            <w:pPr>
              <w:spacing w:after="0"/>
              <w:rPr>
                <w:sz w:val="11"/>
                <w:szCs w:val="11"/>
                <w:color w:val="auto"/>
              </w:rPr>
            </w:pPr>
          </w:p>
        </w:tc>
        <w:tc>
          <w:tcPr>
            <w:tcW w:w="1060" w:type="dxa"/>
            <w:vAlign w:val="bottom"/>
            <w:tcBorders>
              <w:top w:val="single" w:sz="8" w:color="auto"/>
            </w:tcBorders>
            <w:gridSpan w:val="3"/>
          </w:tcPr>
          <w:p>
            <w:pPr>
              <w:jc w:val="right"/>
              <w:ind w:right="260"/>
              <w:spacing w:after="0" w:line="129" w:lineRule="exact"/>
              <w:rPr>
                <w:sz w:val="20"/>
                <w:szCs w:val="20"/>
                <w:color w:val="auto"/>
              </w:rPr>
            </w:pPr>
            <w:r>
              <w:rPr>
                <w:rFonts w:ascii="Arial" w:cs="Arial" w:eastAsia="Arial" w:hAnsi="Arial"/>
                <w:sz w:val="14"/>
                <w:szCs w:val="14"/>
                <w:b w:val="1"/>
                <w:bCs w:val="1"/>
                <w:color w:val="auto"/>
                <w:w w:val="92"/>
              </w:rPr>
              <w:t>As originally</w:t>
            </w:r>
          </w:p>
        </w:tc>
        <w:tc>
          <w:tcPr>
            <w:tcW w:w="6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Borders>
              <w:top w:val="single" w:sz="8" w:color="auto"/>
            </w:tcBorders>
            <w:gridSpan w:val="3"/>
          </w:tcPr>
          <w:p>
            <w:pPr>
              <w:jc w:val="right"/>
              <w:ind w:right="240"/>
              <w:spacing w:after="0" w:line="129" w:lineRule="exact"/>
              <w:rPr>
                <w:sz w:val="20"/>
                <w:szCs w:val="20"/>
                <w:color w:val="auto"/>
              </w:rPr>
            </w:pPr>
            <w:r>
              <w:rPr>
                <w:rFonts w:ascii="Arial" w:cs="Arial" w:eastAsia="Arial" w:hAnsi="Arial"/>
                <w:sz w:val="14"/>
                <w:szCs w:val="14"/>
                <w:b w:val="1"/>
                <w:bCs w:val="1"/>
                <w:color w:val="auto"/>
                <w:w w:val="92"/>
              </w:rPr>
              <w:t>As originally</w:t>
            </w:r>
          </w:p>
        </w:tc>
        <w:tc>
          <w:tcPr>
            <w:tcW w:w="8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r>
      <w:tr>
        <w:trPr>
          <w:trHeight w:val="161"/>
        </w:trPr>
        <w:tc>
          <w:tcPr>
            <w:tcW w:w="20" w:type="dxa"/>
            <w:vAlign w:val="bottom"/>
          </w:tcPr>
          <w:p>
            <w:pPr>
              <w:spacing w:after="0"/>
              <w:rPr>
                <w:sz w:val="14"/>
                <w:szCs w:val="14"/>
                <w:color w:val="auto"/>
              </w:rPr>
            </w:pPr>
          </w:p>
        </w:tc>
        <w:tc>
          <w:tcPr>
            <w:tcW w:w="50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52"/>
              <w:spacing w:after="0"/>
              <w:rPr>
                <w:sz w:val="20"/>
                <w:szCs w:val="20"/>
                <w:color w:val="auto"/>
              </w:rPr>
            </w:pPr>
            <w:r>
              <w:rPr>
                <w:rFonts w:ascii="Arial" w:cs="Arial" w:eastAsia="Arial" w:hAnsi="Arial"/>
                <w:sz w:val="14"/>
                <w:szCs w:val="14"/>
                <w:b w:val="1"/>
                <w:bCs w:val="1"/>
                <w:color w:val="auto"/>
                <w:w w:val="91"/>
              </w:rPr>
              <w:t>reported</w:t>
            </w: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3"/>
              </w:rPr>
              <w:t>As adjusted</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b w:val="1"/>
                <w:bCs w:val="1"/>
                <w:color w:val="auto"/>
                <w:w w:val="95"/>
              </w:rPr>
              <w:t>reported</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3"/>
              </w:rPr>
              <w:t>As adjusted</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50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jc w:val="right"/>
              <w:ind w:right="5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1040" w:type="dxa"/>
            <w:vAlign w:val="bottom"/>
            <w:gridSpan w:val="3"/>
          </w:tcPr>
          <w:p>
            <w:pPr>
              <w:jc w:val="center"/>
              <w:ind w:right="572"/>
              <w:spacing w:after="0"/>
              <w:rPr>
                <w:sz w:val="20"/>
                <w:szCs w:val="20"/>
                <w:color w:val="auto"/>
              </w:rPr>
            </w:pPr>
            <w:r>
              <w:rPr>
                <w:rFonts w:ascii="Arial" w:cs="Arial" w:eastAsia="Arial" w:hAnsi="Arial"/>
                <w:sz w:val="12"/>
                <w:szCs w:val="12"/>
                <w:b w:val="1"/>
                <w:bCs w:val="1"/>
                <w:i w:val="1"/>
                <w:iCs w:val="1"/>
                <w:color w:val="auto"/>
                <w:w w:val="80"/>
              </w:rPr>
              <w:t>millions)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income</w:t>
            </w:r>
          </w:p>
        </w:tc>
        <w:tc>
          <w:tcPr>
            <w:tcW w:w="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824.7</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825.4</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688.9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674.5</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20" w:type="dxa"/>
            <w:vAlign w:val="bottom"/>
          </w:tcPr>
          <w:p>
            <w:pPr>
              <w:spacing w:after="0" w:line="149" w:lineRule="exact"/>
              <w:rPr>
                <w:sz w:val="20"/>
                <w:szCs w:val="20"/>
                <w:color w:val="auto"/>
              </w:rPr>
            </w:pPr>
            <w:r>
              <w:rPr>
                <w:rFonts w:ascii="Arial" w:cs="Arial" w:eastAsia="Arial" w:hAnsi="Arial"/>
                <w:sz w:val="14"/>
                <w:szCs w:val="14"/>
                <w:color w:val="auto"/>
              </w:rPr>
              <w:t>Other comprehensive income (loss), net:</w:t>
            </w: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Net unrealized gains on available-for-sale securities</w:t>
            </w: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557.6</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557.6</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208.6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208.6</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20" w:type="dxa"/>
            <w:vAlign w:val="bottom"/>
          </w:tcPr>
          <w:p>
            <w:pPr>
              <w:ind w:left="140"/>
              <w:spacing w:after="0" w:line="149" w:lineRule="exact"/>
              <w:rPr>
                <w:sz w:val="20"/>
                <w:szCs w:val="20"/>
                <w:color w:val="auto"/>
              </w:rPr>
            </w:pPr>
            <w:r>
              <w:rPr>
                <w:rFonts w:ascii="Arial" w:cs="Arial" w:eastAsia="Arial" w:hAnsi="Arial"/>
                <w:sz w:val="14"/>
                <w:szCs w:val="14"/>
                <w:color w:val="auto"/>
                <w:w w:val="97"/>
              </w:rPr>
              <w:t>Noncredit component of impairment losses on fixed maturities, available-for-sale</w:t>
            </w:r>
          </w:p>
        </w:tc>
        <w:tc>
          <w:tcPr>
            <w:tcW w:w="140" w:type="dxa"/>
            <w:vAlign w:val="bottom"/>
          </w:tcPr>
          <w:p>
            <w:pPr>
              <w:spacing w:after="0"/>
              <w:rPr>
                <w:sz w:val="12"/>
                <w:szCs w:val="12"/>
                <w:color w:val="auto"/>
              </w:rPr>
            </w:pPr>
          </w:p>
        </w:tc>
        <w:tc>
          <w:tcPr>
            <w:tcW w:w="9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(6.7)</w:t>
            </w:r>
          </w:p>
        </w:tc>
        <w:tc>
          <w:tcPr>
            <w:tcW w:w="60" w:type="dxa"/>
            <w:vAlign w:val="bottom"/>
          </w:tcPr>
          <w:p>
            <w:pPr>
              <w:spacing w:after="0"/>
              <w:rPr>
                <w:sz w:val="12"/>
                <w:szCs w:val="12"/>
                <w:color w:val="auto"/>
              </w:rPr>
            </w:pPr>
          </w:p>
        </w:tc>
        <w:tc>
          <w:tcPr>
            <w:tcW w:w="940" w:type="dxa"/>
            <w:vAlign w:val="bottom"/>
            <w:gridSpan w:val="2"/>
          </w:tcPr>
          <w:p>
            <w:pPr>
              <w:jc w:val="right"/>
              <w:ind w:right="78"/>
              <w:spacing w:after="0" w:line="149" w:lineRule="exact"/>
              <w:rPr>
                <w:sz w:val="20"/>
                <w:szCs w:val="20"/>
                <w:color w:val="auto"/>
              </w:rPr>
            </w:pPr>
            <w:r>
              <w:rPr>
                <w:rFonts w:ascii="Arial" w:cs="Arial" w:eastAsia="Arial" w:hAnsi="Arial"/>
                <w:sz w:val="14"/>
                <w:szCs w:val="14"/>
                <w:color w:val="auto"/>
              </w:rPr>
              <w:t>(6.7)</w:t>
            </w: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31.0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31.0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Net unrealized gains (losses) on derivative instruments</w:t>
            </w:r>
          </w:p>
        </w:tc>
        <w:tc>
          <w:tcPr>
            <w:tcW w:w="14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(43.6)</w:t>
            </w:r>
          </w:p>
        </w:tc>
        <w:tc>
          <w:tcPr>
            <w:tcW w:w="6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78"/>
              <w:spacing w:after="0" w:line="149" w:lineRule="exact"/>
              <w:rPr>
                <w:sz w:val="20"/>
                <w:szCs w:val="20"/>
                <w:color w:val="auto"/>
              </w:rPr>
            </w:pPr>
            <w:r>
              <w:rPr>
                <w:rFonts w:ascii="Arial" w:cs="Arial" w:eastAsia="Arial" w:hAnsi="Arial"/>
                <w:sz w:val="14"/>
                <w:szCs w:val="14"/>
                <w:color w:val="auto"/>
              </w:rPr>
              <w:t>(43.6)</w:t>
            </w: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23.6</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20" w:type="dxa"/>
            <w:vAlign w:val="bottom"/>
          </w:tcPr>
          <w:p>
            <w:pPr>
              <w:ind w:left="140"/>
              <w:spacing w:after="0" w:line="149" w:lineRule="exact"/>
              <w:rPr>
                <w:sz w:val="20"/>
                <w:szCs w:val="20"/>
                <w:color w:val="auto"/>
              </w:rPr>
            </w:pPr>
            <w:r>
              <w:rPr>
                <w:rFonts w:ascii="Arial" w:cs="Arial" w:eastAsia="Arial" w:hAnsi="Arial"/>
                <w:sz w:val="14"/>
                <w:szCs w:val="14"/>
                <w:color w:val="auto"/>
              </w:rPr>
              <w:t>Foreign currency translation adjustment</w:t>
            </w:r>
          </w:p>
        </w:tc>
        <w:tc>
          <w:tcPr>
            <w:tcW w:w="140" w:type="dxa"/>
            <w:vAlign w:val="bottom"/>
          </w:tcPr>
          <w:p>
            <w:pPr>
              <w:spacing w:after="0"/>
              <w:rPr>
                <w:sz w:val="12"/>
                <w:szCs w:val="12"/>
                <w:color w:val="auto"/>
              </w:rPr>
            </w:pPr>
          </w:p>
        </w:tc>
        <w:tc>
          <w:tcPr>
            <w:tcW w:w="9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(4.8)</w:t>
            </w:r>
          </w:p>
        </w:tc>
        <w:tc>
          <w:tcPr>
            <w:tcW w:w="60" w:type="dxa"/>
            <w:vAlign w:val="bottom"/>
          </w:tcPr>
          <w:p>
            <w:pPr>
              <w:spacing w:after="0"/>
              <w:rPr>
                <w:sz w:val="12"/>
                <w:szCs w:val="12"/>
                <w:color w:val="auto"/>
              </w:rPr>
            </w:pPr>
          </w:p>
        </w:tc>
        <w:tc>
          <w:tcPr>
            <w:tcW w:w="940" w:type="dxa"/>
            <w:vAlign w:val="bottom"/>
            <w:gridSpan w:val="2"/>
          </w:tcPr>
          <w:p>
            <w:pPr>
              <w:jc w:val="right"/>
              <w:ind w:right="78"/>
              <w:spacing w:after="0" w:line="149" w:lineRule="exact"/>
              <w:rPr>
                <w:sz w:val="20"/>
                <w:szCs w:val="20"/>
                <w:color w:val="auto"/>
              </w:rPr>
            </w:pPr>
            <w:r>
              <w:rPr>
                <w:rFonts w:ascii="Arial" w:cs="Arial" w:eastAsia="Arial" w:hAnsi="Arial"/>
                <w:sz w:val="14"/>
                <w:szCs w:val="14"/>
                <w:color w:val="auto"/>
              </w:rPr>
              <w:t>(9.8)</w:t>
            </w:r>
          </w:p>
        </w:tc>
        <w:tc>
          <w:tcPr>
            <w:tcW w:w="120" w:type="dxa"/>
            <w:vAlign w:val="bottom"/>
          </w:tcPr>
          <w:p>
            <w:pPr>
              <w:spacing w:after="0"/>
              <w:rPr>
                <w:sz w:val="12"/>
                <w:szCs w:val="12"/>
                <w:color w:val="auto"/>
              </w:rPr>
            </w:pPr>
          </w:p>
        </w:tc>
        <w:tc>
          <w:tcPr>
            <w:tcW w:w="9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(139.5)</w:t>
            </w:r>
          </w:p>
        </w:tc>
        <w:tc>
          <w:tcPr>
            <w:tcW w:w="80" w:type="dxa"/>
            <w:vAlign w:val="bottom"/>
          </w:tcPr>
          <w:p>
            <w:pPr>
              <w:spacing w:after="0"/>
              <w:rPr>
                <w:sz w:val="12"/>
                <w:szCs w:val="12"/>
                <w:color w:val="auto"/>
              </w:rPr>
            </w:pPr>
          </w:p>
        </w:tc>
        <w:tc>
          <w:tcPr>
            <w:tcW w:w="9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(130.9)</w:t>
            </w:r>
          </w:p>
        </w:tc>
      </w:tr>
      <w:tr>
        <w:trPr>
          <w:trHeight w:val="149"/>
        </w:trPr>
        <w:tc>
          <w:tcPr>
            <w:tcW w:w="20" w:type="dxa"/>
            <w:vAlign w:val="bottom"/>
          </w:tcPr>
          <w:p>
            <w:pPr>
              <w:spacing w:after="0"/>
              <w:rPr>
                <w:sz w:val="12"/>
                <w:szCs w:val="12"/>
                <w:color w:val="auto"/>
              </w:rPr>
            </w:pPr>
          </w:p>
        </w:tc>
        <w:tc>
          <w:tcPr>
            <w:tcW w:w="50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Net unrecognized postretirement benefit obligation</w:t>
            </w:r>
          </w:p>
        </w:tc>
        <w:tc>
          <w:tcPr>
            <w:tcW w:w="14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(127.4)</w:t>
            </w:r>
          </w:p>
        </w:tc>
        <w:tc>
          <w:tcPr>
            <w:tcW w:w="6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78"/>
              <w:spacing w:after="0" w:line="149" w:lineRule="exact"/>
              <w:rPr>
                <w:sz w:val="20"/>
                <w:szCs w:val="20"/>
                <w:color w:val="auto"/>
              </w:rPr>
            </w:pPr>
            <w:r>
              <w:rPr>
                <w:rFonts w:ascii="Arial" w:cs="Arial" w:eastAsia="Arial" w:hAnsi="Arial"/>
                <w:sz w:val="14"/>
                <w:szCs w:val="14"/>
                <w:color w:val="auto"/>
              </w:rPr>
              <w:t>(127.4)</w:t>
            </w:r>
          </w:p>
        </w:tc>
        <w:tc>
          <w:tcPr>
            <w:tcW w:w="12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(172.9)</w:t>
            </w:r>
          </w:p>
        </w:tc>
        <w:tc>
          <w:tcPr>
            <w:tcW w:w="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(172.9)</w:t>
            </w:r>
          </w:p>
        </w:tc>
      </w:tr>
      <w:tr>
        <w:trPr>
          <w:trHeight w:val="142"/>
        </w:trPr>
        <w:tc>
          <w:tcPr>
            <w:tcW w:w="5040" w:type="dxa"/>
            <w:vAlign w:val="bottom"/>
            <w:gridSpan w:val="2"/>
          </w:tcPr>
          <w:p>
            <w:pPr>
              <w:spacing w:after="0" w:line="142" w:lineRule="exact"/>
              <w:rPr>
                <w:sz w:val="20"/>
                <w:szCs w:val="20"/>
                <w:color w:val="auto"/>
              </w:rPr>
            </w:pPr>
            <w:r>
              <w:rPr>
                <w:rFonts w:ascii="Arial" w:cs="Arial" w:eastAsia="Arial" w:hAnsi="Arial"/>
                <w:sz w:val="14"/>
                <w:szCs w:val="14"/>
                <w:color w:val="auto"/>
              </w:rPr>
              <w:t>Other comprehensive income (loss)</w:t>
            </w:r>
          </w:p>
        </w:tc>
        <w:tc>
          <w:tcPr>
            <w:tcW w:w="14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375.1</w:t>
            </w:r>
          </w:p>
        </w:tc>
        <w:tc>
          <w:tcPr>
            <w:tcW w:w="16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370.1</w:t>
            </w:r>
          </w:p>
        </w:tc>
        <w:tc>
          <w:tcPr>
            <w:tcW w:w="16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(49.2)</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(40.6)</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50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Comprehensive income</w:t>
            </w: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1,199.8</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1,195.5</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639.7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633.9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20" w:type="dxa"/>
            <w:vAlign w:val="bottom"/>
          </w:tcPr>
          <w:p>
            <w:pPr>
              <w:spacing w:after="0" w:line="149" w:lineRule="exact"/>
              <w:rPr>
                <w:sz w:val="20"/>
                <w:szCs w:val="20"/>
                <w:color w:val="auto"/>
              </w:rPr>
            </w:pPr>
            <w:r>
              <w:rPr>
                <w:rFonts w:ascii="Arial" w:cs="Arial" w:eastAsia="Arial" w:hAnsi="Arial"/>
                <w:sz w:val="14"/>
                <w:szCs w:val="14"/>
                <w:color w:val="auto"/>
              </w:rPr>
              <w:t>Comprehensive income attributable to noncontrolling interest</w:t>
            </w:r>
          </w:p>
        </w:tc>
        <w:tc>
          <w:tcPr>
            <w:tcW w:w="14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20.0</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20.0</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35.7</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35.7</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50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Comprehensive income attributable to Principal Financial Group, Inc.</w:t>
            </w:r>
          </w:p>
        </w:tc>
        <w:tc>
          <w:tcPr>
            <w:tcW w:w="14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1,179.8</w:t>
            </w:r>
          </w:p>
        </w:tc>
        <w:tc>
          <w:tcPr>
            <w:tcW w:w="16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1,175.5</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jc w:val="center"/>
              <w:spacing w:after="0" w:line="142" w:lineRule="exact"/>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604.0</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598.2</w:t>
            </w:r>
          </w:p>
        </w:tc>
        <w:tc>
          <w:tcPr>
            <w:tcW w:w="160" w:type="dxa"/>
            <w:vAlign w:val="bottom"/>
            <w:shd w:val="clear" w:color="auto" w:fill="CCEEFF"/>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50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firstLine="435"/>
        <w:spacing w:after="0" w:line="306" w:lineRule="auto"/>
        <w:rPr>
          <w:sz w:val="20"/>
          <w:szCs w:val="20"/>
          <w:color w:val="auto"/>
        </w:rPr>
      </w:pPr>
      <w:r>
        <w:rPr>
          <w:rFonts w:ascii="Arial" w:cs="Arial" w:eastAsia="Arial" w:hAnsi="Arial"/>
          <w:sz w:val="16"/>
          <w:szCs w:val="16"/>
          <w:color w:val="auto"/>
        </w:rPr>
        <w:t>Certain of the prior period line items in the consolidated statements of cash flows and stockholders' equity were immaterially affected by the revisions of previously issued financial statements. All of the line item changes in the consolidated statements of cash flows were included in the operating activities section and the changes in the consolidated statements of stockholders' equity have largely been addressed through the preceding disclosures.</w:t>
      </w: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Pronouncements</w:t>
      </w:r>
    </w:p>
    <w:p>
      <w:pPr>
        <w:spacing w:after="0" w:line="231" w:lineRule="exact"/>
        <w:rPr>
          <w:sz w:val="20"/>
          <w:szCs w:val="20"/>
          <w:color w:val="auto"/>
        </w:rPr>
      </w:pPr>
    </w:p>
    <w:p>
      <w:pPr>
        <w:jc w:val="both"/>
        <w:ind w:firstLine="388"/>
        <w:spacing w:after="0" w:line="259" w:lineRule="auto"/>
        <w:rPr>
          <w:sz w:val="20"/>
          <w:szCs w:val="20"/>
          <w:color w:val="auto"/>
        </w:rPr>
      </w:pPr>
      <w:r>
        <w:rPr>
          <w:rFonts w:ascii="Arial" w:cs="Arial" w:eastAsia="Arial" w:hAnsi="Arial"/>
          <w:sz w:val="18"/>
          <w:szCs w:val="18"/>
          <w:color w:val="auto"/>
        </w:rPr>
        <w:t>In January 2014, the Financial Accounting Standards Board ("FASB") issued authoritative guidance to reduce diversity in practice by clarifying when an in substance repossession or foreclosure occurs. This guidance will be effective for us beginning January 1, 2015, and is not expected to have a material impact on our consolidated financial statements.</w:t>
      </w:r>
    </w:p>
    <w:p>
      <w:pPr>
        <w:spacing w:after="0" w:line="194" w:lineRule="exact"/>
        <w:rPr>
          <w:sz w:val="20"/>
          <w:szCs w:val="20"/>
          <w:color w:val="auto"/>
        </w:rPr>
      </w:pPr>
    </w:p>
    <w:p>
      <w:pPr>
        <w:jc w:val="both"/>
        <w:ind w:firstLine="394"/>
        <w:spacing w:after="0" w:line="259" w:lineRule="auto"/>
        <w:rPr>
          <w:sz w:val="20"/>
          <w:szCs w:val="20"/>
          <w:color w:val="auto"/>
        </w:rPr>
      </w:pPr>
      <w:r>
        <w:rPr>
          <w:rFonts w:ascii="Arial" w:cs="Arial" w:eastAsia="Arial" w:hAnsi="Arial"/>
          <w:sz w:val="18"/>
          <w:szCs w:val="18"/>
          <w:color w:val="auto"/>
        </w:rPr>
        <w:t>Also, in January 2014, the FASB issued authoritative guidance on accounting for investments by a reporting entity in flow-through limited liability entities that manage or invest in affordable housing projects that qualify for the low-income housing tax credit. This guidance will be effective for us beginning January 1, 2015, and is not expected to have a material impact on our consolidated financial statements.</w:t>
      </w:r>
    </w:p>
    <w:p>
      <w:pPr>
        <w:spacing w:after="0" w:line="194" w:lineRule="exact"/>
        <w:rPr>
          <w:sz w:val="20"/>
          <w:szCs w:val="20"/>
          <w:color w:val="auto"/>
        </w:rPr>
      </w:pPr>
    </w:p>
    <w:p>
      <w:pPr>
        <w:jc w:val="both"/>
        <w:ind w:firstLine="442"/>
        <w:spacing w:after="0" w:line="259" w:lineRule="auto"/>
        <w:rPr>
          <w:sz w:val="20"/>
          <w:szCs w:val="20"/>
          <w:color w:val="auto"/>
        </w:rPr>
      </w:pPr>
      <w:r>
        <w:rPr>
          <w:rFonts w:ascii="Arial" w:cs="Arial" w:eastAsia="Arial" w:hAnsi="Arial"/>
          <w:sz w:val="18"/>
          <w:szCs w:val="18"/>
          <w:color w:val="auto"/>
        </w:rPr>
        <w:t>In July 2013, the FASB issued authoritative guidance that requires the liability related to certain unrecognized benefits to be offset against a deferred tax asset from operating loss carryforwards. This guidance will be effective for us beginning January 1, 2014, and is not expected to have a material impact on our consolidated financial statements.</w:t>
      </w:r>
    </w:p>
    <w:p>
      <w:pPr>
        <w:spacing w:after="0" w:line="194" w:lineRule="exact"/>
        <w:rPr>
          <w:sz w:val="20"/>
          <w:szCs w:val="20"/>
          <w:color w:val="auto"/>
        </w:rPr>
      </w:pPr>
    </w:p>
    <w:p>
      <w:pPr>
        <w:jc w:val="both"/>
        <w:ind w:firstLine="513"/>
        <w:spacing w:after="0" w:line="268" w:lineRule="auto"/>
        <w:rPr>
          <w:sz w:val="20"/>
          <w:szCs w:val="20"/>
          <w:color w:val="auto"/>
        </w:rPr>
      </w:pPr>
      <w:r>
        <w:rPr>
          <w:rFonts w:ascii="Arial" w:cs="Arial" w:eastAsia="Arial" w:hAnsi="Arial"/>
          <w:sz w:val="18"/>
          <w:szCs w:val="18"/>
          <w:color w:val="auto"/>
        </w:rPr>
        <w:t>In June 2013, the FASB issued authoritative guidance that formalizes the definition of an investment company. This guidance will be effective for us beginning January 1, 2014, and is not expected to have a material impact on our consolidated financial statements.</w:t>
      </w:r>
    </w:p>
    <w:p>
      <w:pPr>
        <w:spacing w:after="0" w:line="186" w:lineRule="exact"/>
        <w:rPr>
          <w:sz w:val="20"/>
          <w:szCs w:val="20"/>
          <w:color w:val="auto"/>
        </w:rPr>
      </w:pPr>
    </w:p>
    <w:p>
      <w:pPr>
        <w:jc w:val="both"/>
        <w:ind w:firstLine="362"/>
        <w:spacing w:after="0" w:line="306" w:lineRule="auto"/>
        <w:rPr>
          <w:sz w:val="20"/>
          <w:szCs w:val="20"/>
          <w:color w:val="auto"/>
        </w:rPr>
      </w:pPr>
      <w:r>
        <w:rPr>
          <w:rFonts w:ascii="Arial" w:cs="Arial" w:eastAsia="Arial" w:hAnsi="Arial"/>
          <w:sz w:val="16"/>
          <w:szCs w:val="16"/>
          <w:color w:val="auto"/>
        </w:rPr>
        <w:t>In March 2013, the FASB issued authoritative guidance that clarifies how the cumulative translation adjustment ("CTA") related to a parent's investment in a foreign entity should be released when certain transactions related to the foreign entity occur. This guidance will be effective prospectively for us beginning January 1, 2014, and is not expected to have a material impact on our consolidated financial statements.</w:t>
      </w:r>
    </w:p>
    <w:p>
      <w:pPr>
        <w:spacing w:after="0" w:line="161" w:lineRule="exact"/>
        <w:rPr>
          <w:sz w:val="20"/>
          <w:szCs w:val="20"/>
          <w:color w:val="auto"/>
        </w:rPr>
      </w:pPr>
    </w:p>
    <w:p>
      <w:pPr>
        <w:jc w:val="both"/>
        <w:ind w:firstLine="351"/>
        <w:spacing w:after="0" w:line="288" w:lineRule="auto"/>
        <w:rPr>
          <w:sz w:val="20"/>
          <w:szCs w:val="20"/>
          <w:color w:val="auto"/>
        </w:rPr>
      </w:pPr>
      <w:r>
        <w:rPr>
          <w:rFonts w:ascii="Arial" w:cs="Arial" w:eastAsia="Arial" w:hAnsi="Arial"/>
          <w:sz w:val="16"/>
          <w:szCs w:val="16"/>
          <w:color w:val="auto"/>
        </w:rPr>
        <w:t>In February 2013, the FASB issued authoritative guidance that requires entities to disclose additional information about items reclassified out of accumulated other comprehensive income ("AOCI"). Entities are required to disclose information regarding changes in AOCI balances by component and significant items reclassified out of AOCI by component either on the face of the income statement or as a separate footnote to the financial statements. This guidance was effective for us beginning January 1, 2013, and did not have a material impact on our consolidated financial statements. This guidance did not impact the requirements for reporting of comprehensive income under FASB guidance issued in June 2011, which changed the presentation of comprehensive income in the financial statements. The guidance eliminated the presentation options contained in previous guidance and instead required entities to report components of comprehensive income in either a continuous statement of comprehensive income or two separate but consecutive statements that show the components of net income and other comprehensive income ("OCI"), including adjustments for items that are reclassified from OCI to net income. The guidance did not change the items that must be reported in OCI</w:t>
      </w:r>
    </w:p>
    <w:p>
      <w:pPr>
        <w:sectPr>
          <w:pgSz w:w="11900" w:h="16838" w:orient="portrait"/>
          <w:cols w:equalWidth="0" w:num="1">
            <w:col w:w="11420"/>
          </w:cols>
          <w:pgMar w:left="240" w:top="131" w:right="239" w:bottom="1440" w:gutter="0" w:footer="0" w:header="0"/>
        </w:sectPr>
      </w:pP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99" w:name="page100"/>
    <w:bookmarkEnd w:id="9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Nature of Operations and Significant Accounting Policies — (continued)</w:t>
      </w:r>
    </w:p>
    <w:p>
      <w:pPr>
        <w:spacing w:after="0" w:line="231" w:lineRule="exact"/>
        <w:rPr>
          <w:sz w:val="20"/>
          <w:szCs w:val="20"/>
          <w:color w:val="auto"/>
        </w:rPr>
      </w:pPr>
    </w:p>
    <w:p>
      <w:pPr>
        <w:jc w:val="both"/>
        <w:spacing w:after="0" w:line="268" w:lineRule="auto"/>
        <w:rPr>
          <w:sz w:val="20"/>
          <w:szCs w:val="20"/>
          <w:color w:val="auto"/>
        </w:rPr>
      </w:pPr>
      <w:r>
        <w:rPr>
          <w:rFonts w:ascii="Arial" w:cs="Arial" w:eastAsia="Arial" w:hAnsi="Arial"/>
          <w:sz w:val="18"/>
          <w:szCs w:val="18"/>
          <w:color w:val="auto"/>
        </w:rPr>
        <w:t>or when an item of OCI must be reclassified to net income. This guidance was effective for us on January 1, 2012, and did not have a material impact on our consolidated financial statements. See Note 14, Stockholders' Equity, for further details.</w:t>
      </w:r>
    </w:p>
    <w:p>
      <w:pPr>
        <w:spacing w:after="0" w:line="186" w:lineRule="exact"/>
        <w:rPr>
          <w:sz w:val="20"/>
          <w:szCs w:val="20"/>
          <w:color w:val="auto"/>
        </w:rPr>
      </w:pPr>
    </w:p>
    <w:p>
      <w:pPr>
        <w:jc w:val="both"/>
        <w:ind w:firstLine="452"/>
        <w:spacing w:after="0" w:line="290" w:lineRule="auto"/>
        <w:rPr>
          <w:sz w:val="20"/>
          <w:szCs w:val="20"/>
          <w:color w:val="auto"/>
        </w:rPr>
      </w:pPr>
      <w:r>
        <w:rPr>
          <w:rFonts w:ascii="Arial" w:cs="Arial" w:eastAsia="Arial" w:hAnsi="Arial"/>
          <w:sz w:val="16"/>
          <w:szCs w:val="16"/>
          <w:color w:val="auto"/>
        </w:rPr>
        <w:t>In January 2013 and December 2011, the FASB issued authoritative guidance related to balance sheet offsetting. The 2011 guidance requires disclosures about assets and liabilities that are offset or have the potential to be offset. These disclosures are intended to address differences in the asset and liability offsetting requirements under U.S. GAAP and International Financial Reporting Standards. The 2013 guidance clarified that the disclosure requirements would apply to derivative instruments, including bifurcated embedded derivatives, repurchase and reverse repurchase agreements and securities borrowing and securities lending arrangements that are either offset on the balance sheet or subject to an enforceable master netting arrangement or similar agreement. Both pieces of guidance were effective for us beginning January 1, 2013, with retrospective application required and did not have a material impact on our consolidated financial statements. See Note 5, Investments, for further details.</w:t>
      </w:r>
    </w:p>
    <w:p>
      <w:pPr>
        <w:spacing w:after="0" w:line="172" w:lineRule="exact"/>
        <w:rPr>
          <w:sz w:val="20"/>
          <w:szCs w:val="20"/>
          <w:color w:val="auto"/>
        </w:rPr>
      </w:pPr>
    </w:p>
    <w:p>
      <w:pPr>
        <w:jc w:val="both"/>
        <w:ind w:firstLine="370"/>
        <w:spacing w:after="0" w:line="335" w:lineRule="auto"/>
        <w:rPr>
          <w:sz w:val="20"/>
          <w:szCs w:val="20"/>
          <w:color w:val="auto"/>
        </w:rPr>
      </w:pPr>
      <w:r>
        <w:rPr>
          <w:rFonts w:ascii="Arial" w:cs="Arial" w:eastAsia="Arial" w:hAnsi="Arial"/>
          <w:sz w:val="15"/>
          <w:szCs w:val="15"/>
          <w:color w:val="auto"/>
        </w:rPr>
        <w:t>In July 2012, the FASB issued authoritative guidance that amends how indefinite-lived intangible assets are tested for impairment. The amendments provide an option to perform a qualitative assessment to determine whether it is necessary to perform the annual fair value calculation impairment test. This new guidance was effective for our 2013 indefinite-lived intangible asset impairment testing and did not have a material impact on our consolidated financial statements.</w:t>
      </w:r>
    </w:p>
    <w:p>
      <w:pPr>
        <w:spacing w:after="0" w:line="142" w:lineRule="exact"/>
        <w:rPr>
          <w:sz w:val="20"/>
          <w:szCs w:val="20"/>
          <w:color w:val="auto"/>
        </w:rPr>
      </w:pPr>
    </w:p>
    <w:p>
      <w:pPr>
        <w:jc w:val="both"/>
        <w:ind w:firstLine="390"/>
        <w:spacing w:after="0" w:line="306" w:lineRule="auto"/>
        <w:rPr>
          <w:sz w:val="20"/>
          <w:szCs w:val="20"/>
          <w:color w:val="auto"/>
        </w:rPr>
      </w:pPr>
      <w:r>
        <w:rPr>
          <w:rFonts w:ascii="Arial" w:cs="Arial" w:eastAsia="Arial" w:hAnsi="Arial"/>
          <w:sz w:val="16"/>
          <w:szCs w:val="16"/>
          <w:color w:val="auto"/>
        </w:rPr>
        <w:t>In December 2011, the FASB issued authoritative guidance that requires a reporting entity to follow the real estate sales guidance when the reporting entity ceases to have a controlling financial interest in a subsidiary that is in-substance real estate as a result of a default on the subsidiary's nonrecourse debt. This guidance was effective for us on January 1, 2013, and did not have a material impact on our consolidated financial statements.</w:t>
      </w:r>
    </w:p>
    <w:p>
      <w:pPr>
        <w:spacing w:after="0" w:line="161" w:lineRule="exact"/>
        <w:rPr>
          <w:sz w:val="20"/>
          <w:szCs w:val="20"/>
          <w:color w:val="auto"/>
        </w:rPr>
      </w:pPr>
    </w:p>
    <w:p>
      <w:pPr>
        <w:jc w:val="both"/>
        <w:ind w:firstLine="485"/>
        <w:spacing w:after="0" w:line="306" w:lineRule="auto"/>
        <w:rPr>
          <w:sz w:val="20"/>
          <w:szCs w:val="20"/>
          <w:color w:val="auto"/>
        </w:rPr>
      </w:pPr>
      <w:r>
        <w:rPr>
          <w:rFonts w:ascii="Arial" w:cs="Arial" w:eastAsia="Arial" w:hAnsi="Arial"/>
          <w:sz w:val="16"/>
          <w:szCs w:val="16"/>
          <w:color w:val="auto"/>
        </w:rPr>
        <w:t>In September 2011, the FASB issued authoritative guidance that amends how goodwill is tested for impairment. The amendments provide an option to perform a qualitative assessment to determine whether it is necessary to perform the annual two-step quantitative goodwill impairment test. This guidance was effective for our 2012 goodwill impairment test and did not have a material impact on our consolidated financial statements.</w:t>
      </w:r>
    </w:p>
    <w:p>
      <w:pPr>
        <w:spacing w:after="0" w:line="161" w:lineRule="exact"/>
        <w:rPr>
          <w:sz w:val="20"/>
          <w:szCs w:val="20"/>
          <w:color w:val="auto"/>
        </w:rPr>
      </w:pPr>
    </w:p>
    <w:p>
      <w:pPr>
        <w:jc w:val="both"/>
        <w:ind w:firstLine="377"/>
        <w:spacing w:after="0" w:line="289" w:lineRule="auto"/>
        <w:rPr>
          <w:sz w:val="20"/>
          <w:szCs w:val="20"/>
          <w:color w:val="auto"/>
        </w:rPr>
      </w:pPr>
      <w:r>
        <w:rPr>
          <w:rFonts w:ascii="Arial" w:cs="Arial" w:eastAsia="Arial" w:hAnsi="Arial"/>
          <w:sz w:val="16"/>
          <w:szCs w:val="16"/>
          <w:color w:val="auto"/>
        </w:rPr>
        <w:t>In June 2011, the FASB issued authoritative guidance that changes the presentation of comprehensive income in the financial statements. The new guidance eliminates the presentation options contained in current guidance and instead requires entities to report components of comprehensive income in either a continuous statement of comprehensive income or two separate but consecutive statements that show the components of net income and OCI, including adjustments for items that are reclassified from OCI to net income. The guidance does not change the items that must be reported in OCI or when an item of OCI must be reclassified to net income. In December 2011, the FASB issued a final standard to defer the new requirement to present classification adjustments out of OCI to net income on the face of the financial statements. All other requirements contained in the original statement on comprehensive income are still effective. This guidance was effective for us on January 1, 2012, and did not have a material impact on our consolidated financial statements. The required disclosures are included in our consolidated financial statements. See Note 14, Stockholders' Equity, for further details.</w:t>
      </w:r>
    </w:p>
    <w:p>
      <w:pPr>
        <w:spacing w:after="0" w:line="172" w:lineRule="exact"/>
        <w:rPr>
          <w:sz w:val="20"/>
          <w:szCs w:val="20"/>
          <w:color w:val="auto"/>
        </w:rPr>
      </w:pPr>
    </w:p>
    <w:p>
      <w:pPr>
        <w:jc w:val="both"/>
        <w:ind w:firstLine="370"/>
        <w:spacing w:after="0" w:line="256" w:lineRule="auto"/>
        <w:rPr>
          <w:sz w:val="20"/>
          <w:szCs w:val="20"/>
          <w:color w:val="auto"/>
        </w:rPr>
      </w:pPr>
      <w:r>
        <w:rPr>
          <w:rFonts w:ascii="Arial" w:cs="Arial" w:eastAsia="Arial" w:hAnsi="Arial"/>
          <w:sz w:val="18"/>
          <w:szCs w:val="18"/>
          <w:color w:val="auto"/>
        </w:rPr>
        <w:t>In May 2011, the FASB issued authoritative guidance that clarifies and changes fair value measurement and disclosure requirements. This guidance expands existing disclosure requirements for fair value measurements and makes other amendments but does not require additional fair value measurements. This guidance was effective for us on January 1, 2012, and did not have a material impact on our consolidated financial statements. See Note 15, Fair Value Measurements, for further details.</w:t>
      </w:r>
    </w:p>
    <w:p>
      <w:pPr>
        <w:spacing w:after="0" w:line="197" w:lineRule="exact"/>
        <w:rPr>
          <w:sz w:val="20"/>
          <w:szCs w:val="20"/>
          <w:color w:val="auto"/>
        </w:rPr>
      </w:pPr>
    </w:p>
    <w:p>
      <w:pPr>
        <w:jc w:val="both"/>
        <w:ind w:firstLine="459"/>
        <w:spacing w:after="0" w:line="259" w:lineRule="auto"/>
        <w:rPr>
          <w:sz w:val="20"/>
          <w:szCs w:val="20"/>
          <w:color w:val="auto"/>
        </w:rPr>
      </w:pPr>
      <w:r>
        <w:rPr>
          <w:rFonts w:ascii="Arial" w:cs="Arial" w:eastAsia="Arial" w:hAnsi="Arial"/>
          <w:sz w:val="18"/>
          <w:szCs w:val="18"/>
          <w:color w:val="auto"/>
        </w:rPr>
        <w:t>In April 2011, the FASB issued authoritative guidance that modifies the criteria for determining when repurchase agreements would be accounted for as secured borrowings as opposed to sales. The guidance was effective for us on January 1, 2012, for new transfers and modifications to existing transactions and did not have a material impact on our consolidated financial statements.</w:t>
      </w:r>
    </w:p>
    <w:p>
      <w:pPr>
        <w:spacing w:after="0" w:line="194" w:lineRule="exact"/>
        <w:rPr>
          <w:sz w:val="20"/>
          <w:szCs w:val="20"/>
          <w:color w:val="auto"/>
        </w:rPr>
      </w:pPr>
    </w:p>
    <w:p>
      <w:pPr>
        <w:jc w:val="both"/>
        <w:ind w:firstLine="599"/>
        <w:spacing w:after="0" w:line="291" w:lineRule="auto"/>
        <w:rPr>
          <w:sz w:val="20"/>
          <w:szCs w:val="20"/>
          <w:color w:val="auto"/>
        </w:rPr>
      </w:pPr>
      <w:r>
        <w:rPr>
          <w:rFonts w:ascii="Arial" w:cs="Arial" w:eastAsia="Arial" w:hAnsi="Arial"/>
          <w:sz w:val="16"/>
          <w:szCs w:val="16"/>
          <w:color w:val="auto"/>
        </w:rPr>
        <w:t>Also in April 2011, the FASB issued authoritative guidance which clarifies when creditors should classify a loan modification as a troubled debt restructuring ("TDR"). A TDR occurs when a creditor grants a concession to a debtor experiencing financial difficulties. Loans denoted as a TDR are considered impaired and are specifically reserved for when calculating the allowance for credit losses. This guidance also ended the indefinite deferral issued in January 2011 surrounding new disclosures on loans classified as a TDR required as part of the credit quality disclosures guidance issued in July 2010. This guidance was effective for us on July 1, 2011, and was applied retrospectively to restructurings occurring on or after January 1, 2011. This guidance did not have a material impact on our consolidated financial statements. See Note 5, Investments, for further details.</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0" w:name="page101"/>
    <w:bookmarkEnd w:id="10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Nature of Operations and Significant Accounting Policies — (continued)</w:t>
      </w:r>
    </w:p>
    <w:p>
      <w:pPr>
        <w:spacing w:after="0" w:line="231" w:lineRule="exact"/>
        <w:rPr>
          <w:sz w:val="20"/>
          <w:szCs w:val="20"/>
          <w:color w:val="auto"/>
        </w:rPr>
      </w:pPr>
    </w:p>
    <w:p>
      <w:pPr>
        <w:jc w:val="both"/>
        <w:ind w:firstLine="536"/>
        <w:spacing w:after="0" w:line="298" w:lineRule="auto"/>
        <w:rPr>
          <w:sz w:val="20"/>
          <w:szCs w:val="20"/>
          <w:color w:val="auto"/>
        </w:rPr>
      </w:pPr>
      <w:r>
        <w:rPr>
          <w:rFonts w:ascii="Arial" w:cs="Arial" w:eastAsia="Arial" w:hAnsi="Arial"/>
          <w:sz w:val="16"/>
          <w:szCs w:val="16"/>
          <w:color w:val="auto"/>
        </w:rPr>
        <w:t>In October 2010, the FASB issued authoritative guidance that modifies the definition of the types of costs incurred by insurance entities that can be capitalized in the successful acquisition of new or renewal insurance contracts. Capitalized costs should include incremental direct costs of contract acquisition, as well as certain costs related directly to acquisition activities such as underwriting, policy issuance and processing, medical and inspection and sales force contract selling. This guidance was effective for us on January 1, 2012, and we adopted the guidance retrospectively.</w:t>
      </w:r>
    </w:p>
    <w:p>
      <w:pPr>
        <w:spacing w:after="0" w:line="167" w:lineRule="exact"/>
        <w:rPr>
          <w:sz w:val="20"/>
          <w:szCs w:val="20"/>
          <w:color w:val="auto"/>
        </w:rPr>
      </w:pPr>
    </w:p>
    <w:p>
      <w:pPr>
        <w:jc w:val="both"/>
        <w:ind w:firstLine="351"/>
        <w:spacing w:after="0" w:line="291" w:lineRule="auto"/>
        <w:rPr>
          <w:sz w:val="20"/>
          <w:szCs w:val="20"/>
          <w:color w:val="auto"/>
        </w:rPr>
      </w:pPr>
      <w:r>
        <w:rPr>
          <w:rFonts w:ascii="Arial" w:cs="Arial" w:eastAsia="Arial" w:hAnsi="Arial"/>
          <w:sz w:val="16"/>
          <w:szCs w:val="16"/>
          <w:color w:val="auto"/>
        </w:rPr>
        <w:t>In July 2010, the FASB issued authoritative guidance that requires new and expanded disclosures related to the credit quality of financing receivables and the allowance for credit losses. Reporting entities are required to provide qualitative and quantitative disclosures on the allowance for credit losses, credit quality, impaired loans, modifications and nonaccrual and past due financing receivables. The disclosures are required to be presented on a disaggregated basis by portfolio segment and class of financing receivable. Disclosures required by the guidance that relate to the end of a reporting period were effective for us in our December 31, 2010, consolidated financial statements. Disclosures required by the guidance that relate to an activity that occurs during a reporting period were effective for us on January 1, 2011, and did not have a material impact on our consolidated financial statements. See Note 5, Investments, for further details.</w:t>
      </w:r>
    </w:p>
    <w:p>
      <w:pPr>
        <w:spacing w:after="0" w:line="174" w:lineRule="exact"/>
        <w:rPr>
          <w:sz w:val="20"/>
          <w:szCs w:val="20"/>
          <w:color w:val="auto"/>
        </w:rPr>
      </w:pPr>
    </w:p>
    <w:p>
      <w:pPr>
        <w:jc w:val="both"/>
        <w:ind w:right="20" w:firstLine="485"/>
        <w:spacing w:after="0" w:line="255" w:lineRule="auto"/>
        <w:rPr>
          <w:sz w:val="20"/>
          <w:szCs w:val="20"/>
          <w:color w:val="auto"/>
        </w:rPr>
      </w:pPr>
      <w:r>
        <w:rPr>
          <w:rFonts w:ascii="Arial" w:cs="Arial" w:eastAsia="Arial" w:hAnsi="Arial"/>
          <w:sz w:val="18"/>
          <w:szCs w:val="18"/>
          <w:color w:val="auto"/>
        </w:rPr>
        <w:t>In April 2010, the FASB issued authoritative guidance addressing how investments held through the separate accounts of an insurance entity affect the entity's consolidation analysis. This guidance clarifies that an insurance entity should not consider any separate account interests held for the benefit of policyholders in an investment to be the insurer's interests and should not combine those interests with its general account interest in the same investment when assessing the investment for consolidation. This guidance was effective for us on January 1, 2011, and did not have a material impact on our consolidated financial statements.</w:t>
      </w:r>
    </w:p>
    <w:p>
      <w:pPr>
        <w:spacing w:after="0" w:line="197" w:lineRule="exact"/>
        <w:rPr>
          <w:sz w:val="20"/>
          <w:szCs w:val="20"/>
          <w:color w:val="auto"/>
        </w:rPr>
      </w:pPr>
    </w:p>
    <w:p>
      <w:pPr>
        <w:jc w:val="both"/>
        <w:ind w:firstLine="424"/>
        <w:spacing w:after="0" w:line="288" w:lineRule="auto"/>
        <w:rPr>
          <w:sz w:val="20"/>
          <w:szCs w:val="20"/>
          <w:color w:val="auto"/>
        </w:rPr>
      </w:pPr>
      <w:r>
        <w:rPr>
          <w:rFonts w:ascii="Arial" w:cs="Arial" w:eastAsia="Arial" w:hAnsi="Arial"/>
          <w:sz w:val="16"/>
          <w:szCs w:val="16"/>
          <w:color w:val="auto"/>
        </w:rPr>
        <w:t>In January 2010, the FASB issued authoritative guidance that requires new disclosures related to fair value measurements and clarifies existing disclosure requirements about the level of disaggregation, inputs and valuation techniques. Specifically, reporting entities now must disclose separately the amounts of significant transfers in and out of Level 1 and Level 2 fair value measurements and describe the reasons for the transfers. In addition, in the reconciliation for Level 3 fair value measurements, a reporting entity should present separately information about purchases, sales, issuances and settlements. The guidance clarifies that a reporting entity needs to use judgment in determining the appropriate classes of assets and liabilities for disclosure of fair value measurement, considering the level of disaggregated information required by other applicable U.S. GAAP guidance and should also provide disclosures about the valuation techniques and inputs used to measure fair value for each class of assets and liabilities. This guidance was effective for us on January 1, 2010, except for the disclosures about purchases, sales, issuances and settlements in the reconciliation for Level 3 fair value measurements, which were effective for us on January 1, 2011. This guidance did not have a material impact on our consolidated financial statements. See Note 15, Fair Value Measurements, for further details.</w:t>
      </w:r>
    </w:p>
    <w:p>
      <w:pPr>
        <w:spacing w:after="0" w:line="3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 in the Preparation of Financial Statements</w:t>
      </w:r>
    </w:p>
    <w:p>
      <w:pPr>
        <w:spacing w:after="0" w:line="231" w:lineRule="exact"/>
        <w:rPr>
          <w:sz w:val="20"/>
          <w:szCs w:val="20"/>
          <w:color w:val="auto"/>
        </w:rPr>
      </w:pPr>
    </w:p>
    <w:p>
      <w:pPr>
        <w:jc w:val="both"/>
        <w:ind w:firstLine="424"/>
        <w:spacing w:after="0" w:line="306" w:lineRule="auto"/>
        <w:rPr>
          <w:sz w:val="20"/>
          <w:szCs w:val="20"/>
          <w:color w:val="auto"/>
        </w:rPr>
      </w:pPr>
      <w:r>
        <w:rPr>
          <w:rFonts w:ascii="Arial" w:cs="Arial" w:eastAsia="Arial" w:hAnsi="Arial"/>
          <w:sz w:val="16"/>
          <w:szCs w:val="16"/>
          <w:color w:val="auto"/>
        </w:rPr>
        <w:t>The preparation of our consolidated financial statements and accompanying notes requires management to make estimates and assumptions that affect the amounts reported and disclosed. These estimates and assumptions could change in the future as more information becomes known, which could impact the amounts reported and disclosed in the consolidated financial statements and accompanying notes. The most critical estimates include those used in determining:</w:t>
      </w:r>
    </w:p>
    <w:p>
      <w:pPr>
        <w:spacing w:after="0" w:line="174" w:lineRule="exact"/>
        <w:rPr>
          <w:sz w:val="20"/>
          <w:szCs w:val="20"/>
          <w:color w:val="auto"/>
        </w:rPr>
      </w:pPr>
    </w:p>
    <w:p>
      <w:pPr>
        <w:ind w:left="1080" w:hanging="532"/>
        <w:spacing w:after="0"/>
        <w:tabs>
          <w:tab w:leader="none" w:pos="10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fair value of investments in the absence of quoted market values;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investment impairments and valuation allowances;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fair value of and accounting for derivatives;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deferred acquisition costs ("DAC") and other actuarial balances where the amortization is based on estimated gross profits;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6"/>
        </w:numPr>
        <w:rPr>
          <w:rFonts w:ascii="Arial" w:cs="Arial" w:eastAsia="Arial" w:hAnsi="Arial"/>
          <w:sz w:val="16"/>
          <w:szCs w:val="16"/>
          <w:color w:val="auto"/>
        </w:rPr>
      </w:pPr>
      <w:r>
        <w:rPr>
          <w:rFonts w:ascii="Arial" w:cs="Arial" w:eastAsia="Arial" w:hAnsi="Arial"/>
          <w:sz w:val="16"/>
          <w:szCs w:val="16"/>
          <w:color w:val="auto"/>
        </w:rPr>
        <w:t>the measurement of goodwill, indefinite lived intangible assets, finite lived intangible assets and related impairments or amortization, if any;</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liability for future policy benefits and claims;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value of our pension and other postretirement benefit obligations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accounting for income taxes and the valuation of deferred tax assets.</w:t>
      </w:r>
    </w:p>
    <w:p>
      <w:pPr>
        <w:spacing w:after="0" w:line="225" w:lineRule="exact"/>
        <w:rPr>
          <w:sz w:val="20"/>
          <w:szCs w:val="20"/>
          <w:color w:val="auto"/>
        </w:rPr>
      </w:pPr>
    </w:p>
    <w:p>
      <w:pPr>
        <w:jc w:val="both"/>
        <w:ind w:firstLine="509"/>
        <w:spacing w:after="0" w:line="259" w:lineRule="auto"/>
        <w:rPr>
          <w:sz w:val="20"/>
          <w:szCs w:val="20"/>
          <w:color w:val="auto"/>
        </w:rPr>
      </w:pPr>
      <w:r>
        <w:rPr>
          <w:rFonts w:ascii="Arial" w:cs="Arial" w:eastAsia="Arial" w:hAnsi="Arial"/>
          <w:sz w:val="18"/>
          <w:szCs w:val="18"/>
          <w:color w:val="auto"/>
        </w:rPr>
        <w:t>A description of such critical estimates is incorporated within the discussion of the related accounting policies that follow. In applying these policies, management makes subjective and complex judgments that frequently require estimates about matters that are inherently uncertain. Many of these policies, estimates and related judgments are</w:t>
      </w:r>
    </w:p>
    <w:p>
      <w:pPr>
        <w:sectPr>
          <w:pgSz w:w="11900" w:h="16838" w:orient="portrait"/>
          <w:cols w:equalWidth="0" w:num="1">
            <w:col w:w="11420"/>
          </w:cols>
          <w:pgMar w:left="240" w:top="131" w:right="239" w:bottom="1440" w:gutter="0" w:footer="0" w:header="0"/>
        </w:sectPr>
      </w:pP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01" w:name="page102"/>
    <w:bookmarkEnd w:id="10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Nature of Operations and Significant Accounting Policies — (continued)</w:t>
      </w:r>
    </w:p>
    <w:p>
      <w:pPr>
        <w:spacing w:after="0" w:line="231" w:lineRule="exact"/>
        <w:rPr>
          <w:sz w:val="20"/>
          <w:szCs w:val="20"/>
          <w:color w:val="auto"/>
        </w:rPr>
      </w:pPr>
    </w:p>
    <w:p>
      <w:pPr>
        <w:spacing w:after="0"/>
        <w:rPr>
          <w:sz w:val="20"/>
          <w:szCs w:val="20"/>
          <w:color w:val="auto"/>
        </w:rPr>
      </w:pPr>
      <w:r>
        <w:rPr>
          <w:rFonts w:ascii="Arial" w:cs="Arial" w:eastAsia="Arial" w:hAnsi="Arial"/>
          <w:sz w:val="16"/>
          <w:szCs w:val="16"/>
          <w:color w:val="auto"/>
        </w:rPr>
        <w:t>common in the insurance and financial services industries; others are specific to our businesses and operations. Actual results could differ from these estimates.</w:t>
      </w:r>
    </w:p>
    <w:p>
      <w:pPr>
        <w:spacing w:after="0" w:line="200" w:lineRule="exact"/>
        <w:rPr>
          <w:sz w:val="20"/>
          <w:szCs w:val="20"/>
          <w:color w:val="auto"/>
        </w:rPr>
      </w:pP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Closed Block</w:t>
      </w:r>
    </w:p>
    <w:p>
      <w:pPr>
        <w:spacing w:after="0" w:line="231" w:lineRule="exact"/>
        <w:rPr>
          <w:sz w:val="20"/>
          <w:szCs w:val="20"/>
          <w:color w:val="auto"/>
        </w:rPr>
      </w:pPr>
    </w:p>
    <w:p>
      <w:pPr>
        <w:jc w:val="both"/>
        <w:ind w:right="20" w:firstLine="447"/>
        <w:spacing w:after="0" w:line="332" w:lineRule="auto"/>
        <w:rPr>
          <w:sz w:val="20"/>
          <w:szCs w:val="20"/>
          <w:color w:val="auto"/>
        </w:rPr>
      </w:pPr>
      <w:r>
        <w:rPr>
          <w:rFonts w:ascii="Arial" w:cs="Arial" w:eastAsia="Arial" w:hAnsi="Arial"/>
          <w:sz w:val="16"/>
          <w:szCs w:val="16"/>
          <w:color w:val="auto"/>
        </w:rPr>
        <w:t>Principal Life Insurance Company ("Principal Life") operates a closed block ("Closed Block") for the benefit of individual participating dividend-paying policies in force at the time of the 1998 mutual insurance holding company ("MIHC") formation. See Note 7, Closed Block, for further details.</w:t>
      </w: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and Cash Equivalents</w:t>
      </w:r>
    </w:p>
    <w:p>
      <w:pPr>
        <w:spacing w:after="0" w:line="231" w:lineRule="exact"/>
        <w:rPr>
          <w:sz w:val="20"/>
          <w:szCs w:val="20"/>
          <w:color w:val="auto"/>
        </w:rPr>
      </w:pPr>
    </w:p>
    <w:p>
      <w:pPr>
        <w:jc w:val="both"/>
        <w:ind w:right="20" w:firstLine="523"/>
        <w:spacing w:after="0" w:line="268" w:lineRule="auto"/>
        <w:rPr>
          <w:sz w:val="20"/>
          <w:szCs w:val="20"/>
          <w:color w:val="auto"/>
        </w:rPr>
      </w:pPr>
      <w:r>
        <w:rPr>
          <w:rFonts w:ascii="Arial" w:cs="Arial" w:eastAsia="Arial" w:hAnsi="Arial"/>
          <w:sz w:val="18"/>
          <w:szCs w:val="18"/>
          <w:color w:val="auto"/>
        </w:rPr>
        <w:t>Cash and cash equivalents include cash on hand, money market instruments and other debt issues with a maturity date of three months or less when purchased.</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Investments</w:t>
      </w:r>
    </w:p>
    <w:p>
      <w:pPr>
        <w:spacing w:after="0" w:line="231" w:lineRule="exact"/>
        <w:rPr>
          <w:sz w:val="20"/>
          <w:szCs w:val="20"/>
          <w:color w:val="auto"/>
        </w:rPr>
      </w:pPr>
    </w:p>
    <w:p>
      <w:pPr>
        <w:jc w:val="both"/>
        <w:ind w:firstLine="365"/>
        <w:spacing w:after="0" w:line="287" w:lineRule="auto"/>
        <w:rPr>
          <w:sz w:val="20"/>
          <w:szCs w:val="20"/>
          <w:color w:val="auto"/>
        </w:rPr>
      </w:pPr>
      <w:r>
        <w:rPr>
          <w:rFonts w:ascii="Arial" w:cs="Arial" w:eastAsia="Arial" w:hAnsi="Arial"/>
          <w:sz w:val="16"/>
          <w:szCs w:val="16"/>
          <w:color w:val="auto"/>
        </w:rPr>
        <w:t>Fixed maturities include bonds, asset-backed securities, redeemable preferred stock and certain nonredeemable preferred securities. Equity securities include mutual funds, common stock and nonredeemable preferred stock. We classify fixed maturities and equity securities as either available-for-sale or trading at the time of the purchase and, accordingly, carry them at fair value. See Note 15, Fair Value Measurements, for methodologies related to the determination of fair value. Unrealized gains and losses related to available-for-sale securities, excluding those in fair value hedging relationships, are reflected in stockholders' equity, net of adjustments related to DAC, reinsurance assets or liabilities, sales inducements, unearned revenue reserves, policyholder liabilities, derivatives in cash flow hedge relationships and applicable income taxes. Unrealized gains and losses related to hedged portions of available-for-sale securities in fair value hedging relationships and mark-to-market adjustments on certain trading securities are reflected in net realized capital gains (losses). We also have certain equity securities, trading that represent mandatory required investments and a minimal amount of assets within trading securities portfolios that support investment strategies that involve the active and frequent purchase and sale of fixed maturities. Mark-to-market adjustments related to these trading securities are reflected in net investment income.</w:t>
      </w:r>
    </w:p>
    <w:p>
      <w:pPr>
        <w:spacing w:after="0" w:line="177" w:lineRule="exact"/>
        <w:rPr>
          <w:sz w:val="20"/>
          <w:szCs w:val="20"/>
          <w:color w:val="auto"/>
        </w:rPr>
      </w:pPr>
    </w:p>
    <w:p>
      <w:pPr>
        <w:jc w:val="both"/>
        <w:ind w:firstLine="405"/>
        <w:spacing w:after="0" w:line="318" w:lineRule="auto"/>
        <w:rPr>
          <w:sz w:val="20"/>
          <w:szCs w:val="20"/>
          <w:color w:val="auto"/>
        </w:rPr>
      </w:pPr>
      <w:r>
        <w:rPr>
          <w:rFonts w:ascii="Arial" w:cs="Arial" w:eastAsia="Arial" w:hAnsi="Arial"/>
          <w:sz w:val="15"/>
          <w:szCs w:val="15"/>
          <w:color w:val="auto"/>
        </w:rPr>
        <w:t>The cost of fixed maturities is adjusted for amortization of premiums and accrual of discounts, both computed using the interest method. The cost of fixed maturities and equity securities classified as available-for-sale is adjusted for declines in value that are other than temporary. Impairments in value deemed to be other than temporary are primarily reported in net income as a component of net realized capital gains (losses), with noncredit impairment losses for certain fixed maturities, available-for-sale reported in OCI. Interest income, as well as prepayment fees and the amortization of the related premium or discount, is reported in net investment income. For loan-backed and structured securities, we recognize income using a constant effective yield based on currently anticipated cash flows.</w:t>
      </w:r>
    </w:p>
    <w:p>
      <w:pPr>
        <w:spacing w:after="0" w:line="154" w:lineRule="exact"/>
        <w:rPr>
          <w:sz w:val="20"/>
          <w:szCs w:val="20"/>
          <w:color w:val="auto"/>
        </w:rPr>
      </w:pPr>
    </w:p>
    <w:p>
      <w:pPr>
        <w:jc w:val="both"/>
        <w:ind w:firstLine="459"/>
        <w:spacing w:after="0" w:line="289" w:lineRule="auto"/>
        <w:rPr>
          <w:sz w:val="20"/>
          <w:szCs w:val="20"/>
          <w:color w:val="auto"/>
        </w:rPr>
      </w:pPr>
      <w:r>
        <w:rPr>
          <w:rFonts w:ascii="Arial" w:cs="Arial" w:eastAsia="Arial" w:hAnsi="Arial"/>
          <w:sz w:val="16"/>
          <w:szCs w:val="16"/>
          <w:color w:val="auto"/>
        </w:rPr>
        <w:t>Real estate investments are reported at cost less accumulated depreciation. The initial cost basis of properties acquired through loan foreclosures are the lower of the fair market values of the properties at the time of foreclosure or the outstanding loan balance. Buildings and land improvements are generally depreciated on the straight-line method over the estimated useful life of improvements and tenant improvement costs are depreciated on the straight-line method over the term of the related lease. We recognize impairment losses for properties when indicators of impairment are present and a property's expected undiscounted cash flows are not sufficient to recover the property's carrying value. In such cases, the cost basis of the properties are reduced to fair value. Real estate expected to be disposed is carried at the lower of cost or fair value, less cost to sell, with valuation allowances established accordingly and depreciation no longer recognized. The carrying amount of real estate held for sale was $182.3 million and $87.0 million as of December 31, 2013 and 2012, respectively. Any impairment losses and any changes in valuation allowances are reported in net income.</w:t>
      </w:r>
    </w:p>
    <w:p>
      <w:pPr>
        <w:spacing w:after="0" w:line="172" w:lineRule="exact"/>
        <w:rPr>
          <w:sz w:val="20"/>
          <w:szCs w:val="20"/>
          <w:color w:val="auto"/>
        </w:rPr>
      </w:pPr>
    </w:p>
    <w:p>
      <w:pPr>
        <w:jc w:val="both"/>
        <w:ind w:firstLine="413"/>
        <w:spacing w:after="0" w:line="253" w:lineRule="auto"/>
        <w:rPr>
          <w:sz w:val="20"/>
          <w:szCs w:val="20"/>
          <w:color w:val="auto"/>
        </w:rPr>
      </w:pPr>
      <w:r>
        <w:rPr>
          <w:rFonts w:ascii="Arial" w:cs="Arial" w:eastAsia="Arial" w:hAnsi="Arial"/>
          <w:sz w:val="18"/>
          <w:szCs w:val="18"/>
          <w:color w:val="auto"/>
        </w:rPr>
        <w:t>Commercial and residential mortgage loans are generally reported at cost adjusted for amortization of premiums and accrual of discounts, computed using the interest method, net of valuation allowances. Interest income is accrued on the principal amount of the loan based on the loan's contractual interest rate. Interest income, as well as prepayment of fees and the amortization of the related premium or discount, is reported in net investment income. Any changes in the valuation allowances are reported in net income as net realized capital gains (losses). We measure impairment based upon the difference between carrying value and estimated value less cost to sell. Estimated value is based on either the present value of expected cash flows discounted at the loan's effective interest rate, the loan's observable market price or the fair value of the collateral. If foreclosure is probable, the measurement of any valuation allowance is based upon the fair value of the collateral.</w:t>
      </w:r>
    </w:p>
    <w:p>
      <w:pPr>
        <w:spacing w:after="0" w:line="201" w:lineRule="exact"/>
        <w:rPr>
          <w:sz w:val="20"/>
          <w:szCs w:val="20"/>
          <w:color w:val="auto"/>
        </w:rPr>
      </w:pPr>
    </w:p>
    <w:p>
      <w:pPr>
        <w:jc w:val="both"/>
        <w:ind w:firstLine="398"/>
        <w:spacing w:after="0" w:line="268" w:lineRule="auto"/>
        <w:rPr>
          <w:sz w:val="20"/>
          <w:szCs w:val="20"/>
          <w:color w:val="auto"/>
        </w:rPr>
      </w:pPr>
      <w:r>
        <w:rPr>
          <w:rFonts w:ascii="Arial" w:cs="Arial" w:eastAsia="Arial" w:hAnsi="Arial"/>
          <w:sz w:val="18"/>
          <w:szCs w:val="18"/>
          <w:color w:val="auto"/>
        </w:rPr>
        <w:t>Net realized capital gains and losses on sales of investments are determined on the basis of specific identification. In general, in addition to realized capital gains and losses on investment sales and periodic settlements on derivatives not</w:t>
      </w:r>
    </w:p>
    <w:p>
      <w:pPr>
        <w:sectPr>
          <w:pgSz w:w="11900" w:h="16838" w:orient="portrait"/>
          <w:cols w:equalWidth="0" w:num="1">
            <w:col w:w="11420"/>
          </w:cols>
          <w:pgMar w:left="240" w:top="131" w:right="239" w:bottom="1440" w:gutter="0" w:footer="0" w:header="0"/>
        </w:sectPr>
      </w:pP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02" w:name="page103"/>
    <w:bookmarkEnd w:id="10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Nature of Operations and Significant Accounting Policies — (continued)</w:t>
      </w:r>
    </w:p>
    <w:p>
      <w:pPr>
        <w:spacing w:after="0" w:line="231"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designated as hedges, we report gains and losses related to the following in net realized capital gains (losses): other-than-temporary impairments of securities and subsequent realized recoveries, mark-to-market adjustments on certain trading securities, mark-to-market adjustments on certain seed money investments, fair value hedge and cash flow hedge ineffectiveness, mark-to-market adjustments on derivatives not designated as hedges, changes in the mortgage loan valuation allowance provision and impairments of real estate held for investment. Investment gains and losses on sales of certain real estate held for sale that do not meet the criteria for classification as a discontinued operation, mark-to-market adjustments on certain equity securities, trading that represent mandatory required investments and mark-to-market adjustments on trading securities that support investment strategies that involve the active and frequent purchase and sale of fixed maturities are reported as net investment income and are excluded from net realized capital gains (losses).</w:t>
      </w:r>
    </w:p>
    <w:p>
      <w:pPr>
        <w:spacing w:after="0" w:line="172" w:lineRule="exact"/>
        <w:rPr>
          <w:sz w:val="20"/>
          <w:szCs w:val="20"/>
          <w:color w:val="auto"/>
        </w:rPr>
      </w:pPr>
    </w:p>
    <w:p>
      <w:pPr>
        <w:jc w:val="both"/>
        <w:ind w:firstLine="359"/>
        <w:spacing w:after="0" w:line="268" w:lineRule="auto"/>
        <w:rPr>
          <w:sz w:val="20"/>
          <w:szCs w:val="20"/>
          <w:color w:val="auto"/>
        </w:rPr>
      </w:pPr>
      <w:r>
        <w:rPr>
          <w:rFonts w:ascii="Arial" w:cs="Arial" w:eastAsia="Arial" w:hAnsi="Arial"/>
          <w:sz w:val="18"/>
          <w:szCs w:val="18"/>
          <w:color w:val="auto"/>
        </w:rPr>
        <w:t>Policy loans and other investments, excluding investments in unconsolidated entities and commercial mortgage loans of consolidated VIEs for which the fair value option was elected, are primarily reported at cost.</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Derivatives</w:t>
      </w:r>
    </w:p>
    <w:p>
      <w:pPr>
        <w:spacing w:after="0" w:line="231" w:lineRule="exact"/>
        <w:rPr>
          <w:sz w:val="20"/>
          <w:szCs w:val="20"/>
          <w:color w:val="auto"/>
        </w:rPr>
      </w:pPr>
    </w:p>
    <w:p>
      <w:pPr>
        <w:jc w:val="both"/>
        <w:ind w:firstLine="446"/>
        <w:spacing w:after="0" w:line="290" w:lineRule="auto"/>
        <w:rPr>
          <w:sz w:val="20"/>
          <w:szCs w:val="20"/>
          <w:color w:val="auto"/>
        </w:rPr>
      </w:pPr>
      <w:r>
        <w:rPr>
          <w:rFonts w:ascii="Arial" w:cs="Arial" w:eastAsia="Arial" w:hAnsi="Arial"/>
          <w:sz w:val="16"/>
          <w:szCs w:val="16"/>
          <w:b w:val="1"/>
          <w:bCs w:val="1"/>
          <w:i w:val="1"/>
          <w:iCs w:val="1"/>
          <w:color w:val="auto"/>
        </w:rPr>
        <w:t xml:space="preserve">Overview. </w:t>
      </w:r>
      <w:r>
        <w:rPr>
          <w:rFonts w:ascii="Arial" w:cs="Arial" w:eastAsia="Arial" w:hAnsi="Arial"/>
          <w:sz w:val="16"/>
          <w:szCs w:val="16"/>
          <w:color w:val="auto"/>
        </w:rPr>
        <w:t>Derivatives are financial instruments whose values are derived from interest rates, foreign exchange rates, financial indices or the values of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securities. Derivatives generally used by us include interest rate swaps, interest rate options, swaptions, currency swaps, currency forwards, currency options, equity options, futures, credit default swaps and total return swaps. Derivatives may be exchange traded, cleared through centralized clearinghouses, or contracted in the over-the-counter market without being cleared. Derivative positions are either assets or liabilities in the consolidated statements of financial position and are measured at fair value, generally by obtaining quoted market prices or through the use of pricing models. See Note 15, Fair Value Measurements, for policies related to the determination of fair value. Fair values can be affected by changes in interest rates, foreign exchange rates, financial indices, values of securities, credit spreads, and market volatility and liquidity.</w:t>
      </w:r>
    </w:p>
    <w:p>
      <w:pPr>
        <w:spacing w:after="0" w:line="172" w:lineRule="exact"/>
        <w:rPr>
          <w:sz w:val="20"/>
          <w:szCs w:val="20"/>
          <w:color w:val="auto"/>
        </w:rPr>
      </w:pPr>
    </w:p>
    <w:p>
      <w:pPr>
        <w:ind w:left="360"/>
        <w:spacing w:after="0"/>
        <w:tabs>
          <w:tab w:leader="none" w:pos="4180" w:val="left"/>
        </w:tabs>
        <w:rPr>
          <w:sz w:val="20"/>
          <w:szCs w:val="20"/>
          <w:color w:val="auto"/>
        </w:rPr>
      </w:pPr>
      <w:r>
        <w:rPr>
          <w:rFonts w:ascii="Arial" w:cs="Arial" w:eastAsia="Arial" w:hAnsi="Arial"/>
          <w:sz w:val="18"/>
          <w:szCs w:val="18"/>
          <w:b w:val="1"/>
          <w:bCs w:val="1"/>
          <w:i w:val="1"/>
          <w:iCs w:val="1"/>
          <w:color w:val="auto"/>
        </w:rPr>
        <w:t>Accounting and Financial Statement Presentation.</w:t>
      </w:r>
      <w:r>
        <w:rPr>
          <w:sz w:val="20"/>
          <w:szCs w:val="20"/>
          <w:color w:val="auto"/>
        </w:rPr>
        <w:tab/>
      </w:r>
      <w:r>
        <w:rPr>
          <w:rFonts w:ascii="Arial" w:cs="Arial" w:eastAsia="Arial" w:hAnsi="Arial"/>
          <w:sz w:val="15"/>
          <w:szCs w:val="15"/>
          <w:color w:val="auto"/>
        </w:rPr>
        <w:t>We designate derivatives as either:</w:t>
      </w:r>
    </w:p>
    <w:p>
      <w:pPr>
        <w:spacing w:after="0" w:line="239" w:lineRule="exact"/>
        <w:rPr>
          <w:sz w:val="20"/>
          <w:szCs w:val="20"/>
          <w:color w:val="auto"/>
        </w:rPr>
      </w:pPr>
    </w:p>
    <w:p>
      <w:pPr>
        <w:ind w:left="1080" w:hanging="532"/>
        <w:spacing w:after="0" w:line="268" w:lineRule="auto"/>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a hedge of the exposure to changes in the fair value of a recognized asset or liability or an unrecognized firm commitment, including those denominated in a foreign currency ("fair value hedge");</w:t>
      </w:r>
    </w:p>
    <w:p>
      <w:pPr>
        <w:spacing w:after="0" w:line="212"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a hedge of a forecasted transaction or the exposure to variability of cash flows to be received or paid related to a recognized asset or liability, including those denominated in a foreign currency ("cash flow hedge");</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a hedge of a net investment in a foreign operation 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a derivative not designated as a hedging instrument.</w:t>
      </w:r>
    </w:p>
    <w:p>
      <w:pPr>
        <w:spacing w:after="0" w:line="225" w:lineRule="exact"/>
        <w:rPr>
          <w:sz w:val="20"/>
          <w:szCs w:val="20"/>
          <w:color w:val="auto"/>
        </w:rPr>
      </w:pPr>
    </w:p>
    <w:p>
      <w:pPr>
        <w:jc w:val="both"/>
        <w:ind w:firstLine="400"/>
        <w:spacing w:after="0" w:line="298" w:lineRule="auto"/>
        <w:rPr>
          <w:sz w:val="20"/>
          <w:szCs w:val="20"/>
          <w:color w:val="auto"/>
        </w:rPr>
      </w:pPr>
      <w:r>
        <w:rPr>
          <w:rFonts w:ascii="Arial" w:cs="Arial" w:eastAsia="Arial" w:hAnsi="Arial"/>
          <w:sz w:val="16"/>
          <w:szCs w:val="16"/>
          <w:color w:val="auto"/>
        </w:rPr>
        <w:t>Our accounting for the ongoing changes in fair value of a derivative depends on the intended use of the derivative and the designation, as described above, and is determined when the derivative contract is entered into or at the time of redesignation. Hedge accounting is used for derivatives that are specifically designated in advance as hedges and that reduce our exposure to an indicated risk by having a high correlation between changes in the value of the derivatives and the items being hedged at both the inception of the hedge and throughout the hedge period.</w:t>
      </w:r>
    </w:p>
    <w:p>
      <w:pPr>
        <w:spacing w:after="0" w:line="167" w:lineRule="exact"/>
        <w:rPr>
          <w:sz w:val="20"/>
          <w:szCs w:val="20"/>
          <w:color w:val="auto"/>
        </w:rPr>
      </w:pPr>
    </w:p>
    <w:p>
      <w:pPr>
        <w:jc w:val="both"/>
        <w:ind w:firstLine="416"/>
        <w:spacing w:after="0" w:line="306" w:lineRule="auto"/>
        <w:rPr>
          <w:sz w:val="20"/>
          <w:szCs w:val="20"/>
          <w:color w:val="auto"/>
        </w:rPr>
      </w:pPr>
      <w:r>
        <w:rPr>
          <w:rFonts w:ascii="Arial" w:cs="Arial" w:eastAsia="Arial" w:hAnsi="Arial"/>
          <w:sz w:val="16"/>
          <w:szCs w:val="16"/>
          <w:b w:val="1"/>
          <w:bCs w:val="1"/>
          <w:i w:val="1"/>
          <w:iCs w:val="1"/>
          <w:color w:val="auto"/>
        </w:rPr>
        <w:t xml:space="preserve">Fair Value Hedges. </w:t>
      </w:r>
      <w:r>
        <w:rPr>
          <w:rFonts w:ascii="Arial" w:cs="Arial" w:eastAsia="Arial" w:hAnsi="Arial"/>
          <w:sz w:val="16"/>
          <w:szCs w:val="16"/>
          <w:color w:val="auto"/>
        </w:rPr>
        <w:t>When a derivative is designated as a fair value hedge and is determined to be highly effective, changes in its fair value, along with</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changes in the fair value of the hedged asset, liability or firm commitment attributable to the hedged risk, are reported in net realized capital gains (losses). Any difference between the net change in fair value of the derivative and the hedged item represents hedge ineffectiveness.</w:t>
      </w:r>
    </w:p>
    <w:p>
      <w:pPr>
        <w:spacing w:after="0" w:line="161" w:lineRule="exact"/>
        <w:rPr>
          <w:sz w:val="20"/>
          <w:szCs w:val="20"/>
          <w:color w:val="auto"/>
        </w:rPr>
      </w:pPr>
    </w:p>
    <w:p>
      <w:pPr>
        <w:jc w:val="both"/>
        <w:ind w:firstLine="351"/>
        <w:spacing w:after="0" w:line="306" w:lineRule="auto"/>
        <w:rPr>
          <w:sz w:val="20"/>
          <w:szCs w:val="20"/>
          <w:color w:val="auto"/>
        </w:rPr>
      </w:pPr>
      <w:r>
        <w:rPr>
          <w:rFonts w:ascii="Arial" w:cs="Arial" w:eastAsia="Arial" w:hAnsi="Arial"/>
          <w:sz w:val="16"/>
          <w:szCs w:val="16"/>
          <w:b w:val="1"/>
          <w:bCs w:val="1"/>
          <w:i w:val="1"/>
          <w:iCs w:val="1"/>
          <w:color w:val="auto"/>
        </w:rPr>
        <w:t xml:space="preserve">Cash Flow Hedges. </w:t>
      </w:r>
      <w:r>
        <w:rPr>
          <w:rFonts w:ascii="Arial" w:cs="Arial" w:eastAsia="Arial" w:hAnsi="Arial"/>
          <w:sz w:val="16"/>
          <w:szCs w:val="16"/>
          <w:color w:val="auto"/>
        </w:rPr>
        <w:t>When a derivative is designated as a cash flow hedge and is determined to be highly effective, changes in its fair value are recorded as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 component of OCI. Any hedge ineffectiveness is recorded immediately in net income. At the time the variability of cash flows being hedged impacts net income, the related portion of deferred gains or losses on the derivative instrument is reclassified and reported in net income.</w:t>
      </w:r>
    </w:p>
    <w:p>
      <w:pPr>
        <w:spacing w:after="0" w:line="161" w:lineRule="exact"/>
        <w:rPr>
          <w:sz w:val="20"/>
          <w:szCs w:val="20"/>
          <w:color w:val="auto"/>
        </w:rPr>
      </w:pPr>
    </w:p>
    <w:p>
      <w:pPr>
        <w:jc w:val="both"/>
        <w:ind w:firstLine="359"/>
        <w:spacing w:after="0" w:line="306" w:lineRule="auto"/>
        <w:rPr>
          <w:sz w:val="20"/>
          <w:szCs w:val="20"/>
          <w:color w:val="auto"/>
        </w:rPr>
      </w:pPr>
      <w:r>
        <w:rPr>
          <w:rFonts w:ascii="Arial" w:cs="Arial" w:eastAsia="Arial" w:hAnsi="Arial"/>
          <w:sz w:val="16"/>
          <w:szCs w:val="16"/>
          <w:b w:val="1"/>
          <w:bCs w:val="1"/>
          <w:i w:val="1"/>
          <w:iCs w:val="1"/>
          <w:color w:val="auto"/>
        </w:rPr>
        <w:t xml:space="preserve">Net Investment in a Foreign Operation Hedge. </w:t>
      </w:r>
      <w:r>
        <w:rPr>
          <w:rFonts w:ascii="Arial" w:cs="Arial" w:eastAsia="Arial" w:hAnsi="Arial"/>
          <w:sz w:val="16"/>
          <w:szCs w:val="16"/>
          <w:color w:val="auto"/>
        </w:rPr>
        <w:t>When a derivative is used as a hedge of a net investment in a foreign operation, its change in fair value, to</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the extent effective as a hedge, is recorded as a component of OCI. Any hedge ineffectiveness is recorded immediately in net income. If the foreign operation is sold or upon complete or substantially complete liquidation, the deferred gains or losses on the derivative instrument are reclassified into net income.</w:t>
      </w:r>
    </w:p>
    <w:p>
      <w:pPr>
        <w:spacing w:after="0" w:line="161" w:lineRule="exact"/>
        <w:rPr>
          <w:sz w:val="20"/>
          <w:szCs w:val="20"/>
          <w:color w:val="auto"/>
        </w:rPr>
      </w:pPr>
    </w:p>
    <w:p>
      <w:pPr>
        <w:jc w:val="both"/>
        <w:ind w:firstLine="435"/>
        <w:spacing w:after="0" w:line="268" w:lineRule="auto"/>
        <w:rPr>
          <w:sz w:val="20"/>
          <w:szCs w:val="20"/>
          <w:color w:val="auto"/>
        </w:rPr>
      </w:pPr>
      <w:r>
        <w:rPr>
          <w:rFonts w:ascii="Arial" w:cs="Arial" w:eastAsia="Arial" w:hAnsi="Arial"/>
          <w:sz w:val="18"/>
          <w:szCs w:val="18"/>
          <w:b w:val="1"/>
          <w:bCs w:val="1"/>
          <w:i w:val="1"/>
          <w:iCs w:val="1"/>
          <w:color w:val="auto"/>
        </w:rPr>
        <w:t xml:space="preserve">Non-Hedge Derivatives. </w:t>
      </w:r>
      <w:r>
        <w:rPr>
          <w:rFonts w:ascii="Arial" w:cs="Arial" w:eastAsia="Arial" w:hAnsi="Arial"/>
          <w:sz w:val="18"/>
          <w:szCs w:val="18"/>
          <w:color w:val="auto"/>
        </w:rPr>
        <w:t>If a derivative does not qualify or is not designated for hedge accounting, all changes in fair value are reported in net income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without considering the changes in the fair value of the economically associated assets or liabilities.</w:t>
      </w:r>
    </w:p>
    <w:p>
      <w:pPr>
        <w:sectPr>
          <w:pgSz w:w="11900" w:h="16838" w:orient="portrait"/>
          <w:cols w:equalWidth="0" w:num="1">
            <w:col w:w="11420"/>
          </w:cols>
          <w:pgMar w:left="240" w:top="131" w:right="239" w:bottom="1440" w:gutter="0" w:footer="0" w:header="0"/>
        </w:sectPr>
      </w:pP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03" w:name="page104"/>
    <w:bookmarkEnd w:id="10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Nature of Operations and Significant Accounting Policies — (continued)</w:t>
      </w:r>
    </w:p>
    <w:p>
      <w:pPr>
        <w:spacing w:after="0" w:line="231" w:lineRule="exact"/>
        <w:rPr>
          <w:sz w:val="20"/>
          <w:szCs w:val="20"/>
          <w:color w:val="auto"/>
        </w:rPr>
      </w:pPr>
    </w:p>
    <w:p>
      <w:pPr>
        <w:jc w:val="both"/>
        <w:ind w:firstLine="351"/>
        <w:spacing w:after="0" w:line="294" w:lineRule="auto"/>
        <w:rPr>
          <w:sz w:val="20"/>
          <w:szCs w:val="20"/>
          <w:color w:val="auto"/>
        </w:rPr>
      </w:pPr>
      <w:r>
        <w:rPr>
          <w:rFonts w:ascii="Arial" w:cs="Arial" w:eastAsia="Arial" w:hAnsi="Arial"/>
          <w:sz w:val="16"/>
          <w:szCs w:val="16"/>
          <w:b w:val="1"/>
          <w:bCs w:val="1"/>
          <w:i w:val="1"/>
          <w:iCs w:val="1"/>
          <w:color w:val="auto"/>
        </w:rPr>
        <w:t xml:space="preserve">Hedge Documentation and Effectiveness Testing. </w:t>
      </w:r>
      <w:r>
        <w:rPr>
          <w:rFonts w:ascii="Arial" w:cs="Arial" w:eastAsia="Arial" w:hAnsi="Arial"/>
          <w:sz w:val="16"/>
          <w:szCs w:val="16"/>
          <w:color w:val="auto"/>
        </w:rPr>
        <w:t>At inception, we formally document all relationships between hedging instruments and hedged items, as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well as our risk management objective and strategy for undertaking various hedge transactions. This process includes associating all derivatives designated as fair value or cash flow hedges with specific assets or liabilities on the statement of financial position or with specific firm commitments or forecasted transactions. Effectiveness of the hedge is formally assessed at inception and throughout the life of the hedging relationship. Even if a derivative is highly effective and qualifies for hedge accounting treatment, the hedge might have some ineffectiveness.</w:t>
      </w:r>
    </w:p>
    <w:p>
      <w:pPr>
        <w:spacing w:after="0" w:line="170" w:lineRule="exact"/>
        <w:rPr>
          <w:sz w:val="20"/>
          <w:szCs w:val="20"/>
          <w:color w:val="auto"/>
        </w:rPr>
      </w:pPr>
    </w:p>
    <w:p>
      <w:pPr>
        <w:jc w:val="both"/>
        <w:ind w:firstLine="363"/>
        <w:spacing w:after="0" w:line="370" w:lineRule="auto"/>
        <w:rPr>
          <w:sz w:val="20"/>
          <w:szCs w:val="20"/>
          <w:color w:val="auto"/>
        </w:rPr>
      </w:pPr>
      <w:r>
        <w:rPr>
          <w:rFonts w:ascii="Arial" w:cs="Arial" w:eastAsia="Arial" w:hAnsi="Arial"/>
          <w:sz w:val="15"/>
          <w:szCs w:val="15"/>
          <w:color w:val="auto"/>
        </w:rPr>
        <w:t>We use qualitative and quantitative methods to assess hedge effectiveness. Qualitative methods may include monitoring changes to terms and conditions and counterparty credit ratings. Quantitative methods may include statistical tests including regression analysis and minimum variance and dollar offset techniques.</w:t>
      </w:r>
    </w:p>
    <w:p>
      <w:pPr>
        <w:spacing w:after="0" w:line="116" w:lineRule="exact"/>
        <w:rPr>
          <w:sz w:val="20"/>
          <w:szCs w:val="20"/>
          <w:color w:val="auto"/>
        </w:rPr>
      </w:pPr>
    </w:p>
    <w:p>
      <w:pPr>
        <w:jc w:val="both"/>
        <w:ind w:firstLine="361"/>
        <w:spacing w:after="0" w:line="306" w:lineRule="auto"/>
        <w:rPr>
          <w:sz w:val="20"/>
          <w:szCs w:val="20"/>
          <w:color w:val="auto"/>
        </w:rPr>
      </w:pPr>
      <w:r>
        <w:rPr>
          <w:rFonts w:ascii="Arial" w:cs="Arial" w:eastAsia="Arial" w:hAnsi="Arial"/>
          <w:sz w:val="16"/>
          <w:szCs w:val="16"/>
          <w:b w:val="1"/>
          <w:bCs w:val="1"/>
          <w:i w:val="1"/>
          <w:iCs w:val="1"/>
          <w:color w:val="auto"/>
        </w:rPr>
        <w:t xml:space="preserve">Termination of Hedge Accounting. </w:t>
      </w:r>
      <w:r>
        <w:rPr>
          <w:rFonts w:ascii="Arial" w:cs="Arial" w:eastAsia="Arial" w:hAnsi="Arial"/>
          <w:sz w:val="16"/>
          <w:szCs w:val="16"/>
          <w:color w:val="auto"/>
        </w:rPr>
        <w:t>We prospectively discontinue hedge accounting when (1) the criteria to qualify for hedge accounting is no longer met,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e.g., a derivative is determined to no longer be highly effective in offsetting the change in fair value or cash flows of a hedged item; (2) the derivative expires, is sold, terminated or exercised or (3) we remove the designation of the derivative being the hedging instrument for a fair value or cash flow hedge.</w:t>
      </w:r>
    </w:p>
    <w:p>
      <w:pPr>
        <w:spacing w:after="0" w:line="161" w:lineRule="exact"/>
        <w:rPr>
          <w:sz w:val="20"/>
          <w:szCs w:val="20"/>
          <w:color w:val="auto"/>
        </w:rPr>
      </w:pPr>
    </w:p>
    <w:p>
      <w:pPr>
        <w:jc w:val="both"/>
        <w:ind w:firstLine="456"/>
        <w:spacing w:after="0" w:line="253" w:lineRule="auto"/>
        <w:rPr>
          <w:sz w:val="20"/>
          <w:szCs w:val="20"/>
          <w:color w:val="auto"/>
        </w:rPr>
      </w:pPr>
      <w:r>
        <w:rPr>
          <w:rFonts w:ascii="Arial" w:cs="Arial" w:eastAsia="Arial" w:hAnsi="Arial"/>
          <w:sz w:val="18"/>
          <w:szCs w:val="18"/>
          <w:color w:val="auto"/>
        </w:rPr>
        <w:t>If it is determined that a derivative no longer qualifies as an effective hedge, the derivative will continue to be carried on the consolidated statements of financial position at its fair value, with changes in fair value recognized prospectively in net realized capital gains (losses). The asset or liability under a fair value hedge will no longer be adjusted for changes in fair value pursuant to hedging rules and the existing basis adjustment is amortized to the consolidated statements of operations line associated with the asset or liability. The component of OCI related to discontinued cash flow hedges that are no longer highly effective is amortized to the consolidated statements of operations consistent with the net income impacts of the original hedged cash flows. If a cash flow hedge is discontinued because it is probable the hedged forecasted transaction will not occur, the deferred gain or loss is immediately reclassified from OCI into net income.</w:t>
      </w:r>
    </w:p>
    <w:p>
      <w:pPr>
        <w:spacing w:after="0" w:line="201" w:lineRule="exact"/>
        <w:rPr>
          <w:sz w:val="20"/>
          <w:szCs w:val="20"/>
          <w:color w:val="auto"/>
        </w:rPr>
      </w:pPr>
    </w:p>
    <w:p>
      <w:pPr>
        <w:jc w:val="both"/>
        <w:ind w:firstLine="495"/>
        <w:spacing w:after="0" w:line="255" w:lineRule="auto"/>
        <w:rPr>
          <w:sz w:val="20"/>
          <w:szCs w:val="20"/>
          <w:color w:val="auto"/>
        </w:rPr>
      </w:pPr>
      <w:r>
        <w:rPr>
          <w:rFonts w:ascii="Arial" w:cs="Arial" w:eastAsia="Arial" w:hAnsi="Arial"/>
          <w:sz w:val="18"/>
          <w:szCs w:val="18"/>
          <w:b w:val="1"/>
          <w:bCs w:val="1"/>
          <w:i w:val="1"/>
          <w:iCs w:val="1"/>
          <w:color w:val="auto"/>
        </w:rPr>
        <w:t xml:space="preserve">Embedded Derivatives. </w:t>
      </w:r>
      <w:r>
        <w:rPr>
          <w:rFonts w:ascii="Arial" w:cs="Arial" w:eastAsia="Arial" w:hAnsi="Arial"/>
          <w:sz w:val="18"/>
          <w:szCs w:val="18"/>
          <w:color w:val="auto"/>
        </w:rPr>
        <w:t>We purchase and issue certain financial instruments and products that contain a derivative that is embedded in the financial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instrument or product. We assess whether this embedded derivative is clearly and closely related to the asset or liability that serves as its host contract. If we deem that the embedded derivative's terms are not clearly and closely related to the host contract, and a separate instrument with the same terms would qualify as a derivative instrument, the derivative is bifurcated from that contract and held at fair value on the consolidated statements of financial position, with changes in fair value reported in net income.</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Contractholder and Policyholder Liabilities</w:t>
      </w:r>
    </w:p>
    <w:p>
      <w:pPr>
        <w:spacing w:after="0" w:line="231" w:lineRule="exact"/>
        <w:rPr>
          <w:sz w:val="20"/>
          <w:szCs w:val="20"/>
          <w:color w:val="auto"/>
        </w:rPr>
      </w:pPr>
    </w:p>
    <w:p>
      <w:pPr>
        <w:jc w:val="both"/>
        <w:ind w:firstLine="537"/>
        <w:spacing w:after="0" w:line="259" w:lineRule="auto"/>
        <w:rPr>
          <w:sz w:val="20"/>
          <w:szCs w:val="20"/>
          <w:color w:val="auto"/>
        </w:rPr>
      </w:pPr>
      <w:r>
        <w:rPr>
          <w:rFonts w:ascii="Arial" w:cs="Arial" w:eastAsia="Arial" w:hAnsi="Arial"/>
          <w:sz w:val="18"/>
          <w:szCs w:val="18"/>
          <w:color w:val="auto"/>
        </w:rPr>
        <w:t>Contractholder and policyholder liabilities (contractholder funds, future policy benefits and claims and other policyholder funds) include reserves for investment contracts and reserves for universal life, term life insurance, participating traditional individual life insurance, group life insurance, health insurance and disability income policies, as well as a provision for dividends on participating policies.</w:t>
      </w:r>
    </w:p>
    <w:p>
      <w:pPr>
        <w:spacing w:after="0" w:line="194" w:lineRule="exact"/>
        <w:rPr>
          <w:sz w:val="20"/>
          <w:szCs w:val="20"/>
          <w:color w:val="auto"/>
        </w:rPr>
      </w:pPr>
    </w:p>
    <w:p>
      <w:pPr>
        <w:jc w:val="both"/>
        <w:ind w:firstLine="382"/>
        <w:spacing w:after="0" w:line="335" w:lineRule="auto"/>
        <w:rPr>
          <w:sz w:val="20"/>
          <w:szCs w:val="20"/>
          <w:color w:val="auto"/>
        </w:rPr>
      </w:pPr>
      <w:r>
        <w:rPr>
          <w:rFonts w:ascii="Arial" w:cs="Arial" w:eastAsia="Arial" w:hAnsi="Arial"/>
          <w:sz w:val="15"/>
          <w:szCs w:val="15"/>
          <w:color w:val="auto"/>
        </w:rPr>
        <w:t>Investment contracts are contractholders' funds on deposit with us and generally include reserves for pension and annuity contracts. Reserves on investment contracts are equal to the cumulative deposits less any applicable charges and withdrawals plus credited interest. Reserves for universal life insurance contracts are equal to cumulative deposits less charges plus credited interest, which represents the account balances that accrue to the benefit of the policyholders.</w:t>
      </w:r>
    </w:p>
    <w:p>
      <w:pPr>
        <w:spacing w:after="0" w:line="142" w:lineRule="exact"/>
        <w:rPr>
          <w:sz w:val="20"/>
          <w:szCs w:val="20"/>
          <w:color w:val="auto"/>
        </w:rPr>
      </w:pPr>
    </w:p>
    <w:p>
      <w:pPr>
        <w:jc w:val="both"/>
        <w:ind w:firstLine="362"/>
        <w:spacing w:after="0" w:line="332" w:lineRule="auto"/>
        <w:rPr>
          <w:sz w:val="20"/>
          <w:szCs w:val="20"/>
          <w:color w:val="auto"/>
        </w:rPr>
      </w:pPr>
      <w:r>
        <w:rPr>
          <w:rFonts w:ascii="Arial" w:cs="Arial" w:eastAsia="Arial" w:hAnsi="Arial"/>
          <w:sz w:val="16"/>
          <w:szCs w:val="16"/>
          <w:color w:val="auto"/>
        </w:rPr>
        <w:t>We hold additional reserves on certain long duration contracts where benefit features result in gains in early years followed by losses in later years, universal life/variable universal life contracts that contain no lapse guarantee features, or annuities with guaranteed minimum death benefits.</w:t>
      </w:r>
    </w:p>
    <w:p>
      <w:pPr>
        <w:spacing w:after="0" w:line="139" w:lineRule="exact"/>
        <w:rPr>
          <w:sz w:val="20"/>
          <w:szCs w:val="20"/>
          <w:color w:val="auto"/>
        </w:rPr>
      </w:pPr>
    </w:p>
    <w:p>
      <w:pPr>
        <w:jc w:val="both"/>
        <w:ind w:firstLine="382"/>
        <w:spacing w:after="0" w:line="256" w:lineRule="auto"/>
        <w:rPr>
          <w:sz w:val="20"/>
          <w:szCs w:val="20"/>
          <w:color w:val="auto"/>
        </w:rPr>
      </w:pPr>
      <w:r>
        <w:rPr>
          <w:rFonts w:ascii="Arial" w:cs="Arial" w:eastAsia="Arial" w:hAnsi="Arial"/>
          <w:sz w:val="18"/>
          <w:szCs w:val="18"/>
          <w:color w:val="auto"/>
        </w:rPr>
        <w:t>Reserves for nonparticipating term life insurance and disability income contracts are computed on a basis of assumed investment yield, mortality, morbidity and expenses, including a provision for adverse deviation, which generally varies by plan, year of issue and policy duration. Investment yield is based on our experience. Mortality, morbidity and withdrawal rate assumptions are based on our experience and are periodically reviewed against both industry standards and experience.</w:t>
      </w:r>
    </w:p>
    <w:p>
      <w:pPr>
        <w:spacing w:after="0" w:line="197" w:lineRule="exact"/>
        <w:rPr>
          <w:sz w:val="20"/>
          <w:szCs w:val="20"/>
          <w:color w:val="auto"/>
        </w:rPr>
      </w:pPr>
    </w:p>
    <w:p>
      <w:pPr>
        <w:jc w:val="both"/>
        <w:ind w:firstLine="499"/>
        <w:spacing w:after="0" w:line="259" w:lineRule="auto"/>
        <w:rPr>
          <w:sz w:val="20"/>
          <w:szCs w:val="20"/>
          <w:color w:val="auto"/>
        </w:rPr>
      </w:pPr>
      <w:r>
        <w:rPr>
          <w:rFonts w:ascii="Arial" w:cs="Arial" w:eastAsia="Arial" w:hAnsi="Arial"/>
          <w:sz w:val="18"/>
          <w:szCs w:val="18"/>
          <w:color w:val="auto"/>
        </w:rPr>
        <w:t>Reserves for participating life insurance contracts are based on the net level premium reserve for death and endowment policy benefits. This net level premium reserve is calculated based on dividend fund interest rates and mortality rates guaranteed in calculating the cash surrender values described in the contract.</w:t>
      </w:r>
    </w:p>
    <w:p>
      <w:pPr>
        <w:spacing w:after="0" w:line="194" w:lineRule="exact"/>
        <w:rPr>
          <w:sz w:val="20"/>
          <w:szCs w:val="20"/>
          <w:color w:val="auto"/>
        </w:rPr>
      </w:pPr>
    </w:p>
    <w:p>
      <w:pPr>
        <w:jc w:val="both"/>
        <w:ind w:firstLine="395"/>
        <w:spacing w:after="0" w:line="306" w:lineRule="auto"/>
        <w:rPr>
          <w:sz w:val="20"/>
          <w:szCs w:val="20"/>
          <w:color w:val="auto"/>
        </w:rPr>
      </w:pPr>
      <w:r>
        <w:rPr>
          <w:rFonts w:ascii="Arial" w:cs="Arial" w:eastAsia="Arial" w:hAnsi="Arial"/>
          <w:sz w:val="16"/>
          <w:szCs w:val="16"/>
          <w:color w:val="auto"/>
        </w:rPr>
        <w:t>Participating business represented approximately 12%, 13% and 15% of our life insurance in force and 43%, 47% and 50% of the number of life insurance policies in force at December 31, 2013, 2012 and 2011, respectively. Participating business represented approximately 40%, 43% and 47% of life insurance premiums for the years ended December 31, 2013, 2012 and 2011, respectively. The amount of dividends to policyholders is declared annually by Principal Life's</w:t>
      </w:r>
    </w:p>
    <w:p>
      <w:pPr>
        <w:sectPr>
          <w:pgSz w:w="11900" w:h="16838" w:orient="portrait"/>
          <w:cols w:equalWidth="0" w:num="1">
            <w:col w:w="11420"/>
          </w:cols>
          <w:pgMar w:left="240" w:top="131" w:right="239" w:bottom="1440" w:gutter="0" w:footer="0" w:header="0"/>
        </w:sectPr>
      </w:pP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04" w:name="page105"/>
    <w:bookmarkEnd w:id="10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Nature of Operations and Significant Accounting Policies — (continued)</w:t>
      </w:r>
    </w:p>
    <w:p>
      <w:pPr>
        <w:spacing w:after="0" w:line="231"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Board of Directors. The amount of dividends to be paid to policyholders is determined after consideration of several factors including interest, mortality, morbidity and other expense experience for the year and judgment as to the appropriate level of statutory surplus to be retained by Principal Life. At the end of the reporting period, Principal Life establishes a dividend liability for the pro rata portion of the dividends expected to be paid on or before the next policy anniversary date.</w:t>
      </w:r>
    </w:p>
    <w:p>
      <w:pPr>
        <w:spacing w:after="0" w:line="197" w:lineRule="exact"/>
        <w:rPr>
          <w:sz w:val="20"/>
          <w:szCs w:val="20"/>
          <w:color w:val="auto"/>
        </w:rPr>
      </w:pPr>
    </w:p>
    <w:p>
      <w:pPr>
        <w:jc w:val="both"/>
        <w:ind w:firstLine="355"/>
        <w:spacing w:after="0" w:line="256" w:lineRule="auto"/>
        <w:rPr>
          <w:sz w:val="20"/>
          <w:szCs w:val="20"/>
          <w:color w:val="auto"/>
        </w:rPr>
      </w:pPr>
      <w:r>
        <w:rPr>
          <w:rFonts w:ascii="Arial" w:cs="Arial" w:eastAsia="Arial" w:hAnsi="Arial"/>
          <w:sz w:val="18"/>
          <w:szCs w:val="18"/>
          <w:color w:val="auto"/>
        </w:rPr>
        <w:t>Some of our policies and contracts require payment of fees or other policyholder assessments in advance for services that will be rendered over the estimated lives of the policies and contracts. These payments are established as unearned revenue liabilities upon receipt and included in other policyholder funds in the consolidated statements of financial position. These unearned revenue reserves are amortized to operations over the estimated lives of these policies and contracts in relation to the emergence of estimated gross profit margins.</w:t>
      </w:r>
    </w:p>
    <w:p>
      <w:pPr>
        <w:spacing w:after="0" w:line="197" w:lineRule="exact"/>
        <w:rPr>
          <w:sz w:val="20"/>
          <w:szCs w:val="20"/>
          <w:color w:val="auto"/>
        </w:rPr>
      </w:pPr>
    </w:p>
    <w:p>
      <w:pPr>
        <w:jc w:val="both"/>
        <w:ind w:firstLine="405"/>
        <w:spacing w:after="0" w:line="256" w:lineRule="auto"/>
        <w:rPr>
          <w:sz w:val="20"/>
          <w:szCs w:val="20"/>
          <w:color w:val="auto"/>
        </w:rPr>
      </w:pPr>
      <w:r>
        <w:rPr>
          <w:rFonts w:ascii="Arial" w:cs="Arial" w:eastAsia="Arial" w:hAnsi="Arial"/>
          <w:sz w:val="18"/>
          <w:szCs w:val="18"/>
          <w:color w:val="auto"/>
        </w:rPr>
        <w:t>The liability for unpaid disability and health claims is an estimate of the ultimate net cost of reported and unreported losses not yet settled. This liability is estimated using actuarial analyses and case basis evaluations. Although considerable variability is inherent in such estimates, we believe that the liability for unpaid claims is adequate. These estimates are continually reviewed and, as adjustments to this liability become necessary, such adjustments are reflected in net income.</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Recognition of Premiums and Other Considerations, Fees and Other Revenues and Benefits</w:t>
      </w:r>
    </w:p>
    <w:p>
      <w:pPr>
        <w:spacing w:after="0" w:line="231" w:lineRule="exact"/>
        <w:rPr>
          <w:sz w:val="20"/>
          <w:szCs w:val="20"/>
          <w:color w:val="auto"/>
        </w:rPr>
      </w:pPr>
    </w:p>
    <w:p>
      <w:pPr>
        <w:jc w:val="both"/>
        <w:ind w:firstLine="398"/>
        <w:spacing w:after="0" w:line="306" w:lineRule="auto"/>
        <w:rPr>
          <w:sz w:val="20"/>
          <w:szCs w:val="20"/>
          <w:color w:val="auto"/>
        </w:rPr>
      </w:pPr>
      <w:r>
        <w:rPr>
          <w:rFonts w:ascii="Arial" w:cs="Arial" w:eastAsia="Arial" w:hAnsi="Arial"/>
          <w:sz w:val="16"/>
          <w:szCs w:val="16"/>
          <w:color w:val="auto"/>
        </w:rPr>
        <w:t>Traditional individual life insurance products include those products with fixed and guaranteed premiums and benefits and consist principally of whole life and term life insurance policies. Premiums from these products are recognized as premium revenue when due. Related policy benefits and expenses for individual life products are associated with earned premiums and result in the recognition of profits over the expected term of the policies and contracts.</w:t>
      </w:r>
    </w:p>
    <w:p>
      <w:pPr>
        <w:spacing w:after="0" w:line="161" w:lineRule="exact"/>
        <w:rPr>
          <w:sz w:val="20"/>
          <w:szCs w:val="20"/>
          <w:color w:val="auto"/>
        </w:rPr>
      </w:pPr>
    </w:p>
    <w:p>
      <w:pPr>
        <w:jc w:val="both"/>
        <w:ind w:firstLine="379"/>
        <w:spacing w:after="0" w:line="255" w:lineRule="auto"/>
        <w:rPr>
          <w:sz w:val="20"/>
          <w:szCs w:val="20"/>
          <w:color w:val="auto"/>
        </w:rPr>
      </w:pPr>
      <w:r>
        <w:rPr>
          <w:rFonts w:ascii="Arial" w:cs="Arial" w:eastAsia="Arial" w:hAnsi="Arial"/>
          <w:sz w:val="18"/>
          <w:szCs w:val="18"/>
          <w:color w:val="auto"/>
        </w:rPr>
        <w:t>Immediate annuities with life contingencies include products with fixed and guaranteed annuity considerations and benefits and consist principally of group and individual single premium annuities with life contingencies. Annuity considerations from these products are recognized as revenue. However, the collection of these annuity considerations does not represent the completion of the earnings process, as we establish annuity reserves, using estimates for mortality and investment assumptions, which include provision for adverse deviation as required by U.S. GAAP. We anticipate profits to emerge over the life of the annuity products as we earn investment income, pay benefits and release reserves.</w:t>
      </w:r>
    </w:p>
    <w:p>
      <w:pPr>
        <w:spacing w:after="0" w:line="197" w:lineRule="exact"/>
        <w:rPr>
          <w:sz w:val="20"/>
          <w:szCs w:val="20"/>
          <w:color w:val="auto"/>
        </w:rPr>
      </w:pPr>
    </w:p>
    <w:p>
      <w:pPr>
        <w:jc w:val="both"/>
        <w:ind w:firstLine="519"/>
        <w:spacing w:after="0" w:line="294" w:lineRule="auto"/>
        <w:rPr>
          <w:sz w:val="20"/>
          <w:szCs w:val="20"/>
          <w:color w:val="auto"/>
        </w:rPr>
      </w:pPr>
      <w:r>
        <w:rPr>
          <w:rFonts w:ascii="Arial" w:cs="Arial" w:eastAsia="Arial" w:hAnsi="Arial"/>
          <w:sz w:val="16"/>
          <w:szCs w:val="16"/>
          <w:color w:val="auto"/>
        </w:rPr>
        <w:t>Group life and health insurance premiums are generally recorded as premium revenue over the term of the coverage. Certain group contracts contain experience premium refund provisions based on a pre-defined formula that reflects their claim experience. Experience premium refunds reduce revenue over the term of the coverage and are adjusted to reflect current experience. Related policy benefits and expenses for group life and health insurance products are associated with earned premiums and result in the recognition of profits over the term of the policies and contracts. Fees for contracts providing claim processing or other administrative services are recorded as revenue over the period the service is provided.</w:t>
      </w:r>
    </w:p>
    <w:p>
      <w:pPr>
        <w:spacing w:after="0" w:line="170" w:lineRule="exact"/>
        <w:rPr>
          <w:sz w:val="20"/>
          <w:szCs w:val="20"/>
          <w:color w:val="auto"/>
        </w:rPr>
      </w:pPr>
    </w:p>
    <w:p>
      <w:pPr>
        <w:jc w:val="both"/>
        <w:ind w:firstLine="499"/>
        <w:spacing w:after="0" w:line="298" w:lineRule="auto"/>
        <w:rPr>
          <w:sz w:val="20"/>
          <w:szCs w:val="20"/>
          <w:color w:val="auto"/>
        </w:rPr>
      </w:pPr>
      <w:r>
        <w:rPr>
          <w:rFonts w:ascii="Arial" w:cs="Arial" w:eastAsia="Arial" w:hAnsi="Arial"/>
          <w:sz w:val="16"/>
          <w:szCs w:val="16"/>
          <w:color w:val="auto"/>
        </w:rPr>
        <w:t>Universal life-type policies are insurance contracts with terms that are not fixed. Amounts received as payments for such contracts are not reported as premium revenues. Revenues for universal life-type insurance contracts consist of policy charges for the cost of insurance, policy initiation and administration, surrender charges and other fees that have been assessed against policy account values and investment income. Policy benefits and claims that are charged to expense include interest credited to contracts and benefit claims incurred in the period in excess of related policy account balances.</w:t>
      </w:r>
    </w:p>
    <w:p>
      <w:pPr>
        <w:spacing w:after="0" w:line="167" w:lineRule="exact"/>
        <w:rPr>
          <w:sz w:val="20"/>
          <w:szCs w:val="20"/>
          <w:color w:val="auto"/>
        </w:rPr>
      </w:pPr>
    </w:p>
    <w:p>
      <w:pPr>
        <w:jc w:val="both"/>
        <w:ind w:firstLine="417"/>
        <w:spacing w:after="0" w:line="294" w:lineRule="auto"/>
        <w:rPr>
          <w:sz w:val="20"/>
          <w:szCs w:val="20"/>
          <w:color w:val="auto"/>
        </w:rPr>
      </w:pPr>
      <w:r>
        <w:rPr>
          <w:rFonts w:ascii="Arial" w:cs="Arial" w:eastAsia="Arial" w:hAnsi="Arial"/>
          <w:sz w:val="16"/>
          <w:szCs w:val="16"/>
          <w:color w:val="auto"/>
        </w:rPr>
        <w:t>Investment contracts do not subject us to significant risks arising from policyholder mortality or morbidity and consist primarily of guaranteed investment contracts ("GICs"), funding agreements and certain deferred annuities. Amounts received as payments for investment contracts are established as investment contract liability balances and are not reported as premium revenues. Revenues for investment contracts consist of investment income and policy administration charges. Investment contract benefits that are charged to expense include benefit claims incurred in the period in excess of related investment contract liability balances and interest credited to investment contract liability balances.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5" w:name="page106"/>
    <w:bookmarkEnd w:id="10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Nature of Operations and Significant Accounting Policies — (continued)</w:t>
      </w:r>
    </w:p>
    <w:p>
      <w:pPr>
        <w:spacing w:after="0" w:line="231" w:lineRule="exact"/>
        <w:rPr>
          <w:sz w:val="20"/>
          <w:szCs w:val="20"/>
          <w:color w:val="auto"/>
        </w:rPr>
      </w:pPr>
    </w:p>
    <w:p>
      <w:pPr>
        <w:jc w:val="both"/>
        <w:ind w:firstLine="394"/>
        <w:spacing w:after="0" w:line="298" w:lineRule="auto"/>
        <w:rPr>
          <w:sz w:val="20"/>
          <w:szCs w:val="20"/>
          <w:color w:val="auto"/>
        </w:rPr>
      </w:pPr>
      <w:r>
        <w:rPr>
          <w:rFonts w:ascii="Arial" w:cs="Arial" w:eastAsia="Arial" w:hAnsi="Arial"/>
          <w:sz w:val="16"/>
          <w:szCs w:val="16"/>
          <w:color w:val="auto"/>
        </w:rPr>
        <w:t>Fees and other revenues are earned for asset management services provided to retail and institutional clients based largely upon contractual rates applied to the market value of the client's portfolio. Additionally, fees and other revenues are earned for administrative services performed including recordkeeping and reporting services for retirement savings plans. Fees and other revenues received for performance of asset management and administrative services are recognized as revenue when earned, typically when the service is performed.</w:t>
      </w:r>
    </w:p>
    <w:p>
      <w:pPr>
        <w:spacing w:after="0" w:line="167" w:lineRule="exact"/>
        <w:rPr>
          <w:sz w:val="20"/>
          <w:szCs w:val="20"/>
          <w:color w:val="auto"/>
        </w:rPr>
      </w:pPr>
    </w:p>
    <w:p>
      <w:pPr>
        <w:jc w:val="both"/>
        <w:ind w:firstLine="362"/>
        <w:spacing w:after="0" w:line="259" w:lineRule="auto"/>
        <w:rPr>
          <w:sz w:val="20"/>
          <w:szCs w:val="20"/>
          <w:color w:val="auto"/>
        </w:rPr>
      </w:pPr>
      <w:r>
        <w:rPr>
          <w:rFonts w:ascii="Arial" w:cs="Arial" w:eastAsia="Arial" w:hAnsi="Arial"/>
          <w:sz w:val="18"/>
          <w:szCs w:val="18"/>
          <w:color w:val="auto"/>
        </w:rPr>
        <w:t>Fees for managing customers' mandatory retirement savings accounts in Chile are collected with each monthly deposit made by our customers. If a customer stops contributing before retirement age, we collect no fees but services are still provided. We recognize revenue from these long-term service contracts as services are performed over the life of the contract.</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Deferred Acquisition Costs</w:t>
      </w:r>
    </w:p>
    <w:p>
      <w:pPr>
        <w:spacing w:after="0" w:line="231" w:lineRule="exact"/>
        <w:rPr>
          <w:sz w:val="20"/>
          <w:szCs w:val="20"/>
          <w:color w:val="auto"/>
        </w:rPr>
      </w:pPr>
    </w:p>
    <w:p>
      <w:pPr>
        <w:jc w:val="both"/>
        <w:ind w:firstLine="363"/>
        <w:spacing w:after="0" w:line="298" w:lineRule="auto"/>
        <w:rPr>
          <w:sz w:val="20"/>
          <w:szCs w:val="20"/>
          <w:color w:val="auto"/>
        </w:rPr>
      </w:pPr>
      <w:r>
        <w:rPr>
          <w:rFonts w:ascii="Arial" w:cs="Arial" w:eastAsia="Arial" w:hAnsi="Arial"/>
          <w:sz w:val="16"/>
          <w:szCs w:val="16"/>
          <w:color w:val="auto"/>
        </w:rPr>
        <w:t>Incremental direct costs of contract acquisition as well as certain costs directly related to acquisition activities (underwriting, policy issuance and processing, medical and inspection and sales force contract selling) for the successful acquisition of new and renewal insurance policies and investment contract business are capitalized to the extent recoverable. Commissions and other incremental direct costs of contract acquisition for the acquisition of long-term service contracts are also capitalized to the extent recoverable. Maintenance costs and acquisition costs that are not deferrable are charged to operations as incurred.</w:t>
      </w:r>
    </w:p>
    <w:p>
      <w:pPr>
        <w:spacing w:after="0" w:line="167" w:lineRule="exact"/>
        <w:rPr>
          <w:sz w:val="20"/>
          <w:szCs w:val="20"/>
          <w:color w:val="auto"/>
        </w:rPr>
      </w:pPr>
    </w:p>
    <w:p>
      <w:pPr>
        <w:jc w:val="both"/>
        <w:ind w:firstLine="417"/>
        <w:spacing w:after="0" w:line="290" w:lineRule="auto"/>
        <w:rPr>
          <w:sz w:val="20"/>
          <w:szCs w:val="20"/>
          <w:color w:val="auto"/>
        </w:rPr>
      </w:pPr>
      <w:r>
        <w:rPr>
          <w:rFonts w:ascii="Arial" w:cs="Arial" w:eastAsia="Arial" w:hAnsi="Arial"/>
          <w:sz w:val="16"/>
          <w:szCs w:val="16"/>
          <w:color w:val="auto"/>
        </w:rPr>
        <w:t>DAC for universal life-type insurance contracts, participating life insurance policies and certain investment contracts are being amortized over the lives of the policies and contracts in relation to the emergence of estimated gross profits ("EGPs") or, in certain circumstances, estimated gross revenues. This amortization is adjusted in the current period when EGPs or estimated gross revenues are revised. For individual variable life insurance, individual variable annuities and group annuities that have separate account U.S. equity investment options, we utilize a mean reversion method (reversion to the mean assumption), a common industry practice, to determine the future domestic equity market growth assumption used for the amortization of DAC. The DAC of nonparticipating term life insurance and individual disability policies are being amortized over the premium-paying period of the related policies using assumptions consistent with those used in computing policyholder liabilities.</w:t>
      </w:r>
    </w:p>
    <w:p>
      <w:pPr>
        <w:spacing w:after="0" w:line="172" w:lineRule="exact"/>
        <w:rPr>
          <w:sz w:val="20"/>
          <w:szCs w:val="20"/>
          <w:color w:val="auto"/>
        </w:rPr>
      </w:pPr>
    </w:p>
    <w:p>
      <w:pPr>
        <w:jc w:val="both"/>
        <w:ind w:firstLine="375"/>
        <w:spacing w:after="0" w:line="306" w:lineRule="auto"/>
        <w:rPr>
          <w:sz w:val="20"/>
          <w:szCs w:val="20"/>
          <w:color w:val="auto"/>
        </w:rPr>
      </w:pPr>
      <w:r>
        <w:rPr>
          <w:rFonts w:ascii="Arial" w:cs="Arial" w:eastAsia="Arial" w:hAnsi="Arial"/>
          <w:sz w:val="16"/>
          <w:szCs w:val="16"/>
          <w:color w:val="auto"/>
        </w:rPr>
        <w:t>DAC on insurance policies and investment contracts are subject to recoverability testing at the time of policy issue and loss recognition testing on an annual basis, or when an event occurs that may warrant loss recognition. If loss recognition is necessary, DAC would be written off to the extent that it is determined that future policy premiums and investment income or gross profits are not adequate to cover related losses and expenses.</w:t>
      </w:r>
    </w:p>
    <w:p>
      <w:pPr>
        <w:spacing w:after="0" w:line="161" w:lineRule="exact"/>
        <w:rPr>
          <w:sz w:val="20"/>
          <w:szCs w:val="20"/>
          <w:color w:val="auto"/>
        </w:rPr>
      </w:pPr>
    </w:p>
    <w:p>
      <w:pPr>
        <w:jc w:val="both"/>
        <w:ind w:right="20" w:firstLine="502"/>
        <w:spacing w:after="0" w:line="332" w:lineRule="auto"/>
        <w:rPr>
          <w:sz w:val="20"/>
          <w:szCs w:val="20"/>
          <w:color w:val="auto"/>
        </w:rPr>
      </w:pPr>
      <w:r>
        <w:rPr>
          <w:rFonts w:ascii="Arial" w:cs="Arial" w:eastAsia="Arial" w:hAnsi="Arial"/>
          <w:sz w:val="16"/>
          <w:szCs w:val="16"/>
          <w:color w:val="auto"/>
        </w:rPr>
        <w:t>DAC on long-term service contracts are amortized in proportion to the revenue recognized or straight-line if no pattern of revenue recognition can be reasonably predicted. We amortize capitalized costs of long-term service contracts on a straight-line basis over the expected contract life.</w:t>
      </w: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Deferred Acquisition Costs on Internal Replacements</w:t>
      </w:r>
    </w:p>
    <w:p>
      <w:pPr>
        <w:spacing w:after="0" w:line="231" w:lineRule="exact"/>
        <w:rPr>
          <w:sz w:val="20"/>
          <w:szCs w:val="20"/>
          <w:color w:val="auto"/>
        </w:rPr>
      </w:pPr>
    </w:p>
    <w:p>
      <w:pPr>
        <w:jc w:val="both"/>
        <w:ind w:firstLine="341"/>
        <w:spacing w:after="0" w:line="291" w:lineRule="auto"/>
        <w:rPr>
          <w:sz w:val="20"/>
          <w:szCs w:val="20"/>
          <w:color w:val="auto"/>
        </w:rPr>
      </w:pPr>
      <w:r>
        <w:rPr>
          <w:rFonts w:ascii="Arial" w:cs="Arial" w:eastAsia="Arial" w:hAnsi="Arial"/>
          <w:sz w:val="16"/>
          <w:szCs w:val="16"/>
          <w:color w:val="auto"/>
        </w:rPr>
        <w:t>All insurance and investment contract modifications and replacements are reviewed to determine if the internal replacement results in a substantially changed contract. If so, the acquisition costs, sales inducements and unearned revenue associated with the new contract are deferred and amortized over the lifetime of the new contract. In addition, the existing DAC, sales inducement costs and unearned revenue balances associated with the replaced contract are written off. If an internal replacement results in a substantially unchanged contract, the acquisition costs, sales inducements and unearned revenue associated with the new contract are immediately recognized in the period incurred. In addition, the existing DAC, sales inducement costs or unearned revenue balance associated with the replaced contract is not written off, but instead is carried over to the new contract.</w:t>
      </w:r>
    </w:p>
    <w:p>
      <w:pPr>
        <w:spacing w:after="0" w:line="3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Long-Term Debt</w:t>
      </w:r>
    </w:p>
    <w:p>
      <w:pPr>
        <w:spacing w:after="0" w:line="231" w:lineRule="exact"/>
        <w:rPr>
          <w:sz w:val="20"/>
          <w:szCs w:val="20"/>
          <w:color w:val="auto"/>
        </w:rPr>
      </w:pPr>
    </w:p>
    <w:p>
      <w:pPr>
        <w:jc w:val="both"/>
        <w:ind w:firstLine="445"/>
        <w:spacing w:after="0" w:line="268" w:lineRule="auto"/>
        <w:rPr>
          <w:sz w:val="20"/>
          <w:szCs w:val="20"/>
          <w:color w:val="auto"/>
        </w:rPr>
      </w:pPr>
      <w:r>
        <w:rPr>
          <w:rFonts w:ascii="Arial" w:cs="Arial" w:eastAsia="Arial" w:hAnsi="Arial"/>
          <w:sz w:val="18"/>
          <w:szCs w:val="18"/>
          <w:color w:val="auto"/>
        </w:rPr>
        <w:t>Long-term debt includes notes payable, nonrecourse mortgages and other debt with a maturity date greater than one year at the date of issuance. Current maturities of long-term debt are classified as long-term debt in our statement of financial position.</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Reinsurance</w:t>
      </w:r>
    </w:p>
    <w:p>
      <w:pPr>
        <w:spacing w:after="0" w:line="231" w:lineRule="exact"/>
        <w:rPr>
          <w:sz w:val="20"/>
          <w:szCs w:val="20"/>
          <w:color w:val="auto"/>
        </w:rPr>
      </w:pPr>
    </w:p>
    <w:p>
      <w:pPr>
        <w:jc w:val="both"/>
        <w:ind w:firstLine="372"/>
        <w:spacing w:after="0" w:line="259" w:lineRule="auto"/>
        <w:rPr>
          <w:sz w:val="20"/>
          <w:szCs w:val="20"/>
          <w:color w:val="auto"/>
        </w:rPr>
      </w:pPr>
      <w:r>
        <w:rPr>
          <w:rFonts w:ascii="Arial" w:cs="Arial" w:eastAsia="Arial" w:hAnsi="Arial"/>
          <w:sz w:val="18"/>
          <w:szCs w:val="18"/>
          <w:color w:val="auto"/>
        </w:rPr>
        <w:t>We enter into reinsurance agreements with other companies in the normal course of business. We may assume reinsurance from or cede reinsurance to other companies. Assets and liabilities related to reinsurance ceded are reported on a gross basis. Premiums and expenses are reported net of reinsurance ceded. The cost of reinsurance related to</w:t>
      </w:r>
    </w:p>
    <w:p>
      <w:pPr>
        <w:sectPr>
          <w:pgSz w:w="11900" w:h="16838" w:orient="portrait"/>
          <w:cols w:equalWidth="0" w:num="1">
            <w:col w:w="11420"/>
          </w:cols>
          <w:pgMar w:left="240" w:top="131" w:right="239" w:bottom="1440" w:gutter="0" w:footer="0" w:header="0"/>
        </w:sectPr>
      </w:pP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06" w:name="page107"/>
    <w:bookmarkEnd w:id="10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Nature of Operations and Significant Accounting Policies — (continued)</w:t>
      </w:r>
    </w:p>
    <w:p>
      <w:pPr>
        <w:spacing w:after="0" w:line="231"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long-duration contracts is accounted for over the life of the underlying reinsured policies using assumptions consistent with those used to account for the underlying policies. We are contingently liable with respect to reinsurance ceded to other companies in the event the reinsurer is unable to meet the obligations it has assumed. At December 31, 2013 and 2012, our largest exposures to a single third-party reinsurer was in our life insurance business, which totaled $35.9 billion and $29.7 billion of life insurance in force, representing 17% and 18% of total net life insurance in force, respectively. The reinsurance recoverable relating to paid and unpaid claims associated to this single third party reinsurer recorded in our consolidated statements of financial position was $31.3 million and $26.1 million at December 31, 2013 and 2012, respectively.</w:t>
      </w:r>
    </w:p>
    <w:p>
      <w:pPr>
        <w:spacing w:after="0" w:line="19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effects of reinsurance on premiums and other considerations and policy and contract benefits were as follows:</w:t>
      </w:r>
    </w:p>
    <w:p>
      <w:pPr>
        <w:spacing w:after="0" w:line="208"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6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80" w:type="dxa"/>
            <w:vAlign w:val="bottom"/>
            <w:gridSpan w:val="8"/>
          </w:tcPr>
          <w:p>
            <w:pPr>
              <w:jc w:val="center"/>
              <w:ind w:left="292"/>
              <w:spacing w:after="0"/>
              <w:rPr>
                <w:sz w:val="20"/>
                <w:szCs w:val="20"/>
                <w:color w:val="auto"/>
              </w:rPr>
            </w:pPr>
            <w:r>
              <w:rPr>
                <w:rFonts w:ascii="Arial" w:cs="Arial" w:eastAsia="Arial" w:hAnsi="Arial"/>
                <w:sz w:val="14"/>
                <w:szCs w:val="14"/>
                <w:b w:val="1"/>
                <w:bCs w:val="1"/>
                <w:color w:val="auto"/>
                <w:w w:val="87"/>
              </w:rPr>
              <w:t>For the year ended</w:t>
            </w:r>
          </w:p>
        </w:tc>
        <w:tc>
          <w:tcPr>
            <w:tcW w:w="5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6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gridSpan w:val="4"/>
          </w:tcPr>
          <w:p>
            <w:pPr>
              <w:jc w:val="center"/>
              <w:ind w:right="20"/>
              <w:spacing w:after="0"/>
              <w:rPr>
                <w:sz w:val="20"/>
                <w:szCs w:val="20"/>
                <w:color w:val="auto"/>
              </w:rPr>
            </w:pPr>
            <w:r>
              <w:rPr>
                <w:rFonts w:ascii="Arial" w:cs="Arial" w:eastAsia="Arial" w:hAnsi="Arial"/>
                <w:sz w:val="14"/>
                <w:szCs w:val="14"/>
                <w:b w:val="1"/>
                <w:bCs w:val="1"/>
                <w:color w:val="auto"/>
                <w:w w:val="85"/>
              </w:rPr>
              <w:t>December 31,</w:t>
            </w:r>
          </w:p>
        </w:tc>
        <w:tc>
          <w:tcPr>
            <w:tcW w:w="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w w:val="96"/>
              </w:rPr>
              <w:t>2013</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center"/>
              <w:ind w:right="32"/>
              <w:spacing w:after="0" w:line="142" w:lineRule="exact"/>
              <w:rPr>
                <w:sz w:val="20"/>
                <w:szCs w:val="20"/>
                <w:color w:val="auto"/>
              </w:rPr>
            </w:pPr>
            <w:r>
              <w:rPr>
                <w:rFonts w:ascii="Arial" w:cs="Arial" w:eastAsia="Arial" w:hAnsi="Arial"/>
                <w:sz w:val="14"/>
                <w:szCs w:val="14"/>
                <w:b w:val="1"/>
                <w:bCs w:val="1"/>
                <w:color w:val="auto"/>
                <w:w w:val="89"/>
              </w:rPr>
              <w:t>2012</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w w:val="96"/>
              </w:rPr>
              <w:t>2011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spacing w:after="0" w:line="142" w:lineRule="exact"/>
              <w:rPr>
                <w:sz w:val="20"/>
                <w:szCs w:val="20"/>
                <w:color w:val="auto"/>
              </w:rPr>
            </w:pPr>
            <w:r>
              <w:rPr>
                <w:rFonts w:ascii="Arial" w:cs="Arial" w:eastAsia="Arial" w:hAnsi="Arial"/>
                <w:sz w:val="14"/>
                <w:szCs w:val="14"/>
                <w:b w:val="1"/>
                <w:bCs w:val="1"/>
                <w:i w:val="1"/>
                <w:iCs w:val="1"/>
                <w:color w:val="auto"/>
                <w:w w:val="76"/>
              </w:rPr>
              <w:t>(in millions)</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2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Premiums and other considerations:</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200" w:type="dxa"/>
            <w:vAlign w:val="bottom"/>
          </w:tcPr>
          <w:p>
            <w:pPr>
              <w:ind w:left="140"/>
              <w:spacing w:after="0" w:line="149" w:lineRule="exact"/>
              <w:rPr>
                <w:sz w:val="20"/>
                <w:szCs w:val="20"/>
                <w:color w:val="auto"/>
              </w:rPr>
            </w:pPr>
            <w:r>
              <w:rPr>
                <w:rFonts w:ascii="Arial" w:cs="Arial" w:eastAsia="Arial" w:hAnsi="Arial"/>
                <w:sz w:val="14"/>
                <w:szCs w:val="14"/>
                <w:color w:val="auto"/>
              </w:rPr>
              <w:t>Direct</w:t>
            </w:r>
          </w:p>
        </w:tc>
        <w:tc>
          <w:tcPr>
            <w:tcW w:w="120" w:type="dxa"/>
            <w:vAlign w:val="bottom"/>
            <w:gridSpan w:val="2"/>
          </w:tcPr>
          <w:p>
            <w:pPr>
              <w:jc w:val="right"/>
              <w:ind w:right="37"/>
              <w:spacing w:after="0"/>
              <w:rPr>
                <w:sz w:val="20"/>
                <w:szCs w:val="20"/>
                <w:color w:val="auto"/>
              </w:rPr>
            </w:pPr>
            <w:r>
              <w:rPr>
                <w:rFonts w:ascii="Arial" w:cs="Arial" w:eastAsia="Arial" w:hAnsi="Arial"/>
                <w:sz w:val="10"/>
                <w:szCs w:val="10"/>
                <w:b w:val="1"/>
                <w:bCs w:val="1"/>
                <w:color w:val="auto"/>
                <w:w w:val="71"/>
              </w:rPr>
              <w:t>$</w:t>
            </w: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3,524.8</w:t>
            </w:r>
          </w:p>
        </w:tc>
        <w:tc>
          <w:tcPr>
            <w:tcW w:w="60" w:type="dxa"/>
            <w:vAlign w:val="bottom"/>
          </w:tcPr>
          <w:p>
            <w:pPr>
              <w:spacing w:after="0"/>
              <w:rPr>
                <w:sz w:val="12"/>
                <w:szCs w:val="12"/>
                <w:color w:val="auto"/>
              </w:rPr>
            </w:pPr>
          </w:p>
        </w:tc>
        <w:tc>
          <w:tcPr>
            <w:tcW w:w="220" w:type="dxa"/>
            <w:vAlign w:val="bottom"/>
            <w:gridSpan w:val="2"/>
          </w:tcPr>
          <w:p>
            <w:pPr>
              <w:ind w:left="100"/>
              <w:spacing w:after="0" w:line="149" w:lineRule="exact"/>
              <w:rPr>
                <w:sz w:val="20"/>
                <w:szCs w:val="20"/>
                <w:color w:val="auto"/>
              </w:rPr>
            </w:pPr>
            <w:r>
              <w:rPr>
                <w:rFonts w:ascii="Arial" w:cs="Arial" w:eastAsia="Arial" w:hAnsi="Arial"/>
                <w:sz w:val="14"/>
                <w:szCs w:val="14"/>
                <w:color w:val="auto"/>
              </w:rPr>
              <w:t>$</w:t>
            </w: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3,554.1</w:t>
            </w:r>
          </w:p>
        </w:tc>
        <w:tc>
          <w:tcPr>
            <w:tcW w:w="120" w:type="dxa"/>
            <w:vAlign w:val="bottom"/>
          </w:tcPr>
          <w:p>
            <w:pPr>
              <w:spacing w:after="0"/>
              <w:rPr>
                <w:sz w:val="12"/>
                <w:szCs w:val="12"/>
                <w:color w:val="auto"/>
              </w:rPr>
            </w:pPr>
          </w:p>
        </w:tc>
        <w:tc>
          <w:tcPr>
            <w:tcW w:w="18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w w:val="98"/>
              </w:rPr>
              <w:t>3,205.6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2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Assumed</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2.5</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w:t>
            </w: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200" w:type="dxa"/>
            <w:vAlign w:val="bottom"/>
          </w:tcPr>
          <w:p>
            <w:pPr>
              <w:ind w:left="140"/>
              <w:spacing w:after="0" w:line="149" w:lineRule="exact"/>
              <w:rPr>
                <w:sz w:val="20"/>
                <w:szCs w:val="20"/>
                <w:color w:val="auto"/>
              </w:rPr>
            </w:pPr>
            <w:r>
              <w:rPr>
                <w:rFonts w:ascii="Arial" w:cs="Arial" w:eastAsia="Arial" w:hAnsi="Arial"/>
                <w:sz w:val="14"/>
                <w:szCs w:val="14"/>
                <w:color w:val="auto"/>
              </w:rPr>
              <w:t>Ceded</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(373.2)</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(337.3)</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(317.6)</w:t>
            </w:r>
          </w:p>
        </w:tc>
        <w:tc>
          <w:tcPr>
            <w:tcW w:w="0" w:type="dxa"/>
            <w:vAlign w:val="bottom"/>
          </w:tcPr>
          <w:p>
            <w:pPr>
              <w:spacing w:after="0"/>
              <w:rPr>
                <w:sz w:val="1"/>
                <w:szCs w:val="1"/>
                <w:color w:val="auto"/>
              </w:rPr>
            </w:pPr>
          </w:p>
        </w:tc>
      </w:tr>
      <w:tr>
        <w:trPr>
          <w:trHeight w:val="20"/>
        </w:trPr>
        <w:tc>
          <w:tcPr>
            <w:tcW w:w="6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620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premiums and other considerations</w:t>
            </w:r>
          </w:p>
        </w:tc>
        <w:tc>
          <w:tcPr>
            <w:tcW w:w="120" w:type="dxa"/>
            <w:vAlign w:val="bottom"/>
            <w:gridSpan w:val="2"/>
            <w:shd w:val="clear" w:color="auto" w:fill="CCEEFF"/>
          </w:tcPr>
          <w:p>
            <w:pPr>
              <w:jc w:val="right"/>
              <w:ind w:right="37"/>
              <w:spacing w:after="0"/>
              <w:rPr>
                <w:sz w:val="20"/>
                <w:szCs w:val="20"/>
                <w:color w:val="auto"/>
              </w:rPr>
            </w:pPr>
            <w:r>
              <w:rPr>
                <w:rFonts w:ascii="Arial" w:cs="Arial" w:eastAsia="Arial" w:hAnsi="Arial"/>
                <w:sz w:val="10"/>
                <w:szCs w:val="10"/>
                <w:b w:val="1"/>
                <w:bCs w:val="1"/>
                <w:color w:val="auto"/>
                <w:w w:val="71"/>
              </w:rPr>
              <w:t>$</w:t>
            </w: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3,154.1</w:t>
            </w:r>
          </w:p>
        </w:tc>
        <w:tc>
          <w:tcPr>
            <w:tcW w:w="60" w:type="dxa"/>
            <w:vAlign w:val="bottom"/>
            <w:shd w:val="clear" w:color="auto" w:fill="CCEEFF"/>
          </w:tcPr>
          <w:p>
            <w:pPr>
              <w:spacing w:after="0"/>
              <w:rPr>
                <w:sz w:val="12"/>
                <w:szCs w:val="12"/>
                <w:color w:val="auto"/>
              </w:rPr>
            </w:pPr>
          </w:p>
        </w:tc>
        <w:tc>
          <w:tcPr>
            <w:tcW w:w="220" w:type="dxa"/>
            <w:vAlign w:val="bottom"/>
            <w:gridSpan w:val="2"/>
            <w:shd w:val="clear" w:color="auto" w:fill="CCEEFF"/>
          </w:tcPr>
          <w:p>
            <w:pPr>
              <w:ind w:left="100"/>
              <w:spacing w:after="0" w:line="142"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3,219.4</w:t>
            </w:r>
          </w:p>
        </w:tc>
        <w:tc>
          <w:tcPr>
            <w:tcW w:w="12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ind w:right="9"/>
              <w:spacing w:after="0" w:line="142"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8"/>
              </w:rPr>
              <w:t>2,891.0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6200" w:type="dxa"/>
            <w:vAlign w:val="bottom"/>
            <w:vMerge w:val="restart"/>
          </w:tcPr>
          <w:p>
            <w:pPr>
              <w:spacing w:after="0"/>
              <w:rPr>
                <w:sz w:val="20"/>
                <w:szCs w:val="20"/>
                <w:color w:val="auto"/>
              </w:rPr>
            </w:pPr>
            <w:r>
              <w:rPr>
                <w:rFonts w:ascii="Arial" w:cs="Arial" w:eastAsia="Arial" w:hAnsi="Arial"/>
                <w:sz w:val="14"/>
                <w:szCs w:val="14"/>
                <w:color w:val="auto"/>
              </w:rPr>
              <w:t>Benefits, claims and settlement expenses:</w:t>
            </w:r>
          </w:p>
        </w:tc>
        <w:tc>
          <w:tcPr>
            <w:tcW w:w="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6200" w:type="dxa"/>
            <w:vAlign w:val="bottom"/>
            <w:vMerge w:val="continue"/>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62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Direct</w:t>
            </w:r>
          </w:p>
        </w:tc>
        <w:tc>
          <w:tcPr>
            <w:tcW w:w="120" w:type="dxa"/>
            <w:vAlign w:val="bottom"/>
            <w:gridSpan w:val="2"/>
            <w:shd w:val="clear" w:color="auto" w:fill="CCEEFF"/>
          </w:tcPr>
          <w:p>
            <w:pPr>
              <w:jc w:val="right"/>
              <w:ind w:right="37"/>
              <w:spacing w:after="0"/>
              <w:rPr>
                <w:sz w:val="20"/>
                <w:szCs w:val="20"/>
                <w:color w:val="auto"/>
              </w:rPr>
            </w:pPr>
            <w:r>
              <w:rPr>
                <w:rFonts w:ascii="Arial" w:cs="Arial" w:eastAsia="Arial" w:hAnsi="Arial"/>
                <w:sz w:val="10"/>
                <w:szCs w:val="10"/>
                <w:b w:val="1"/>
                <w:bCs w:val="1"/>
                <w:color w:val="auto"/>
                <w:w w:val="71"/>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4,933.3</w:t>
            </w:r>
          </w:p>
        </w:tc>
        <w:tc>
          <w:tcPr>
            <w:tcW w:w="60" w:type="dxa"/>
            <w:vAlign w:val="bottom"/>
            <w:shd w:val="clear" w:color="auto" w:fill="CCEEFF"/>
          </w:tcPr>
          <w:p>
            <w:pPr>
              <w:spacing w:after="0"/>
              <w:rPr>
                <w:sz w:val="12"/>
                <w:szCs w:val="12"/>
                <w:color w:val="auto"/>
              </w:rPr>
            </w:pPr>
          </w:p>
        </w:tc>
        <w:tc>
          <w:tcPr>
            <w:tcW w:w="220" w:type="dxa"/>
            <w:vAlign w:val="bottom"/>
            <w:gridSpan w:val="2"/>
            <w:shd w:val="clear" w:color="auto" w:fill="CCEEFF"/>
          </w:tcPr>
          <w:p>
            <w:pPr>
              <w:ind w:left="100"/>
              <w:spacing w:after="0" w:line="149"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5,268.6</w:t>
            </w:r>
          </w:p>
        </w:tc>
        <w:tc>
          <w:tcPr>
            <w:tcW w:w="12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8"/>
              </w:rPr>
              <w:t>4,926.5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200" w:type="dxa"/>
            <w:vAlign w:val="bottom"/>
          </w:tcPr>
          <w:p>
            <w:pPr>
              <w:ind w:left="140"/>
              <w:spacing w:after="0" w:line="149" w:lineRule="exact"/>
              <w:rPr>
                <w:sz w:val="20"/>
                <w:szCs w:val="20"/>
                <w:color w:val="auto"/>
              </w:rPr>
            </w:pPr>
            <w:r>
              <w:rPr>
                <w:rFonts w:ascii="Arial" w:cs="Arial" w:eastAsia="Arial" w:hAnsi="Arial"/>
                <w:sz w:val="14"/>
                <w:szCs w:val="14"/>
                <w:color w:val="auto"/>
              </w:rPr>
              <w:t>Assumed</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32.2</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33.9</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34.0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2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Ceded</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(281.9)</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(178.6)</w:t>
            </w: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(343.9)</w:t>
            </w:r>
          </w:p>
        </w:tc>
        <w:tc>
          <w:tcPr>
            <w:tcW w:w="0" w:type="dxa"/>
            <w:vAlign w:val="bottom"/>
          </w:tcPr>
          <w:p>
            <w:pPr>
              <w:spacing w:after="0"/>
              <w:rPr>
                <w:sz w:val="1"/>
                <w:szCs w:val="1"/>
                <w:color w:val="auto"/>
              </w:rPr>
            </w:pPr>
          </w:p>
        </w:tc>
      </w:tr>
      <w:tr>
        <w:trPr>
          <w:trHeight w:val="142"/>
        </w:trPr>
        <w:tc>
          <w:tcPr>
            <w:tcW w:w="6200" w:type="dxa"/>
            <w:vAlign w:val="bottom"/>
          </w:tcPr>
          <w:p>
            <w:pPr>
              <w:spacing w:after="0" w:line="142" w:lineRule="exact"/>
              <w:rPr>
                <w:sz w:val="20"/>
                <w:szCs w:val="20"/>
                <w:color w:val="auto"/>
              </w:rPr>
            </w:pPr>
            <w:r>
              <w:rPr>
                <w:rFonts w:ascii="Arial" w:cs="Arial" w:eastAsia="Arial" w:hAnsi="Arial"/>
                <w:sz w:val="14"/>
                <w:szCs w:val="14"/>
                <w:color w:val="auto"/>
              </w:rPr>
              <w:t>Net benefits, claims and settlement expenses</w:t>
            </w:r>
          </w:p>
        </w:tc>
        <w:tc>
          <w:tcPr>
            <w:tcW w:w="20" w:type="dxa"/>
            <w:vAlign w:val="bottom"/>
            <w:tcBorders>
              <w:bottom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jc w:val="right"/>
              <w:ind w:right="37"/>
              <w:spacing w:after="0"/>
              <w:rPr>
                <w:sz w:val="20"/>
                <w:szCs w:val="20"/>
                <w:color w:val="auto"/>
              </w:rPr>
            </w:pPr>
            <w:r>
              <w:rPr>
                <w:rFonts w:ascii="Arial" w:cs="Arial" w:eastAsia="Arial" w:hAnsi="Arial"/>
                <w:sz w:val="5"/>
                <w:szCs w:val="5"/>
                <w:b w:val="1"/>
                <w:bCs w:val="1"/>
                <w:color w:val="auto"/>
                <w:w w:val="70"/>
              </w:rPr>
              <w:t>$</w:t>
            </w:r>
          </w:p>
        </w:tc>
        <w:tc>
          <w:tcPr>
            <w:tcW w:w="5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4,683.6</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color w:val="auto"/>
              </w:rPr>
              <w:t>$</w:t>
            </w:r>
          </w:p>
        </w:tc>
        <w:tc>
          <w:tcPr>
            <w:tcW w:w="5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5,123.9</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5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98"/>
              </w:rPr>
              <w:t>4,616.6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6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Separate Accounts</w:t>
      </w:r>
    </w:p>
    <w:p>
      <w:pPr>
        <w:spacing w:after="0" w:line="231" w:lineRule="exact"/>
        <w:rPr>
          <w:sz w:val="20"/>
          <w:szCs w:val="20"/>
          <w:color w:val="auto"/>
        </w:rPr>
      </w:pPr>
    </w:p>
    <w:p>
      <w:pPr>
        <w:jc w:val="both"/>
        <w:ind w:firstLine="354"/>
        <w:spacing w:after="0" w:line="288" w:lineRule="auto"/>
        <w:rPr>
          <w:sz w:val="20"/>
          <w:szCs w:val="20"/>
          <w:color w:val="auto"/>
        </w:rPr>
      </w:pPr>
      <w:r>
        <w:rPr>
          <w:rFonts w:ascii="Arial" w:cs="Arial" w:eastAsia="Arial" w:hAnsi="Arial"/>
          <w:sz w:val="16"/>
          <w:szCs w:val="16"/>
          <w:color w:val="auto"/>
        </w:rPr>
        <w:t>The separate accounts are legally segregated and are not subject to the claims that arise out of any of our other business. The client, rather than us, directs the investments and bears the investment risk of these funds. The separate account assets represent the fair value of funds that are separately administered by us for contracts with equity, real estate and fixed income investments and are presented as a summary total within the consolidated statements of financial position. An equivalent amount is reported as separate account liabilities, which represent the obligation to return the monies to the client. We receive fees for mortality, withdrawal and expense risks, as well as administrative, maintenance and investment advisory services that are included in the consolidated statement of operations. Net deposits, net investment income and realized and unrealized capital gains and losses of the separate accounts are not reflected in the consolidated statements of operations. Separate account assets and separate account liabilities include certain retirement accumulation products where the segregated funds and associated obligation to the client are consolidated within our financial statements. We have determined that summary totals are the most meaningful presentation for these funds.</w:t>
      </w:r>
    </w:p>
    <w:p>
      <w:pPr>
        <w:spacing w:after="0" w:line="174" w:lineRule="exact"/>
        <w:rPr>
          <w:sz w:val="20"/>
          <w:szCs w:val="20"/>
          <w:color w:val="auto"/>
        </w:rPr>
      </w:pPr>
    </w:p>
    <w:p>
      <w:pPr>
        <w:jc w:val="both"/>
        <w:ind w:firstLine="388"/>
        <w:spacing w:after="0" w:line="291" w:lineRule="auto"/>
        <w:rPr>
          <w:sz w:val="20"/>
          <w:szCs w:val="20"/>
          <w:color w:val="auto"/>
        </w:rPr>
      </w:pPr>
      <w:r>
        <w:rPr>
          <w:rFonts w:ascii="Arial" w:cs="Arial" w:eastAsia="Arial" w:hAnsi="Arial"/>
          <w:sz w:val="16"/>
          <w:szCs w:val="16"/>
          <w:color w:val="auto"/>
        </w:rPr>
        <w:t>At December 31, 2013 and December 31, 2012, the separate accounts include a separate account valued at $223.1 million and $148.3 million, respectively, which primarily includes shares of our stock that were allocated and issued to eligible participants of qualified employee benefit plans administered by us as part of the policy credits issued under our 2001 demutualization. These shares are included in both basic and diluted earnings per share calculations. In the consolidated statements of financial position, the separate account shares are recorded at fair value and are reported as separate account assets with a corresponding separate account liability to eligible participants of the qualified plan. Changes in fair value of the separate account shares are reflected in both the separate account assets and separate account liabilities and do not impact our results of operations.</w:t>
      </w:r>
    </w:p>
    <w:p>
      <w:pPr>
        <w:spacing w:after="0" w:line="3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Income Taxes</w:t>
      </w:r>
    </w:p>
    <w:p>
      <w:pPr>
        <w:spacing w:after="0" w:line="231" w:lineRule="exact"/>
        <w:rPr>
          <w:sz w:val="20"/>
          <w:szCs w:val="20"/>
          <w:color w:val="auto"/>
        </w:rPr>
      </w:pPr>
    </w:p>
    <w:p>
      <w:pPr>
        <w:jc w:val="both"/>
        <w:ind w:firstLine="380"/>
        <w:spacing w:after="0" w:line="254" w:lineRule="auto"/>
        <w:rPr>
          <w:sz w:val="20"/>
          <w:szCs w:val="20"/>
          <w:color w:val="auto"/>
        </w:rPr>
      </w:pPr>
      <w:r>
        <w:rPr>
          <w:rFonts w:ascii="Arial" w:cs="Arial" w:eastAsia="Arial" w:hAnsi="Arial"/>
          <w:sz w:val="18"/>
          <w:szCs w:val="18"/>
          <w:color w:val="auto"/>
        </w:rPr>
        <w:t>We file a U.S. consolidated income tax return that includes all of our qualifying subsidiaries. In addition, we file income tax returns in all states and foreign jurisdictions in which we conduct business. Our policy of allocating income tax expenses and benefits to companies in the group is generally based upon pro rata contribution of taxable income or operating losses. We are taxed at corporate rates on taxable income based on existing tax laws. Current income taxes are charged or credited to net income based upon amounts estimated to be payable or recoverable as a result of taxable operations for the current year. Deferred income taxes are provided for the tax effect of temporary differences in the financial reporting and income tax bases of assets and liabilities and net operating losses using enacted income tax rates</w:t>
      </w:r>
    </w:p>
    <w:p>
      <w:pPr>
        <w:sectPr>
          <w:pgSz w:w="11900" w:h="16838" w:orient="portrait"/>
          <w:cols w:equalWidth="0" w:num="1">
            <w:col w:w="11420"/>
          </w:cols>
          <w:pgMar w:left="240" w:top="131" w:right="239" w:bottom="1440" w:gutter="0" w:footer="0" w:header="0"/>
        </w:sectPr>
      </w:pP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07" w:name="page108"/>
    <w:bookmarkEnd w:id="10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Nature of Operations and Significant Accounting Policies — (continued)</w:t>
      </w:r>
    </w:p>
    <w:p>
      <w:pPr>
        <w:spacing w:after="0" w:line="231" w:lineRule="exact"/>
        <w:rPr>
          <w:sz w:val="20"/>
          <w:szCs w:val="20"/>
          <w:color w:val="auto"/>
        </w:rPr>
      </w:pPr>
    </w:p>
    <w:p>
      <w:pPr>
        <w:jc w:val="both"/>
        <w:spacing w:after="0" w:line="268" w:lineRule="auto"/>
        <w:rPr>
          <w:sz w:val="20"/>
          <w:szCs w:val="20"/>
          <w:color w:val="auto"/>
        </w:rPr>
      </w:pPr>
      <w:r>
        <w:rPr>
          <w:rFonts w:ascii="Arial" w:cs="Arial" w:eastAsia="Arial" w:hAnsi="Arial"/>
          <w:sz w:val="18"/>
          <w:szCs w:val="18"/>
          <w:color w:val="auto"/>
        </w:rPr>
        <w:t>and laws. The effect on deferred income tax assets and deferred income tax liabilities of a change in tax rates is recognized in operations in the period in which the change is enacted.</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Exchange</w:t>
      </w:r>
    </w:p>
    <w:p>
      <w:pPr>
        <w:spacing w:after="0" w:line="231" w:lineRule="exact"/>
        <w:rPr>
          <w:sz w:val="20"/>
          <w:szCs w:val="20"/>
          <w:color w:val="auto"/>
        </w:rPr>
      </w:pPr>
    </w:p>
    <w:p>
      <w:pPr>
        <w:jc w:val="both"/>
        <w:ind w:firstLine="464"/>
        <w:spacing w:after="0" w:line="323" w:lineRule="auto"/>
        <w:rPr>
          <w:sz w:val="20"/>
          <w:szCs w:val="20"/>
          <w:color w:val="auto"/>
        </w:rPr>
      </w:pPr>
      <w:r>
        <w:rPr>
          <w:rFonts w:ascii="Arial" w:cs="Arial" w:eastAsia="Arial" w:hAnsi="Arial"/>
          <w:sz w:val="15"/>
          <w:szCs w:val="15"/>
          <w:color w:val="auto"/>
        </w:rPr>
        <w:t>Assets and liabilities of our foreign subsidiaries and affiliates denominated in non-U.S. dollars, where the U.S. dollar is not the functional currency, are translated into U.S. dollar equivalents at the year-end spot foreign exchange rates. Resulting translation adjustments are reported as a component of stockholders' equity, along with any related hedge and tax effects. Revenues and expenses for these entities are translated at the average exchange rates. Revenue, expense and other foreign currency transaction and translation adjustments that affect cash flows are reported in net income, along with related hedge and tax effects.</w:t>
      </w:r>
    </w:p>
    <w:p>
      <w:pPr>
        <w:spacing w:after="0" w:line="3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Goodwill and Other Intangibles</w:t>
      </w:r>
    </w:p>
    <w:p>
      <w:pPr>
        <w:spacing w:after="0" w:line="231" w:lineRule="exact"/>
        <w:rPr>
          <w:sz w:val="20"/>
          <w:szCs w:val="20"/>
          <w:color w:val="auto"/>
        </w:rPr>
      </w:pPr>
    </w:p>
    <w:p>
      <w:pPr>
        <w:jc w:val="both"/>
        <w:ind w:firstLine="354"/>
        <w:spacing w:after="0" w:line="290" w:lineRule="auto"/>
        <w:rPr>
          <w:sz w:val="20"/>
          <w:szCs w:val="20"/>
          <w:color w:val="auto"/>
        </w:rPr>
      </w:pPr>
      <w:r>
        <w:rPr>
          <w:rFonts w:ascii="Arial" w:cs="Arial" w:eastAsia="Arial" w:hAnsi="Arial"/>
          <w:sz w:val="16"/>
          <w:szCs w:val="16"/>
          <w:color w:val="auto"/>
        </w:rPr>
        <w:t>Goodwill and other intangible assets include the cost of acquired subsidiaries in excess of the fair value of the net tangible assets recorded in connection with acquisitions. Goodwill and indefinite-lived intangible assets are not amortized. Rather, they are tested for impairment during the third quarter each year, or more frequently if events or changes in circumstances indicate that the asset might be impaired. Goodwill is tested at the reporting unit level to which it was assigned. A reporting unit is an operating segment or a business one level below that operating segment, if financial information is prepared and regularly reviewed by management at that level. Once goodwill has been assigned to a reporting unit, it is no longer associated with a particular acquisition; therefore, all of the activities within a reporting unit, whether acquired or organically grown, are available to support the goodwill value. Impairment testing for indefinite-lived intangible assets consists of a comparison of the fair value of the intangible asset with its carrying value.</w:t>
      </w:r>
    </w:p>
    <w:p>
      <w:pPr>
        <w:spacing w:after="0" w:line="172" w:lineRule="exact"/>
        <w:rPr>
          <w:sz w:val="20"/>
          <w:szCs w:val="20"/>
          <w:color w:val="auto"/>
        </w:rPr>
      </w:pPr>
    </w:p>
    <w:p>
      <w:pPr>
        <w:jc w:val="both"/>
        <w:ind w:firstLine="361"/>
        <w:spacing w:after="0" w:line="256" w:lineRule="auto"/>
        <w:rPr>
          <w:sz w:val="20"/>
          <w:szCs w:val="20"/>
          <w:color w:val="auto"/>
        </w:rPr>
      </w:pPr>
      <w:r>
        <w:rPr>
          <w:rFonts w:ascii="Arial" w:cs="Arial" w:eastAsia="Arial" w:hAnsi="Arial"/>
          <w:sz w:val="18"/>
          <w:szCs w:val="18"/>
          <w:color w:val="auto"/>
        </w:rPr>
        <w:t>Intangible assets with a finite useful life are amortized as related benefits emerge and are reviewed periodically for indicators of impairment in value. If facts and circumstances suggest possible impairment, the sum of the estimated undiscounted future cash flows expected to result from the use of the asset is compared to the current carrying value of the asset. If the undiscounted future cash flows are less than the carrying value, an impairment loss is recognized for the excess of the carrying amount of assets over their fair value.</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Earnings Per Common Share</w:t>
      </w:r>
    </w:p>
    <w:p>
      <w:pPr>
        <w:spacing w:after="0" w:line="231" w:lineRule="exact"/>
        <w:rPr>
          <w:sz w:val="20"/>
          <w:szCs w:val="20"/>
          <w:color w:val="auto"/>
        </w:rPr>
      </w:pPr>
    </w:p>
    <w:p>
      <w:pPr>
        <w:jc w:val="both"/>
        <w:ind w:firstLine="417"/>
        <w:spacing w:after="0" w:line="306" w:lineRule="auto"/>
        <w:rPr>
          <w:sz w:val="20"/>
          <w:szCs w:val="20"/>
          <w:color w:val="auto"/>
        </w:rPr>
      </w:pPr>
      <w:r>
        <w:rPr>
          <w:rFonts w:ascii="Arial" w:cs="Arial" w:eastAsia="Arial" w:hAnsi="Arial"/>
          <w:sz w:val="16"/>
          <w:szCs w:val="16"/>
          <w:color w:val="auto"/>
        </w:rPr>
        <w:t>Basic earnings per common share is calculated by dividing income available to common stockholders by the weighted-average number of common shares outstanding for the period and excludes the dilutive effect of equity awards. Diluted earnings per common share reflects the potential dilution that could occur if dilutive securities, such as options and non-vested stock grants, were exercised or resulted in the issuance of common stock.</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Acquisition</w:t>
      </w:r>
    </w:p>
    <w:p>
      <w:pPr>
        <w:spacing w:after="0" w:line="231" w:lineRule="exact"/>
        <w:rPr>
          <w:sz w:val="20"/>
          <w:szCs w:val="20"/>
          <w:color w:val="auto"/>
        </w:rPr>
      </w:pPr>
    </w:p>
    <w:p>
      <w:pPr>
        <w:jc w:val="both"/>
        <w:ind w:firstLine="466"/>
        <w:spacing w:after="0" w:line="298" w:lineRule="auto"/>
        <w:rPr>
          <w:sz w:val="20"/>
          <w:szCs w:val="20"/>
          <w:color w:val="auto"/>
        </w:rPr>
      </w:pPr>
      <w:r>
        <w:rPr>
          <w:rFonts w:ascii="Arial" w:cs="Arial" w:eastAsia="Arial" w:hAnsi="Arial"/>
          <w:sz w:val="16"/>
          <w:szCs w:val="16"/>
          <w:color w:val="auto"/>
        </w:rPr>
        <w:t>On February 4, 2013, we completed the purchase of Cuprum, a premier pension manager in Chile that will grow our ability to offer customers in Chile unmatched pension savings and retirement solutions. Our acquisition agreement required Empresas Penta S.A. and Inversiones Banpenta Limitada to sell their 63% ownership in Cuprum pursuant to a public tender offer that also included the remaining 37% of publicly traded shares. As a result of the public tender offer, we initially acquired a 91.55% ownership stake in Cuprum for a purchase price of $1.3 billion. Cuprum is consolidated within the Principal International segment.</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8" w:name="page109"/>
    <w:bookmarkEnd w:id="10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Acquisition — (continued)</w:t>
      </w:r>
    </w:p>
    <w:p>
      <w:pPr>
        <w:spacing w:after="0" w:line="231"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 summary of the fair values of the net assets acquired as of February 4, 2013, based upon current valuation estimates, is as follows (in millions):</w:t>
      </w:r>
    </w:p>
    <w:p>
      <w:pPr>
        <w:spacing w:after="0" w:line="244"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484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Assets</w:t>
            </w:r>
          </w:p>
        </w:tc>
        <w:tc>
          <w:tcPr>
            <w:tcW w:w="28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r>
      <w:tr>
        <w:trPr>
          <w:trHeight w:val="149"/>
        </w:trPr>
        <w:tc>
          <w:tcPr>
            <w:tcW w:w="4840" w:type="dxa"/>
            <w:vAlign w:val="bottom"/>
          </w:tcPr>
          <w:p>
            <w:pPr>
              <w:spacing w:after="0" w:line="149" w:lineRule="exact"/>
              <w:rPr>
                <w:sz w:val="20"/>
                <w:szCs w:val="20"/>
                <w:color w:val="auto"/>
              </w:rPr>
            </w:pPr>
            <w:r>
              <w:rPr>
                <w:rFonts w:ascii="Arial" w:cs="Arial" w:eastAsia="Arial" w:hAnsi="Arial"/>
                <w:sz w:val="14"/>
                <w:szCs w:val="14"/>
                <w:color w:val="auto"/>
              </w:rPr>
              <w:t>Equity securities, available-for-sale</w:t>
            </w:r>
          </w:p>
        </w:tc>
        <w:tc>
          <w:tcPr>
            <w:tcW w:w="3000" w:type="dxa"/>
            <w:vAlign w:val="bottom"/>
            <w:gridSpan w:val="2"/>
          </w:tcPr>
          <w:p>
            <w:pPr>
              <w:jc w:val="right"/>
              <w:ind w:right="80"/>
              <w:spacing w:after="0" w:line="149" w:lineRule="exact"/>
              <w:rPr>
                <w:sz w:val="20"/>
                <w:szCs w:val="20"/>
                <w:color w:val="auto"/>
              </w:rPr>
            </w:pPr>
            <w:r>
              <w:rPr>
                <w:rFonts w:ascii="Arial" w:cs="Arial" w:eastAsia="Arial" w:hAnsi="Arial"/>
                <w:sz w:val="14"/>
                <w:szCs w:val="14"/>
                <w:b w:val="1"/>
                <w:bCs w:val="1"/>
                <w:color w:val="auto"/>
              </w:rPr>
              <w:t>$</w:t>
            </w: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3.2</w:t>
            </w:r>
          </w:p>
        </w:tc>
        <w:tc>
          <w:tcPr>
            <w:tcW w:w="160" w:type="dxa"/>
            <w:vAlign w:val="bottom"/>
          </w:tcPr>
          <w:p>
            <w:pPr>
              <w:spacing w:after="0"/>
              <w:rPr>
                <w:sz w:val="12"/>
                <w:szCs w:val="12"/>
                <w:color w:val="auto"/>
              </w:rPr>
            </w:pPr>
          </w:p>
        </w:tc>
      </w:tr>
      <w:tr>
        <w:trPr>
          <w:trHeight w:val="149"/>
        </w:trPr>
        <w:tc>
          <w:tcPr>
            <w:tcW w:w="48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Equity securities, trading</w:t>
            </w:r>
          </w:p>
        </w:tc>
        <w:tc>
          <w:tcPr>
            <w:tcW w:w="28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340.5</w:t>
            </w:r>
          </w:p>
        </w:tc>
        <w:tc>
          <w:tcPr>
            <w:tcW w:w="160" w:type="dxa"/>
            <w:vAlign w:val="bottom"/>
            <w:shd w:val="clear" w:color="auto" w:fill="CCEEFF"/>
          </w:tcPr>
          <w:p>
            <w:pPr>
              <w:spacing w:after="0"/>
              <w:rPr>
                <w:sz w:val="12"/>
                <w:szCs w:val="12"/>
                <w:color w:val="auto"/>
              </w:rPr>
            </w:pPr>
          </w:p>
        </w:tc>
      </w:tr>
      <w:tr>
        <w:trPr>
          <w:trHeight w:val="149"/>
        </w:trPr>
        <w:tc>
          <w:tcPr>
            <w:tcW w:w="4840" w:type="dxa"/>
            <w:vAlign w:val="bottom"/>
          </w:tcPr>
          <w:p>
            <w:pPr>
              <w:spacing w:after="0" w:line="149" w:lineRule="exact"/>
              <w:rPr>
                <w:sz w:val="20"/>
                <w:szCs w:val="20"/>
                <w:color w:val="auto"/>
              </w:rPr>
            </w:pPr>
            <w:r>
              <w:rPr>
                <w:rFonts w:ascii="Arial" w:cs="Arial" w:eastAsia="Arial" w:hAnsi="Arial"/>
                <w:sz w:val="14"/>
                <w:szCs w:val="14"/>
                <w:color w:val="auto"/>
              </w:rPr>
              <w:t>Real estate</w:t>
            </w:r>
          </w:p>
        </w:tc>
        <w:tc>
          <w:tcPr>
            <w:tcW w:w="28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w:t>
            </w:r>
          </w:p>
        </w:tc>
        <w:tc>
          <w:tcPr>
            <w:tcW w:w="160" w:type="dxa"/>
            <w:vAlign w:val="bottom"/>
          </w:tcPr>
          <w:p>
            <w:pPr>
              <w:spacing w:after="0"/>
              <w:rPr>
                <w:sz w:val="12"/>
                <w:szCs w:val="12"/>
                <w:color w:val="auto"/>
              </w:rPr>
            </w:pPr>
          </w:p>
        </w:tc>
      </w:tr>
      <w:tr>
        <w:trPr>
          <w:trHeight w:val="149"/>
        </w:trPr>
        <w:tc>
          <w:tcPr>
            <w:tcW w:w="48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investments</w:t>
            </w:r>
          </w:p>
        </w:tc>
        <w:tc>
          <w:tcPr>
            <w:tcW w:w="28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24.2</w:t>
            </w:r>
          </w:p>
        </w:tc>
        <w:tc>
          <w:tcPr>
            <w:tcW w:w="160" w:type="dxa"/>
            <w:vAlign w:val="bottom"/>
            <w:shd w:val="clear" w:color="auto" w:fill="CCEEFF"/>
          </w:tcPr>
          <w:p>
            <w:pPr>
              <w:spacing w:after="0"/>
              <w:rPr>
                <w:sz w:val="12"/>
                <w:szCs w:val="12"/>
                <w:color w:val="auto"/>
              </w:rPr>
            </w:pPr>
          </w:p>
        </w:tc>
      </w:tr>
      <w:tr>
        <w:trPr>
          <w:trHeight w:val="149"/>
        </w:trPr>
        <w:tc>
          <w:tcPr>
            <w:tcW w:w="4840" w:type="dxa"/>
            <w:vAlign w:val="bottom"/>
          </w:tcPr>
          <w:p>
            <w:pPr>
              <w:spacing w:after="0" w:line="149" w:lineRule="exact"/>
              <w:rPr>
                <w:sz w:val="20"/>
                <w:szCs w:val="20"/>
                <w:color w:val="auto"/>
              </w:rPr>
            </w:pPr>
            <w:r>
              <w:rPr>
                <w:rFonts w:ascii="Arial" w:cs="Arial" w:eastAsia="Arial" w:hAnsi="Arial"/>
                <w:sz w:val="14"/>
                <w:szCs w:val="14"/>
                <w:color w:val="auto"/>
              </w:rPr>
              <w:t>Cash and cash equivalents</w:t>
            </w:r>
          </w:p>
        </w:tc>
        <w:tc>
          <w:tcPr>
            <w:tcW w:w="28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3.5</w:t>
            </w:r>
          </w:p>
        </w:tc>
        <w:tc>
          <w:tcPr>
            <w:tcW w:w="160" w:type="dxa"/>
            <w:vAlign w:val="bottom"/>
          </w:tcPr>
          <w:p>
            <w:pPr>
              <w:spacing w:after="0"/>
              <w:rPr>
                <w:sz w:val="12"/>
                <w:szCs w:val="12"/>
                <w:color w:val="auto"/>
              </w:rPr>
            </w:pPr>
          </w:p>
        </w:tc>
      </w:tr>
      <w:tr>
        <w:trPr>
          <w:trHeight w:val="149"/>
        </w:trPr>
        <w:tc>
          <w:tcPr>
            <w:tcW w:w="48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Premiums due and other receivables</w:t>
            </w:r>
          </w:p>
        </w:tc>
        <w:tc>
          <w:tcPr>
            <w:tcW w:w="28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w:t>
            </w:r>
          </w:p>
        </w:tc>
        <w:tc>
          <w:tcPr>
            <w:tcW w:w="160" w:type="dxa"/>
            <w:vAlign w:val="bottom"/>
            <w:shd w:val="clear" w:color="auto" w:fill="CCEEFF"/>
          </w:tcPr>
          <w:p>
            <w:pPr>
              <w:spacing w:after="0"/>
              <w:rPr>
                <w:sz w:val="12"/>
                <w:szCs w:val="12"/>
                <w:color w:val="auto"/>
              </w:rPr>
            </w:pPr>
          </w:p>
        </w:tc>
      </w:tr>
      <w:tr>
        <w:trPr>
          <w:trHeight w:val="149"/>
        </w:trPr>
        <w:tc>
          <w:tcPr>
            <w:tcW w:w="4840" w:type="dxa"/>
            <w:vAlign w:val="bottom"/>
          </w:tcPr>
          <w:p>
            <w:pPr>
              <w:spacing w:after="0" w:line="149" w:lineRule="exact"/>
              <w:rPr>
                <w:sz w:val="20"/>
                <w:szCs w:val="20"/>
                <w:color w:val="auto"/>
              </w:rPr>
            </w:pPr>
            <w:r>
              <w:rPr>
                <w:rFonts w:ascii="Arial" w:cs="Arial" w:eastAsia="Arial" w:hAnsi="Arial"/>
                <w:sz w:val="14"/>
                <w:szCs w:val="14"/>
                <w:color w:val="auto"/>
              </w:rPr>
              <w:t>Property and equipment</w:t>
            </w:r>
          </w:p>
        </w:tc>
        <w:tc>
          <w:tcPr>
            <w:tcW w:w="28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19.6</w:t>
            </w:r>
          </w:p>
        </w:tc>
        <w:tc>
          <w:tcPr>
            <w:tcW w:w="160" w:type="dxa"/>
            <w:vAlign w:val="bottom"/>
          </w:tcPr>
          <w:p>
            <w:pPr>
              <w:spacing w:after="0"/>
              <w:rPr>
                <w:sz w:val="12"/>
                <w:szCs w:val="12"/>
                <w:color w:val="auto"/>
              </w:rPr>
            </w:pPr>
          </w:p>
        </w:tc>
      </w:tr>
      <w:tr>
        <w:trPr>
          <w:trHeight w:val="149"/>
        </w:trPr>
        <w:tc>
          <w:tcPr>
            <w:tcW w:w="48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Goodwill</w:t>
            </w:r>
          </w:p>
        </w:tc>
        <w:tc>
          <w:tcPr>
            <w:tcW w:w="28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631.8</w:t>
            </w:r>
          </w:p>
        </w:tc>
        <w:tc>
          <w:tcPr>
            <w:tcW w:w="160" w:type="dxa"/>
            <w:vAlign w:val="bottom"/>
            <w:shd w:val="clear" w:color="auto" w:fill="CCEEFF"/>
          </w:tcPr>
          <w:p>
            <w:pPr>
              <w:spacing w:after="0"/>
              <w:rPr>
                <w:sz w:val="12"/>
                <w:szCs w:val="12"/>
                <w:color w:val="auto"/>
              </w:rPr>
            </w:pPr>
          </w:p>
        </w:tc>
      </w:tr>
      <w:tr>
        <w:trPr>
          <w:trHeight w:val="149"/>
        </w:trPr>
        <w:tc>
          <w:tcPr>
            <w:tcW w:w="4840" w:type="dxa"/>
            <w:vAlign w:val="bottom"/>
          </w:tcPr>
          <w:p>
            <w:pPr>
              <w:spacing w:after="0" w:line="149" w:lineRule="exact"/>
              <w:rPr>
                <w:sz w:val="20"/>
                <w:szCs w:val="20"/>
                <w:color w:val="auto"/>
              </w:rPr>
            </w:pPr>
            <w:r>
              <w:rPr>
                <w:rFonts w:ascii="Arial" w:cs="Arial" w:eastAsia="Arial" w:hAnsi="Arial"/>
                <w:sz w:val="14"/>
                <w:szCs w:val="14"/>
                <w:color w:val="auto"/>
              </w:rPr>
              <w:t>Other intangibles</w:t>
            </w:r>
          </w:p>
        </w:tc>
        <w:tc>
          <w:tcPr>
            <w:tcW w:w="28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671.3</w:t>
            </w:r>
          </w:p>
        </w:tc>
        <w:tc>
          <w:tcPr>
            <w:tcW w:w="160" w:type="dxa"/>
            <w:vAlign w:val="bottom"/>
          </w:tcPr>
          <w:p>
            <w:pPr>
              <w:spacing w:after="0"/>
              <w:rPr>
                <w:sz w:val="12"/>
                <w:szCs w:val="12"/>
                <w:color w:val="auto"/>
              </w:rPr>
            </w:pPr>
          </w:p>
        </w:tc>
      </w:tr>
      <w:tr>
        <w:trPr>
          <w:trHeight w:val="149"/>
        </w:trPr>
        <w:tc>
          <w:tcPr>
            <w:tcW w:w="48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Separate account assets</w:t>
            </w:r>
          </w:p>
        </w:tc>
        <w:tc>
          <w:tcPr>
            <w:tcW w:w="28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95"/>
              </w:rPr>
              <w:t>33,919.4</w:t>
            </w:r>
          </w:p>
        </w:tc>
        <w:tc>
          <w:tcPr>
            <w:tcW w:w="160" w:type="dxa"/>
            <w:vAlign w:val="bottom"/>
            <w:shd w:val="clear" w:color="auto" w:fill="CCEEFF"/>
          </w:tcPr>
          <w:p>
            <w:pPr>
              <w:spacing w:after="0"/>
              <w:rPr>
                <w:sz w:val="12"/>
                <w:szCs w:val="12"/>
                <w:color w:val="auto"/>
              </w:rPr>
            </w:pPr>
          </w:p>
        </w:tc>
      </w:tr>
      <w:tr>
        <w:trPr>
          <w:trHeight w:val="149"/>
        </w:trPr>
        <w:tc>
          <w:tcPr>
            <w:tcW w:w="4840" w:type="dxa"/>
            <w:vAlign w:val="bottom"/>
          </w:tcPr>
          <w:p>
            <w:pPr>
              <w:spacing w:after="0" w:line="149" w:lineRule="exact"/>
              <w:rPr>
                <w:sz w:val="20"/>
                <w:szCs w:val="20"/>
                <w:color w:val="auto"/>
              </w:rPr>
            </w:pPr>
            <w:r>
              <w:rPr>
                <w:rFonts w:ascii="Arial" w:cs="Arial" w:eastAsia="Arial" w:hAnsi="Arial"/>
                <w:sz w:val="14"/>
                <w:szCs w:val="14"/>
                <w:color w:val="auto"/>
              </w:rPr>
              <w:t>Other assets</w:t>
            </w:r>
          </w:p>
        </w:tc>
        <w:tc>
          <w:tcPr>
            <w:tcW w:w="28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27.3</w:t>
            </w:r>
          </w:p>
        </w:tc>
        <w:tc>
          <w:tcPr>
            <w:tcW w:w="160" w:type="dxa"/>
            <w:vAlign w:val="bottom"/>
          </w:tcPr>
          <w:p>
            <w:pPr>
              <w:spacing w:after="0"/>
              <w:rPr>
                <w:sz w:val="12"/>
                <w:szCs w:val="12"/>
                <w:color w:val="auto"/>
              </w:rPr>
            </w:pPr>
          </w:p>
        </w:tc>
      </w:tr>
      <w:tr>
        <w:trPr>
          <w:trHeight w:val="142"/>
        </w:trPr>
        <w:tc>
          <w:tcPr>
            <w:tcW w:w="484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assets</w:t>
            </w:r>
          </w:p>
        </w:tc>
        <w:tc>
          <w:tcPr>
            <w:tcW w:w="28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95"/>
              </w:rPr>
              <w:t>35,644.1</w:t>
            </w:r>
          </w:p>
        </w:tc>
        <w:tc>
          <w:tcPr>
            <w:tcW w:w="160" w:type="dxa"/>
            <w:vAlign w:val="bottom"/>
            <w:shd w:val="clear" w:color="auto" w:fill="CCEEFF"/>
          </w:tcPr>
          <w:p>
            <w:pPr>
              <w:spacing w:after="0"/>
              <w:rPr>
                <w:sz w:val="12"/>
                <w:szCs w:val="12"/>
                <w:color w:val="auto"/>
              </w:rPr>
            </w:pPr>
          </w:p>
        </w:tc>
      </w:tr>
      <w:tr>
        <w:trPr>
          <w:trHeight w:val="149"/>
        </w:trPr>
        <w:tc>
          <w:tcPr>
            <w:tcW w:w="4840" w:type="dxa"/>
            <w:vAlign w:val="bottom"/>
          </w:tcPr>
          <w:p>
            <w:pPr>
              <w:spacing w:after="0" w:line="149" w:lineRule="exact"/>
              <w:rPr>
                <w:sz w:val="20"/>
                <w:szCs w:val="20"/>
                <w:color w:val="auto"/>
              </w:rPr>
            </w:pPr>
            <w:r>
              <w:rPr>
                <w:rFonts w:ascii="Arial" w:cs="Arial" w:eastAsia="Arial" w:hAnsi="Arial"/>
                <w:sz w:val="14"/>
                <w:szCs w:val="14"/>
                <w:b w:val="1"/>
                <w:bCs w:val="1"/>
                <w:color w:val="auto"/>
              </w:rPr>
              <w:t>Liabilities</w:t>
            </w:r>
          </w:p>
        </w:tc>
        <w:tc>
          <w:tcPr>
            <w:tcW w:w="28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48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Short-term debt</w:t>
            </w:r>
          </w:p>
        </w:tc>
        <w:tc>
          <w:tcPr>
            <w:tcW w:w="28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5.0</w:t>
            </w:r>
          </w:p>
        </w:tc>
        <w:tc>
          <w:tcPr>
            <w:tcW w:w="160" w:type="dxa"/>
            <w:vAlign w:val="bottom"/>
            <w:shd w:val="clear" w:color="auto" w:fill="CCEEFF"/>
          </w:tcPr>
          <w:p>
            <w:pPr>
              <w:spacing w:after="0"/>
              <w:rPr>
                <w:sz w:val="12"/>
                <w:szCs w:val="12"/>
                <w:color w:val="auto"/>
              </w:rPr>
            </w:pPr>
          </w:p>
        </w:tc>
      </w:tr>
      <w:tr>
        <w:trPr>
          <w:trHeight w:val="149"/>
        </w:trPr>
        <w:tc>
          <w:tcPr>
            <w:tcW w:w="4840" w:type="dxa"/>
            <w:vAlign w:val="bottom"/>
          </w:tcPr>
          <w:p>
            <w:pPr>
              <w:spacing w:after="0" w:line="149" w:lineRule="exact"/>
              <w:rPr>
                <w:sz w:val="20"/>
                <w:szCs w:val="20"/>
                <w:color w:val="auto"/>
              </w:rPr>
            </w:pPr>
            <w:r>
              <w:rPr>
                <w:rFonts w:ascii="Arial" w:cs="Arial" w:eastAsia="Arial" w:hAnsi="Arial"/>
                <w:sz w:val="14"/>
                <w:szCs w:val="14"/>
                <w:color w:val="auto"/>
              </w:rPr>
              <w:t>Long-term debt</w:t>
            </w:r>
          </w:p>
        </w:tc>
        <w:tc>
          <w:tcPr>
            <w:tcW w:w="28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114.6</w:t>
            </w:r>
          </w:p>
        </w:tc>
        <w:tc>
          <w:tcPr>
            <w:tcW w:w="160" w:type="dxa"/>
            <w:vAlign w:val="bottom"/>
          </w:tcPr>
          <w:p>
            <w:pPr>
              <w:spacing w:after="0"/>
              <w:rPr>
                <w:sz w:val="12"/>
                <w:szCs w:val="12"/>
                <w:color w:val="auto"/>
              </w:rPr>
            </w:pPr>
          </w:p>
        </w:tc>
      </w:tr>
      <w:tr>
        <w:trPr>
          <w:trHeight w:val="149"/>
        </w:trPr>
        <w:tc>
          <w:tcPr>
            <w:tcW w:w="48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Separate account liabilities</w:t>
            </w:r>
          </w:p>
        </w:tc>
        <w:tc>
          <w:tcPr>
            <w:tcW w:w="28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95"/>
              </w:rPr>
              <w:t>33,919.4</w:t>
            </w:r>
          </w:p>
        </w:tc>
        <w:tc>
          <w:tcPr>
            <w:tcW w:w="160" w:type="dxa"/>
            <w:vAlign w:val="bottom"/>
            <w:shd w:val="clear" w:color="auto" w:fill="CCEEFF"/>
          </w:tcPr>
          <w:p>
            <w:pPr>
              <w:spacing w:after="0"/>
              <w:rPr>
                <w:sz w:val="12"/>
                <w:szCs w:val="12"/>
                <w:color w:val="auto"/>
              </w:rPr>
            </w:pPr>
          </w:p>
        </w:tc>
      </w:tr>
      <w:tr>
        <w:trPr>
          <w:trHeight w:val="149"/>
        </w:trPr>
        <w:tc>
          <w:tcPr>
            <w:tcW w:w="4840" w:type="dxa"/>
            <w:vAlign w:val="bottom"/>
          </w:tcPr>
          <w:p>
            <w:pPr>
              <w:spacing w:after="0" w:line="149" w:lineRule="exact"/>
              <w:rPr>
                <w:sz w:val="20"/>
                <w:szCs w:val="20"/>
                <w:color w:val="auto"/>
              </w:rPr>
            </w:pPr>
            <w:r>
              <w:rPr>
                <w:rFonts w:ascii="Arial" w:cs="Arial" w:eastAsia="Arial" w:hAnsi="Arial"/>
                <w:sz w:val="14"/>
                <w:szCs w:val="14"/>
                <w:color w:val="auto"/>
              </w:rPr>
              <w:t>Other liabilities</w:t>
            </w:r>
          </w:p>
        </w:tc>
        <w:tc>
          <w:tcPr>
            <w:tcW w:w="28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228.0</w:t>
            </w:r>
          </w:p>
        </w:tc>
        <w:tc>
          <w:tcPr>
            <w:tcW w:w="160" w:type="dxa"/>
            <w:vAlign w:val="bottom"/>
          </w:tcPr>
          <w:p>
            <w:pPr>
              <w:spacing w:after="0"/>
              <w:rPr>
                <w:sz w:val="12"/>
                <w:szCs w:val="12"/>
                <w:color w:val="auto"/>
              </w:rPr>
            </w:pPr>
          </w:p>
        </w:tc>
      </w:tr>
      <w:tr>
        <w:trPr>
          <w:trHeight w:val="142"/>
        </w:trPr>
        <w:tc>
          <w:tcPr>
            <w:tcW w:w="484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liabilities</w:t>
            </w:r>
          </w:p>
        </w:tc>
        <w:tc>
          <w:tcPr>
            <w:tcW w:w="28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95"/>
              </w:rPr>
              <w:t>34,267.0</w:t>
            </w:r>
          </w:p>
        </w:tc>
        <w:tc>
          <w:tcPr>
            <w:tcW w:w="160" w:type="dxa"/>
            <w:vAlign w:val="bottom"/>
            <w:shd w:val="clear" w:color="auto" w:fill="CCEEFF"/>
          </w:tcPr>
          <w:p>
            <w:pPr>
              <w:spacing w:after="0"/>
              <w:rPr>
                <w:sz w:val="12"/>
                <w:szCs w:val="12"/>
                <w:color w:val="auto"/>
              </w:rPr>
            </w:pPr>
          </w:p>
        </w:tc>
      </w:tr>
      <w:tr>
        <w:trPr>
          <w:trHeight w:val="149"/>
        </w:trPr>
        <w:tc>
          <w:tcPr>
            <w:tcW w:w="4840" w:type="dxa"/>
            <w:vAlign w:val="bottom"/>
          </w:tcPr>
          <w:p>
            <w:pPr>
              <w:spacing w:after="0" w:line="149" w:lineRule="exact"/>
              <w:rPr>
                <w:sz w:val="20"/>
                <w:szCs w:val="20"/>
                <w:color w:val="auto"/>
              </w:rPr>
            </w:pPr>
            <w:r>
              <w:rPr>
                <w:rFonts w:ascii="Arial" w:cs="Arial" w:eastAsia="Arial" w:hAnsi="Arial"/>
                <w:sz w:val="14"/>
                <w:szCs w:val="14"/>
                <w:color w:val="auto"/>
              </w:rPr>
              <w:t>Noncontrolling interest</w:t>
            </w:r>
          </w:p>
        </w:tc>
        <w:tc>
          <w:tcPr>
            <w:tcW w:w="28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113.6</w:t>
            </w:r>
          </w:p>
        </w:tc>
        <w:tc>
          <w:tcPr>
            <w:tcW w:w="160" w:type="dxa"/>
            <w:vAlign w:val="bottom"/>
          </w:tcPr>
          <w:p>
            <w:pPr>
              <w:spacing w:after="0"/>
              <w:rPr>
                <w:sz w:val="12"/>
                <w:szCs w:val="12"/>
                <w:color w:val="auto"/>
              </w:rPr>
            </w:pPr>
          </w:p>
        </w:tc>
      </w:tr>
      <w:tr>
        <w:trPr>
          <w:trHeight w:val="142"/>
        </w:trPr>
        <w:tc>
          <w:tcPr>
            <w:tcW w:w="484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Net assets acquired</w:t>
            </w:r>
          </w:p>
        </w:tc>
        <w:tc>
          <w:tcPr>
            <w:tcW w:w="3000" w:type="dxa"/>
            <w:vAlign w:val="bottom"/>
            <w:gridSpan w:val="2"/>
            <w:shd w:val="clear" w:color="auto" w:fill="CCEEFF"/>
          </w:tcPr>
          <w:p>
            <w:pPr>
              <w:jc w:val="right"/>
              <w:ind w:right="80"/>
              <w:spacing w:after="0" w:line="142"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1,263.5</w:t>
            </w:r>
          </w:p>
        </w:tc>
        <w:tc>
          <w:tcPr>
            <w:tcW w:w="160" w:type="dxa"/>
            <w:vAlign w:val="bottom"/>
            <w:shd w:val="clear" w:color="auto" w:fill="CCEEFF"/>
          </w:tcPr>
          <w:p>
            <w:pPr>
              <w:spacing w:after="0"/>
              <w:rPr>
                <w:sz w:val="12"/>
                <w:szCs w:val="12"/>
                <w:color w:val="auto"/>
              </w:rPr>
            </w:pPr>
          </w:p>
        </w:tc>
      </w:tr>
      <w:tr>
        <w:trPr>
          <w:trHeight w:val="20"/>
        </w:trPr>
        <w:tc>
          <w:tcPr>
            <w:tcW w:w="4840" w:type="dxa"/>
            <w:vAlign w:val="bottom"/>
          </w:tcPr>
          <w:p>
            <w:pPr>
              <w:spacing w:after="0" w:line="20" w:lineRule="exact"/>
              <w:rPr>
                <w:sz w:val="1"/>
                <w:szCs w:val="1"/>
                <w:color w:val="auto"/>
              </w:rPr>
            </w:pPr>
          </w:p>
        </w:tc>
        <w:tc>
          <w:tcPr>
            <w:tcW w:w="28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right="20" w:firstLine="395"/>
        <w:spacing w:after="0" w:line="332" w:lineRule="auto"/>
        <w:rPr>
          <w:sz w:val="20"/>
          <w:szCs w:val="20"/>
          <w:color w:val="auto"/>
        </w:rPr>
      </w:pPr>
      <w:r>
        <w:rPr>
          <w:rFonts w:ascii="Arial" w:cs="Arial" w:eastAsia="Arial" w:hAnsi="Arial"/>
          <w:sz w:val="16"/>
          <w:szCs w:val="16"/>
          <w:color w:val="auto"/>
        </w:rPr>
        <w:t>Of the acquired intangible assets, $631.8 million was assigned to goodwill and is not subject to amortization. The goodwill is largely related to future sales anticipated from our internal workforce and entity-specific revenue synergies that will be generated by combining Cuprum with our existing businesses.</w:t>
      </w:r>
    </w:p>
    <w:p>
      <w:pPr>
        <w:spacing w:after="0" w:line="139" w:lineRule="exact"/>
        <w:rPr>
          <w:sz w:val="20"/>
          <w:szCs w:val="20"/>
          <w:color w:val="auto"/>
        </w:rPr>
      </w:pPr>
    </w:p>
    <w:p>
      <w:pPr>
        <w:jc w:val="both"/>
        <w:ind w:right="20" w:firstLine="506"/>
        <w:spacing w:after="0" w:line="268" w:lineRule="auto"/>
        <w:rPr>
          <w:sz w:val="20"/>
          <w:szCs w:val="20"/>
          <w:color w:val="auto"/>
        </w:rPr>
      </w:pPr>
      <w:r>
        <w:rPr>
          <w:rFonts w:ascii="Arial" w:cs="Arial" w:eastAsia="Arial" w:hAnsi="Arial"/>
          <w:sz w:val="18"/>
          <w:szCs w:val="18"/>
          <w:color w:val="auto"/>
        </w:rPr>
        <w:t>Of the remaining acquired intangible assets, $185.2 million was assigned to trade name, which is not subject to amortization, and $486.1 million was assigned to customer relationships, which is subject to amortization over a 15-year useful life.</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See Note 4, Variable Interest Entities, for further information on Cuprum's separate account assets and liabilities.</w:t>
      </w:r>
    </w:p>
    <w:p>
      <w:pPr>
        <w:spacing w:after="0" w:line="225" w:lineRule="exact"/>
        <w:rPr>
          <w:sz w:val="20"/>
          <w:szCs w:val="20"/>
          <w:color w:val="auto"/>
        </w:rPr>
      </w:pPr>
    </w:p>
    <w:p>
      <w:pPr>
        <w:jc w:val="both"/>
        <w:ind w:firstLine="505"/>
        <w:spacing w:after="0" w:line="294" w:lineRule="auto"/>
        <w:rPr>
          <w:sz w:val="20"/>
          <w:szCs w:val="20"/>
          <w:color w:val="auto"/>
        </w:rPr>
      </w:pPr>
      <w:r>
        <w:rPr>
          <w:rFonts w:ascii="Arial" w:cs="Arial" w:eastAsia="Arial" w:hAnsi="Arial"/>
          <w:sz w:val="16"/>
          <w:szCs w:val="16"/>
          <w:color w:val="auto"/>
        </w:rPr>
        <w:t>The following (unaudited) pro forma consolidated results of operations have been prepared to show the impact of the acquisition of Cuprum as if the acquisition had occurred January 1, 2013, for the year ended December 31, 2013, as if the acquisition had occurred on January 1, 2012, for the year ended December 31, 2012 and as if the acquisition had occurred on January 1, 2011, for the year ended December 31, 2011. This supplemental pro forma information has been prepared for comparative purposes and is not necessarily indicative of the results of operations that actually would have been achieved had the acquisition been consummated as of that time, nor is it intended to be a projection of future results.</w:t>
      </w:r>
    </w:p>
    <w:p>
      <w:pPr>
        <w:spacing w:after="0" w:line="153"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406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1720" w:type="dxa"/>
            <w:vAlign w:val="bottom"/>
            <w:gridSpan w:val="6"/>
          </w:tcPr>
          <w:p>
            <w:pPr>
              <w:jc w:val="center"/>
              <w:ind w:left="392"/>
              <w:spacing w:after="0"/>
              <w:rPr>
                <w:sz w:val="20"/>
                <w:szCs w:val="20"/>
                <w:color w:val="auto"/>
              </w:rPr>
            </w:pPr>
            <w:r>
              <w:rPr>
                <w:rFonts w:ascii="Arial" w:cs="Arial" w:eastAsia="Arial" w:hAnsi="Arial"/>
                <w:sz w:val="14"/>
                <w:szCs w:val="14"/>
                <w:b w:val="1"/>
                <w:bCs w:val="1"/>
                <w:color w:val="auto"/>
                <w:w w:val="87"/>
              </w:rPr>
              <w:t>For the year ended</w:t>
            </w:r>
          </w:p>
        </w:tc>
        <w:tc>
          <w:tcPr>
            <w:tcW w:w="48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61"/>
        </w:trPr>
        <w:tc>
          <w:tcPr>
            <w:tcW w:w="406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5"/>
              </w:rPr>
              <w:t>December 31,</w:t>
            </w:r>
          </w:p>
        </w:tc>
        <w:tc>
          <w:tcPr>
            <w:tcW w:w="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4060" w:type="dxa"/>
            <w:vAlign w:val="bottom"/>
          </w:tcPr>
          <w:p>
            <w:pPr>
              <w:spacing w:after="0"/>
              <w:rPr>
                <w:sz w:val="12"/>
                <w:szCs w:val="12"/>
                <w:color w:val="auto"/>
              </w:rPr>
            </w:pPr>
          </w:p>
        </w:tc>
        <w:tc>
          <w:tcPr>
            <w:tcW w:w="2140" w:type="dxa"/>
            <w:vAlign w:val="bottom"/>
          </w:tcPr>
          <w:p>
            <w:pPr>
              <w:spacing w:after="0"/>
              <w:rPr>
                <w:sz w:val="12"/>
                <w:szCs w:val="12"/>
                <w:color w:val="auto"/>
              </w:rPr>
            </w:pPr>
          </w:p>
        </w:tc>
        <w:tc>
          <w:tcPr>
            <w:tcW w:w="620" w:type="dxa"/>
            <w:vAlign w:val="bottom"/>
          </w:tcPr>
          <w:p>
            <w:pPr>
              <w:jc w:val="right"/>
              <w:ind w:right="112"/>
              <w:spacing w:after="0" w:line="142" w:lineRule="exact"/>
              <w:rPr>
                <w:sz w:val="20"/>
                <w:szCs w:val="20"/>
                <w:color w:val="auto"/>
              </w:rPr>
            </w:pPr>
            <w:r>
              <w:rPr>
                <w:rFonts w:ascii="Arial" w:cs="Arial" w:eastAsia="Arial" w:hAnsi="Arial"/>
                <w:sz w:val="14"/>
                <w:szCs w:val="14"/>
                <w:b w:val="1"/>
                <w:bCs w:val="1"/>
                <w:color w:val="auto"/>
              </w:rPr>
              <w:t>2013</w:t>
            </w:r>
          </w:p>
        </w:tc>
        <w:tc>
          <w:tcPr>
            <w:tcW w:w="780" w:type="dxa"/>
            <w:vAlign w:val="bottom"/>
            <w:gridSpan w:val="2"/>
          </w:tcPr>
          <w:p>
            <w:pPr>
              <w:jc w:val="center"/>
              <w:ind w:left="112"/>
              <w:spacing w:after="0" w:line="142" w:lineRule="exact"/>
              <w:rPr>
                <w:sz w:val="20"/>
                <w:szCs w:val="20"/>
                <w:color w:val="auto"/>
              </w:rPr>
            </w:pPr>
            <w:r>
              <w:rPr>
                <w:rFonts w:ascii="Arial" w:cs="Arial" w:eastAsia="Arial" w:hAnsi="Arial"/>
                <w:sz w:val="14"/>
                <w:szCs w:val="14"/>
                <w:b w:val="1"/>
                <w:bCs w:val="1"/>
                <w:color w:val="auto"/>
                <w:w w:val="89"/>
              </w:rPr>
              <w:t>2012</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jc w:val="right"/>
              <w:ind w:right="112"/>
              <w:spacing w:after="0" w:line="142" w:lineRule="exact"/>
              <w:rPr>
                <w:sz w:val="20"/>
                <w:szCs w:val="20"/>
                <w:color w:val="auto"/>
              </w:rPr>
            </w:pPr>
            <w:r>
              <w:rPr>
                <w:rFonts w:ascii="Arial" w:cs="Arial" w:eastAsia="Arial" w:hAnsi="Arial"/>
                <w:sz w:val="14"/>
                <w:szCs w:val="14"/>
                <w:b w:val="1"/>
                <w:bCs w:val="1"/>
                <w:color w:val="auto"/>
                <w:w w:val="89"/>
              </w:rPr>
              <w:t>2011</w:t>
            </w:r>
          </w:p>
        </w:tc>
        <w:tc>
          <w:tcPr>
            <w:tcW w:w="160" w:type="dxa"/>
            <w:vAlign w:val="bottom"/>
          </w:tcPr>
          <w:p>
            <w:pPr>
              <w:spacing w:after="0"/>
              <w:rPr>
                <w:sz w:val="12"/>
                <w:szCs w:val="12"/>
                <w:color w:val="auto"/>
              </w:rPr>
            </w:pPr>
          </w:p>
        </w:tc>
      </w:tr>
      <w:tr>
        <w:trPr>
          <w:trHeight w:val="131"/>
        </w:trPr>
        <w:tc>
          <w:tcPr>
            <w:tcW w:w="4060" w:type="dxa"/>
            <w:vAlign w:val="bottom"/>
          </w:tcPr>
          <w:p>
            <w:pPr>
              <w:spacing w:after="0"/>
              <w:rPr>
                <w:sz w:val="11"/>
                <w:szCs w:val="11"/>
                <w:color w:val="auto"/>
              </w:rPr>
            </w:pPr>
          </w:p>
        </w:tc>
        <w:tc>
          <w:tcPr>
            <w:tcW w:w="2140" w:type="dxa"/>
            <w:vAlign w:val="bottom"/>
          </w:tcPr>
          <w:p>
            <w:pPr>
              <w:spacing w:after="0"/>
              <w:rPr>
                <w:sz w:val="11"/>
                <w:szCs w:val="11"/>
                <w:color w:val="auto"/>
              </w:rPr>
            </w:pPr>
          </w:p>
        </w:tc>
        <w:tc>
          <w:tcPr>
            <w:tcW w:w="6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Borders>
              <w:top w:val="single" w:sz="8" w:color="auto"/>
            </w:tcBorders>
          </w:tcPr>
          <w:p>
            <w:pPr>
              <w:jc w:val="center"/>
              <w:spacing w:after="0" w:line="131" w:lineRule="exact"/>
              <w:rPr>
                <w:sz w:val="20"/>
                <w:szCs w:val="20"/>
                <w:color w:val="auto"/>
              </w:rPr>
            </w:pPr>
            <w:r>
              <w:rPr>
                <w:rFonts w:ascii="Arial" w:cs="Arial" w:eastAsia="Arial" w:hAnsi="Arial"/>
                <w:sz w:val="14"/>
                <w:szCs w:val="14"/>
                <w:b w:val="1"/>
                <w:bCs w:val="1"/>
                <w:i w:val="1"/>
                <w:iCs w:val="1"/>
                <w:color w:val="auto"/>
                <w:w w:val="79"/>
              </w:rPr>
              <w:t>(in millions,</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48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r>
      <w:tr>
        <w:trPr>
          <w:trHeight w:val="159"/>
        </w:trPr>
        <w:tc>
          <w:tcPr>
            <w:tcW w:w="4060" w:type="dxa"/>
            <w:vAlign w:val="bottom"/>
          </w:tcPr>
          <w:p>
            <w:pPr>
              <w:spacing w:after="0"/>
              <w:rPr>
                <w:sz w:val="13"/>
                <w:szCs w:val="13"/>
                <w:color w:val="auto"/>
              </w:rPr>
            </w:pPr>
          </w:p>
        </w:tc>
        <w:tc>
          <w:tcPr>
            <w:tcW w:w="2140" w:type="dxa"/>
            <w:vAlign w:val="bottom"/>
          </w:tcPr>
          <w:p>
            <w:pPr>
              <w:spacing w:after="0"/>
              <w:rPr>
                <w:sz w:val="13"/>
                <w:szCs w:val="13"/>
                <w:color w:val="auto"/>
              </w:rPr>
            </w:pPr>
          </w:p>
        </w:tc>
        <w:tc>
          <w:tcPr>
            <w:tcW w:w="1720" w:type="dxa"/>
            <w:vAlign w:val="bottom"/>
            <w:gridSpan w:val="6"/>
          </w:tcPr>
          <w:p>
            <w:pPr>
              <w:jc w:val="center"/>
              <w:ind w:left="392"/>
              <w:spacing w:after="0" w:line="159" w:lineRule="exact"/>
              <w:rPr>
                <w:sz w:val="20"/>
                <w:szCs w:val="20"/>
                <w:color w:val="auto"/>
              </w:rPr>
            </w:pPr>
            <w:r>
              <w:rPr>
                <w:rFonts w:ascii="Arial" w:cs="Arial" w:eastAsia="Arial" w:hAnsi="Arial"/>
                <w:sz w:val="14"/>
                <w:szCs w:val="14"/>
                <w:b w:val="1"/>
                <w:bCs w:val="1"/>
                <w:i w:val="1"/>
                <w:iCs w:val="1"/>
                <w:color w:val="auto"/>
                <w:w w:val="82"/>
              </w:rPr>
              <w:t>except per share data)</w:t>
            </w:r>
          </w:p>
        </w:tc>
        <w:tc>
          <w:tcPr>
            <w:tcW w:w="480" w:type="dxa"/>
            <w:vAlign w:val="bottom"/>
          </w:tcPr>
          <w:p>
            <w:pPr>
              <w:spacing w:after="0"/>
              <w:rPr>
                <w:sz w:val="13"/>
                <w:szCs w:val="13"/>
                <w:color w:val="auto"/>
              </w:rPr>
            </w:pPr>
          </w:p>
        </w:tc>
        <w:tc>
          <w:tcPr>
            <w:tcW w:w="160" w:type="dxa"/>
            <w:vAlign w:val="bottom"/>
          </w:tcPr>
          <w:p>
            <w:pPr>
              <w:spacing w:after="0"/>
              <w:rPr>
                <w:sz w:val="13"/>
                <w:szCs w:val="13"/>
                <w:color w:val="auto"/>
              </w:rPr>
            </w:pPr>
          </w:p>
        </w:tc>
      </w:tr>
      <w:tr>
        <w:trPr>
          <w:trHeight w:val="149"/>
        </w:trPr>
        <w:tc>
          <w:tcPr>
            <w:tcW w:w="4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Total revenues</w:t>
            </w:r>
          </w:p>
        </w:tc>
        <w:tc>
          <w:tcPr>
            <w:tcW w:w="27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  9,339.4</w:t>
            </w:r>
          </w:p>
        </w:tc>
        <w:tc>
          <w:tcPr>
            <w:tcW w:w="7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  9,424.4</w:t>
            </w:r>
          </w:p>
        </w:tc>
        <w:tc>
          <w:tcPr>
            <w:tcW w:w="120" w:type="dxa"/>
            <w:vAlign w:val="bottom"/>
            <w:shd w:val="clear" w:color="auto" w:fill="CCEEFF"/>
          </w:tcPr>
          <w:p>
            <w:pPr>
              <w:spacing w:after="0"/>
              <w:rPr>
                <w:sz w:val="12"/>
                <w:szCs w:val="12"/>
                <w:color w:val="auto"/>
              </w:rPr>
            </w:pPr>
          </w:p>
        </w:tc>
        <w:tc>
          <w:tcPr>
            <w:tcW w:w="2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4"/>
              </w:rPr>
              <w:t>8,840.3</w:t>
            </w:r>
          </w:p>
        </w:tc>
        <w:tc>
          <w:tcPr>
            <w:tcW w:w="160" w:type="dxa"/>
            <w:vAlign w:val="bottom"/>
            <w:shd w:val="clear" w:color="auto" w:fill="CCEEFF"/>
          </w:tcPr>
          <w:p>
            <w:pPr>
              <w:spacing w:after="0"/>
              <w:rPr>
                <w:sz w:val="12"/>
                <w:szCs w:val="12"/>
                <w:color w:val="auto"/>
              </w:rPr>
            </w:pPr>
          </w:p>
        </w:tc>
      </w:tr>
      <w:tr>
        <w:trPr>
          <w:trHeight w:val="149"/>
        </w:trPr>
        <w:tc>
          <w:tcPr>
            <w:tcW w:w="4060" w:type="dxa"/>
            <w:vAlign w:val="bottom"/>
          </w:tcPr>
          <w:p>
            <w:pPr>
              <w:spacing w:after="0" w:line="149" w:lineRule="exact"/>
              <w:rPr>
                <w:sz w:val="20"/>
                <w:szCs w:val="20"/>
                <w:color w:val="auto"/>
              </w:rPr>
            </w:pPr>
            <w:r>
              <w:rPr>
                <w:rFonts w:ascii="Arial" w:cs="Arial" w:eastAsia="Arial" w:hAnsi="Arial"/>
                <w:sz w:val="14"/>
                <w:szCs w:val="14"/>
                <w:color w:val="auto"/>
              </w:rPr>
              <w:t>Net income</w:t>
            </w:r>
          </w:p>
        </w:tc>
        <w:tc>
          <w:tcPr>
            <w:tcW w:w="27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956.6</w:t>
            </w:r>
          </w:p>
        </w:tc>
        <w:tc>
          <w:tcPr>
            <w:tcW w:w="7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939.3</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jc w:val="right"/>
              <w:spacing w:after="0" w:line="149" w:lineRule="exact"/>
              <w:rPr>
                <w:sz w:val="20"/>
                <w:szCs w:val="20"/>
                <w:color w:val="auto"/>
              </w:rPr>
            </w:pPr>
            <w:r>
              <w:rPr>
                <w:rFonts w:ascii="Arial" w:cs="Arial" w:eastAsia="Arial" w:hAnsi="Arial"/>
                <w:sz w:val="14"/>
                <w:szCs w:val="14"/>
                <w:color w:val="auto"/>
              </w:rPr>
              <w:t>753.2</w:t>
            </w:r>
          </w:p>
        </w:tc>
        <w:tc>
          <w:tcPr>
            <w:tcW w:w="160" w:type="dxa"/>
            <w:vAlign w:val="bottom"/>
          </w:tcPr>
          <w:p>
            <w:pPr>
              <w:spacing w:after="0"/>
              <w:rPr>
                <w:sz w:val="12"/>
                <w:szCs w:val="12"/>
                <w:color w:val="auto"/>
              </w:rPr>
            </w:pPr>
          </w:p>
        </w:tc>
      </w:tr>
      <w:tr>
        <w:trPr>
          <w:trHeight w:val="149"/>
        </w:trPr>
        <w:tc>
          <w:tcPr>
            <w:tcW w:w="4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Basic earnings per common share</w:t>
            </w:r>
          </w:p>
        </w:tc>
        <w:tc>
          <w:tcPr>
            <w:tcW w:w="27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3.25</w:t>
            </w:r>
          </w:p>
        </w:tc>
        <w:tc>
          <w:tcPr>
            <w:tcW w:w="7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3.16</w:t>
            </w: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2.39</w:t>
            </w:r>
          </w:p>
        </w:tc>
        <w:tc>
          <w:tcPr>
            <w:tcW w:w="160" w:type="dxa"/>
            <w:vAlign w:val="bottom"/>
            <w:shd w:val="clear" w:color="auto" w:fill="CCEEFF"/>
          </w:tcPr>
          <w:p>
            <w:pPr>
              <w:spacing w:after="0"/>
              <w:rPr>
                <w:sz w:val="12"/>
                <w:szCs w:val="12"/>
                <w:color w:val="auto"/>
              </w:rPr>
            </w:pPr>
          </w:p>
        </w:tc>
      </w:tr>
      <w:tr>
        <w:trPr>
          <w:trHeight w:val="174"/>
        </w:trPr>
        <w:tc>
          <w:tcPr>
            <w:tcW w:w="4060" w:type="dxa"/>
            <w:vAlign w:val="bottom"/>
          </w:tcPr>
          <w:p>
            <w:pPr>
              <w:spacing w:after="0"/>
              <w:rPr>
                <w:sz w:val="20"/>
                <w:szCs w:val="20"/>
                <w:color w:val="auto"/>
              </w:rPr>
            </w:pPr>
            <w:r>
              <w:rPr>
                <w:rFonts w:ascii="Arial" w:cs="Arial" w:eastAsia="Arial" w:hAnsi="Arial"/>
                <w:sz w:val="14"/>
                <w:szCs w:val="14"/>
                <w:color w:val="auto"/>
              </w:rPr>
              <w:t>Diluted earnings per common share</w:t>
            </w:r>
          </w:p>
        </w:tc>
        <w:tc>
          <w:tcPr>
            <w:tcW w:w="2760" w:type="dxa"/>
            <w:vAlign w:val="bottom"/>
            <w:gridSpan w:val="2"/>
          </w:tcPr>
          <w:p>
            <w:pPr>
              <w:jc w:val="right"/>
              <w:spacing w:after="0"/>
              <w:rPr>
                <w:sz w:val="20"/>
                <w:szCs w:val="20"/>
                <w:color w:val="auto"/>
              </w:rPr>
            </w:pPr>
            <w:r>
              <w:rPr>
                <w:rFonts w:ascii="Arial" w:cs="Arial" w:eastAsia="Arial" w:hAnsi="Arial"/>
                <w:sz w:val="14"/>
                <w:szCs w:val="14"/>
                <w:b w:val="1"/>
                <w:bCs w:val="1"/>
                <w:color w:val="auto"/>
              </w:rPr>
              <w:t>3.21</w:t>
            </w:r>
          </w:p>
        </w:tc>
        <w:tc>
          <w:tcPr>
            <w:tcW w:w="780" w:type="dxa"/>
            <w:vAlign w:val="bottom"/>
            <w:gridSpan w:val="2"/>
          </w:tcPr>
          <w:p>
            <w:pPr>
              <w:jc w:val="right"/>
              <w:spacing w:after="0"/>
              <w:rPr>
                <w:sz w:val="20"/>
                <w:szCs w:val="20"/>
                <w:color w:val="auto"/>
              </w:rPr>
            </w:pPr>
            <w:r>
              <w:rPr>
                <w:rFonts w:ascii="Arial" w:cs="Arial" w:eastAsia="Arial" w:hAnsi="Arial"/>
                <w:sz w:val="14"/>
                <w:szCs w:val="14"/>
                <w:color w:val="auto"/>
              </w:rPr>
              <w:t>3.13</w:t>
            </w:r>
          </w:p>
        </w:tc>
        <w:tc>
          <w:tcPr>
            <w:tcW w:w="1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2.37</w:t>
            </w:r>
          </w:p>
        </w:tc>
        <w:tc>
          <w:tcPr>
            <w:tcW w:w="160" w:type="dxa"/>
            <w:vAlign w:val="bottom"/>
          </w:tcPr>
          <w:p>
            <w:pPr>
              <w:spacing w:after="0"/>
              <w:rPr>
                <w:sz w:val="15"/>
                <w:szCs w:val="15"/>
                <w:color w:val="auto"/>
              </w:rPr>
            </w:pPr>
          </w:p>
        </w:tc>
      </w:tr>
    </w:tbl>
    <w:p>
      <w:pPr>
        <w:spacing w:after="0" w:line="182" w:lineRule="exact"/>
        <w:rPr>
          <w:sz w:val="20"/>
          <w:szCs w:val="20"/>
          <w:color w:val="auto"/>
        </w:rPr>
      </w:pPr>
    </w:p>
    <w:p>
      <w:pPr>
        <w:ind w:left="380"/>
        <w:spacing w:after="0"/>
        <w:rPr>
          <w:sz w:val="20"/>
          <w:szCs w:val="20"/>
          <w:color w:val="auto"/>
        </w:rPr>
      </w:pPr>
      <w:r>
        <w:rPr>
          <w:rFonts w:ascii="Arial" w:cs="Arial" w:eastAsia="Arial" w:hAnsi="Arial"/>
          <w:sz w:val="15"/>
          <w:szCs w:val="15"/>
          <w:color w:val="auto"/>
        </w:rPr>
        <w:t>The (unaudited) total revenues and net income of Cuprum included in the consolidated statement of operations from the acquisition date to the period ended</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2013, were as follows:</w:t>
      </w:r>
    </w:p>
    <w:p>
      <w:pPr>
        <w:spacing w:after="0" w:line="214" w:lineRule="exact"/>
        <w:rPr>
          <w:sz w:val="20"/>
          <w:szCs w:val="20"/>
          <w:color w:val="auto"/>
        </w:rPr>
      </w:pPr>
    </w:p>
    <w:p>
      <w:pPr>
        <w:ind w:left="8560"/>
        <w:spacing w:after="0"/>
        <w:rPr>
          <w:sz w:val="20"/>
          <w:szCs w:val="20"/>
          <w:color w:val="auto"/>
        </w:rPr>
      </w:pPr>
      <w:r>
        <w:rPr>
          <w:rFonts w:ascii="Arial" w:cs="Arial" w:eastAsia="Arial" w:hAnsi="Arial"/>
          <w:sz w:val="14"/>
          <w:szCs w:val="14"/>
          <w:b w:val="1"/>
          <w:bCs w:val="1"/>
          <w:color w:val="auto"/>
        </w:rPr>
        <w:t>For the year ended,</w:t>
      </w:r>
    </w:p>
    <w:p>
      <w:pPr>
        <w:ind w:left="8560"/>
        <w:spacing w:after="0" w:line="221" w:lineRule="auto"/>
        <w:rPr>
          <w:sz w:val="20"/>
          <w:szCs w:val="20"/>
          <w:color w:val="auto"/>
        </w:rPr>
      </w:pPr>
      <w:r>
        <w:rPr>
          <w:rFonts w:ascii="Arial" w:cs="Arial" w:eastAsia="Arial" w:hAnsi="Arial"/>
          <w:sz w:val="14"/>
          <w:szCs w:val="14"/>
          <w:b w:val="1"/>
          <w:bCs w:val="1"/>
          <w:color w:val="auto"/>
        </w:rPr>
        <w:t>December 31, 2013</w:t>
      </w:r>
    </w:p>
    <w:p>
      <w:pPr>
        <w:spacing w:after="0" w:line="21" w:lineRule="exact"/>
        <w:rPr>
          <w:sz w:val="20"/>
          <w:szCs w:val="20"/>
          <w:color w:val="auto"/>
        </w:rPr>
      </w:pPr>
    </w:p>
    <w:tbl>
      <w:tblPr>
        <w:tblLayout w:type="fixed"/>
        <w:tblInd w:w="1380" w:type="dxa"/>
        <w:tblCellMar>
          <w:top w:w="0" w:type="dxa"/>
          <w:left w:w="0" w:type="dxa"/>
          <w:bottom w:w="0" w:type="dxa"/>
          <w:right w:w="0" w:type="dxa"/>
        </w:tblCellMar>
      </w:tblPr>
      <w:tr>
        <w:trPr>
          <w:trHeight w:val="20"/>
        </w:trPr>
        <w:tc>
          <w:tcPr>
            <w:tcW w:w="394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22"/>
        </w:trPr>
        <w:tc>
          <w:tcPr>
            <w:tcW w:w="3940" w:type="dxa"/>
            <w:vAlign w:val="bottom"/>
            <w:shd w:val="clear" w:color="auto" w:fill="CCEEFF"/>
          </w:tcPr>
          <w:p>
            <w:pPr>
              <w:spacing w:after="0" w:line="122" w:lineRule="exact"/>
              <w:rPr>
                <w:sz w:val="20"/>
                <w:szCs w:val="20"/>
                <w:color w:val="auto"/>
              </w:rPr>
            </w:pPr>
            <w:r>
              <w:rPr>
                <w:rFonts w:ascii="Arial" w:cs="Arial" w:eastAsia="Arial" w:hAnsi="Arial"/>
                <w:sz w:val="14"/>
                <w:szCs w:val="14"/>
                <w:color w:val="auto"/>
              </w:rPr>
              <w:t>Total revenues</w:t>
            </w:r>
          </w:p>
        </w:tc>
        <w:tc>
          <w:tcPr>
            <w:tcW w:w="3680" w:type="dxa"/>
            <w:vAlign w:val="bottom"/>
            <w:gridSpan w:val="2"/>
            <w:shd w:val="clear" w:color="auto" w:fill="CCEEFF"/>
          </w:tcPr>
          <w:p>
            <w:pPr>
              <w:jc w:val="right"/>
              <w:ind w:right="480"/>
              <w:spacing w:after="0" w:line="122" w:lineRule="exact"/>
              <w:rPr>
                <w:sz w:val="20"/>
                <w:szCs w:val="20"/>
                <w:color w:val="auto"/>
              </w:rPr>
            </w:pPr>
            <w:r>
              <w:rPr>
                <w:rFonts w:ascii="Arial" w:cs="Arial" w:eastAsia="Arial" w:hAnsi="Arial"/>
                <w:sz w:val="14"/>
                <w:szCs w:val="14"/>
                <w:b w:val="1"/>
                <w:bCs w:val="1"/>
                <w:color w:val="auto"/>
              </w:rPr>
              <w:t>$</w:t>
            </w:r>
          </w:p>
        </w:tc>
        <w:tc>
          <w:tcPr>
            <w:tcW w:w="780" w:type="dxa"/>
            <w:vAlign w:val="bottom"/>
            <w:shd w:val="clear" w:color="auto" w:fill="CCEEFF"/>
          </w:tcPr>
          <w:p>
            <w:pPr>
              <w:jc w:val="right"/>
              <w:spacing w:after="0" w:line="122" w:lineRule="exact"/>
              <w:rPr>
                <w:sz w:val="20"/>
                <w:szCs w:val="20"/>
                <w:color w:val="auto"/>
              </w:rPr>
            </w:pPr>
            <w:r>
              <w:rPr>
                <w:rFonts w:ascii="Arial" w:cs="Arial" w:eastAsia="Arial" w:hAnsi="Arial"/>
                <w:sz w:val="14"/>
                <w:szCs w:val="14"/>
                <w:b w:val="1"/>
                <w:bCs w:val="1"/>
                <w:color w:val="auto"/>
              </w:rPr>
              <w:t>186.4</w:t>
            </w:r>
          </w:p>
        </w:tc>
        <w:tc>
          <w:tcPr>
            <w:tcW w:w="160" w:type="dxa"/>
            <w:vAlign w:val="bottom"/>
            <w:shd w:val="clear" w:color="auto" w:fill="CCEEFF"/>
          </w:tcPr>
          <w:p>
            <w:pPr>
              <w:spacing w:after="0"/>
              <w:rPr>
                <w:sz w:val="10"/>
                <w:szCs w:val="10"/>
                <w:color w:val="auto"/>
              </w:rPr>
            </w:pPr>
          </w:p>
        </w:tc>
      </w:tr>
      <w:tr>
        <w:trPr>
          <w:trHeight w:val="174"/>
        </w:trPr>
        <w:tc>
          <w:tcPr>
            <w:tcW w:w="3940" w:type="dxa"/>
            <w:vAlign w:val="bottom"/>
          </w:tcPr>
          <w:p>
            <w:pPr>
              <w:spacing w:after="0"/>
              <w:rPr>
                <w:sz w:val="20"/>
                <w:szCs w:val="20"/>
                <w:color w:val="auto"/>
              </w:rPr>
            </w:pPr>
            <w:r>
              <w:rPr>
                <w:rFonts w:ascii="Arial" w:cs="Arial" w:eastAsia="Arial" w:hAnsi="Arial"/>
                <w:sz w:val="14"/>
                <w:szCs w:val="14"/>
                <w:color w:val="auto"/>
              </w:rPr>
              <w:t>Net income</w:t>
            </w:r>
          </w:p>
        </w:tc>
        <w:tc>
          <w:tcPr>
            <w:tcW w:w="31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Arial" w:cs="Arial" w:eastAsia="Arial" w:hAnsi="Arial"/>
                <w:sz w:val="14"/>
                <w:szCs w:val="14"/>
                <w:b w:val="1"/>
                <w:bCs w:val="1"/>
                <w:color w:val="auto"/>
              </w:rPr>
              <w:t>87.0</w:t>
            </w:r>
          </w:p>
        </w:tc>
        <w:tc>
          <w:tcPr>
            <w:tcW w:w="160" w:type="dxa"/>
            <w:vAlign w:val="bottom"/>
          </w:tcPr>
          <w:p>
            <w:pPr>
              <w:spacing w:after="0"/>
              <w:rPr>
                <w:sz w:val="15"/>
                <w:szCs w:val="15"/>
                <w:color w:val="auto"/>
              </w:rPr>
            </w:pPr>
          </w:p>
        </w:tc>
      </w:tr>
    </w:tbl>
    <w:p>
      <w:pPr>
        <w:spacing w:after="0" w:line="1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9" w:name="page110"/>
    <w:bookmarkEnd w:id="10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ind w:right="8400" w:firstLine="8"/>
        <w:spacing w:after="0" w:line="504" w:lineRule="auto"/>
        <w:tabs>
          <w:tab w:leader="none" w:pos="176" w:val="left"/>
        </w:tabs>
        <w:numPr>
          <w:ilvl w:val="0"/>
          <w:numId w:val="48"/>
        </w:numPr>
        <w:rPr>
          <w:rFonts w:ascii="Arial" w:cs="Arial" w:eastAsia="Arial" w:hAnsi="Arial"/>
          <w:sz w:val="18"/>
          <w:szCs w:val="18"/>
          <w:b w:val="1"/>
          <w:bCs w:val="1"/>
          <w:color w:val="auto"/>
        </w:rPr>
      </w:pPr>
      <w:r>
        <w:rPr>
          <w:rFonts w:ascii="Arial" w:cs="Arial" w:eastAsia="Arial" w:hAnsi="Arial"/>
          <w:sz w:val="18"/>
          <w:szCs w:val="18"/>
          <w:b w:val="1"/>
          <w:bCs w:val="1"/>
          <w:color w:val="auto"/>
        </w:rPr>
        <w:t>Goodwill and Other Intangible Assets Goodwill</w:t>
      </w:r>
    </w:p>
    <w:p>
      <w:pPr>
        <w:ind w:left="360"/>
        <w:spacing w:after="0"/>
        <w:rPr>
          <w:rFonts w:ascii="Arial" w:cs="Arial" w:eastAsia="Arial" w:hAnsi="Arial"/>
          <w:sz w:val="18"/>
          <w:szCs w:val="18"/>
          <w:b w:val="1"/>
          <w:bCs w:val="1"/>
          <w:color w:val="auto"/>
        </w:rPr>
      </w:pPr>
      <w:r>
        <w:rPr>
          <w:rFonts w:ascii="Arial" w:cs="Arial" w:eastAsia="Arial" w:hAnsi="Arial"/>
          <w:sz w:val="18"/>
          <w:szCs w:val="18"/>
          <w:color w:val="auto"/>
        </w:rPr>
        <w:t>The changes in the carrying amount of goodwill reported in our segments were as follows:</w:t>
      </w:r>
    </w:p>
    <w:p>
      <w:pPr>
        <w:spacing w:after="0" w:line="20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2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Retirement</w:t>
            </w:r>
          </w:p>
        </w:tc>
        <w:tc>
          <w:tcPr>
            <w:tcW w:w="700" w:type="dxa"/>
            <w:vAlign w:val="bottom"/>
            <w:gridSpan w:val="2"/>
          </w:tcPr>
          <w:p>
            <w:pPr>
              <w:jc w:val="center"/>
              <w:spacing w:after="0"/>
              <w:rPr>
                <w:sz w:val="20"/>
                <w:szCs w:val="20"/>
                <w:color w:val="auto"/>
              </w:rPr>
            </w:pPr>
            <w:r>
              <w:rPr>
                <w:rFonts w:ascii="Arial" w:cs="Arial" w:eastAsia="Arial" w:hAnsi="Arial"/>
                <w:sz w:val="14"/>
                <w:szCs w:val="14"/>
                <w:b w:val="1"/>
                <w:bCs w:val="1"/>
                <w:color w:val="auto"/>
                <w:w w:val="87"/>
              </w:rPr>
              <w:t>Principal</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7"/>
              </w:rPr>
              <w:t>U.S.</w:t>
            </w:r>
          </w:p>
        </w:tc>
        <w:tc>
          <w:tcPr>
            <w:tcW w:w="3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49"/>
        </w:trPr>
        <w:tc>
          <w:tcPr>
            <w:tcW w:w="20" w:type="dxa"/>
            <w:vAlign w:val="bottom"/>
          </w:tcPr>
          <w:p>
            <w:pPr>
              <w:spacing w:after="0"/>
              <w:rPr>
                <w:sz w:val="12"/>
                <w:szCs w:val="12"/>
                <w:color w:val="auto"/>
              </w:rPr>
            </w:pPr>
          </w:p>
        </w:tc>
        <w:tc>
          <w:tcPr>
            <w:tcW w:w="3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and Investor</w:t>
            </w:r>
          </w:p>
        </w:tc>
        <w:tc>
          <w:tcPr>
            <w:tcW w:w="120" w:type="dxa"/>
            <w:vAlign w:val="bottom"/>
          </w:tcPr>
          <w:p>
            <w:pPr>
              <w:spacing w:after="0"/>
              <w:rPr>
                <w:sz w:val="12"/>
                <w:szCs w:val="12"/>
                <w:color w:val="auto"/>
              </w:rPr>
            </w:pPr>
          </w:p>
        </w:tc>
        <w:tc>
          <w:tcPr>
            <w:tcW w:w="580" w:type="dxa"/>
            <w:vAlign w:val="bottom"/>
          </w:tcPr>
          <w:p>
            <w:pPr>
              <w:jc w:val="center"/>
              <w:ind w:right="72"/>
              <w:spacing w:after="0" w:line="149" w:lineRule="exact"/>
              <w:rPr>
                <w:sz w:val="20"/>
                <w:szCs w:val="20"/>
                <w:color w:val="auto"/>
              </w:rPr>
            </w:pPr>
            <w:r>
              <w:rPr>
                <w:rFonts w:ascii="Arial" w:cs="Arial" w:eastAsia="Arial" w:hAnsi="Arial"/>
                <w:sz w:val="14"/>
                <w:szCs w:val="14"/>
                <w:b w:val="1"/>
                <w:bCs w:val="1"/>
                <w:color w:val="auto"/>
                <w:w w:val="91"/>
              </w:rPr>
              <w:t>Global</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right"/>
              <w:ind w:right="360"/>
              <w:spacing w:after="0" w:line="149" w:lineRule="exact"/>
              <w:rPr>
                <w:sz w:val="20"/>
                <w:szCs w:val="20"/>
                <w:color w:val="auto"/>
              </w:rPr>
            </w:pPr>
            <w:r>
              <w:rPr>
                <w:rFonts w:ascii="Arial" w:cs="Arial" w:eastAsia="Arial" w:hAnsi="Arial"/>
                <w:sz w:val="14"/>
                <w:szCs w:val="14"/>
                <w:b w:val="1"/>
                <w:bCs w:val="1"/>
                <w:color w:val="auto"/>
              </w:rPr>
              <w:t>Principal</w:t>
            </w:r>
          </w:p>
        </w:tc>
        <w:tc>
          <w:tcPr>
            <w:tcW w:w="88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4"/>
              </w:rPr>
              <w:t>Insurance</w:t>
            </w:r>
          </w:p>
        </w:tc>
        <w:tc>
          <w:tcPr>
            <w:tcW w:w="3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61"/>
        </w:trPr>
        <w:tc>
          <w:tcPr>
            <w:tcW w:w="20" w:type="dxa"/>
            <w:vAlign w:val="bottom"/>
          </w:tcPr>
          <w:p>
            <w:pPr>
              <w:spacing w:after="0"/>
              <w:rPr>
                <w:sz w:val="14"/>
                <w:szCs w:val="14"/>
                <w:color w:val="auto"/>
              </w:rPr>
            </w:pPr>
          </w:p>
        </w:tc>
        <w:tc>
          <w:tcPr>
            <w:tcW w:w="32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79"/>
              </w:rPr>
              <w:t>Services</w:t>
            </w:r>
          </w:p>
        </w:tc>
        <w:tc>
          <w:tcPr>
            <w:tcW w:w="160" w:type="dxa"/>
            <w:vAlign w:val="bottom"/>
          </w:tcPr>
          <w:p>
            <w:pPr>
              <w:spacing w:after="0"/>
              <w:rPr>
                <w:sz w:val="14"/>
                <w:szCs w:val="14"/>
                <w:color w:val="auto"/>
              </w:rPr>
            </w:pPr>
          </w:p>
        </w:tc>
        <w:tc>
          <w:tcPr>
            <w:tcW w:w="7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3"/>
              </w:rPr>
              <w:t>Investors</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8"/>
              </w:rPr>
              <w:t>International</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1"/>
              </w:rPr>
              <w:t>Solutions</w:t>
            </w:r>
          </w:p>
        </w:tc>
        <w:tc>
          <w:tcPr>
            <w:tcW w:w="160" w:type="dxa"/>
            <w:vAlign w:val="bottom"/>
          </w:tcPr>
          <w:p>
            <w:pPr>
              <w:spacing w:after="0"/>
              <w:rPr>
                <w:sz w:val="14"/>
                <w:szCs w:val="14"/>
                <w:color w:val="auto"/>
              </w:rPr>
            </w:pPr>
          </w:p>
        </w:tc>
        <w:tc>
          <w:tcPr>
            <w:tcW w:w="740" w:type="dxa"/>
            <w:vAlign w:val="bottom"/>
            <w:tcBorders>
              <w:bottom w:val="single" w:sz="8" w:color="auto"/>
            </w:tcBorders>
            <w:gridSpan w:val="2"/>
          </w:tcPr>
          <w:p>
            <w:pPr>
              <w:ind w:left="80"/>
              <w:spacing w:after="0"/>
              <w:rPr>
                <w:sz w:val="20"/>
                <w:szCs w:val="20"/>
                <w:color w:val="auto"/>
              </w:rPr>
            </w:pPr>
            <w:r>
              <w:rPr>
                <w:rFonts w:ascii="Arial" w:cs="Arial" w:eastAsia="Arial" w:hAnsi="Arial"/>
                <w:sz w:val="14"/>
                <w:szCs w:val="14"/>
                <w:b w:val="1"/>
                <w:bCs w:val="1"/>
                <w:color w:val="auto"/>
                <w:w w:val="95"/>
              </w:rPr>
              <w:t>Corporate</w:t>
            </w:r>
          </w:p>
        </w:tc>
        <w:tc>
          <w:tcPr>
            <w:tcW w:w="180" w:type="dxa"/>
            <w:vAlign w:val="bottom"/>
          </w:tcPr>
          <w:p>
            <w:pPr>
              <w:spacing w:after="0"/>
              <w:rPr>
                <w:sz w:val="14"/>
                <w:szCs w:val="14"/>
                <w:color w:val="auto"/>
              </w:rPr>
            </w:pPr>
          </w:p>
        </w:tc>
        <w:tc>
          <w:tcPr>
            <w:tcW w:w="90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14"/>
                <w:szCs w:val="14"/>
                <w:b w:val="1"/>
                <w:bCs w:val="1"/>
                <w:color w:val="auto"/>
                <w:w w:val="90"/>
              </w:rPr>
              <w:t>Consolidated</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3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80" w:type="dxa"/>
            <w:vAlign w:val="bottom"/>
            <w:gridSpan w:val="5"/>
          </w:tcPr>
          <w:p>
            <w:pPr>
              <w:jc w:val="right"/>
              <w:ind w:right="680"/>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3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4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Balance at January 1, 2012</w:t>
            </w:r>
          </w:p>
        </w:tc>
        <w:tc>
          <w:tcPr>
            <w:tcW w:w="80" w:type="dxa"/>
            <w:vAlign w:val="bottom"/>
            <w:gridSpan w:val="2"/>
            <w:shd w:val="clear" w:color="auto" w:fill="CCEEFF"/>
          </w:tcPr>
          <w:p>
            <w:pPr>
              <w:ind w:left="20"/>
              <w:spacing w:after="0"/>
              <w:rPr>
                <w:sz w:val="20"/>
                <w:szCs w:val="20"/>
                <w:color w:val="auto"/>
              </w:rPr>
            </w:pPr>
            <w:r>
              <w:rPr>
                <w:rFonts w:ascii="Arial" w:cs="Arial" w:eastAsia="Arial" w:hAnsi="Arial"/>
                <w:sz w:val="10"/>
                <w:szCs w:val="10"/>
                <w:color w:val="auto"/>
                <w:w w:val="71"/>
              </w:rPr>
              <w:t>$</w:t>
            </w: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72.6</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237.0</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127.8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44.9</w:t>
            </w:r>
          </w:p>
        </w:tc>
        <w:tc>
          <w:tcPr>
            <w:tcW w:w="160" w:type="dxa"/>
            <w:vAlign w:val="bottom"/>
            <w:shd w:val="clear" w:color="auto" w:fill="CCEEFF"/>
          </w:tcPr>
          <w:p>
            <w:pPr>
              <w:spacing w:after="0"/>
              <w:rPr>
                <w:sz w:val="12"/>
                <w:szCs w:val="12"/>
                <w:color w:val="auto"/>
              </w:rPr>
            </w:pPr>
          </w:p>
        </w:tc>
        <w:tc>
          <w:tcPr>
            <w:tcW w:w="340" w:type="dxa"/>
            <w:vAlign w:val="bottom"/>
            <w:shd w:val="clear" w:color="auto" w:fill="CCEEFF"/>
          </w:tcPr>
          <w:p>
            <w:pPr>
              <w:jc w:val="right"/>
              <w:ind w:right="192"/>
              <w:spacing w:after="0" w:line="149" w:lineRule="exact"/>
              <w:rPr>
                <w:sz w:val="20"/>
                <w:szCs w:val="20"/>
                <w:color w:val="auto"/>
              </w:rPr>
            </w:pPr>
            <w:r>
              <w:rPr>
                <w:rFonts w:ascii="Arial" w:cs="Arial" w:eastAsia="Arial" w:hAnsi="Arial"/>
                <w:sz w:val="14"/>
                <w:szCs w:val="14"/>
                <w:color w:val="auto"/>
                <w:w w:val="76"/>
              </w:rPr>
              <w:t>$</w:t>
            </w:r>
          </w:p>
        </w:tc>
        <w:tc>
          <w:tcPr>
            <w:tcW w:w="400" w:type="dxa"/>
            <w:vAlign w:val="bottom"/>
            <w:shd w:val="clear" w:color="auto" w:fill="CCEEFF"/>
          </w:tcPr>
          <w:p>
            <w:pPr>
              <w:ind w:left="260"/>
              <w:spacing w:after="0" w:line="149" w:lineRule="exact"/>
              <w:rPr>
                <w:sz w:val="20"/>
                <w:szCs w:val="20"/>
                <w:color w:val="auto"/>
              </w:rPr>
            </w:pPr>
            <w:r>
              <w:rPr>
                <w:rFonts w:ascii="Arial" w:cs="Arial" w:eastAsia="Arial" w:hAnsi="Arial"/>
                <w:sz w:val="14"/>
                <w:szCs w:val="14"/>
                <w:color w:val="auto"/>
                <w:w w:val="85"/>
              </w:rPr>
              <w:t>—</w:t>
            </w:r>
          </w:p>
        </w:tc>
        <w:tc>
          <w:tcPr>
            <w:tcW w:w="460" w:type="dxa"/>
            <w:vAlign w:val="bottom"/>
            <w:gridSpan w:val="2"/>
            <w:shd w:val="clear" w:color="auto" w:fill="CCEEFF"/>
          </w:tcPr>
          <w:p>
            <w:pPr>
              <w:jc w:val="right"/>
              <w:ind w:right="161"/>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482.3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40" w:type="dxa"/>
            <w:vAlign w:val="bottom"/>
          </w:tcPr>
          <w:p>
            <w:pPr>
              <w:ind w:left="140"/>
              <w:spacing w:after="0" w:line="149" w:lineRule="exact"/>
              <w:rPr>
                <w:sz w:val="20"/>
                <w:szCs w:val="20"/>
                <w:color w:val="auto"/>
              </w:rPr>
            </w:pPr>
            <w:r>
              <w:rPr>
                <w:rFonts w:ascii="Arial" w:cs="Arial" w:eastAsia="Arial" w:hAnsi="Arial"/>
                <w:sz w:val="14"/>
                <w:szCs w:val="14"/>
                <w:color w:val="auto"/>
              </w:rPr>
              <w:t>Goodwill from acquisitions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63.3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10.5</w:t>
            </w: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00" w:type="dxa"/>
            <w:vAlign w:val="bottom"/>
          </w:tcPr>
          <w:p>
            <w:pPr>
              <w:ind w:left="260"/>
              <w:spacing w:after="0" w:line="149" w:lineRule="exact"/>
              <w:rPr>
                <w:sz w:val="20"/>
                <w:szCs w:val="20"/>
                <w:color w:val="auto"/>
              </w:rPr>
            </w:pPr>
            <w:r>
              <w:rPr>
                <w:rFonts w:ascii="Arial" w:cs="Arial" w:eastAsia="Arial" w:hAnsi="Arial"/>
                <w:sz w:val="14"/>
                <w:szCs w:val="14"/>
                <w:color w:val="auto"/>
                <w:w w:val="85"/>
              </w:rPr>
              <w:t>—</w:t>
            </w:r>
          </w:p>
        </w:tc>
        <w:tc>
          <w:tcPr>
            <w:tcW w:w="1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73.8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Foreign currency</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(11.6)</w:t>
            </w:r>
          </w:p>
        </w:tc>
        <w:tc>
          <w:tcPr>
            <w:tcW w:w="8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12"/>
                <w:szCs w:val="12"/>
                <w:color w:val="auto"/>
              </w:rPr>
            </w:pPr>
          </w:p>
        </w:tc>
        <w:tc>
          <w:tcPr>
            <w:tcW w:w="400" w:type="dxa"/>
            <w:vAlign w:val="bottom"/>
            <w:shd w:val="clear" w:color="auto" w:fill="CCEEFF"/>
          </w:tcPr>
          <w:p>
            <w:pPr>
              <w:ind w:left="260"/>
              <w:spacing w:after="0" w:line="149" w:lineRule="exact"/>
              <w:rPr>
                <w:sz w:val="20"/>
                <w:szCs w:val="20"/>
                <w:color w:val="auto"/>
              </w:rPr>
            </w:pPr>
            <w:r>
              <w:rPr>
                <w:rFonts w:ascii="Arial" w:cs="Arial" w:eastAsia="Arial" w:hAnsi="Arial"/>
                <w:sz w:val="14"/>
                <w:szCs w:val="14"/>
                <w:color w:val="auto"/>
                <w:w w:val="85"/>
              </w:rPr>
              <w:t>—</w:t>
            </w:r>
          </w:p>
        </w:tc>
        <w:tc>
          <w:tcPr>
            <w:tcW w:w="1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(8.7)</w:t>
            </w:r>
          </w:p>
        </w:tc>
      </w:tr>
      <w:tr>
        <w:trPr>
          <w:trHeight w:val="149"/>
        </w:trPr>
        <w:tc>
          <w:tcPr>
            <w:tcW w:w="20" w:type="dxa"/>
            <w:vAlign w:val="bottom"/>
          </w:tcPr>
          <w:p>
            <w:pPr>
              <w:spacing w:after="0"/>
              <w:rPr>
                <w:sz w:val="12"/>
                <w:szCs w:val="12"/>
                <w:color w:val="auto"/>
              </w:rPr>
            </w:pPr>
          </w:p>
        </w:tc>
        <w:tc>
          <w:tcPr>
            <w:tcW w:w="3240" w:type="dxa"/>
            <w:vAlign w:val="bottom"/>
          </w:tcPr>
          <w:p>
            <w:pPr>
              <w:ind w:left="140"/>
              <w:spacing w:after="0" w:line="149" w:lineRule="exact"/>
              <w:rPr>
                <w:sz w:val="20"/>
                <w:szCs w:val="20"/>
                <w:color w:val="auto"/>
              </w:rPr>
            </w:pPr>
            <w:r>
              <w:rPr>
                <w:rFonts w:ascii="Arial" w:cs="Arial" w:eastAsia="Arial" w:hAnsi="Arial"/>
                <w:sz w:val="14"/>
                <w:szCs w:val="14"/>
                <w:color w:val="auto"/>
              </w:rPr>
              <w:t>Other</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(4.0)</w:t>
            </w:r>
          </w:p>
        </w:tc>
        <w:tc>
          <w:tcPr>
            <w:tcW w:w="12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340" w:type="dxa"/>
            <w:vAlign w:val="bottom"/>
          </w:tcPr>
          <w:p>
            <w:pPr>
              <w:spacing w:after="0"/>
              <w:rPr>
                <w:sz w:val="12"/>
                <w:szCs w:val="12"/>
                <w:color w:val="auto"/>
              </w:rPr>
            </w:pPr>
          </w:p>
        </w:tc>
        <w:tc>
          <w:tcPr>
            <w:tcW w:w="400" w:type="dxa"/>
            <w:vAlign w:val="bottom"/>
          </w:tcPr>
          <w:p>
            <w:pPr>
              <w:ind w:left="260"/>
              <w:spacing w:after="0" w:line="149" w:lineRule="exact"/>
              <w:rPr>
                <w:sz w:val="20"/>
                <w:szCs w:val="20"/>
                <w:color w:val="auto"/>
              </w:rPr>
            </w:pPr>
            <w:r>
              <w:rPr>
                <w:rFonts w:ascii="Arial" w:cs="Arial" w:eastAsia="Arial" w:hAnsi="Arial"/>
                <w:sz w:val="14"/>
                <w:szCs w:val="14"/>
                <w:color w:val="auto"/>
                <w:w w:val="85"/>
              </w:rPr>
              <w:t>—</w:t>
            </w:r>
          </w:p>
        </w:tc>
        <w:tc>
          <w:tcPr>
            <w:tcW w:w="1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(4.0)</w:t>
            </w:r>
          </w:p>
        </w:tc>
      </w:tr>
      <w:tr>
        <w:trPr>
          <w:trHeight w:val="142"/>
        </w:trPr>
        <w:tc>
          <w:tcPr>
            <w:tcW w:w="20" w:type="dxa"/>
            <w:vAlign w:val="bottom"/>
          </w:tcPr>
          <w:p>
            <w:pPr>
              <w:spacing w:after="0"/>
              <w:rPr>
                <w:sz w:val="12"/>
                <w:szCs w:val="12"/>
                <w:color w:val="auto"/>
              </w:rPr>
            </w:pPr>
          </w:p>
        </w:tc>
        <w:tc>
          <w:tcPr>
            <w:tcW w:w="324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Balance at December 31, 2012</w:t>
            </w:r>
          </w:p>
        </w:tc>
        <w:tc>
          <w:tcPr>
            <w:tcW w:w="20" w:type="dxa"/>
            <w:vAlign w:val="bottom"/>
            <w:shd w:val="clear" w:color="auto" w:fill="CCEEFF"/>
          </w:tcPr>
          <w:p>
            <w:pPr>
              <w:spacing w:after="0"/>
              <w:rPr>
                <w:sz w:val="12"/>
                <w:szCs w:val="12"/>
                <w:color w:val="auto"/>
              </w:rPr>
            </w:pPr>
          </w:p>
        </w:tc>
        <w:tc>
          <w:tcPr>
            <w:tcW w:w="60" w:type="dxa"/>
            <w:vAlign w:val="bottom"/>
            <w:tcBorders>
              <w:top w:val="single" w:sz="8" w:color="auto"/>
            </w:tcBorders>
            <w:shd w:val="clear" w:color="auto" w:fill="CCEEFF"/>
          </w:tcPr>
          <w:p>
            <w:pPr>
              <w:spacing w:after="0"/>
              <w:rPr>
                <w:sz w:val="12"/>
                <w:szCs w:val="12"/>
                <w:color w:val="auto"/>
              </w:rPr>
            </w:pPr>
          </w:p>
        </w:tc>
        <w:tc>
          <w:tcPr>
            <w:tcW w:w="82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68.6</w:t>
            </w:r>
          </w:p>
        </w:tc>
        <w:tc>
          <w:tcPr>
            <w:tcW w:w="160" w:type="dxa"/>
            <w:vAlign w:val="bottom"/>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58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239.9</w:t>
            </w:r>
          </w:p>
        </w:tc>
        <w:tc>
          <w:tcPr>
            <w:tcW w:w="16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84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179.5</w:t>
            </w:r>
          </w:p>
        </w:tc>
        <w:tc>
          <w:tcPr>
            <w:tcW w:w="16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64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55.4</w:t>
            </w:r>
          </w:p>
        </w:tc>
        <w:tc>
          <w:tcPr>
            <w:tcW w:w="160" w:type="dxa"/>
            <w:vAlign w:val="bottom"/>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400" w:type="dxa"/>
            <w:vAlign w:val="bottom"/>
            <w:tcBorders>
              <w:top w:val="single" w:sz="8" w:color="auto"/>
            </w:tcBorders>
            <w:shd w:val="clear" w:color="auto" w:fill="CCEEFF"/>
          </w:tcPr>
          <w:p>
            <w:pPr>
              <w:ind w:left="260"/>
              <w:spacing w:after="0" w:line="142" w:lineRule="exact"/>
              <w:rPr>
                <w:sz w:val="20"/>
                <w:szCs w:val="20"/>
                <w:color w:val="auto"/>
              </w:rPr>
            </w:pPr>
            <w:r>
              <w:rPr>
                <w:rFonts w:ascii="Arial" w:cs="Arial" w:eastAsia="Arial" w:hAnsi="Arial"/>
                <w:sz w:val="14"/>
                <w:szCs w:val="14"/>
                <w:color w:val="auto"/>
                <w:w w:val="85"/>
              </w:rPr>
              <w:t>—</w:t>
            </w:r>
          </w:p>
        </w:tc>
        <w:tc>
          <w:tcPr>
            <w:tcW w:w="180" w:type="dxa"/>
            <w:vAlign w:val="bottom"/>
            <w:shd w:val="clear" w:color="auto" w:fill="CCEEFF"/>
          </w:tcPr>
          <w:p>
            <w:pPr>
              <w:spacing w:after="0"/>
              <w:rPr>
                <w:sz w:val="12"/>
                <w:szCs w:val="12"/>
                <w:color w:val="auto"/>
              </w:rPr>
            </w:pPr>
          </w:p>
        </w:tc>
        <w:tc>
          <w:tcPr>
            <w:tcW w:w="280" w:type="dxa"/>
            <w:vAlign w:val="bottom"/>
            <w:tcBorders>
              <w:top w:val="single" w:sz="8" w:color="auto"/>
            </w:tcBorders>
            <w:shd w:val="clear" w:color="auto" w:fill="CCEEFF"/>
          </w:tcPr>
          <w:p>
            <w:pPr>
              <w:spacing w:after="0"/>
              <w:rPr>
                <w:sz w:val="12"/>
                <w:szCs w:val="12"/>
                <w:color w:val="auto"/>
              </w:rPr>
            </w:pPr>
          </w:p>
        </w:tc>
        <w:tc>
          <w:tcPr>
            <w:tcW w:w="62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543.4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40" w:type="dxa"/>
            <w:vAlign w:val="bottom"/>
          </w:tcPr>
          <w:p>
            <w:pPr>
              <w:ind w:left="140"/>
              <w:spacing w:after="0" w:line="149" w:lineRule="exact"/>
              <w:rPr>
                <w:sz w:val="20"/>
                <w:szCs w:val="20"/>
                <w:color w:val="auto"/>
              </w:rPr>
            </w:pPr>
            <w:r>
              <w:rPr>
                <w:rFonts w:ascii="Arial" w:cs="Arial" w:eastAsia="Arial" w:hAnsi="Arial"/>
                <w:sz w:val="14"/>
                <w:szCs w:val="14"/>
                <w:color w:val="auto"/>
              </w:rPr>
              <w:t>Goodwill from acquisitions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80" w:type="dxa"/>
            <w:vAlign w:val="bottom"/>
            <w:gridSpan w:val="2"/>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631.8</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2.6</w:t>
            </w: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00" w:type="dxa"/>
            <w:vAlign w:val="bottom"/>
          </w:tcPr>
          <w:p>
            <w:pPr>
              <w:ind w:left="260"/>
              <w:spacing w:after="0" w:line="149" w:lineRule="exact"/>
              <w:rPr>
                <w:sz w:val="20"/>
                <w:szCs w:val="20"/>
                <w:color w:val="auto"/>
              </w:rPr>
            </w:pPr>
            <w:r>
              <w:rPr>
                <w:rFonts w:ascii="Arial" w:cs="Arial" w:eastAsia="Arial" w:hAnsi="Arial"/>
                <w:sz w:val="14"/>
                <w:szCs w:val="14"/>
                <w:b w:val="1"/>
                <w:bCs w:val="1"/>
                <w:color w:val="auto"/>
                <w:w w:val="85"/>
              </w:rPr>
              <w:t>—</w:t>
            </w:r>
          </w:p>
        </w:tc>
        <w:tc>
          <w:tcPr>
            <w:tcW w:w="1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634.4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2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Goodwill disposed</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(1.4)</w:t>
            </w:r>
          </w:p>
        </w:tc>
        <w:tc>
          <w:tcPr>
            <w:tcW w:w="340" w:type="dxa"/>
            <w:vAlign w:val="bottom"/>
            <w:shd w:val="clear" w:color="auto" w:fill="CCEEFF"/>
          </w:tcPr>
          <w:p>
            <w:pPr>
              <w:spacing w:after="0"/>
              <w:rPr>
                <w:sz w:val="12"/>
                <w:szCs w:val="12"/>
                <w:color w:val="auto"/>
              </w:rPr>
            </w:pPr>
          </w:p>
        </w:tc>
        <w:tc>
          <w:tcPr>
            <w:tcW w:w="400" w:type="dxa"/>
            <w:vAlign w:val="bottom"/>
            <w:shd w:val="clear" w:color="auto" w:fill="CCEEFF"/>
          </w:tcPr>
          <w:p>
            <w:pPr>
              <w:ind w:left="260"/>
              <w:spacing w:after="0" w:line="149" w:lineRule="exact"/>
              <w:rPr>
                <w:sz w:val="20"/>
                <w:szCs w:val="20"/>
                <w:color w:val="auto"/>
              </w:rPr>
            </w:pPr>
            <w:r>
              <w:rPr>
                <w:rFonts w:ascii="Arial" w:cs="Arial" w:eastAsia="Arial" w:hAnsi="Arial"/>
                <w:sz w:val="14"/>
                <w:szCs w:val="14"/>
                <w:b w:val="1"/>
                <w:bCs w:val="1"/>
                <w:color w:val="auto"/>
                <w:w w:val="85"/>
              </w:rPr>
              <w:t>—</w:t>
            </w:r>
          </w:p>
        </w:tc>
        <w:tc>
          <w:tcPr>
            <w:tcW w:w="1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(1.4)</w:t>
            </w:r>
          </w:p>
        </w:tc>
      </w:tr>
      <w:tr>
        <w:trPr>
          <w:trHeight w:val="149"/>
        </w:trPr>
        <w:tc>
          <w:tcPr>
            <w:tcW w:w="20" w:type="dxa"/>
            <w:vAlign w:val="bottom"/>
          </w:tcPr>
          <w:p>
            <w:pPr>
              <w:spacing w:after="0"/>
              <w:rPr>
                <w:sz w:val="12"/>
                <w:szCs w:val="12"/>
                <w:color w:val="auto"/>
              </w:rPr>
            </w:pPr>
          </w:p>
        </w:tc>
        <w:tc>
          <w:tcPr>
            <w:tcW w:w="3240" w:type="dxa"/>
            <w:vAlign w:val="bottom"/>
          </w:tcPr>
          <w:p>
            <w:pPr>
              <w:ind w:left="140"/>
              <w:spacing w:after="0" w:line="149" w:lineRule="exact"/>
              <w:rPr>
                <w:sz w:val="20"/>
                <w:szCs w:val="20"/>
                <w:color w:val="auto"/>
              </w:rPr>
            </w:pPr>
            <w:r>
              <w:rPr>
                <w:rFonts w:ascii="Arial" w:cs="Arial" w:eastAsia="Arial" w:hAnsi="Arial"/>
                <w:sz w:val="14"/>
                <w:szCs w:val="14"/>
                <w:color w:val="auto"/>
              </w:rPr>
              <w:t>Foreign currency</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80" w:type="dxa"/>
            <w:vAlign w:val="bottom"/>
            <w:gridSpan w:val="2"/>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(81.3)</w:t>
            </w:r>
          </w:p>
        </w:tc>
        <w:tc>
          <w:tcPr>
            <w:tcW w:w="8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c>
          <w:tcPr>
            <w:tcW w:w="340" w:type="dxa"/>
            <w:vAlign w:val="bottom"/>
          </w:tcPr>
          <w:p>
            <w:pPr>
              <w:spacing w:after="0"/>
              <w:rPr>
                <w:sz w:val="12"/>
                <w:szCs w:val="12"/>
                <w:color w:val="auto"/>
              </w:rPr>
            </w:pPr>
          </w:p>
        </w:tc>
        <w:tc>
          <w:tcPr>
            <w:tcW w:w="400" w:type="dxa"/>
            <w:vAlign w:val="bottom"/>
          </w:tcPr>
          <w:p>
            <w:pPr>
              <w:ind w:left="260"/>
              <w:spacing w:after="0" w:line="149" w:lineRule="exact"/>
              <w:rPr>
                <w:sz w:val="20"/>
                <w:szCs w:val="20"/>
                <w:color w:val="auto"/>
              </w:rPr>
            </w:pPr>
            <w:r>
              <w:rPr>
                <w:rFonts w:ascii="Arial" w:cs="Arial" w:eastAsia="Arial" w:hAnsi="Arial"/>
                <w:sz w:val="14"/>
                <w:szCs w:val="14"/>
                <w:b w:val="1"/>
                <w:bCs w:val="1"/>
                <w:color w:val="auto"/>
                <w:w w:val="85"/>
              </w:rPr>
              <w:t>—</w:t>
            </w:r>
          </w:p>
        </w:tc>
        <w:tc>
          <w:tcPr>
            <w:tcW w:w="1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(80.1)</w:t>
            </w:r>
          </w:p>
        </w:tc>
      </w:tr>
      <w:tr>
        <w:trPr>
          <w:trHeight w:val="149"/>
        </w:trPr>
        <w:tc>
          <w:tcPr>
            <w:tcW w:w="20" w:type="dxa"/>
            <w:vAlign w:val="bottom"/>
          </w:tcPr>
          <w:p>
            <w:pPr>
              <w:spacing w:after="0"/>
              <w:rPr>
                <w:sz w:val="12"/>
                <w:szCs w:val="12"/>
                <w:color w:val="auto"/>
              </w:rPr>
            </w:pPr>
          </w:p>
        </w:tc>
        <w:tc>
          <w:tcPr>
            <w:tcW w:w="32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Other</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4.0</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c>
          <w:tcPr>
            <w:tcW w:w="340" w:type="dxa"/>
            <w:vAlign w:val="bottom"/>
            <w:shd w:val="clear" w:color="auto" w:fill="CCEEFF"/>
          </w:tcPr>
          <w:p>
            <w:pPr>
              <w:spacing w:after="0"/>
              <w:rPr>
                <w:sz w:val="12"/>
                <w:szCs w:val="12"/>
                <w:color w:val="auto"/>
              </w:rPr>
            </w:pPr>
          </w:p>
        </w:tc>
        <w:tc>
          <w:tcPr>
            <w:tcW w:w="400" w:type="dxa"/>
            <w:vAlign w:val="bottom"/>
            <w:shd w:val="clear" w:color="auto" w:fill="CCEEFF"/>
          </w:tcPr>
          <w:p>
            <w:pPr>
              <w:ind w:left="260"/>
              <w:spacing w:after="0" w:line="149" w:lineRule="exact"/>
              <w:rPr>
                <w:sz w:val="20"/>
                <w:szCs w:val="20"/>
                <w:color w:val="auto"/>
              </w:rPr>
            </w:pPr>
            <w:r>
              <w:rPr>
                <w:rFonts w:ascii="Arial" w:cs="Arial" w:eastAsia="Arial" w:hAnsi="Arial"/>
                <w:sz w:val="14"/>
                <w:szCs w:val="14"/>
                <w:b w:val="1"/>
                <w:bCs w:val="1"/>
                <w:color w:val="auto"/>
                <w:w w:val="85"/>
              </w:rPr>
              <w:t>—</w:t>
            </w:r>
          </w:p>
        </w:tc>
        <w:tc>
          <w:tcPr>
            <w:tcW w:w="1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4.0</w:t>
            </w:r>
          </w:p>
        </w:tc>
        <w:tc>
          <w:tcPr>
            <w:tcW w:w="160" w:type="dxa"/>
            <w:vAlign w:val="bottom"/>
            <w:shd w:val="clear" w:color="auto" w:fill="CCEEFF"/>
          </w:tcPr>
          <w:p>
            <w:pPr>
              <w:spacing w:after="0"/>
              <w:rPr>
                <w:sz w:val="12"/>
                <w:szCs w:val="12"/>
                <w:color w:val="auto"/>
              </w:rPr>
            </w:pPr>
          </w:p>
        </w:tc>
      </w:tr>
      <w:tr>
        <w:trPr>
          <w:trHeight w:val="142"/>
        </w:trPr>
        <w:tc>
          <w:tcPr>
            <w:tcW w:w="326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Balance at December 31, 2013</w:t>
            </w:r>
          </w:p>
        </w:tc>
        <w:tc>
          <w:tcPr>
            <w:tcW w:w="20" w:type="dxa"/>
            <w:vAlign w:val="bottom"/>
            <w:tcBorders>
              <w:bottom w:val="single" w:sz="8" w:color="auto"/>
            </w:tcBorders>
          </w:tcPr>
          <w:p>
            <w:pPr>
              <w:spacing w:after="0"/>
              <w:rPr>
                <w:sz w:val="12"/>
                <w:szCs w:val="12"/>
                <w:color w:val="auto"/>
              </w:rPr>
            </w:pPr>
          </w:p>
        </w:tc>
        <w:tc>
          <w:tcPr>
            <w:tcW w:w="60" w:type="dxa"/>
            <w:vAlign w:val="bottom"/>
            <w:tcBorders>
              <w:top w:val="single" w:sz="8" w:color="auto"/>
              <w:bottom w:val="single" w:sz="8" w:color="auto"/>
            </w:tcBorders>
          </w:tcPr>
          <w:p>
            <w:pPr>
              <w:spacing w:after="0"/>
              <w:rPr>
                <w:sz w:val="20"/>
                <w:szCs w:val="20"/>
                <w:color w:val="auto"/>
              </w:rPr>
            </w:pPr>
            <w:r>
              <w:rPr>
                <w:rFonts w:ascii="Arial" w:cs="Arial" w:eastAsia="Arial" w:hAnsi="Arial"/>
                <w:sz w:val="10"/>
                <w:szCs w:val="10"/>
                <w:b w:val="1"/>
                <w:bCs w:val="1"/>
                <w:color w:val="auto"/>
                <w:w w:val="71"/>
              </w:rPr>
              <w:t>$</w:t>
            </w: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72.6</w:t>
            </w:r>
          </w:p>
        </w:tc>
        <w:tc>
          <w:tcPr>
            <w:tcW w:w="16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241.1</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730.0</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6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56.6</w:t>
            </w:r>
          </w:p>
        </w:tc>
        <w:tc>
          <w:tcPr>
            <w:tcW w:w="160" w:type="dxa"/>
            <w:vAlign w:val="bottom"/>
          </w:tcPr>
          <w:p>
            <w:pPr>
              <w:spacing w:after="0"/>
              <w:rPr>
                <w:sz w:val="12"/>
                <w:szCs w:val="12"/>
                <w:color w:val="auto"/>
              </w:rPr>
            </w:pPr>
          </w:p>
        </w:tc>
        <w:tc>
          <w:tcPr>
            <w:tcW w:w="340" w:type="dxa"/>
            <w:vAlign w:val="bottom"/>
            <w:tcBorders>
              <w:top w:val="single" w:sz="8" w:color="auto"/>
              <w:bottom w:val="single" w:sz="8" w:color="auto"/>
            </w:tcBorders>
          </w:tcPr>
          <w:p>
            <w:pPr>
              <w:jc w:val="right"/>
              <w:ind w:right="192"/>
              <w:spacing w:after="0" w:line="142" w:lineRule="exact"/>
              <w:rPr>
                <w:sz w:val="20"/>
                <w:szCs w:val="20"/>
                <w:color w:val="auto"/>
              </w:rPr>
            </w:pPr>
            <w:r>
              <w:rPr>
                <w:rFonts w:ascii="Arial" w:cs="Arial" w:eastAsia="Arial" w:hAnsi="Arial"/>
                <w:sz w:val="14"/>
                <w:szCs w:val="14"/>
                <w:b w:val="1"/>
                <w:bCs w:val="1"/>
                <w:color w:val="auto"/>
                <w:w w:val="76"/>
              </w:rPr>
              <w:t>$</w:t>
            </w:r>
          </w:p>
        </w:tc>
        <w:tc>
          <w:tcPr>
            <w:tcW w:w="400" w:type="dxa"/>
            <w:vAlign w:val="bottom"/>
            <w:tcBorders>
              <w:top w:val="single" w:sz="8" w:color="auto"/>
              <w:bottom w:val="single" w:sz="8" w:color="auto"/>
            </w:tcBorders>
          </w:tcPr>
          <w:p>
            <w:pPr>
              <w:ind w:left="260"/>
              <w:spacing w:after="0" w:line="142" w:lineRule="exact"/>
              <w:rPr>
                <w:sz w:val="20"/>
                <w:szCs w:val="20"/>
                <w:color w:val="auto"/>
              </w:rPr>
            </w:pPr>
            <w:r>
              <w:rPr>
                <w:rFonts w:ascii="Arial" w:cs="Arial" w:eastAsia="Arial" w:hAnsi="Arial"/>
                <w:sz w:val="14"/>
                <w:szCs w:val="14"/>
                <w:b w:val="1"/>
                <w:bCs w:val="1"/>
                <w:color w:val="auto"/>
                <w:w w:val="85"/>
              </w:rPr>
              <w:t>—</w:t>
            </w:r>
          </w:p>
        </w:tc>
        <w:tc>
          <w:tcPr>
            <w:tcW w:w="180" w:type="dxa"/>
            <w:vAlign w:val="bottom"/>
          </w:tcPr>
          <w:p>
            <w:pPr>
              <w:spacing w:after="0"/>
              <w:rPr>
                <w:sz w:val="12"/>
                <w:szCs w:val="12"/>
                <w:color w:val="auto"/>
              </w:rPr>
            </w:pPr>
          </w:p>
        </w:tc>
        <w:tc>
          <w:tcPr>
            <w:tcW w:w="280" w:type="dxa"/>
            <w:vAlign w:val="bottom"/>
            <w:tcBorders>
              <w:top w:val="single" w:sz="8" w:color="auto"/>
              <w:bottom w:val="single" w:sz="8" w:color="auto"/>
            </w:tcBorders>
          </w:tcPr>
          <w:p>
            <w:pPr>
              <w:jc w:val="right"/>
              <w:ind w:right="161"/>
              <w:spacing w:after="0"/>
              <w:rPr>
                <w:sz w:val="20"/>
                <w:szCs w:val="20"/>
                <w:color w:val="auto"/>
              </w:rPr>
            </w:pPr>
            <w:r>
              <w:rPr>
                <w:rFonts w:ascii="Arial" w:cs="Arial" w:eastAsia="Arial" w:hAnsi="Arial"/>
                <w:sz w:val="10"/>
                <w:szCs w:val="10"/>
                <w:b w:val="1"/>
                <w:bCs w:val="1"/>
                <w:color w:val="auto"/>
                <w:w w:val="71"/>
              </w:rPr>
              <w:t>$</w:t>
            </w:r>
          </w:p>
        </w:tc>
        <w:tc>
          <w:tcPr>
            <w:tcW w:w="6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1,100.3</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Finite Lived Intangible Assets</w:t>
      </w:r>
    </w:p>
    <w:p>
      <w:pPr>
        <w:spacing w:after="0" w:line="231"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Amortized intangible assets that continue to be subject to amortization over a weighted average remaining expected life of 14 years were as follows:</w:t>
      </w:r>
    </w:p>
    <w:p>
      <w:pPr>
        <w:spacing w:after="0" w:line="24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8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4"/>
          </w:tcPr>
          <w:p>
            <w:pPr>
              <w:jc w:val="right"/>
              <w:ind w:right="232"/>
              <w:spacing w:after="0"/>
              <w:rPr>
                <w:sz w:val="20"/>
                <w:szCs w:val="20"/>
                <w:color w:val="auto"/>
              </w:rPr>
            </w:pPr>
            <w:r>
              <w:rPr>
                <w:rFonts w:ascii="Arial" w:cs="Arial" w:eastAsia="Arial" w:hAnsi="Arial"/>
                <w:sz w:val="14"/>
                <w:szCs w:val="14"/>
                <w:b w:val="1"/>
                <w:bCs w:val="1"/>
                <w:color w:val="auto"/>
              </w:rPr>
              <w:t>December 31,</w:t>
            </w: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center"/>
              <w:ind w:right="12"/>
              <w:spacing w:after="0" w:line="142" w:lineRule="exact"/>
              <w:rPr>
                <w:sz w:val="20"/>
                <w:szCs w:val="20"/>
                <w:color w:val="auto"/>
              </w:rPr>
            </w:pPr>
            <w:r>
              <w:rPr>
                <w:rFonts w:ascii="Arial" w:cs="Arial" w:eastAsia="Arial" w:hAnsi="Arial"/>
                <w:sz w:val="14"/>
                <w:szCs w:val="14"/>
                <w:b w:val="1"/>
                <w:bCs w:val="1"/>
                <w:color w:val="auto"/>
                <w:w w:val="83"/>
              </w:rPr>
              <w:t>2013</w:t>
            </w:r>
          </w:p>
        </w:tc>
        <w:tc>
          <w:tcPr>
            <w:tcW w:w="16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center"/>
              <w:ind w:right="12"/>
              <w:spacing w:after="0" w:line="142" w:lineRule="exact"/>
              <w:rPr>
                <w:sz w:val="20"/>
                <w:szCs w:val="20"/>
                <w:color w:val="auto"/>
              </w:rPr>
            </w:pPr>
            <w:r>
              <w:rPr>
                <w:rFonts w:ascii="Arial" w:cs="Arial" w:eastAsia="Arial" w:hAnsi="Arial"/>
                <w:sz w:val="14"/>
                <w:szCs w:val="14"/>
                <w:b w:val="1"/>
                <w:bCs w:val="1"/>
                <w:color w:val="auto"/>
                <w:w w:val="83"/>
              </w:rPr>
              <w:t>2012</w:t>
            </w:r>
          </w:p>
        </w:tc>
        <w:tc>
          <w:tcPr>
            <w:tcW w:w="16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29"/>
        </w:trPr>
        <w:tc>
          <w:tcPr>
            <w:tcW w:w="20" w:type="dxa"/>
            <w:vAlign w:val="bottom"/>
          </w:tcPr>
          <w:p>
            <w:pPr>
              <w:spacing w:after="0"/>
              <w:rPr>
                <w:sz w:val="11"/>
                <w:szCs w:val="11"/>
                <w:color w:val="auto"/>
              </w:rPr>
            </w:pPr>
          </w:p>
        </w:tc>
        <w:tc>
          <w:tcPr>
            <w:tcW w:w="28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jc w:val="center"/>
              <w:ind w:right="32"/>
              <w:spacing w:after="0" w:line="129" w:lineRule="exact"/>
              <w:rPr>
                <w:sz w:val="20"/>
                <w:szCs w:val="20"/>
                <w:color w:val="auto"/>
              </w:rPr>
            </w:pPr>
            <w:r>
              <w:rPr>
                <w:rFonts w:ascii="Arial" w:cs="Arial" w:eastAsia="Arial" w:hAnsi="Arial"/>
                <w:sz w:val="14"/>
                <w:szCs w:val="14"/>
                <w:b w:val="1"/>
                <w:bCs w:val="1"/>
                <w:color w:val="auto"/>
                <w:w w:val="83"/>
              </w:rPr>
              <w:t>Gross</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jc w:val="center"/>
              <w:ind w:right="52"/>
              <w:spacing w:after="0" w:line="129" w:lineRule="exact"/>
              <w:rPr>
                <w:sz w:val="20"/>
                <w:szCs w:val="20"/>
                <w:color w:val="auto"/>
              </w:rPr>
            </w:pPr>
            <w:r>
              <w:rPr>
                <w:rFonts w:ascii="Arial" w:cs="Arial" w:eastAsia="Arial" w:hAnsi="Arial"/>
                <w:sz w:val="14"/>
                <w:szCs w:val="14"/>
                <w:b w:val="1"/>
                <w:bCs w:val="1"/>
                <w:color w:val="auto"/>
                <w:w w:val="88"/>
              </w:rPr>
              <w:t>Net</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jc w:val="center"/>
              <w:ind w:right="32"/>
              <w:spacing w:after="0" w:line="129" w:lineRule="exact"/>
              <w:rPr>
                <w:sz w:val="20"/>
                <w:szCs w:val="20"/>
                <w:color w:val="auto"/>
              </w:rPr>
            </w:pPr>
            <w:r>
              <w:rPr>
                <w:rFonts w:ascii="Arial" w:cs="Arial" w:eastAsia="Arial" w:hAnsi="Arial"/>
                <w:sz w:val="14"/>
                <w:szCs w:val="14"/>
                <w:b w:val="1"/>
                <w:bCs w:val="1"/>
                <w:color w:val="auto"/>
                <w:w w:val="83"/>
              </w:rPr>
              <w:t>Gross</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jc w:val="center"/>
              <w:ind w:right="52"/>
              <w:spacing w:after="0" w:line="129" w:lineRule="exact"/>
              <w:rPr>
                <w:sz w:val="20"/>
                <w:szCs w:val="20"/>
                <w:color w:val="auto"/>
              </w:rPr>
            </w:pPr>
            <w:r>
              <w:rPr>
                <w:rFonts w:ascii="Arial" w:cs="Arial" w:eastAsia="Arial" w:hAnsi="Arial"/>
                <w:sz w:val="14"/>
                <w:szCs w:val="14"/>
                <w:b w:val="1"/>
                <w:bCs w:val="1"/>
                <w:color w:val="auto"/>
                <w:w w:val="88"/>
              </w:rPr>
              <w:t>Net</w:t>
            </w: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6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0"/>
              </w:rPr>
              <w:t>carrying</w:t>
            </w:r>
          </w:p>
        </w:tc>
        <w:tc>
          <w:tcPr>
            <w:tcW w:w="160" w:type="dxa"/>
            <w:vAlign w:val="bottom"/>
          </w:tcPr>
          <w:p>
            <w:pPr>
              <w:spacing w:after="0"/>
              <w:rPr>
                <w:sz w:val="12"/>
                <w:szCs w:val="12"/>
                <w:color w:val="auto"/>
              </w:rPr>
            </w:pPr>
          </w:p>
        </w:tc>
        <w:tc>
          <w:tcPr>
            <w:tcW w:w="9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8"/>
              </w:rPr>
              <w:t>Accumulated</w:t>
            </w:r>
          </w:p>
        </w:tc>
        <w:tc>
          <w:tcPr>
            <w:tcW w:w="160" w:type="dxa"/>
            <w:vAlign w:val="bottom"/>
          </w:tcPr>
          <w:p>
            <w:pPr>
              <w:spacing w:after="0"/>
              <w:rPr>
                <w:sz w:val="12"/>
                <w:szCs w:val="12"/>
                <w:color w:val="auto"/>
              </w:rPr>
            </w:pPr>
          </w:p>
        </w:tc>
        <w:tc>
          <w:tcPr>
            <w:tcW w:w="6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0"/>
              </w:rPr>
              <w:t>carrying</w:t>
            </w:r>
          </w:p>
        </w:tc>
        <w:tc>
          <w:tcPr>
            <w:tcW w:w="160" w:type="dxa"/>
            <w:vAlign w:val="bottom"/>
          </w:tcPr>
          <w:p>
            <w:pPr>
              <w:spacing w:after="0"/>
              <w:rPr>
                <w:sz w:val="12"/>
                <w:szCs w:val="12"/>
                <w:color w:val="auto"/>
              </w:rPr>
            </w:pPr>
          </w:p>
        </w:tc>
        <w:tc>
          <w:tcPr>
            <w:tcW w:w="6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0"/>
              </w:rPr>
              <w:t>carrying</w:t>
            </w:r>
          </w:p>
        </w:tc>
        <w:tc>
          <w:tcPr>
            <w:tcW w:w="160" w:type="dxa"/>
            <w:vAlign w:val="bottom"/>
          </w:tcPr>
          <w:p>
            <w:pPr>
              <w:spacing w:after="0"/>
              <w:rPr>
                <w:sz w:val="12"/>
                <w:szCs w:val="12"/>
                <w:color w:val="auto"/>
              </w:rPr>
            </w:pPr>
          </w:p>
        </w:tc>
        <w:tc>
          <w:tcPr>
            <w:tcW w:w="9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8"/>
              </w:rPr>
              <w:t>Accumulated</w:t>
            </w:r>
          </w:p>
        </w:tc>
        <w:tc>
          <w:tcPr>
            <w:tcW w:w="160" w:type="dxa"/>
            <w:vAlign w:val="bottom"/>
          </w:tcPr>
          <w:p>
            <w:pPr>
              <w:spacing w:after="0"/>
              <w:rPr>
                <w:sz w:val="12"/>
                <w:szCs w:val="12"/>
                <w:color w:val="auto"/>
              </w:rPr>
            </w:pPr>
          </w:p>
        </w:tc>
        <w:tc>
          <w:tcPr>
            <w:tcW w:w="78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90"/>
              </w:rPr>
              <w:t>carrying</w:t>
            </w:r>
          </w:p>
        </w:tc>
      </w:tr>
      <w:tr>
        <w:trPr>
          <w:trHeight w:val="161"/>
        </w:trPr>
        <w:tc>
          <w:tcPr>
            <w:tcW w:w="20" w:type="dxa"/>
            <w:vAlign w:val="bottom"/>
          </w:tcPr>
          <w:p>
            <w:pPr>
              <w:spacing w:after="0"/>
              <w:rPr>
                <w:sz w:val="14"/>
                <w:szCs w:val="14"/>
                <w:color w:val="auto"/>
              </w:rPr>
            </w:pPr>
          </w:p>
        </w:tc>
        <w:tc>
          <w:tcPr>
            <w:tcW w:w="28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3"/>
              </w:rPr>
              <w:t>value</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8"/>
              </w:rPr>
              <w:t>amortization</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3"/>
              </w:rPr>
              <w:t>value</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3"/>
              </w:rPr>
              <w:t>value</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8"/>
              </w:rPr>
              <w:t>amortization</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3"/>
              </w:rPr>
              <w:t>value</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ind w:right="3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780" w:type="dxa"/>
            <w:vAlign w:val="bottom"/>
            <w:gridSpan w:val="3"/>
          </w:tcPr>
          <w:p>
            <w:pPr>
              <w:jc w:val="right"/>
              <w:ind w:right="292"/>
              <w:spacing w:after="0"/>
              <w:rPr>
                <w:sz w:val="20"/>
                <w:szCs w:val="20"/>
                <w:color w:val="auto"/>
              </w:rPr>
            </w:pPr>
            <w:r>
              <w:rPr>
                <w:rFonts w:ascii="Arial" w:cs="Arial" w:eastAsia="Arial" w:hAnsi="Arial"/>
                <w:sz w:val="12"/>
                <w:szCs w:val="12"/>
                <w:b w:val="1"/>
                <w:bCs w:val="1"/>
                <w:i w:val="1"/>
                <w:iCs w:val="1"/>
                <w:color w:val="auto"/>
                <w:w w:val="80"/>
              </w:rPr>
              <w:t>millions)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28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Present value of future profits</w:t>
            </w:r>
          </w:p>
        </w:tc>
        <w:tc>
          <w:tcPr>
            <w:tcW w:w="11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13.5</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6.7</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6.8</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13.5</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6.1</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line="149" w:lineRule="exact"/>
              <w:rPr>
                <w:sz w:val="20"/>
                <w:szCs w:val="20"/>
                <w:color w:val="auto"/>
              </w:rPr>
            </w:pPr>
            <w:r>
              <w:rPr>
                <w:rFonts w:ascii="Arial" w:cs="Arial" w:eastAsia="Arial" w:hAnsi="Arial"/>
                <w:sz w:val="14"/>
                <w:szCs w:val="14"/>
                <w:color w:val="auto"/>
              </w:rPr>
              <w:t>Other finite lived intangible assets</w:t>
            </w:r>
          </w:p>
        </w:tc>
        <w:tc>
          <w:tcPr>
            <w:tcW w:w="104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858.8</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262.9</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595.9</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436.1</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224.1</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212.0</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28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 amortized intangible assets</w:t>
            </w:r>
          </w:p>
        </w:tc>
        <w:tc>
          <w:tcPr>
            <w:tcW w:w="11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5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872.3</w:t>
            </w:r>
          </w:p>
        </w:tc>
        <w:tc>
          <w:tcPr>
            <w:tcW w:w="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269.6</w:t>
            </w:r>
          </w:p>
        </w:tc>
        <w:tc>
          <w:tcPr>
            <w:tcW w:w="2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5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602.7</w:t>
            </w:r>
          </w:p>
        </w:tc>
        <w:tc>
          <w:tcPr>
            <w:tcW w:w="2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449.6</w:t>
            </w:r>
          </w:p>
        </w:tc>
        <w:tc>
          <w:tcPr>
            <w:tcW w:w="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230.2</w:t>
            </w:r>
          </w:p>
        </w:tc>
        <w:tc>
          <w:tcPr>
            <w:tcW w:w="2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219.4</w:t>
            </w:r>
          </w:p>
        </w:tc>
        <w:tc>
          <w:tcPr>
            <w:tcW w:w="160" w:type="dxa"/>
            <w:vAlign w:val="bottom"/>
            <w:shd w:val="clear" w:color="auto" w:fill="CCEEFF"/>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288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firstLine="368"/>
        <w:spacing w:after="0" w:line="268" w:lineRule="auto"/>
        <w:rPr>
          <w:sz w:val="20"/>
          <w:szCs w:val="20"/>
          <w:color w:val="auto"/>
        </w:rPr>
      </w:pPr>
      <w:r>
        <w:rPr>
          <w:rFonts w:ascii="Arial" w:cs="Arial" w:eastAsia="Arial" w:hAnsi="Arial"/>
          <w:sz w:val="18"/>
          <w:szCs w:val="18"/>
          <w:color w:val="auto"/>
        </w:rPr>
        <w:t>During 2013 and 2012, we fully amortized other finite lived intangible assets of $5.2 million and $5.0 million, respectively. We had no fully amortized other finite lived intangible assets in 2011.</w:t>
      </w:r>
    </w:p>
    <w:p>
      <w:pPr>
        <w:spacing w:after="0" w:line="186" w:lineRule="exact"/>
        <w:rPr>
          <w:sz w:val="20"/>
          <w:szCs w:val="20"/>
          <w:color w:val="auto"/>
        </w:rPr>
      </w:pPr>
    </w:p>
    <w:p>
      <w:pPr>
        <w:jc w:val="both"/>
        <w:ind w:firstLine="522"/>
        <w:spacing w:after="0" w:line="332" w:lineRule="auto"/>
        <w:rPr>
          <w:sz w:val="20"/>
          <w:szCs w:val="20"/>
          <w:color w:val="auto"/>
        </w:rPr>
      </w:pPr>
      <w:r>
        <w:rPr>
          <w:rFonts w:ascii="Arial" w:cs="Arial" w:eastAsia="Arial" w:hAnsi="Arial"/>
          <w:sz w:val="16"/>
          <w:szCs w:val="16"/>
          <w:b w:val="1"/>
          <w:bCs w:val="1"/>
          <w:i w:val="1"/>
          <w:iCs w:val="1"/>
          <w:color w:val="auto"/>
        </w:rPr>
        <w:t xml:space="preserve">Other Finite Lived Intangible Assets. </w:t>
      </w:r>
      <w:r>
        <w:rPr>
          <w:rFonts w:ascii="Arial" w:cs="Arial" w:eastAsia="Arial" w:hAnsi="Arial"/>
          <w:sz w:val="16"/>
          <w:szCs w:val="16"/>
          <w:color w:val="auto"/>
        </w:rPr>
        <w:t>The amortization expense for intangible assets with finite useful lives was $48.0 million, $22.7 million and</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$20.1 million for 2013, 2012 and 2011, respectively. At December 31, 2013, the estimated amortization expense for the next five years is as follows (in millions):</w:t>
      </w:r>
    </w:p>
    <w:p>
      <w:pPr>
        <w:spacing w:after="0" w:line="135"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4700" w:type="dxa"/>
            <w:vAlign w:val="bottom"/>
            <w:shd w:val="clear" w:color="auto" w:fill="CCEEFF"/>
          </w:tcPr>
          <w:p>
            <w:pPr>
              <w:jc w:val="right"/>
              <w:ind w:right="3192"/>
              <w:spacing w:after="0"/>
              <w:rPr>
                <w:sz w:val="20"/>
                <w:szCs w:val="20"/>
                <w:color w:val="auto"/>
              </w:rPr>
            </w:pPr>
            <w:r>
              <w:rPr>
                <w:rFonts w:ascii="Arial" w:cs="Arial" w:eastAsia="Arial" w:hAnsi="Arial"/>
                <w:sz w:val="14"/>
                <w:szCs w:val="14"/>
                <w:color w:val="auto"/>
                <w:w w:val="84"/>
              </w:rPr>
              <w:t>Year ending December 31:</w:t>
            </w:r>
          </w:p>
        </w:tc>
        <w:tc>
          <w:tcPr>
            <w:tcW w:w="3860" w:type="dxa"/>
            <w:vAlign w:val="bottom"/>
            <w:shd w:val="clear" w:color="auto" w:fill="CCEEFF"/>
          </w:tcPr>
          <w:p>
            <w:pPr>
              <w:spacing w:after="0"/>
              <w:rPr>
                <w:sz w:val="14"/>
                <w:szCs w:val="14"/>
                <w:color w:val="auto"/>
              </w:rPr>
            </w:pPr>
          </w:p>
        </w:tc>
      </w:tr>
      <w:tr>
        <w:trPr>
          <w:trHeight w:val="149"/>
        </w:trPr>
        <w:tc>
          <w:tcPr>
            <w:tcW w:w="4700" w:type="dxa"/>
            <w:vAlign w:val="bottom"/>
          </w:tcPr>
          <w:p>
            <w:pPr>
              <w:jc w:val="right"/>
              <w:ind w:right="4212"/>
              <w:spacing w:after="0" w:line="149" w:lineRule="exact"/>
              <w:rPr>
                <w:sz w:val="20"/>
                <w:szCs w:val="20"/>
                <w:color w:val="auto"/>
              </w:rPr>
            </w:pPr>
            <w:r>
              <w:rPr>
                <w:rFonts w:ascii="Arial" w:cs="Arial" w:eastAsia="Arial" w:hAnsi="Arial"/>
                <w:sz w:val="14"/>
                <w:szCs w:val="14"/>
                <w:color w:val="auto"/>
              </w:rPr>
              <w:t>2014</w:t>
            </w:r>
          </w:p>
        </w:tc>
        <w:tc>
          <w:tcPr>
            <w:tcW w:w="3860" w:type="dxa"/>
            <w:vAlign w:val="bottom"/>
          </w:tcPr>
          <w:p>
            <w:pPr>
              <w:jc w:val="right"/>
              <w:ind w:right="112"/>
              <w:spacing w:after="0" w:line="149" w:lineRule="exact"/>
              <w:rPr>
                <w:sz w:val="20"/>
                <w:szCs w:val="20"/>
                <w:color w:val="auto"/>
              </w:rPr>
            </w:pPr>
            <w:r>
              <w:rPr>
                <w:rFonts w:ascii="Arial" w:cs="Arial" w:eastAsia="Arial" w:hAnsi="Arial"/>
                <w:sz w:val="14"/>
                <w:szCs w:val="14"/>
                <w:b w:val="1"/>
                <w:bCs w:val="1"/>
                <w:color w:val="auto"/>
              </w:rPr>
              <w:t>$  52.3</w:t>
            </w:r>
          </w:p>
        </w:tc>
      </w:tr>
      <w:tr>
        <w:trPr>
          <w:trHeight w:val="149"/>
        </w:trPr>
        <w:tc>
          <w:tcPr>
            <w:tcW w:w="4700" w:type="dxa"/>
            <w:vAlign w:val="bottom"/>
            <w:shd w:val="clear" w:color="auto" w:fill="CCEEFF"/>
          </w:tcPr>
          <w:p>
            <w:pPr>
              <w:jc w:val="right"/>
              <w:ind w:right="4212"/>
              <w:spacing w:after="0" w:line="149" w:lineRule="exact"/>
              <w:rPr>
                <w:sz w:val="20"/>
                <w:szCs w:val="20"/>
                <w:color w:val="auto"/>
              </w:rPr>
            </w:pPr>
            <w:r>
              <w:rPr>
                <w:rFonts w:ascii="Arial" w:cs="Arial" w:eastAsia="Arial" w:hAnsi="Arial"/>
                <w:sz w:val="14"/>
                <w:szCs w:val="14"/>
                <w:color w:val="auto"/>
              </w:rPr>
              <w:t>2015</w:t>
            </w:r>
          </w:p>
        </w:tc>
        <w:tc>
          <w:tcPr>
            <w:tcW w:w="3860" w:type="dxa"/>
            <w:vAlign w:val="bottom"/>
            <w:shd w:val="clear" w:color="auto" w:fill="CCEEFF"/>
          </w:tcPr>
          <w:p>
            <w:pPr>
              <w:jc w:val="right"/>
              <w:ind w:right="112"/>
              <w:spacing w:after="0" w:line="149" w:lineRule="exact"/>
              <w:rPr>
                <w:sz w:val="20"/>
                <w:szCs w:val="20"/>
                <w:color w:val="auto"/>
              </w:rPr>
            </w:pPr>
            <w:r>
              <w:rPr>
                <w:rFonts w:ascii="Arial" w:cs="Arial" w:eastAsia="Arial" w:hAnsi="Arial"/>
                <w:sz w:val="14"/>
                <w:szCs w:val="14"/>
                <w:b w:val="1"/>
                <w:bCs w:val="1"/>
                <w:color w:val="auto"/>
              </w:rPr>
              <w:t>50.9</w:t>
            </w:r>
          </w:p>
        </w:tc>
      </w:tr>
      <w:tr>
        <w:trPr>
          <w:trHeight w:val="149"/>
        </w:trPr>
        <w:tc>
          <w:tcPr>
            <w:tcW w:w="4700" w:type="dxa"/>
            <w:vAlign w:val="bottom"/>
          </w:tcPr>
          <w:p>
            <w:pPr>
              <w:jc w:val="right"/>
              <w:ind w:right="4212"/>
              <w:spacing w:after="0" w:line="149" w:lineRule="exact"/>
              <w:rPr>
                <w:sz w:val="20"/>
                <w:szCs w:val="20"/>
                <w:color w:val="auto"/>
              </w:rPr>
            </w:pPr>
            <w:r>
              <w:rPr>
                <w:rFonts w:ascii="Arial" w:cs="Arial" w:eastAsia="Arial" w:hAnsi="Arial"/>
                <w:sz w:val="14"/>
                <w:szCs w:val="14"/>
                <w:color w:val="auto"/>
              </w:rPr>
              <w:t>2016</w:t>
            </w:r>
          </w:p>
        </w:tc>
        <w:tc>
          <w:tcPr>
            <w:tcW w:w="3860" w:type="dxa"/>
            <w:vAlign w:val="bottom"/>
          </w:tcPr>
          <w:p>
            <w:pPr>
              <w:jc w:val="right"/>
              <w:ind w:right="112"/>
              <w:spacing w:after="0" w:line="149" w:lineRule="exact"/>
              <w:rPr>
                <w:sz w:val="20"/>
                <w:szCs w:val="20"/>
                <w:color w:val="auto"/>
              </w:rPr>
            </w:pPr>
            <w:r>
              <w:rPr>
                <w:rFonts w:ascii="Arial" w:cs="Arial" w:eastAsia="Arial" w:hAnsi="Arial"/>
                <w:sz w:val="14"/>
                <w:szCs w:val="14"/>
                <w:b w:val="1"/>
                <w:bCs w:val="1"/>
                <w:color w:val="auto"/>
              </w:rPr>
              <w:t>50.1</w:t>
            </w:r>
          </w:p>
        </w:tc>
      </w:tr>
      <w:tr>
        <w:trPr>
          <w:trHeight w:val="149"/>
        </w:trPr>
        <w:tc>
          <w:tcPr>
            <w:tcW w:w="4700" w:type="dxa"/>
            <w:vAlign w:val="bottom"/>
            <w:shd w:val="clear" w:color="auto" w:fill="CCEEFF"/>
          </w:tcPr>
          <w:p>
            <w:pPr>
              <w:jc w:val="right"/>
              <w:ind w:right="4212"/>
              <w:spacing w:after="0" w:line="149" w:lineRule="exact"/>
              <w:rPr>
                <w:sz w:val="20"/>
                <w:szCs w:val="20"/>
                <w:color w:val="auto"/>
              </w:rPr>
            </w:pPr>
            <w:r>
              <w:rPr>
                <w:rFonts w:ascii="Arial" w:cs="Arial" w:eastAsia="Arial" w:hAnsi="Arial"/>
                <w:sz w:val="14"/>
                <w:szCs w:val="14"/>
                <w:color w:val="auto"/>
              </w:rPr>
              <w:t>2017</w:t>
            </w:r>
          </w:p>
        </w:tc>
        <w:tc>
          <w:tcPr>
            <w:tcW w:w="3860" w:type="dxa"/>
            <w:vAlign w:val="bottom"/>
            <w:shd w:val="clear" w:color="auto" w:fill="CCEEFF"/>
          </w:tcPr>
          <w:p>
            <w:pPr>
              <w:jc w:val="right"/>
              <w:ind w:right="112"/>
              <w:spacing w:after="0" w:line="149" w:lineRule="exact"/>
              <w:rPr>
                <w:sz w:val="20"/>
                <w:szCs w:val="20"/>
                <w:color w:val="auto"/>
              </w:rPr>
            </w:pPr>
            <w:r>
              <w:rPr>
                <w:rFonts w:ascii="Arial" w:cs="Arial" w:eastAsia="Arial" w:hAnsi="Arial"/>
                <w:sz w:val="14"/>
                <w:szCs w:val="14"/>
                <w:b w:val="1"/>
                <w:bCs w:val="1"/>
                <w:color w:val="auto"/>
              </w:rPr>
              <w:t>49.2</w:t>
            </w:r>
          </w:p>
        </w:tc>
      </w:tr>
      <w:tr>
        <w:trPr>
          <w:trHeight w:val="174"/>
        </w:trPr>
        <w:tc>
          <w:tcPr>
            <w:tcW w:w="4700" w:type="dxa"/>
            <w:vAlign w:val="bottom"/>
          </w:tcPr>
          <w:p>
            <w:pPr>
              <w:jc w:val="right"/>
              <w:ind w:right="4212"/>
              <w:spacing w:after="0"/>
              <w:rPr>
                <w:sz w:val="20"/>
                <w:szCs w:val="20"/>
                <w:color w:val="auto"/>
              </w:rPr>
            </w:pPr>
            <w:r>
              <w:rPr>
                <w:rFonts w:ascii="Arial" w:cs="Arial" w:eastAsia="Arial" w:hAnsi="Arial"/>
                <w:sz w:val="14"/>
                <w:szCs w:val="14"/>
                <w:color w:val="auto"/>
              </w:rPr>
              <w:t>2018</w:t>
            </w:r>
          </w:p>
        </w:tc>
        <w:tc>
          <w:tcPr>
            <w:tcW w:w="3860" w:type="dxa"/>
            <w:vAlign w:val="bottom"/>
          </w:tcPr>
          <w:p>
            <w:pPr>
              <w:jc w:val="right"/>
              <w:ind w:right="112"/>
              <w:spacing w:after="0"/>
              <w:rPr>
                <w:sz w:val="20"/>
                <w:szCs w:val="20"/>
                <w:color w:val="auto"/>
              </w:rPr>
            </w:pPr>
            <w:r>
              <w:rPr>
                <w:rFonts w:ascii="Arial" w:cs="Arial" w:eastAsia="Arial" w:hAnsi="Arial"/>
                <w:sz w:val="14"/>
                <w:szCs w:val="14"/>
                <w:b w:val="1"/>
                <w:bCs w:val="1"/>
                <w:color w:val="auto"/>
              </w:rPr>
              <w:t>48.0</w:t>
            </w:r>
          </w:p>
        </w:tc>
      </w:tr>
    </w:tbl>
    <w:p>
      <w:pPr>
        <w:spacing w:after="0" w:line="3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Indefinite Lived Intangible Assets</w:t>
      </w:r>
    </w:p>
    <w:p>
      <w:pPr>
        <w:spacing w:after="0" w:line="231" w:lineRule="exact"/>
        <w:rPr>
          <w:sz w:val="20"/>
          <w:szCs w:val="20"/>
          <w:color w:val="auto"/>
        </w:rPr>
      </w:pPr>
    </w:p>
    <w:p>
      <w:pPr>
        <w:jc w:val="both"/>
        <w:ind w:firstLine="506"/>
        <w:spacing w:after="0" w:line="306" w:lineRule="auto"/>
        <w:rPr>
          <w:sz w:val="20"/>
          <w:szCs w:val="20"/>
          <w:color w:val="auto"/>
        </w:rPr>
      </w:pPr>
      <w:r>
        <w:rPr>
          <w:rFonts w:ascii="Arial" w:cs="Arial" w:eastAsia="Arial" w:hAnsi="Arial"/>
          <w:sz w:val="16"/>
          <w:szCs w:val="16"/>
          <w:color w:val="auto"/>
        </w:rPr>
        <w:t>The net carrying amount of unamortized indefinite lived intangible assets was $856.3 million and $695.3 million as of December 31, 2013 and 2012, respectively. As of both December 31, 2013 and 2012, $608.0 million relates to investment management contracts associated with our acquisition of WM Advisors, Inc. in 2006. In addition, as of December 31, 2013, $185.2 million relates to trade name intangibles associated with our acquisition of Cuprum in 2013.</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Variable Interest Entities</w:t>
      </w:r>
    </w:p>
    <w:p>
      <w:pPr>
        <w:spacing w:after="0" w:line="231" w:lineRule="exact"/>
        <w:rPr>
          <w:sz w:val="20"/>
          <w:szCs w:val="20"/>
          <w:color w:val="auto"/>
        </w:rPr>
      </w:pPr>
    </w:p>
    <w:p>
      <w:pPr>
        <w:jc w:val="both"/>
        <w:ind w:firstLine="394"/>
        <w:spacing w:after="0" w:line="306" w:lineRule="auto"/>
        <w:rPr>
          <w:sz w:val="20"/>
          <w:szCs w:val="20"/>
          <w:color w:val="auto"/>
        </w:rPr>
      </w:pPr>
      <w:r>
        <w:rPr>
          <w:rFonts w:ascii="Arial" w:cs="Arial" w:eastAsia="Arial" w:hAnsi="Arial"/>
          <w:sz w:val="16"/>
          <w:szCs w:val="16"/>
          <w:color w:val="auto"/>
        </w:rPr>
        <w:t>We have relationships with and may have a variable interest in various types of special purpose entities. Following is a discussion of our interest in entities that meet the definition of a VIE. When we are the primary beneficiary, we are required to consolidate the entity in our financial statements. The primary beneficiary of a VIE is defined as the enterprise with (1) the power to direct the activities of a VIE that most significantly impact the entity's economic</w:t>
      </w:r>
    </w:p>
    <w:p>
      <w:pPr>
        <w:sectPr>
          <w:pgSz w:w="11900" w:h="16838" w:orient="portrait"/>
          <w:cols w:equalWidth="0" w:num="1">
            <w:col w:w="11420"/>
          </w:cols>
          <w:pgMar w:left="240" w:top="131" w:right="239" w:bottom="1440" w:gutter="0" w:footer="0" w:header="0"/>
        </w:sectPr>
      </w:pP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10" w:name="page111"/>
    <w:bookmarkEnd w:id="11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Variable Interest Entities — (continued)</w:t>
      </w:r>
    </w:p>
    <w:p>
      <w:pPr>
        <w:spacing w:after="0" w:line="231" w:lineRule="exact"/>
        <w:rPr>
          <w:sz w:val="20"/>
          <w:szCs w:val="20"/>
          <w:color w:val="auto"/>
        </w:rPr>
      </w:pPr>
    </w:p>
    <w:p>
      <w:pPr>
        <w:jc w:val="both"/>
        <w:ind w:right="20"/>
        <w:spacing w:after="0" w:line="268" w:lineRule="auto"/>
        <w:rPr>
          <w:sz w:val="20"/>
          <w:szCs w:val="20"/>
          <w:color w:val="auto"/>
        </w:rPr>
      </w:pPr>
      <w:r>
        <w:rPr>
          <w:rFonts w:ascii="Arial" w:cs="Arial" w:eastAsia="Arial" w:hAnsi="Arial"/>
          <w:sz w:val="18"/>
          <w:szCs w:val="18"/>
          <w:color w:val="auto"/>
        </w:rPr>
        <w:t>performance and (2) the obligation to absorb losses of the entity or the right to receive benefits from the entity that could potentially be significant to the VIE. On an ongoing basis, we assess whether we are the primary beneficiary of VIEs we have relationships with.</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Consolidated Variable Interest Entities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Grantor Trusts</w:t>
      </w:r>
    </w:p>
    <w:p>
      <w:pPr>
        <w:spacing w:after="0" w:line="225" w:lineRule="exact"/>
        <w:rPr>
          <w:sz w:val="20"/>
          <w:szCs w:val="20"/>
          <w:color w:val="auto"/>
        </w:rPr>
      </w:pPr>
    </w:p>
    <w:p>
      <w:pPr>
        <w:jc w:val="both"/>
        <w:ind w:firstLine="370"/>
        <w:spacing w:after="0" w:line="254" w:lineRule="auto"/>
        <w:rPr>
          <w:sz w:val="20"/>
          <w:szCs w:val="20"/>
          <w:color w:val="auto"/>
        </w:rPr>
      </w:pPr>
      <w:r>
        <w:rPr>
          <w:rFonts w:ascii="Arial" w:cs="Arial" w:eastAsia="Arial" w:hAnsi="Arial"/>
          <w:sz w:val="18"/>
          <w:szCs w:val="18"/>
          <w:color w:val="auto"/>
        </w:rPr>
        <w:t>We contributed undated subordinated floating rate notes to three grantor trusts. The trusts separated the cash flows by issuing an interest-only certificate and a residual certificate related to each note contributed. Each interest-only certificate entitles the holder to interest on the stated note for a specified term, while the residual certificate entitles the holder to interest payments subsequent to the term of the interest-only certificate and to all principal payments. We retained the interest-only certificates and the residual certificates were subsequently sold to third parties. We have determined these grantor trusts are VIEs due to insufficient equity to sustain them. We determined we are the primary beneficiary as a result of our contribution of securities into the trusts and our continuing interest in the trusts.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Collateralized Private Investment Vehicle</w:t>
      </w:r>
    </w:p>
    <w:p>
      <w:pPr>
        <w:spacing w:after="0" w:line="225" w:lineRule="exact"/>
        <w:rPr>
          <w:sz w:val="20"/>
          <w:szCs w:val="20"/>
          <w:color w:val="auto"/>
        </w:rPr>
      </w:pPr>
    </w:p>
    <w:p>
      <w:pPr>
        <w:jc w:val="both"/>
        <w:ind w:firstLine="492"/>
        <w:spacing w:after="0" w:line="291" w:lineRule="auto"/>
        <w:rPr>
          <w:sz w:val="20"/>
          <w:szCs w:val="20"/>
          <w:color w:val="auto"/>
        </w:rPr>
      </w:pPr>
      <w:r>
        <w:rPr>
          <w:rFonts w:ascii="Arial" w:cs="Arial" w:eastAsia="Arial" w:hAnsi="Arial"/>
          <w:sz w:val="16"/>
          <w:szCs w:val="16"/>
          <w:color w:val="auto"/>
        </w:rPr>
        <w:t>We invest in synthetic collateralized debt obligations, collateralized bond obligations, collateralized loan obligations and other collateralized structures, which are VIEs due to insufficient equity to sustain the entities (collectively known as "collateralized private investment vehicles"). The performance of the notes of these structures is primarily linked to a synthetic portfolio by derivatives; each note has a specific loss attachment and detachment point. The notes and related derivatives are collateralized by a pool of permitted investments. The investments are held by a trustee and can only be liquidated to settle obligations of the trusts. These obligations primarily include derivatives and the notes due at maturity or termination of the trusts. We determined we are the primary beneficiary for one of these entities because we act as the investment manager of the underlying portfolio and we have an ownership interest.</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Commercial Mortgage-Backed Securities</w:t>
      </w:r>
    </w:p>
    <w:p>
      <w:pPr>
        <w:spacing w:after="0" w:line="225" w:lineRule="exact"/>
        <w:rPr>
          <w:sz w:val="20"/>
          <w:szCs w:val="20"/>
          <w:color w:val="auto"/>
        </w:rPr>
      </w:pPr>
    </w:p>
    <w:p>
      <w:pPr>
        <w:jc w:val="both"/>
        <w:ind w:firstLine="407"/>
        <w:spacing w:after="0" w:line="298" w:lineRule="auto"/>
        <w:rPr>
          <w:sz w:val="20"/>
          <w:szCs w:val="20"/>
          <w:color w:val="auto"/>
        </w:rPr>
      </w:pPr>
      <w:r>
        <w:rPr>
          <w:rFonts w:ascii="Arial" w:cs="Arial" w:eastAsia="Arial" w:hAnsi="Arial"/>
          <w:sz w:val="16"/>
          <w:szCs w:val="16"/>
          <w:color w:val="auto"/>
        </w:rPr>
        <w:t>In September 2000, we sold commercial mortgage loans to a real estate mortgage investment conduit trust. The trust issued various commercial mortgage-backed securities ("CMBS") certificates using the cash flows of the underlying commercial mortgages it purchased. This is considered a VIE due to insufficient equity to sustain itself. We have determined we are the primary beneficiary as we retained the special servicing role for the assets within the trust as well as the ownership of the bond class that controls the unilateral kick out rights of the special servicer.</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Mandatory Retirement Savings</w:t>
      </w:r>
    </w:p>
    <w:p>
      <w:pPr>
        <w:spacing w:after="0" w:line="225" w:lineRule="exact"/>
        <w:rPr>
          <w:sz w:val="20"/>
          <w:szCs w:val="20"/>
          <w:color w:val="auto"/>
        </w:rPr>
      </w:pPr>
    </w:p>
    <w:p>
      <w:pPr>
        <w:jc w:val="both"/>
        <w:ind w:firstLine="430"/>
        <w:spacing w:after="0" w:line="289" w:lineRule="auto"/>
        <w:rPr>
          <w:sz w:val="20"/>
          <w:szCs w:val="20"/>
          <w:color w:val="auto"/>
        </w:rPr>
      </w:pPr>
      <w:r>
        <w:rPr>
          <w:rFonts w:ascii="Arial" w:cs="Arial" w:eastAsia="Arial" w:hAnsi="Arial"/>
          <w:sz w:val="16"/>
          <w:szCs w:val="16"/>
          <w:color w:val="auto"/>
        </w:rPr>
        <w:t>As a result of our first quarter 2013 acquisition of Cuprum, we hold an equity interest in mandatory privatized social security funds in which we provide asset management services. We determined that the mandatory privatized social security funds, which include contributors for voluntary pension savings, voluntary non-pension savings and compensation savings accounts, are VIEs. This is because the equity holders as a group lack the power, due to voting rights or similar rights, to direct the activities of the entity that most significantly impact the entity's economic performance and also because equity investors are protected from below-average market investment returns relative to the industry's return, due to a regulatory guarantee that we provide. Further we concluded that we are the primary beneficiary through our power to make decisions and our variable interest in the funds. The purpose of the funds, which reside in legally segregated entities, is to provide long-term retirement savings. The obligation to the client is directly related to the assets held in the funds and, as such, we present the assets as separate account assets and the obligation as separate account liabilities within our consolidated statements of financial position.</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1" w:name="page112"/>
    <w:bookmarkEnd w:id="11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Variable Interest Entities — (continued)</w:t>
      </w:r>
    </w:p>
    <w:p>
      <w:pPr>
        <w:spacing w:after="0" w:line="231" w:lineRule="exact"/>
        <w:rPr>
          <w:sz w:val="20"/>
          <w:szCs w:val="20"/>
          <w:color w:val="auto"/>
        </w:rPr>
      </w:pPr>
    </w:p>
    <w:p>
      <w:pPr>
        <w:ind w:firstLine="369"/>
        <w:spacing w:after="0" w:line="268" w:lineRule="auto"/>
        <w:rPr>
          <w:sz w:val="20"/>
          <w:szCs w:val="20"/>
          <w:color w:val="auto"/>
        </w:rPr>
      </w:pPr>
      <w:r>
        <w:rPr>
          <w:rFonts w:ascii="Arial" w:cs="Arial" w:eastAsia="Arial" w:hAnsi="Arial"/>
          <w:sz w:val="18"/>
          <w:szCs w:val="18"/>
          <w:color w:val="auto"/>
        </w:rPr>
        <w:t>The carrying amounts of our consolidated VIE assets, which can only be used to settle obligations of consolidated VIEs, and liabilities of consolidated VIEs for which creditors do not have recourse are as follows:</w:t>
      </w:r>
    </w:p>
    <w:p>
      <w:pPr>
        <w:spacing w:after="0" w:line="169"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0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80" w:type="dxa"/>
            <w:vAlign w:val="bottom"/>
          </w:tcPr>
          <w:p>
            <w:pPr>
              <w:jc w:val="center"/>
              <w:ind w:right="32"/>
              <w:spacing w:after="0"/>
              <w:rPr>
                <w:sz w:val="20"/>
                <w:szCs w:val="20"/>
                <w:color w:val="auto"/>
              </w:rPr>
            </w:pPr>
            <w:r>
              <w:rPr>
                <w:rFonts w:ascii="Arial" w:cs="Arial" w:eastAsia="Arial" w:hAnsi="Arial"/>
                <w:sz w:val="14"/>
                <w:szCs w:val="14"/>
                <w:b w:val="1"/>
                <w:bCs w:val="1"/>
                <w:color w:val="auto"/>
                <w:w w:val="87"/>
              </w:rPr>
              <w:t>Collateralized</w:t>
            </w:r>
          </w:p>
        </w:tc>
        <w:tc>
          <w:tcPr>
            <w:tcW w:w="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gridSpan w:val="2"/>
          </w:tcPr>
          <w:p>
            <w:pPr>
              <w:jc w:val="center"/>
              <w:spacing w:after="0"/>
              <w:rPr>
                <w:sz w:val="20"/>
                <w:szCs w:val="20"/>
                <w:color w:val="auto"/>
              </w:rPr>
            </w:pPr>
            <w:r>
              <w:rPr>
                <w:rFonts w:ascii="Arial" w:cs="Arial" w:eastAsia="Arial" w:hAnsi="Arial"/>
                <w:sz w:val="14"/>
                <w:szCs w:val="14"/>
                <w:b w:val="1"/>
                <w:bCs w:val="1"/>
                <w:color w:val="auto"/>
                <w:w w:val="93"/>
              </w:rPr>
              <w:t>Mandatory</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8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7"/>
              </w:rPr>
              <w:t>private investment</w:t>
            </w: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90"/>
              </w:rPr>
              <w:t>retirement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0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7"/>
              </w:rPr>
              <w:t>Grantor trusts</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4"/>
              </w:rPr>
              <w:t>vehicle</w:t>
            </w:r>
          </w:p>
        </w:tc>
        <w:tc>
          <w:tcPr>
            <w:tcW w:w="160" w:type="dxa"/>
            <w:vAlign w:val="bottom"/>
          </w:tcPr>
          <w:p>
            <w:pPr>
              <w:spacing w:after="0"/>
              <w:rPr>
                <w:sz w:val="14"/>
                <w:szCs w:val="14"/>
                <w:color w:val="auto"/>
              </w:rPr>
            </w:pPr>
          </w:p>
        </w:tc>
        <w:tc>
          <w:tcPr>
            <w:tcW w:w="54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14"/>
                <w:szCs w:val="14"/>
                <w:b w:val="1"/>
                <w:bCs w:val="1"/>
                <w:color w:val="auto"/>
              </w:rPr>
              <w:t>CMBS</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0"/>
              </w:rPr>
              <w:t>savings</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80" w:type="dxa"/>
            <w:vAlign w:val="bottom"/>
          </w:tcPr>
          <w:p>
            <w:pPr>
              <w:jc w:val="right"/>
              <w:ind w:right="9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420" w:type="dxa"/>
            <w:vAlign w:val="bottom"/>
            <w:gridSpan w:val="2"/>
          </w:tcPr>
          <w:p>
            <w:pPr>
              <w:jc w:val="center"/>
              <w:spacing w:after="0"/>
              <w:rPr>
                <w:sz w:val="20"/>
                <w:szCs w:val="20"/>
                <w:color w:val="auto"/>
              </w:rPr>
            </w:pPr>
            <w:r>
              <w:rPr>
                <w:rFonts w:ascii="Arial" w:cs="Arial" w:eastAsia="Arial" w:hAnsi="Arial"/>
                <w:sz w:val="12"/>
                <w:szCs w:val="12"/>
                <w:b w:val="1"/>
                <w:bCs w:val="1"/>
                <w:i w:val="1"/>
                <w:iCs w:val="1"/>
                <w:color w:val="auto"/>
                <w:w w:val="76"/>
              </w:rPr>
              <w:t>millions)</w:t>
            </w: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December 31, 2013</w:t>
            </w:r>
          </w:p>
        </w:tc>
        <w:tc>
          <w:tcPr>
            <w:tcW w:w="1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80" w:type="dxa"/>
            <w:vAlign w:val="bottom"/>
            <w:gridSpan w:val="2"/>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11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272.0</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1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4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76"/>
              </w:rPr>
              <w:t>$</w:t>
            </w:r>
          </w:p>
        </w:tc>
        <w:tc>
          <w:tcPr>
            <w:tcW w:w="2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7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280" w:type="dxa"/>
            <w:vAlign w:val="bottom"/>
            <w:gridSpan w:val="2"/>
          </w:tcPr>
          <w:p>
            <w:pPr>
              <w:jc w:val="right"/>
              <w:ind w:right="9"/>
              <w:spacing w:after="0" w:line="149" w:lineRule="exact"/>
              <w:rPr>
                <w:sz w:val="20"/>
                <w:szCs w:val="20"/>
                <w:color w:val="auto"/>
              </w:rPr>
            </w:pPr>
            <w:r>
              <w:rPr>
                <w:rFonts w:ascii="Arial" w:cs="Arial" w:eastAsia="Arial" w:hAnsi="Arial"/>
                <w:sz w:val="14"/>
                <w:szCs w:val="14"/>
                <w:b w:val="1"/>
                <w:bCs w:val="1"/>
                <w:color w:val="auto"/>
              </w:rPr>
              <w:t>$</w:t>
            </w: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272.0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Fixed maturities, trading</w:t>
            </w:r>
          </w:p>
        </w:tc>
        <w:tc>
          <w:tcPr>
            <w:tcW w:w="1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110.4</w:t>
            </w: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110.4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80" w:type="dxa"/>
            <w:vAlign w:val="bottom"/>
            <w:gridSpan w:val="2"/>
          </w:tcPr>
          <w:p>
            <w:pPr>
              <w:spacing w:after="0" w:line="149" w:lineRule="exact"/>
              <w:rPr>
                <w:sz w:val="20"/>
                <w:szCs w:val="20"/>
                <w:color w:val="auto"/>
              </w:rPr>
            </w:pPr>
            <w:r>
              <w:rPr>
                <w:rFonts w:ascii="Arial" w:cs="Arial" w:eastAsia="Arial" w:hAnsi="Arial"/>
                <w:sz w:val="14"/>
                <w:szCs w:val="14"/>
                <w:color w:val="auto"/>
              </w:rPr>
              <w:t>Equity securities, trading</w:t>
            </w:r>
          </w:p>
        </w:tc>
        <w:tc>
          <w:tcPr>
            <w:tcW w:w="1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327.2</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327.2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Other investments</w:t>
            </w:r>
          </w:p>
        </w:tc>
        <w:tc>
          <w:tcPr>
            <w:tcW w:w="1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87"/>
              </w:rPr>
              <w:t>68.1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68.1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80" w:type="dxa"/>
            <w:vAlign w:val="bottom"/>
            <w:gridSpan w:val="2"/>
          </w:tcPr>
          <w:p>
            <w:pPr>
              <w:spacing w:after="0" w:line="149" w:lineRule="exact"/>
              <w:rPr>
                <w:sz w:val="20"/>
                <w:szCs w:val="20"/>
                <w:color w:val="auto"/>
              </w:rPr>
            </w:pPr>
            <w:r>
              <w:rPr>
                <w:rFonts w:ascii="Arial" w:cs="Arial" w:eastAsia="Arial" w:hAnsi="Arial"/>
                <w:sz w:val="14"/>
                <w:szCs w:val="14"/>
                <w:color w:val="auto"/>
              </w:rPr>
              <w:t>Accrued investment income</w:t>
            </w:r>
          </w:p>
        </w:tc>
        <w:tc>
          <w:tcPr>
            <w:tcW w:w="1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0.6</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Separate account assets</w:t>
            </w:r>
          </w:p>
        </w:tc>
        <w:tc>
          <w:tcPr>
            <w:tcW w:w="110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9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11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260" w:type="dxa"/>
            <w:vAlign w:val="bottom"/>
            <w:tcBorders>
              <w:bottom w:val="single" w:sz="8" w:color="auto"/>
            </w:tcBorders>
            <w:shd w:val="clear" w:color="auto" w:fill="CCEEFF"/>
          </w:tcPr>
          <w:p>
            <w:pPr>
              <w:spacing w:after="0"/>
              <w:rPr>
                <w:sz w:val="12"/>
                <w:szCs w:val="12"/>
                <w:color w:val="auto"/>
              </w:rPr>
            </w:pPr>
          </w:p>
        </w:tc>
        <w:tc>
          <w:tcPr>
            <w:tcW w:w="2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7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32,824.7</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99"/>
              </w:rPr>
              <w:t>32,824.7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980" w:type="dxa"/>
            <w:vAlign w:val="bottom"/>
            <w:gridSpan w:val="2"/>
          </w:tcPr>
          <w:p>
            <w:pPr>
              <w:ind w:left="140"/>
              <w:spacing w:after="0" w:line="142" w:lineRule="exact"/>
              <w:rPr>
                <w:sz w:val="20"/>
                <w:szCs w:val="20"/>
                <w:color w:val="auto"/>
              </w:rPr>
            </w:pPr>
            <w:r>
              <w:rPr>
                <w:rFonts w:ascii="Arial" w:cs="Arial" w:eastAsia="Arial" w:hAnsi="Arial"/>
                <w:sz w:val="14"/>
                <w:szCs w:val="14"/>
                <w:color w:val="auto"/>
              </w:rPr>
              <w:t>Total assets</w:t>
            </w:r>
          </w:p>
        </w:tc>
        <w:tc>
          <w:tcPr>
            <w:tcW w:w="1100" w:type="dxa"/>
            <w:vAlign w:val="bottom"/>
          </w:tcPr>
          <w:p>
            <w:pPr>
              <w:spacing w:after="0"/>
              <w:rPr>
                <w:sz w:val="12"/>
                <w:szCs w:val="12"/>
                <w:color w:val="auto"/>
              </w:rPr>
            </w:pPr>
          </w:p>
        </w:tc>
        <w:tc>
          <w:tcPr>
            <w:tcW w:w="8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76"/>
              </w:rPr>
              <w:t>$</w:t>
            </w:r>
          </w:p>
        </w:tc>
        <w:tc>
          <w:tcPr>
            <w:tcW w:w="9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272.3</w:t>
            </w:r>
          </w:p>
        </w:tc>
        <w:tc>
          <w:tcPr>
            <w:tcW w:w="160" w:type="dxa"/>
            <w:vAlign w:val="bottom"/>
          </w:tcPr>
          <w:p>
            <w:pPr>
              <w:spacing w:after="0"/>
              <w:rPr>
                <w:sz w:val="12"/>
                <w:szCs w:val="12"/>
                <w:color w:val="auto"/>
              </w:rPr>
            </w:pPr>
          </w:p>
        </w:tc>
        <w:tc>
          <w:tcPr>
            <w:tcW w:w="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11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110.4</w:t>
            </w:r>
          </w:p>
        </w:tc>
        <w:tc>
          <w:tcPr>
            <w:tcW w:w="160" w:type="dxa"/>
            <w:vAlign w:val="bottom"/>
          </w:tcPr>
          <w:p>
            <w:pPr>
              <w:spacing w:after="0"/>
              <w:rPr>
                <w:sz w:val="12"/>
                <w:szCs w:val="12"/>
                <w:color w:val="auto"/>
              </w:rPr>
            </w:pPr>
          </w:p>
        </w:tc>
        <w:tc>
          <w:tcPr>
            <w:tcW w:w="260" w:type="dxa"/>
            <w:vAlign w:val="bottom"/>
            <w:tcBorders>
              <w:bottom w:val="single" w:sz="8" w:color="auto"/>
            </w:tcBorders>
          </w:tcPr>
          <w:p>
            <w:pPr>
              <w:jc w:val="center"/>
              <w:ind w:right="132"/>
              <w:spacing w:after="0" w:line="142" w:lineRule="exact"/>
              <w:rPr>
                <w:sz w:val="20"/>
                <w:szCs w:val="20"/>
                <w:color w:val="auto"/>
              </w:rPr>
            </w:pPr>
            <w:r>
              <w:rPr>
                <w:rFonts w:ascii="Arial" w:cs="Arial" w:eastAsia="Arial" w:hAnsi="Arial"/>
                <w:sz w:val="14"/>
                <w:szCs w:val="14"/>
                <w:b w:val="1"/>
                <w:bCs w:val="1"/>
                <w:color w:val="auto"/>
                <w:w w:val="76"/>
              </w:rPr>
              <w:t>$</w:t>
            </w:r>
          </w:p>
        </w:tc>
        <w:tc>
          <w:tcPr>
            <w:tcW w:w="2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7"/>
              </w:rPr>
              <w:t>68.7</w:t>
            </w:r>
          </w:p>
        </w:tc>
        <w:tc>
          <w:tcPr>
            <w:tcW w:w="160" w:type="dxa"/>
            <w:vAlign w:val="bottom"/>
          </w:tcPr>
          <w:p>
            <w:pPr>
              <w:spacing w:after="0"/>
              <w:rPr>
                <w:sz w:val="12"/>
                <w:szCs w:val="12"/>
                <w:color w:val="auto"/>
              </w:rPr>
            </w:pPr>
          </w:p>
        </w:tc>
        <w:tc>
          <w:tcPr>
            <w:tcW w:w="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7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33,151.9</w:t>
            </w:r>
          </w:p>
        </w:tc>
        <w:tc>
          <w:tcPr>
            <w:tcW w:w="160" w:type="dxa"/>
            <w:vAlign w:val="bottom"/>
          </w:tcPr>
          <w:p>
            <w:pPr>
              <w:spacing w:after="0"/>
              <w:rPr>
                <w:sz w:val="12"/>
                <w:szCs w:val="12"/>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9"/>
              </w:rPr>
              <w:t>33,603.3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2980" w:type="dxa"/>
            <w:vAlign w:val="bottom"/>
            <w:gridSpan w:val="2"/>
            <w:shd w:val="clear" w:color="auto" w:fill="CCEEFF"/>
          </w:tcPr>
          <w:p>
            <w:pPr>
              <w:spacing w:after="0" w:line="129" w:lineRule="exact"/>
              <w:rPr>
                <w:sz w:val="20"/>
                <w:szCs w:val="20"/>
                <w:color w:val="auto"/>
              </w:rPr>
            </w:pPr>
            <w:r>
              <w:rPr>
                <w:rFonts w:ascii="Arial" w:cs="Arial" w:eastAsia="Arial" w:hAnsi="Arial"/>
                <w:sz w:val="14"/>
                <w:szCs w:val="14"/>
                <w:color w:val="auto"/>
              </w:rPr>
              <w:t>Deferred income taxes</w:t>
            </w:r>
          </w:p>
        </w:tc>
        <w:tc>
          <w:tcPr>
            <w:tcW w:w="1180" w:type="dxa"/>
            <w:vAlign w:val="bottom"/>
            <w:gridSpan w:val="2"/>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w:t>
            </w:r>
          </w:p>
        </w:tc>
        <w:tc>
          <w:tcPr>
            <w:tcW w:w="92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1.5</w:t>
            </w:r>
          </w:p>
        </w:tc>
        <w:tc>
          <w:tcPr>
            <w:tcW w:w="240" w:type="dxa"/>
            <w:vAlign w:val="bottom"/>
            <w:gridSpan w:val="2"/>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w:t>
            </w:r>
          </w:p>
        </w:tc>
        <w:tc>
          <w:tcPr>
            <w:tcW w:w="118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w:t>
            </w:r>
          </w:p>
        </w:tc>
        <w:tc>
          <w:tcPr>
            <w:tcW w:w="420" w:type="dxa"/>
            <w:vAlign w:val="bottom"/>
            <w:gridSpan w:val="2"/>
            <w:shd w:val="clear" w:color="auto" w:fill="CCEEFF"/>
          </w:tcPr>
          <w:p>
            <w:pPr>
              <w:jc w:val="center"/>
              <w:spacing w:after="0" w:line="129" w:lineRule="exact"/>
              <w:rPr>
                <w:sz w:val="20"/>
                <w:szCs w:val="20"/>
                <w:color w:val="auto"/>
              </w:rPr>
            </w:pPr>
            <w:r>
              <w:rPr>
                <w:rFonts w:ascii="Arial" w:cs="Arial" w:eastAsia="Arial" w:hAnsi="Arial"/>
                <w:sz w:val="14"/>
                <w:szCs w:val="14"/>
                <w:b w:val="1"/>
                <w:bCs w:val="1"/>
                <w:color w:val="auto"/>
                <w:w w:val="76"/>
              </w:rPr>
              <w:t>$</w:t>
            </w:r>
          </w:p>
        </w:tc>
        <w:tc>
          <w:tcPr>
            <w:tcW w:w="28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w:t>
            </w:r>
          </w:p>
        </w:tc>
        <w:tc>
          <w:tcPr>
            <w:tcW w:w="240" w:type="dxa"/>
            <w:vAlign w:val="bottom"/>
            <w:gridSpan w:val="2"/>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w:t>
            </w:r>
          </w:p>
        </w:tc>
        <w:tc>
          <w:tcPr>
            <w:tcW w:w="72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w:t>
            </w:r>
          </w:p>
        </w:tc>
        <w:tc>
          <w:tcPr>
            <w:tcW w:w="280" w:type="dxa"/>
            <w:vAlign w:val="bottom"/>
            <w:gridSpan w:val="2"/>
            <w:shd w:val="clear" w:color="auto" w:fill="CCEEFF"/>
          </w:tcPr>
          <w:p>
            <w:pPr>
              <w:jc w:val="right"/>
              <w:ind w:right="9"/>
              <w:spacing w:after="0" w:line="129"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1.5</w:t>
            </w: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80" w:type="dxa"/>
            <w:vAlign w:val="bottom"/>
            <w:gridSpan w:val="2"/>
          </w:tcPr>
          <w:p>
            <w:pPr>
              <w:spacing w:after="0" w:line="149" w:lineRule="exact"/>
              <w:rPr>
                <w:sz w:val="20"/>
                <w:szCs w:val="20"/>
                <w:color w:val="auto"/>
              </w:rPr>
            </w:pPr>
            <w:r>
              <w:rPr>
                <w:rFonts w:ascii="Arial" w:cs="Arial" w:eastAsia="Arial" w:hAnsi="Arial"/>
                <w:sz w:val="14"/>
                <w:szCs w:val="14"/>
                <w:color w:val="auto"/>
              </w:rPr>
              <w:t>Separate account liabilities</w:t>
            </w:r>
          </w:p>
        </w:tc>
        <w:tc>
          <w:tcPr>
            <w:tcW w:w="1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32,824.7</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99"/>
              </w:rPr>
              <w:t>32,824.7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Other liabilities (1)</w:t>
            </w:r>
          </w:p>
        </w:tc>
        <w:tc>
          <w:tcPr>
            <w:tcW w:w="110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9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217.2</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11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93.8</w:t>
            </w:r>
          </w:p>
        </w:tc>
        <w:tc>
          <w:tcPr>
            <w:tcW w:w="160" w:type="dxa"/>
            <w:vAlign w:val="bottom"/>
            <w:shd w:val="clear" w:color="auto" w:fill="CCEEFF"/>
          </w:tcPr>
          <w:p>
            <w:pPr>
              <w:spacing w:after="0"/>
              <w:rPr>
                <w:sz w:val="12"/>
                <w:szCs w:val="12"/>
                <w:color w:val="auto"/>
              </w:rPr>
            </w:pPr>
          </w:p>
        </w:tc>
        <w:tc>
          <w:tcPr>
            <w:tcW w:w="260" w:type="dxa"/>
            <w:vAlign w:val="bottom"/>
            <w:tcBorders>
              <w:bottom w:val="single" w:sz="8" w:color="auto"/>
            </w:tcBorders>
            <w:shd w:val="clear" w:color="auto" w:fill="CCEEFF"/>
          </w:tcPr>
          <w:p>
            <w:pPr>
              <w:spacing w:after="0"/>
              <w:rPr>
                <w:sz w:val="12"/>
                <w:szCs w:val="12"/>
                <w:color w:val="auto"/>
              </w:rPr>
            </w:pPr>
          </w:p>
        </w:tc>
        <w:tc>
          <w:tcPr>
            <w:tcW w:w="2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87"/>
              </w:rPr>
              <w:t>31.4</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7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342.4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980" w:type="dxa"/>
            <w:vAlign w:val="bottom"/>
            <w:gridSpan w:val="2"/>
          </w:tcPr>
          <w:p>
            <w:pPr>
              <w:ind w:left="140"/>
              <w:spacing w:after="0" w:line="142" w:lineRule="exact"/>
              <w:rPr>
                <w:sz w:val="20"/>
                <w:szCs w:val="20"/>
                <w:color w:val="auto"/>
              </w:rPr>
            </w:pPr>
            <w:r>
              <w:rPr>
                <w:rFonts w:ascii="Arial" w:cs="Arial" w:eastAsia="Arial" w:hAnsi="Arial"/>
                <w:sz w:val="14"/>
                <w:szCs w:val="14"/>
                <w:color w:val="auto"/>
              </w:rPr>
              <w:t>Total liabilities</w:t>
            </w:r>
          </w:p>
        </w:tc>
        <w:tc>
          <w:tcPr>
            <w:tcW w:w="1100" w:type="dxa"/>
            <w:vAlign w:val="bottom"/>
          </w:tcPr>
          <w:p>
            <w:pPr>
              <w:spacing w:after="0"/>
              <w:rPr>
                <w:sz w:val="12"/>
                <w:szCs w:val="12"/>
                <w:color w:val="auto"/>
              </w:rPr>
            </w:pPr>
          </w:p>
        </w:tc>
        <w:tc>
          <w:tcPr>
            <w:tcW w:w="8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76"/>
              </w:rPr>
              <w:t>$</w:t>
            </w:r>
          </w:p>
        </w:tc>
        <w:tc>
          <w:tcPr>
            <w:tcW w:w="9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218.7</w:t>
            </w:r>
          </w:p>
        </w:tc>
        <w:tc>
          <w:tcPr>
            <w:tcW w:w="160" w:type="dxa"/>
            <w:vAlign w:val="bottom"/>
          </w:tcPr>
          <w:p>
            <w:pPr>
              <w:spacing w:after="0"/>
              <w:rPr>
                <w:sz w:val="12"/>
                <w:szCs w:val="12"/>
                <w:color w:val="auto"/>
              </w:rPr>
            </w:pPr>
          </w:p>
        </w:tc>
        <w:tc>
          <w:tcPr>
            <w:tcW w:w="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11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93.8</w:t>
            </w:r>
          </w:p>
        </w:tc>
        <w:tc>
          <w:tcPr>
            <w:tcW w:w="160" w:type="dxa"/>
            <w:vAlign w:val="bottom"/>
          </w:tcPr>
          <w:p>
            <w:pPr>
              <w:spacing w:after="0"/>
              <w:rPr>
                <w:sz w:val="12"/>
                <w:szCs w:val="12"/>
                <w:color w:val="auto"/>
              </w:rPr>
            </w:pPr>
          </w:p>
        </w:tc>
        <w:tc>
          <w:tcPr>
            <w:tcW w:w="260" w:type="dxa"/>
            <w:vAlign w:val="bottom"/>
            <w:tcBorders>
              <w:bottom w:val="single" w:sz="8" w:color="auto"/>
            </w:tcBorders>
          </w:tcPr>
          <w:p>
            <w:pPr>
              <w:jc w:val="center"/>
              <w:ind w:right="132"/>
              <w:spacing w:after="0" w:line="142" w:lineRule="exact"/>
              <w:rPr>
                <w:sz w:val="20"/>
                <w:szCs w:val="20"/>
                <w:color w:val="auto"/>
              </w:rPr>
            </w:pPr>
            <w:r>
              <w:rPr>
                <w:rFonts w:ascii="Arial" w:cs="Arial" w:eastAsia="Arial" w:hAnsi="Arial"/>
                <w:sz w:val="14"/>
                <w:szCs w:val="14"/>
                <w:b w:val="1"/>
                <w:bCs w:val="1"/>
                <w:color w:val="auto"/>
                <w:w w:val="76"/>
              </w:rPr>
              <w:t>$</w:t>
            </w:r>
          </w:p>
        </w:tc>
        <w:tc>
          <w:tcPr>
            <w:tcW w:w="2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7"/>
              </w:rPr>
              <w:t>31.4</w:t>
            </w:r>
          </w:p>
        </w:tc>
        <w:tc>
          <w:tcPr>
            <w:tcW w:w="160" w:type="dxa"/>
            <w:vAlign w:val="bottom"/>
          </w:tcPr>
          <w:p>
            <w:pPr>
              <w:spacing w:after="0"/>
              <w:rPr>
                <w:sz w:val="12"/>
                <w:szCs w:val="12"/>
                <w:color w:val="auto"/>
              </w:rPr>
            </w:pPr>
          </w:p>
        </w:tc>
        <w:tc>
          <w:tcPr>
            <w:tcW w:w="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7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32,824.7</w:t>
            </w:r>
          </w:p>
        </w:tc>
        <w:tc>
          <w:tcPr>
            <w:tcW w:w="160" w:type="dxa"/>
            <w:vAlign w:val="bottom"/>
          </w:tcPr>
          <w:p>
            <w:pPr>
              <w:spacing w:after="0"/>
              <w:rPr>
                <w:sz w:val="12"/>
                <w:szCs w:val="12"/>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9"/>
              </w:rPr>
              <w:t>33,168.6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2980" w:type="dxa"/>
            <w:vAlign w:val="bottom"/>
            <w:gridSpan w:val="2"/>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December 31, 2012</w:t>
            </w:r>
          </w:p>
        </w:tc>
        <w:tc>
          <w:tcPr>
            <w:tcW w:w="1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1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80" w:type="dxa"/>
            <w:vAlign w:val="bottom"/>
            <w:gridSpan w:val="2"/>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1180" w:type="dxa"/>
            <w:vAlign w:val="bottom"/>
            <w:gridSpan w:val="2"/>
          </w:tcPr>
          <w:p>
            <w:pPr>
              <w:ind w:left="1100"/>
              <w:spacing w:after="0" w:line="149" w:lineRule="exact"/>
              <w:rPr>
                <w:sz w:val="20"/>
                <w:szCs w:val="20"/>
                <w:color w:val="auto"/>
              </w:rPr>
            </w:pPr>
            <w:r>
              <w:rPr>
                <w:rFonts w:ascii="Arial" w:cs="Arial" w:eastAsia="Arial" w:hAnsi="Arial"/>
                <w:sz w:val="14"/>
                <w:szCs w:val="14"/>
                <w:color w:val="auto"/>
                <w:w w:val="76"/>
              </w:rPr>
              <w:t>$</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194.6</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420" w:type="dxa"/>
            <w:vAlign w:val="bottom"/>
            <w:gridSpan w:val="2"/>
          </w:tcPr>
          <w:p>
            <w:pPr>
              <w:jc w:val="center"/>
              <w:spacing w:after="0" w:line="149" w:lineRule="exact"/>
              <w:rPr>
                <w:sz w:val="20"/>
                <w:szCs w:val="20"/>
                <w:color w:val="auto"/>
              </w:rPr>
            </w:pPr>
            <w:r>
              <w:rPr>
                <w:rFonts w:ascii="Arial" w:cs="Arial" w:eastAsia="Arial" w:hAnsi="Arial"/>
                <w:sz w:val="14"/>
                <w:szCs w:val="14"/>
                <w:color w:val="auto"/>
                <w:w w:val="76"/>
              </w:rPr>
              <w:t>$</w:t>
            </w:r>
          </w:p>
        </w:tc>
        <w:tc>
          <w:tcPr>
            <w:tcW w:w="2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8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194.6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Fixed maturities, trading</w:t>
            </w:r>
          </w:p>
        </w:tc>
        <w:tc>
          <w:tcPr>
            <w:tcW w:w="1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110.4</w:t>
            </w: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110.4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80" w:type="dxa"/>
            <w:vAlign w:val="bottom"/>
            <w:gridSpan w:val="2"/>
          </w:tcPr>
          <w:p>
            <w:pPr>
              <w:spacing w:after="0" w:line="149" w:lineRule="exact"/>
              <w:rPr>
                <w:sz w:val="20"/>
                <w:szCs w:val="20"/>
                <w:color w:val="auto"/>
              </w:rPr>
            </w:pPr>
            <w:r>
              <w:rPr>
                <w:rFonts w:ascii="Arial" w:cs="Arial" w:eastAsia="Arial" w:hAnsi="Arial"/>
                <w:sz w:val="14"/>
                <w:szCs w:val="14"/>
                <w:color w:val="auto"/>
              </w:rPr>
              <w:t>Equity securities, trading</w:t>
            </w:r>
          </w:p>
        </w:tc>
        <w:tc>
          <w:tcPr>
            <w:tcW w:w="1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Other investments</w:t>
            </w:r>
          </w:p>
        </w:tc>
        <w:tc>
          <w:tcPr>
            <w:tcW w:w="1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87"/>
              </w:rPr>
              <w:t>80.3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80.3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80" w:type="dxa"/>
            <w:vAlign w:val="bottom"/>
            <w:gridSpan w:val="2"/>
          </w:tcPr>
          <w:p>
            <w:pPr>
              <w:spacing w:after="0" w:line="149" w:lineRule="exact"/>
              <w:rPr>
                <w:sz w:val="20"/>
                <w:szCs w:val="20"/>
                <w:color w:val="auto"/>
              </w:rPr>
            </w:pPr>
            <w:r>
              <w:rPr>
                <w:rFonts w:ascii="Arial" w:cs="Arial" w:eastAsia="Arial" w:hAnsi="Arial"/>
                <w:sz w:val="14"/>
                <w:szCs w:val="14"/>
                <w:color w:val="auto"/>
              </w:rPr>
              <w:t>Accrued investment income</w:t>
            </w:r>
          </w:p>
        </w:tc>
        <w:tc>
          <w:tcPr>
            <w:tcW w:w="110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9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0.5</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1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0.6</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980" w:type="dxa"/>
            <w:vAlign w:val="bottom"/>
            <w:gridSpan w:val="2"/>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assets</w:t>
            </w:r>
          </w:p>
        </w:tc>
        <w:tc>
          <w:tcPr>
            <w:tcW w:w="110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line="142" w:lineRule="exact"/>
              <w:rPr>
                <w:sz w:val="20"/>
                <w:szCs w:val="20"/>
                <w:color w:val="auto"/>
              </w:rPr>
            </w:pPr>
            <w:r>
              <w:rPr>
                <w:rFonts w:ascii="Arial" w:cs="Arial" w:eastAsia="Arial" w:hAnsi="Arial"/>
                <w:sz w:val="14"/>
                <w:szCs w:val="14"/>
                <w:color w:val="auto"/>
                <w:w w:val="76"/>
              </w:rPr>
              <w:t>$</w:t>
            </w:r>
          </w:p>
        </w:tc>
        <w:tc>
          <w:tcPr>
            <w:tcW w:w="9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195.1</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11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110.4</w:t>
            </w:r>
          </w:p>
        </w:tc>
        <w:tc>
          <w:tcPr>
            <w:tcW w:w="160" w:type="dxa"/>
            <w:vAlign w:val="bottom"/>
            <w:shd w:val="clear" w:color="auto" w:fill="CCEEFF"/>
          </w:tcPr>
          <w:p>
            <w:pPr>
              <w:spacing w:after="0"/>
              <w:rPr>
                <w:sz w:val="12"/>
                <w:szCs w:val="12"/>
                <w:color w:val="auto"/>
              </w:rPr>
            </w:pPr>
          </w:p>
        </w:tc>
        <w:tc>
          <w:tcPr>
            <w:tcW w:w="260" w:type="dxa"/>
            <w:vAlign w:val="bottom"/>
            <w:tcBorders>
              <w:bottom w:val="single" w:sz="8" w:color="auto"/>
            </w:tcBorders>
            <w:shd w:val="clear" w:color="auto" w:fill="CCEEFF"/>
          </w:tcPr>
          <w:p>
            <w:pPr>
              <w:jc w:val="center"/>
              <w:ind w:right="132"/>
              <w:spacing w:after="0" w:line="142" w:lineRule="exact"/>
              <w:rPr>
                <w:sz w:val="20"/>
                <w:szCs w:val="20"/>
                <w:color w:val="auto"/>
              </w:rPr>
            </w:pPr>
            <w:r>
              <w:rPr>
                <w:rFonts w:ascii="Arial" w:cs="Arial" w:eastAsia="Arial" w:hAnsi="Arial"/>
                <w:sz w:val="14"/>
                <w:szCs w:val="14"/>
                <w:color w:val="auto"/>
                <w:w w:val="76"/>
              </w:rPr>
              <w:t>$</w:t>
            </w:r>
          </w:p>
        </w:tc>
        <w:tc>
          <w:tcPr>
            <w:tcW w:w="2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87"/>
              </w:rPr>
              <w:t>80.9</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56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386.4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000" w:type="dxa"/>
            <w:vAlign w:val="bottom"/>
            <w:gridSpan w:val="3"/>
            <w:vMerge w:val="restart"/>
          </w:tcPr>
          <w:p>
            <w:pPr>
              <w:spacing w:after="0"/>
              <w:rPr>
                <w:sz w:val="20"/>
                <w:szCs w:val="20"/>
                <w:color w:val="auto"/>
              </w:rPr>
            </w:pPr>
            <w:r>
              <w:rPr>
                <w:rFonts w:ascii="Arial" w:cs="Arial" w:eastAsia="Arial" w:hAnsi="Arial"/>
                <w:sz w:val="14"/>
                <w:szCs w:val="14"/>
                <w:color w:val="auto"/>
              </w:rPr>
              <w:t>Deferred income taxes</w:t>
            </w:r>
          </w:p>
        </w:tc>
        <w:tc>
          <w:tcPr>
            <w:tcW w:w="1180" w:type="dxa"/>
            <w:vAlign w:val="bottom"/>
            <w:gridSpan w:val="2"/>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3000" w:type="dxa"/>
            <w:vAlign w:val="bottom"/>
            <w:gridSpan w:val="3"/>
            <w:vMerge w:val="continue"/>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Borders>
              <w:top w:val="single" w:sz="8" w:color="auto"/>
            </w:tcBorders>
          </w:tcPr>
          <w:p>
            <w:pPr>
              <w:spacing w:after="0" w:line="129" w:lineRule="exact"/>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tcBorders>
          </w:tcPr>
          <w:p>
            <w:pPr>
              <w:jc w:val="right"/>
              <w:spacing w:after="0" w:line="129" w:lineRule="exact"/>
              <w:rPr>
                <w:sz w:val="20"/>
                <w:szCs w:val="20"/>
                <w:color w:val="auto"/>
              </w:rPr>
            </w:pPr>
            <w:r>
              <w:rPr>
                <w:rFonts w:ascii="Arial" w:cs="Arial" w:eastAsia="Arial" w:hAnsi="Arial"/>
                <w:sz w:val="14"/>
                <w:szCs w:val="14"/>
                <w:color w:val="auto"/>
              </w:rPr>
              <w:t>1.8</w:t>
            </w:r>
          </w:p>
        </w:tc>
        <w:tc>
          <w:tcPr>
            <w:tcW w:w="160" w:type="dxa"/>
            <w:vAlign w:val="bottom"/>
          </w:tcPr>
          <w:p>
            <w:pPr>
              <w:spacing w:after="0"/>
              <w:rPr>
                <w:sz w:val="11"/>
                <w:szCs w:val="11"/>
                <w:color w:val="auto"/>
              </w:rPr>
            </w:pPr>
          </w:p>
        </w:tc>
        <w:tc>
          <w:tcPr>
            <w:tcW w:w="80" w:type="dxa"/>
            <w:vAlign w:val="bottom"/>
            <w:tcBorders>
              <w:top w:val="single" w:sz="8" w:color="auto"/>
            </w:tcBorders>
          </w:tcPr>
          <w:p>
            <w:pPr>
              <w:jc w:val="right"/>
              <w:spacing w:after="0" w:line="129" w:lineRule="exact"/>
              <w:rPr>
                <w:sz w:val="20"/>
                <w:szCs w:val="20"/>
                <w:color w:val="auto"/>
              </w:rPr>
            </w:pPr>
            <w:r>
              <w:rPr>
                <w:rFonts w:ascii="Arial" w:cs="Arial" w:eastAsia="Arial" w:hAnsi="Arial"/>
                <w:sz w:val="14"/>
                <w:szCs w:val="14"/>
                <w:color w:val="auto"/>
                <w:w w:val="76"/>
              </w:rPr>
              <w:t>$</w:t>
            </w:r>
          </w:p>
        </w:tc>
        <w:tc>
          <w:tcPr>
            <w:tcW w:w="1180" w:type="dxa"/>
            <w:vAlign w:val="bottom"/>
            <w:tcBorders>
              <w:top w:val="single" w:sz="8" w:color="auto"/>
            </w:tcBorders>
          </w:tcPr>
          <w:p>
            <w:pPr>
              <w:jc w:val="right"/>
              <w:spacing w:after="0" w:line="12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1"/>
                <w:szCs w:val="11"/>
                <w:color w:val="auto"/>
              </w:rPr>
            </w:pPr>
          </w:p>
        </w:tc>
        <w:tc>
          <w:tcPr>
            <w:tcW w:w="260" w:type="dxa"/>
            <w:vAlign w:val="bottom"/>
            <w:tcBorders>
              <w:top w:val="single" w:sz="8" w:color="auto"/>
            </w:tcBorders>
          </w:tcPr>
          <w:p>
            <w:pPr>
              <w:jc w:val="center"/>
              <w:ind w:right="132"/>
              <w:spacing w:after="0" w:line="129" w:lineRule="exact"/>
              <w:rPr>
                <w:sz w:val="20"/>
                <w:szCs w:val="20"/>
                <w:color w:val="auto"/>
              </w:rPr>
            </w:pPr>
            <w:r>
              <w:rPr>
                <w:rFonts w:ascii="Arial" w:cs="Arial" w:eastAsia="Arial" w:hAnsi="Arial"/>
                <w:sz w:val="14"/>
                <w:szCs w:val="14"/>
                <w:color w:val="auto"/>
                <w:w w:val="76"/>
              </w:rPr>
              <w:t>$</w:t>
            </w:r>
          </w:p>
        </w:tc>
        <w:tc>
          <w:tcPr>
            <w:tcW w:w="280" w:type="dxa"/>
            <w:vAlign w:val="bottom"/>
            <w:tcBorders>
              <w:top w:val="single" w:sz="8" w:color="auto"/>
            </w:tcBorders>
          </w:tcPr>
          <w:p>
            <w:pPr>
              <w:jc w:val="right"/>
              <w:spacing w:after="0" w:line="12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1"/>
                <w:szCs w:val="11"/>
                <w:color w:val="auto"/>
              </w:rPr>
            </w:pPr>
          </w:p>
        </w:tc>
        <w:tc>
          <w:tcPr>
            <w:tcW w:w="80" w:type="dxa"/>
            <w:vAlign w:val="bottom"/>
            <w:tcBorders>
              <w:top w:val="single" w:sz="8" w:color="auto"/>
            </w:tcBorders>
          </w:tcPr>
          <w:p>
            <w:pPr>
              <w:jc w:val="right"/>
              <w:spacing w:after="0" w:line="129" w:lineRule="exact"/>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tcBorders>
          </w:tcPr>
          <w:p>
            <w:pPr>
              <w:jc w:val="right"/>
              <w:spacing w:after="0" w:line="12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1"/>
                <w:szCs w:val="11"/>
                <w:color w:val="auto"/>
              </w:rPr>
            </w:pPr>
          </w:p>
        </w:tc>
        <w:tc>
          <w:tcPr>
            <w:tcW w:w="120" w:type="dxa"/>
            <w:vAlign w:val="bottom"/>
            <w:tcBorders>
              <w:top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560" w:type="dxa"/>
            <w:vAlign w:val="bottom"/>
            <w:tcBorders>
              <w:top w:val="single" w:sz="8" w:color="auto"/>
            </w:tcBorders>
          </w:tcPr>
          <w:p>
            <w:pPr>
              <w:jc w:val="right"/>
              <w:spacing w:after="0" w:line="129" w:lineRule="exact"/>
              <w:rPr>
                <w:sz w:val="20"/>
                <w:szCs w:val="20"/>
                <w:color w:val="auto"/>
              </w:rPr>
            </w:pPr>
            <w:r>
              <w:rPr>
                <w:rFonts w:ascii="Arial" w:cs="Arial" w:eastAsia="Arial" w:hAnsi="Arial"/>
                <w:sz w:val="14"/>
                <w:szCs w:val="14"/>
                <w:color w:val="auto"/>
              </w:rPr>
              <w:t>1.8</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Other liabilities (1)</w:t>
            </w:r>
          </w:p>
        </w:tc>
        <w:tc>
          <w:tcPr>
            <w:tcW w:w="110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9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152.4</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11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104.8</w:t>
            </w:r>
          </w:p>
        </w:tc>
        <w:tc>
          <w:tcPr>
            <w:tcW w:w="160" w:type="dxa"/>
            <w:vAlign w:val="bottom"/>
            <w:shd w:val="clear" w:color="auto" w:fill="CCEEFF"/>
          </w:tcPr>
          <w:p>
            <w:pPr>
              <w:spacing w:after="0"/>
              <w:rPr>
                <w:sz w:val="12"/>
                <w:szCs w:val="12"/>
                <w:color w:val="auto"/>
              </w:rPr>
            </w:pPr>
          </w:p>
        </w:tc>
        <w:tc>
          <w:tcPr>
            <w:tcW w:w="260" w:type="dxa"/>
            <w:vAlign w:val="bottom"/>
            <w:tcBorders>
              <w:bottom w:val="single" w:sz="8" w:color="auto"/>
            </w:tcBorders>
            <w:shd w:val="clear" w:color="auto" w:fill="CCEEFF"/>
          </w:tcPr>
          <w:p>
            <w:pPr>
              <w:spacing w:after="0"/>
              <w:rPr>
                <w:sz w:val="12"/>
                <w:szCs w:val="12"/>
                <w:color w:val="auto"/>
              </w:rPr>
            </w:pPr>
          </w:p>
        </w:tc>
        <w:tc>
          <w:tcPr>
            <w:tcW w:w="2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w w:val="87"/>
              </w:rPr>
              <w:t>45.7</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7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302.9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980" w:type="dxa"/>
            <w:vAlign w:val="bottom"/>
            <w:gridSpan w:val="2"/>
          </w:tcPr>
          <w:p>
            <w:pPr>
              <w:ind w:left="140"/>
              <w:spacing w:after="0" w:line="142" w:lineRule="exact"/>
              <w:rPr>
                <w:sz w:val="20"/>
                <w:szCs w:val="20"/>
                <w:color w:val="auto"/>
              </w:rPr>
            </w:pPr>
            <w:r>
              <w:rPr>
                <w:rFonts w:ascii="Arial" w:cs="Arial" w:eastAsia="Arial" w:hAnsi="Arial"/>
                <w:sz w:val="14"/>
                <w:szCs w:val="14"/>
                <w:color w:val="auto"/>
              </w:rPr>
              <w:t>Total liabilities</w:t>
            </w:r>
          </w:p>
        </w:tc>
        <w:tc>
          <w:tcPr>
            <w:tcW w:w="1100" w:type="dxa"/>
            <w:vAlign w:val="bottom"/>
          </w:tcPr>
          <w:p>
            <w:pPr>
              <w:spacing w:after="0"/>
              <w:rPr>
                <w:sz w:val="12"/>
                <w:szCs w:val="12"/>
                <w:color w:val="auto"/>
              </w:rPr>
            </w:pPr>
          </w:p>
        </w:tc>
        <w:tc>
          <w:tcPr>
            <w:tcW w:w="8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color w:val="auto"/>
                <w:w w:val="76"/>
              </w:rPr>
              <w:t>$</w:t>
            </w:r>
          </w:p>
        </w:tc>
        <w:tc>
          <w:tcPr>
            <w:tcW w:w="9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154.2</w:t>
            </w:r>
          </w:p>
        </w:tc>
        <w:tc>
          <w:tcPr>
            <w:tcW w:w="160" w:type="dxa"/>
            <w:vAlign w:val="bottom"/>
          </w:tcPr>
          <w:p>
            <w:pPr>
              <w:spacing w:after="0"/>
              <w:rPr>
                <w:sz w:val="12"/>
                <w:szCs w:val="12"/>
                <w:color w:val="auto"/>
              </w:rPr>
            </w:pPr>
          </w:p>
        </w:tc>
        <w:tc>
          <w:tcPr>
            <w:tcW w:w="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11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104.8</w:t>
            </w:r>
          </w:p>
        </w:tc>
        <w:tc>
          <w:tcPr>
            <w:tcW w:w="160" w:type="dxa"/>
            <w:vAlign w:val="bottom"/>
          </w:tcPr>
          <w:p>
            <w:pPr>
              <w:spacing w:after="0"/>
              <w:rPr>
                <w:sz w:val="12"/>
                <w:szCs w:val="12"/>
                <w:color w:val="auto"/>
              </w:rPr>
            </w:pPr>
          </w:p>
        </w:tc>
        <w:tc>
          <w:tcPr>
            <w:tcW w:w="260" w:type="dxa"/>
            <w:vAlign w:val="bottom"/>
            <w:tcBorders>
              <w:bottom w:val="single" w:sz="8" w:color="auto"/>
            </w:tcBorders>
          </w:tcPr>
          <w:p>
            <w:pPr>
              <w:jc w:val="center"/>
              <w:ind w:right="132"/>
              <w:spacing w:after="0" w:line="142" w:lineRule="exact"/>
              <w:rPr>
                <w:sz w:val="20"/>
                <w:szCs w:val="20"/>
                <w:color w:val="auto"/>
              </w:rPr>
            </w:pPr>
            <w:r>
              <w:rPr>
                <w:rFonts w:ascii="Arial" w:cs="Arial" w:eastAsia="Arial" w:hAnsi="Arial"/>
                <w:sz w:val="14"/>
                <w:szCs w:val="14"/>
                <w:color w:val="auto"/>
                <w:w w:val="76"/>
              </w:rPr>
              <w:t>$</w:t>
            </w:r>
          </w:p>
        </w:tc>
        <w:tc>
          <w:tcPr>
            <w:tcW w:w="2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87"/>
              </w:rPr>
              <w:t>45.7</w:t>
            </w:r>
          </w:p>
        </w:tc>
        <w:tc>
          <w:tcPr>
            <w:tcW w:w="160" w:type="dxa"/>
            <w:vAlign w:val="bottom"/>
          </w:tcPr>
          <w:p>
            <w:pPr>
              <w:spacing w:after="0"/>
              <w:rPr>
                <w:sz w:val="12"/>
                <w:szCs w:val="12"/>
                <w:color w:val="auto"/>
              </w:rPr>
            </w:pPr>
          </w:p>
        </w:tc>
        <w:tc>
          <w:tcPr>
            <w:tcW w:w="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304.7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920" w:type="dxa"/>
            <w:vAlign w:val="bottom"/>
            <w:tcBorders>
              <w:bottom w:val="single" w:sz="8" w:color="auto"/>
            </w:tcBorders>
          </w:tcPr>
          <w:p>
            <w:pPr>
              <w:spacing w:after="0"/>
              <w:rPr>
                <w:sz w:val="7"/>
                <w:szCs w:val="7"/>
                <w:color w:val="auto"/>
              </w:rPr>
            </w:pPr>
          </w:p>
        </w:tc>
        <w:tc>
          <w:tcPr>
            <w:tcW w:w="2060" w:type="dxa"/>
            <w:vAlign w:val="bottom"/>
          </w:tcPr>
          <w:p>
            <w:pPr>
              <w:spacing w:after="0"/>
              <w:rPr>
                <w:sz w:val="7"/>
                <w:szCs w:val="7"/>
                <w:color w:val="auto"/>
              </w:rPr>
            </w:pPr>
          </w:p>
        </w:tc>
        <w:tc>
          <w:tcPr>
            <w:tcW w:w="1100" w:type="dxa"/>
            <w:vAlign w:val="bottom"/>
          </w:tcPr>
          <w:p>
            <w:pPr>
              <w:spacing w:after="0"/>
              <w:rPr>
                <w:sz w:val="7"/>
                <w:szCs w:val="7"/>
                <w:color w:val="auto"/>
              </w:rPr>
            </w:pPr>
          </w:p>
        </w:tc>
        <w:tc>
          <w:tcPr>
            <w:tcW w:w="80" w:type="dxa"/>
            <w:vAlign w:val="bottom"/>
          </w:tcPr>
          <w:p>
            <w:pPr>
              <w:spacing w:after="0"/>
              <w:rPr>
                <w:sz w:val="7"/>
                <w:szCs w:val="7"/>
                <w:color w:val="auto"/>
              </w:rPr>
            </w:pPr>
          </w:p>
        </w:tc>
        <w:tc>
          <w:tcPr>
            <w:tcW w:w="92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28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7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20" w:type="dxa"/>
            <w:vAlign w:val="bottom"/>
          </w:tcPr>
          <w:p>
            <w:pPr>
              <w:spacing w:after="0"/>
              <w:rPr>
                <w:sz w:val="7"/>
                <w:szCs w:val="7"/>
                <w:color w:val="auto"/>
              </w:rPr>
            </w:pPr>
          </w:p>
        </w:tc>
        <w:tc>
          <w:tcPr>
            <w:tcW w:w="56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ind w:left="1680" w:hanging="531"/>
        <w:spacing w:after="0" w:line="239" w:lineRule="auto"/>
        <w:tabs>
          <w:tab w:leader="none" w:pos="1680" w:val="left"/>
        </w:tabs>
        <w:numPr>
          <w:ilvl w:val="0"/>
          <w:numId w:val="49"/>
        </w:numPr>
        <w:rPr>
          <w:rFonts w:ascii="Arial" w:cs="Arial" w:eastAsia="Arial" w:hAnsi="Arial"/>
          <w:sz w:val="14"/>
          <w:szCs w:val="14"/>
          <w:color w:val="auto"/>
        </w:rPr>
      </w:pPr>
      <w:r>
        <w:rPr>
          <w:rFonts w:ascii="Arial" w:cs="Arial" w:eastAsia="Arial" w:hAnsi="Arial"/>
          <w:sz w:val="14"/>
          <w:szCs w:val="14"/>
          <w:color w:val="auto"/>
        </w:rPr>
        <w:t>Grantor trusts contain an embedded derivative of a forecasted transaction to deliver the underlying securities; the collateralized private investment vehicle includes derivative liabilities and an obligation to redeem notes at maturity or termination of the trust; and CMBS includes an obligation to the bondholders.</w:t>
      </w:r>
    </w:p>
    <w:p>
      <w:pPr>
        <w:spacing w:after="0" w:line="19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did not provide financial or other support to investees designated as VIEs for the years ended December 31, 2013 and 2012.</w:t>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Unconsolidated Variable Interest Entities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Invested Securities</w:t>
      </w:r>
    </w:p>
    <w:p>
      <w:pPr>
        <w:spacing w:after="0" w:line="225" w:lineRule="exact"/>
        <w:rPr>
          <w:sz w:val="20"/>
          <w:szCs w:val="20"/>
          <w:color w:val="auto"/>
        </w:rPr>
      </w:pPr>
    </w:p>
    <w:p>
      <w:pPr>
        <w:jc w:val="both"/>
        <w:ind w:firstLine="415"/>
        <w:spacing w:after="0" w:line="332" w:lineRule="auto"/>
        <w:rPr>
          <w:sz w:val="20"/>
          <w:szCs w:val="20"/>
          <w:color w:val="auto"/>
        </w:rPr>
      </w:pPr>
      <w:r>
        <w:rPr>
          <w:rFonts w:ascii="Arial" w:cs="Arial" w:eastAsia="Arial" w:hAnsi="Arial"/>
          <w:sz w:val="16"/>
          <w:szCs w:val="16"/>
          <w:color w:val="auto"/>
        </w:rPr>
        <w:t>We hold a variable interest in a number of VIEs where we are not the primary beneficiary. Our investments in these VIEs are reported in fixed maturities, available-for-sale; fixed maturities, trading and other investments in the consolidated statements of financial position and are described below.</w:t>
      </w:r>
    </w:p>
    <w:p>
      <w:pPr>
        <w:spacing w:after="0" w:line="139" w:lineRule="exact"/>
        <w:rPr>
          <w:sz w:val="20"/>
          <w:szCs w:val="20"/>
          <w:color w:val="auto"/>
        </w:rPr>
      </w:pPr>
    </w:p>
    <w:p>
      <w:pPr>
        <w:jc w:val="both"/>
        <w:ind w:firstLine="360"/>
        <w:spacing w:after="0" w:line="256" w:lineRule="auto"/>
        <w:rPr>
          <w:sz w:val="20"/>
          <w:szCs w:val="20"/>
          <w:color w:val="auto"/>
        </w:rPr>
      </w:pPr>
      <w:r>
        <w:rPr>
          <w:rFonts w:ascii="Arial" w:cs="Arial" w:eastAsia="Arial" w:hAnsi="Arial"/>
          <w:sz w:val="18"/>
          <w:szCs w:val="18"/>
          <w:color w:val="auto"/>
        </w:rPr>
        <w:t>Unconsolidated VIEs include CMBS, residential mortgage-backed pass-through securities ("RMBS") and other asset-backed securities ("ABS"). All of these entities were deemed VIEs because the equity within these entities is insufficient to sustain them. We determined we are not the primary beneficiary in any of the entities within these categories of investments. This determination was based primarily on the fact we do not own the class of security that controls the unilateral right to replace the special servicer or equivalent function.</w:t>
      </w:r>
    </w:p>
    <w:p>
      <w:pPr>
        <w:spacing w:after="0" w:line="197" w:lineRule="exact"/>
        <w:rPr>
          <w:sz w:val="20"/>
          <w:szCs w:val="20"/>
          <w:color w:val="auto"/>
        </w:rPr>
      </w:pPr>
    </w:p>
    <w:p>
      <w:pPr>
        <w:jc w:val="both"/>
        <w:ind w:firstLine="349"/>
        <w:spacing w:after="0" w:line="259" w:lineRule="auto"/>
        <w:rPr>
          <w:sz w:val="20"/>
          <w:szCs w:val="20"/>
          <w:color w:val="auto"/>
        </w:rPr>
      </w:pPr>
      <w:r>
        <w:rPr>
          <w:rFonts w:ascii="Arial" w:cs="Arial" w:eastAsia="Arial" w:hAnsi="Arial"/>
          <w:sz w:val="18"/>
          <w:szCs w:val="18"/>
          <w:color w:val="auto"/>
        </w:rPr>
        <w:t>As previously discussed, we invest in several types of collateralized private investment vehicles, which are VIEs. These include cash and synthetic structures that we do not manage. We have determined we are not the primary beneficiary of these collateralized private investment vehicles primarily because we do not control the economic performance of the entities and were not involved with the design of the entities.</w:t>
      </w:r>
    </w:p>
    <w:p>
      <w:pPr>
        <w:spacing w:after="0" w:line="194" w:lineRule="exact"/>
        <w:rPr>
          <w:sz w:val="20"/>
          <w:szCs w:val="20"/>
          <w:color w:val="auto"/>
        </w:rPr>
      </w:pPr>
    </w:p>
    <w:p>
      <w:pPr>
        <w:jc w:val="both"/>
        <w:ind w:firstLine="478"/>
        <w:spacing w:after="0" w:line="259" w:lineRule="auto"/>
        <w:rPr>
          <w:sz w:val="20"/>
          <w:szCs w:val="20"/>
          <w:color w:val="auto"/>
        </w:rPr>
      </w:pPr>
      <w:r>
        <w:rPr>
          <w:rFonts w:ascii="Arial" w:cs="Arial" w:eastAsia="Arial" w:hAnsi="Arial"/>
          <w:sz w:val="18"/>
          <w:szCs w:val="18"/>
          <w:color w:val="auto"/>
        </w:rPr>
        <w:t>We have invested in various VIE trusts as a debt holder. All of these entities are classified as VIEs due to insufficient equity to sustain them. We have determined we are not the primary beneficiary primarily because we do not control the economic performance of the entities and were not involved with the design of the entities.</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2" w:name="page113"/>
    <w:bookmarkEnd w:id="11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Variable Interest Entities — (continued)</w:t>
      </w:r>
    </w:p>
    <w:p>
      <w:pPr>
        <w:spacing w:after="0" w:line="231" w:lineRule="exact"/>
        <w:rPr>
          <w:sz w:val="20"/>
          <w:szCs w:val="20"/>
          <w:color w:val="auto"/>
        </w:rPr>
      </w:pPr>
    </w:p>
    <w:p>
      <w:pPr>
        <w:jc w:val="both"/>
        <w:ind w:firstLine="522"/>
        <w:spacing w:after="0" w:line="306" w:lineRule="auto"/>
        <w:rPr>
          <w:sz w:val="20"/>
          <w:szCs w:val="20"/>
          <w:color w:val="auto"/>
        </w:rPr>
      </w:pPr>
      <w:r>
        <w:rPr>
          <w:rFonts w:ascii="Arial" w:cs="Arial" w:eastAsia="Arial" w:hAnsi="Arial"/>
          <w:sz w:val="16"/>
          <w:szCs w:val="16"/>
          <w:color w:val="auto"/>
        </w:rPr>
        <w:t>We have invested in partnerships, some of which are classified as VIEs. The returns from the partnerships are in the form of income tax credits and investment income. These entities are classified as VIEs as the general partner does not have an equity investment at risk in the entity. We have determined we are not the primary beneficiary because we are not the general partner, who makes all the significant decisions for the entity.</w:t>
      </w:r>
    </w:p>
    <w:p>
      <w:pPr>
        <w:spacing w:after="0" w:line="16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carrying value and maximum loss exposure for our unconsolidated VIEs were as follows:</w:t>
      </w:r>
    </w:p>
    <w:p>
      <w:pPr>
        <w:spacing w:after="0" w:line="20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36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560" w:type="dxa"/>
            <w:vAlign w:val="bottom"/>
            <w:gridSpan w:val="2"/>
          </w:tcPr>
          <w:p>
            <w:pPr>
              <w:ind w:left="20"/>
              <w:spacing w:after="0"/>
              <w:rPr>
                <w:sz w:val="20"/>
                <w:szCs w:val="20"/>
                <w:color w:val="auto"/>
              </w:rPr>
            </w:pPr>
            <w:r>
              <w:rPr>
                <w:rFonts w:ascii="Arial" w:cs="Arial" w:eastAsia="Arial" w:hAnsi="Arial"/>
                <w:sz w:val="14"/>
                <w:szCs w:val="14"/>
                <w:b w:val="1"/>
                <w:bCs w:val="1"/>
                <w:color w:val="auto"/>
              </w:rPr>
              <w:t>Maximum exposure to</w:t>
            </w:r>
          </w:p>
        </w:tc>
      </w:t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36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4"/>
              </w:rPr>
              <w:t>Asset carrying value</w:t>
            </w:r>
          </w:p>
        </w:tc>
        <w:tc>
          <w:tcPr>
            <w:tcW w:w="18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tcPr>
          <w:p>
            <w:pPr>
              <w:jc w:val="right"/>
              <w:ind w:right="472"/>
              <w:spacing w:after="0"/>
              <w:rPr>
                <w:sz w:val="20"/>
                <w:szCs w:val="20"/>
                <w:color w:val="auto"/>
              </w:rPr>
            </w:pPr>
            <w:r>
              <w:rPr>
                <w:rFonts w:ascii="Arial" w:cs="Arial" w:eastAsia="Arial" w:hAnsi="Arial"/>
                <w:sz w:val="14"/>
                <w:szCs w:val="14"/>
                <w:b w:val="1"/>
                <w:bCs w:val="1"/>
                <w:color w:val="auto"/>
              </w:rPr>
              <w:t>loss (1)</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360" w:type="dxa"/>
            <w:vAlign w:val="bottom"/>
          </w:tcPr>
          <w:p>
            <w:pPr>
              <w:spacing w:after="0"/>
              <w:rPr>
                <w:sz w:val="12"/>
                <w:szCs w:val="12"/>
                <w:color w:val="auto"/>
              </w:rPr>
            </w:pPr>
          </w:p>
        </w:tc>
        <w:tc>
          <w:tcPr>
            <w:tcW w:w="15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60" w:type="dxa"/>
            <w:vAlign w:val="bottom"/>
          </w:tcPr>
          <w:p>
            <w:pPr>
              <w:jc w:val="right"/>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1640" w:type="dxa"/>
            <w:vAlign w:val="bottom"/>
            <w:gridSpan w:val="3"/>
          </w:tcPr>
          <w:p>
            <w:pPr>
              <w:jc w:val="right"/>
              <w:ind w:right="1072"/>
              <w:spacing w:after="0" w:line="142" w:lineRule="exact"/>
              <w:rPr>
                <w:sz w:val="20"/>
                <w:szCs w:val="20"/>
                <w:color w:val="auto"/>
              </w:rPr>
            </w:pPr>
            <w:r>
              <w:rPr>
                <w:rFonts w:ascii="Arial" w:cs="Arial" w:eastAsia="Arial" w:hAnsi="Arial"/>
                <w:sz w:val="14"/>
                <w:szCs w:val="14"/>
                <w:b w:val="1"/>
                <w:bCs w:val="1"/>
                <w:i w:val="1"/>
                <w:iCs w:val="1"/>
                <w:color w:val="auto"/>
                <w:w w:val="83"/>
              </w:rPr>
              <w:t>millions)</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December 31, 2013</w:t>
            </w:r>
          </w:p>
        </w:tc>
        <w:tc>
          <w:tcPr>
            <w:tcW w:w="15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15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Corporate</w:t>
            </w:r>
          </w:p>
        </w:tc>
        <w:tc>
          <w:tcPr>
            <w:tcW w:w="15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523.4</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448.2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Residential mortgage-backed pass-through securities</w:t>
            </w:r>
          </w:p>
        </w:tc>
        <w:tc>
          <w:tcPr>
            <w:tcW w:w="15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2,845.2</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2,799.1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Commercial mortgage-backed securities</w:t>
            </w:r>
          </w:p>
        </w:tc>
        <w:tc>
          <w:tcPr>
            <w:tcW w:w="15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4,026.4</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4,078.0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Collateralized debt obligations</w:t>
            </w:r>
          </w:p>
        </w:tc>
        <w:tc>
          <w:tcPr>
            <w:tcW w:w="15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363.4</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391.9</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Other debt obligations</w:t>
            </w:r>
          </w:p>
        </w:tc>
        <w:tc>
          <w:tcPr>
            <w:tcW w:w="15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4,167.8</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4,157.5</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tcPr>
          <w:p>
            <w:pPr>
              <w:spacing w:after="0" w:line="149" w:lineRule="exact"/>
              <w:rPr>
                <w:sz w:val="20"/>
                <w:szCs w:val="20"/>
                <w:color w:val="auto"/>
              </w:rPr>
            </w:pPr>
            <w:r>
              <w:rPr>
                <w:rFonts w:ascii="Arial" w:cs="Arial" w:eastAsia="Arial" w:hAnsi="Arial"/>
                <w:sz w:val="14"/>
                <w:szCs w:val="14"/>
                <w:color w:val="auto"/>
              </w:rPr>
              <w:t>Fixed maturities, trading:</w:t>
            </w:r>
          </w:p>
        </w:tc>
        <w:tc>
          <w:tcPr>
            <w:tcW w:w="15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Residential mortgage-backed pass-through securities</w:t>
            </w:r>
          </w:p>
        </w:tc>
        <w:tc>
          <w:tcPr>
            <w:tcW w:w="15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47.5</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47.5</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Commercial mortgage-backed securities</w:t>
            </w:r>
          </w:p>
        </w:tc>
        <w:tc>
          <w:tcPr>
            <w:tcW w:w="15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1.8</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Collateralized debt obligations</w:t>
            </w:r>
          </w:p>
        </w:tc>
        <w:tc>
          <w:tcPr>
            <w:tcW w:w="15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59.6</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59.6</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Other debt obligations</w:t>
            </w:r>
          </w:p>
        </w:tc>
        <w:tc>
          <w:tcPr>
            <w:tcW w:w="15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Other investments:</w:t>
            </w:r>
          </w:p>
        </w:tc>
        <w:tc>
          <w:tcPr>
            <w:tcW w:w="15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Other limited partnership interests</w:t>
            </w:r>
          </w:p>
        </w:tc>
        <w:tc>
          <w:tcPr>
            <w:tcW w:w="15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123.5</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123.5</w:t>
            </w:r>
          </w:p>
        </w:tc>
        <w:tc>
          <w:tcPr>
            <w:tcW w:w="160" w:type="dxa"/>
            <w:vAlign w:val="bottom"/>
          </w:tcPr>
          <w:p>
            <w:pPr>
              <w:spacing w:after="0"/>
              <w:rPr>
                <w:sz w:val="12"/>
                <w:szCs w:val="12"/>
                <w:color w:val="auto"/>
              </w:rPr>
            </w:pPr>
          </w:p>
        </w:tc>
      </w:tr>
      <w:tr>
        <w:trPr>
          <w:trHeight w:val="311"/>
        </w:trPr>
        <w:tc>
          <w:tcPr>
            <w:tcW w:w="20" w:type="dxa"/>
            <w:vAlign w:val="bottom"/>
          </w:tcPr>
          <w:p>
            <w:pPr>
              <w:spacing w:after="0"/>
              <w:rPr>
                <w:sz w:val="24"/>
                <w:szCs w:val="24"/>
                <w:color w:val="auto"/>
              </w:rPr>
            </w:pPr>
          </w:p>
        </w:tc>
        <w:tc>
          <w:tcPr>
            <w:tcW w:w="4480" w:type="dxa"/>
            <w:vAlign w:val="bottom"/>
            <w:gridSpan w:val="2"/>
            <w:shd w:val="clear" w:color="auto" w:fill="CCEEFF"/>
          </w:tcPr>
          <w:p>
            <w:pPr>
              <w:spacing w:after="0"/>
              <w:rPr>
                <w:sz w:val="20"/>
                <w:szCs w:val="20"/>
                <w:color w:val="auto"/>
              </w:rPr>
            </w:pPr>
            <w:r>
              <w:rPr>
                <w:rFonts w:ascii="Arial" w:cs="Arial" w:eastAsia="Arial" w:hAnsi="Arial"/>
                <w:sz w:val="14"/>
                <w:szCs w:val="14"/>
                <w:b w:val="1"/>
                <w:bCs w:val="1"/>
                <w:color w:val="auto"/>
              </w:rPr>
              <w:t>December 31, 2012</w:t>
            </w:r>
          </w:p>
        </w:tc>
        <w:tc>
          <w:tcPr>
            <w:tcW w:w="152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4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15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Corporate</w:t>
            </w:r>
          </w:p>
        </w:tc>
        <w:tc>
          <w:tcPr>
            <w:tcW w:w="15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523.2</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403.7</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Residential mortgage-backed pass-through securities</w:t>
            </w:r>
          </w:p>
        </w:tc>
        <w:tc>
          <w:tcPr>
            <w:tcW w:w="15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60" w:type="dxa"/>
            <w:vAlign w:val="bottom"/>
          </w:tcPr>
          <w:p>
            <w:pPr>
              <w:jc w:val="right"/>
              <w:spacing w:after="0" w:line="149" w:lineRule="exact"/>
              <w:rPr>
                <w:sz w:val="20"/>
                <w:szCs w:val="20"/>
                <w:color w:val="auto"/>
              </w:rPr>
            </w:pPr>
            <w:r>
              <w:rPr>
                <w:rFonts w:ascii="Arial" w:cs="Arial" w:eastAsia="Arial" w:hAnsi="Arial"/>
                <w:sz w:val="14"/>
                <w:szCs w:val="14"/>
                <w:color w:val="auto"/>
              </w:rPr>
              <w:t>3,226.7</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0" w:type="dxa"/>
            <w:vAlign w:val="bottom"/>
          </w:tcPr>
          <w:p>
            <w:pPr>
              <w:jc w:val="right"/>
              <w:spacing w:after="0" w:line="149" w:lineRule="exact"/>
              <w:rPr>
                <w:sz w:val="20"/>
                <w:szCs w:val="20"/>
                <w:color w:val="auto"/>
              </w:rPr>
            </w:pPr>
            <w:r>
              <w:rPr>
                <w:rFonts w:ascii="Arial" w:cs="Arial" w:eastAsia="Arial" w:hAnsi="Arial"/>
                <w:sz w:val="14"/>
                <w:szCs w:val="14"/>
                <w:color w:val="auto"/>
              </w:rPr>
              <w:t>3,022.7</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Commercial mortgage-backed securities</w:t>
            </w:r>
          </w:p>
        </w:tc>
        <w:tc>
          <w:tcPr>
            <w:tcW w:w="15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3,897.4</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4,094.8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Collateralized debt obligations</w:t>
            </w:r>
          </w:p>
        </w:tc>
        <w:tc>
          <w:tcPr>
            <w:tcW w:w="15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60" w:type="dxa"/>
            <w:vAlign w:val="bottom"/>
          </w:tcPr>
          <w:p>
            <w:pPr>
              <w:jc w:val="right"/>
              <w:spacing w:after="0" w:line="149" w:lineRule="exact"/>
              <w:rPr>
                <w:sz w:val="20"/>
                <w:szCs w:val="20"/>
                <w:color w:val="auto"/>
              </w:rPr>
            </w:pPr>
            <w:r>
              <w:rPr>
                <w:rFonts w:ascii="Arial" w:cs="Arial" w:eastAsia="Arial" w:hAnsi="Arial"/>
                <w:sz w:val="14"/>
                <w:szCs w:val="14"/>
                <w:color w:val="auto"/>
              </w:rPr>
              <w:t>379.2</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0" w:type="dxa"/>
            <w:vAlign w:val="bottom"/>
          </w:tcPr>
          <w:p>
            <w:pPr>
              <w:jc w:val="right"/>
              <w:spacing w:after="0" w:line="149" w:lineRule="exact"/>
              <w:rPr>
                <w:sz w:val="20"/>
                <w:szCs w:val="20"/>
                <w:color w:val="auto"/>
              </w:rPr>
            </w:pPr>
            <w:r>
              <w:rPr>
                <w:rFonts w:ascii="Arial" w:cs="Arial" w:eastAsia="Arial" w:hAnsi="Arial"/>
                <w:sz w:val="14"/>
                <w:szCs w:val="14"/>
                <w:color w:val="auto"/>
              </w:rPr>
              <w:t>428.8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Other debt obligations</w:t>
            </w:r>
          </w:p>
        </w:tc>
        <w:tc>
          <w:tcPr>
            <w:tcW w:w="15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3,779.2</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3,756.9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tcPr>
          <w:p>
            <w:pPr>
              <w:spacing w:after="0" w:line="149" w:lineRule="exact"/>
              <w:rPr>
                <w:sz w:val="20"/>
                <w:szCs w:val="20"/>
                <w:color w:val="auto"/>
              </w:rPr>
            </w:pPr>
            <w:r>
              <w:rPr>
                <w:rFonts w:ascii="Arial" w:cs="Arial" w:eastAsia="Arial" w:hAnsi="Arial"/>
                <w:sz w:val="14"/>
                <w:szCs w:val="14"/>
                <w:color w:val="auto"/>
              </w:rPr>
              <w:t>Fixed maturities, trading:</w:t>
            </w:r>
          </w:p>
        </w:tc>
        <w:tc>
          <w:tcPr>
            <w:tcW w:w="15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Residential mortgage-backed pass-through securities</w:t>
            </w:r>
          </w:p>
        </w:tc>
        <w:tc>
          <w:tcPr>
            <w:tcW w:w="15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77.7</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77.7</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Commercial mortgage-backed securities</w:t>
            </w:r>
          </w:p>
        </w:tc>
        <w:tc>
          <w:tcPr>
            <w:tcW w:w="15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60" w:type="dxa"/>
            <w:vAlign w:val="bottom"/>
          </w:tcPr>
          <w:p>
            <w:pPr>
              <w:jc w:val="right"/>
              <w:spacing w:after="0" w:line="149" w:lineRule="exact"/>
              <w:rPr>
                <w:sz w:val="20"/>
                <w:szCs w:val="20"/>
                <w:color w:val="auto"/>
              </w:rPr>
            </w:pPr>
            <w:r>
              <w:rPr>
                <w:rFonts w:ascii="Arial" w:cs="Arial" w:eastAsia="Arial" w:hAnsi="Arial"/>
                <w:sz w:val="14"/>
                <w:szCs w:val="14"/>
                <w:color w:val="auto"/>
              </w:rPr>
              <w:t>2.8</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0" w:type="dxa"/>
            <w:vAlign w:val="bottom"/>
          </w:tcPr>
          <w:p>
            <w:pPr>
              <w:jc w:val="right"/>
              <w:spacing w:after="0" w:line="149" w:lineRule="exact"/>
              <w:rPr>
                <w:sz w:val="20"/>
                <w:szCs w:val="20"/>
                <w:color w:val="auto"/>
              </w:rPr>
            </w:pPr>
            <w:r>
              <w:rPr>
                <w:rFonts w:ascii="Arial" w:cs="Arial" w:eastAsia="Arial" w:hAnsi="Arial"/>
                <w:sz w:val="14"/>
                <w:szCs w:val="14"/>
                <w:color w:val="auto"/>
              </w:rPr>
              <w:t>2.8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Collateralized debt obligations</w:t>
            </w:r>
          </w:p>
        </w:tc>
        <w:tc>
          <w:tcPr>
            <w:tcW w:w="15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56.4</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56.4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Other debt obligations</w:t>
            </w:r>
          </w:p>
        </w:tc>
        <w:tc>
          <w:tcPr>
            <w:tcW w:w="15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60" w:type="dxa"/>
            <w:vAlign w:val="bottom"/>
          </w:tcPr>
          <w:p>
            <w:pPr>
              <w:jc w:val="right"/>
              <w:spacing w:after="0" w:line="149" w:lineRule="exact"/>
              <w:rPr>
                <w:sz w:val="20"/>
                <w:szCs w:val="20"/>
                <w:color w:val="auto"/>
              </w:rPr>
            </w:pPr>
            <w:r>
              <w:rPr>
                <w:rFonts w:ascii="Arial" w:cs="Arial" w:eastAsia="Arial" w:hAnsi="Arial"/>
                <w:sz w:val="14"/>
                <w:szCs w:val="14"/>
                <w:color w:val="auto"/>
              </w:rPr>
              <w:t>3.2</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0" w:type="dxa"/>
            <w:vAlign w:val="bottom"/>
          </w:tcPr>
          <w:p>
            <w:pPr>
              <w:jc w:val="right"/>
              <w:spacing w:after="0" w:line="149" w:lineRule="exact"/>
              <w:rPr>
                <w:sz w:val="20"/>
                <w:szCs w:val="20"/>
                <w:color w:val="auto"/>
              </w:rPr>
            </w:pPr>
            <w:r>
              <w:rPr>
                <w:rFonts w:ascii="Arial" w:cs="Arial" w:eastAsia="Arial" w:hAnsi="Arial"/>
                <w:sz w:val="14"/>
                <w:szCs w:val="14"/>
                <w:color w:val="auto"/>
              </w:rPr>
              <w:t>3.2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Other investments:</w:t>
            </w:r>
          </w:p>
        </w:tc>
        <w:tc>
          <w:tcPr>
            <w:tcW w:w="15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72"/>
        </w:trPr>
        <w:tc>
          <w:tcPr>
            <w:tcW w:w="20" w:type="dxa"/>
            <w:vAlign w:val="bottom"/>
          </w:tcPr>
          <w:p>
            <w:pPr>
              <w:spacing w:after="0"/>
              <w:rPr>
                <w:sz w:val="14"/>
                <w:szCs w:val="14"/>
                <w:color w:val="auto"/>
              </w:rPr>
            </w:pPr>
          </w:p>
        </w:tc>
        <w:tc>
          <w:tcPr>
            <w:tcW w:w="4480" w:type="dxa"/>
            <w:vAlign w:val="bottom"/>
            <w:gridSpan w:val="2"/>
          </w:tcPr>
          <w:p>
            <w:pPr>
              <w:ind w:left="140"/>
              <w:spacing w:after="0"/>
              <w:rPr>
                <w:sz w:val="20"/>
                <w:szCs w:val="20"/>
                <w:color w:val="auto"/>
              </w:rPr>
            </w:pPr>
            <w:r>
              <w:rPr>
                <w:rFonts w:ascii="Arial" w:cs="Arial" w:eastAsia="Arial" w:hAnsi="Arial"/>
                <w:sz w:val="14"/>
                <w:szCs w:val="14"/>
                <w:color w:val="auto"/>
              </w:rPr>
              <w:t>Other limited partnership interests</w:t>
            </w:r>
          </w:p>
        </w:tc>
        <w:tc>
          <w:tcPr>
            <w:tcW w:w="15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60" w:type="dxa"/>
            <w:vAlign w:val="bottom"/>
          </w:tcPr>
          <w:p>
            <w:pPr>
              <w:jc w:val="right"/>
              <w:spacing w:after="0"/>
              <w:rPr>
                <w:sz w:val="20"/>
                <w:szCs w:val="20"/>
                <w:color w:val="auto"/>
              </w:rPr>
            </w:pPr>
            <w:r>
              <w:rPr>
                <w:rFonts w:ascii="Arial" w:cs="Arial" w:eastAsia="Arial" w:hAnsi="Arial"/>
                <w:sz w:val="14"/>
                <w:szCs w:val="14"/>
                <w:color w:val="auto"/>
              </w:rPr>
              <w:t>136.2</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0" w:type="dxa"/>
            <w:vAlign w:val="bottom"/>
          </w:tcPr>
          <w:p>
            <w:pPr>
              <w:jc w:val="right"/>
              <w:spacing w:after="0"/>
              <w:rPr>
                <w:sz w:val="20"/>
                <w:szCs w:val="20"/>
                <w:color w:val="auto"/>
              </w:rPr>
            </w:pPr>
            <w:r>
              <w:rPr>
                <w:rFonts w:ascii="Arial" w:cs="Arial" w:eastAsia="Arial" w:hAnsi="Arial"/>
                <w:sz w:val="14"/>
                <w:szCs w:val="14"/>
                <w:color w:val="auto"/>
              </w:rPr>
              <w:t>136.2</w:t>
            </w:r>
          </w:p>
        </w:tc>
        <w:tc>
          <w:tcPr>
            <w:tcW w:w="160" w:type="dxa"/>
            <w:vAlign w:val="bottom"/>
          </w:tcPr>
          <w:p>
            <w:pPr>
              <w:spacing w:after="0"/>
              <w:rPr>
                <w:sz w:val="14"/>
                <w:szCs w:val="14"/>
                <w:color w:val="auto"/>
              </w:rPr>
            </w:pPr>
          </w:p>
        </w:tc>
      </w:tr>
      <w:tr>
        <w:trPr>
          <w:trHeight w:val="84"/>
        </w:trPr>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3360" w:type="dxa"/>
            <w:vAlign w:val="bottom"/>
          </w:tcPr>
          <w:p>
            <w:pPr>
              <w:spacing w:after="0"/>
              <w:rPr>
                <w:sz w:val="7"/>
                <w:szCs w:val="7"/>
                <w:color w:val="auto"/>
              </w:rPr>
            </w:pPr>
          </w:p>
        </w:tc>
        <w:tc>
          <w:tcPr>
            <w:tcW w:w="1520" w:type="dxa"/>
            <w:vAlign w:val="bottom"/>
          </w:tcPr>
          <w:p>
            <w:pPr>
              <w:spacing w:after="0"/>
              <w:rPr>
                <w:sz w:val="7"/>
                <w:szCs w:val="7"/>
                <w:color w:val="auto"/>
              </w:rPr>
            </w:pPr>
          </w:p>
        </w:tc>
        <w:tc>
          <w:tcPr>
            <w:tcW w:w="60" w:type="dxa"/>
            <w:vAlign w:val="bottom"/>
          </w:tcPr>
          <w:p>
            <w:pPr>
              <w:spacing w:after="0"/>
              <w:rPr>
                <w:sz w:val="7"/>
                <w:szCs w:val="7"/>
                <w:color w:val="auto"/>
              </w:rPr>
            </w:pPr>
          </w:p>
        </w:tc>
        <w:tc>
          <w:tcPr>
            <w:tcW w:w="1260" w:type="dxa"/>
            <w:vAlign w:val="bottom"/>
          </w:tcPr>
          <w:p>
            <w:pPr>
              <w:spacing w:after="0"/>
              <w:rPr>
                <w:sz w:val="7"/>
                <w:szCs w:val="7"/>
                <w:color w:val="auto"/>
              </w:rPr>
            </w:pPr>
          </w:p>
        </w:tc>
        <w:tc>
          <w:tcPr>
            <w:tcW w:w="180" w:type="dxa"/>
            <w:vAlign w:val="bottom"/>
          </w:tcPr>
          <w:p>
            <w:pPr>
              <w:spacing w:after="0"/>
              <w:rPr>
                <w:sz w:val="7"/>
                <w:szCs w:val="7"/>
                <w:color w:val="auto"/>
              </w:rPr>
            </w:pPr>
          </w:p>
        </w:tc>
        <w:tc>
          <w:tcPr>
            <w:tcW w:w="60" w:type="dxa"/>
            <w:vAlign w:val="bottom"/>
          </w:tcPr>
          <w:p>
            <w:pPr>
              <w:spacing w:after="0"/>
              <w:rPr>
                <w:sz w:val="7"/>
                <w:szCs w:val="7"/>
                <w:color w:val="auto"/>
              </w:rPr>
            </w:pPr>
          </w:p>
        </w:tc>
        <w:tc>
          <w:tcPr>
            <w:tcW w:w="1400" w:type="dxa"/>
            <w:vAlign w:val="bottom"/>
          </w:tcPr>
          <w:p>
            <w:pPr>
              <w:spacing w:after="0"/>
              <w:rPr>
                <w:sz w:val="7"/>
                <w:szCs w:val="7"/>
                <w:color w:val="auto"/>
              </w:rPr>
            </w:pPr>
          </w:p>
        </w:tc>
        <w:tc>
          <w:tcPr>
            <w:tcW w:w="160" w:type="dxa"/>
            <w:vAlign w:val="bottom"/>
          </w:tcPr>
          <w:p>
            <w:pPr>
              <w:spacing w:after="0"/>
              <w:rPr>
                <w:sz w:val="7"/>
                <w:szCs w:val="7"/>
                <w:color w:val="auto"/>
              </w:rPr>
            </w:pPr>
          </w:p>
        </w:tc>
      </w:tr>
    </w:tbl>
    <w:p>
      <w:pPr>
        <w:spacing w:after="0" w:line="192" w:lineRule="exact"/>
        <w:rPr>
          <w:sz w:val="20"/>
          <w:szCs w:val="20"/>
          <w:color w:val="auto"/>
        </w:rPr>
      </w:pPr>
    </w:p>
    <w:p>
      <w:pPr>
        <w:ind w:left="1680" w:right="20" w:hanging="531"/>
        <w:spacing w:after="0" w:line="239" w:lineRule="auto"/>
        <w:tabs>
          <w:tab w:leader="none" w:pos="1680" w:val="left"/>
        </w:tabs>
        <w:numPr>
          <w:ilvl w:val="0"/>
          <w:numId w:val="50"/>
        </w:numPr>
        <w:rPr>
          <w:rFonts w:ascii="Arial" w:cs="Arial" w:eastAsia="Arial" w:hAnsi="Arial"/>
          <w:sz w:val="14"/>
          <w:szCs w:val="14"/>
          <w:color w:val="auto"/>
        </w:rPr>
      </w:pPr>
      <w:r>
        <w:rPr>
          <w:rFonts w:ascii="Arial" w:cs="Arial" w:eastAsia="Arial" w:hAnsi="Arial"/>
          <w:sz w:val="14"/>
          <w:szCs w:val="14"/>
          <w:color w:val="auto"/>
        </w:rPr>
        <w:t>Our risk of loss is limited to our initial investment measured at amortized cost for fixed maturities, available-for-sale and other investments. Our risk of loss is limited to our investment measured at fair value for our fixed maturities, trading.</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Sponsored Investment Funds</w:t>
      </w:r>
    </w:p>
    <w:p>
      <w:pPr>
        <w:spacing w:after="0" w:line="225" w:lineRule="exact"/>
        <w:rPr>
          <w:sz w:val="20"/>
          <w:szCs w:val="20"/>
          <w:color w:val="auto"/>
        </w:rPr>
      </w:pPr>
    </w:p>
    <w:p>
      <w:pPr>
        <w:jc w:val="both"/>
        <w:ind w:firstLine="389"/>
        <w:spacing w:after="0" w:line="256" w:lineRule="auto"/>
        <w:rPr>
          <w:sz w:val="20"/>
          <w:szCs w:val="20"/>
          <w:color w:val="auto"/>
        </w:rPr>
      </w:pPr>
      <w:r>
        <w:rPr>
          <w:rFonts w:ascii="Arial" w:cs="Arial" w:eastAsia="Arial" w:hAnsi="Arial"/>
          <w:sz w:val="18"/>
          <w:szCs w:val="18"/>
          <w:color w:val="auto"/>
        </w:rPr>
        <w:t>We are the investment manager for certain money market mutual funds that are deemed to be VIEs. We are not the primary beneficiary of these VIEs since our involvement is limited primarily to being a service provider, and our variable interest does not absorb the majority of the variability of the entities' net assets. As of December 31, 2013 and December 31, 2012, these VIEs held $1.4 billion and $1.5 billion in total assets, respectively. We have no contractual obligation to contribute to the funds.</w:t>
      </w:r>
    </w:p>
    <w:p>
      <w:pPr>
        <w:spacing w:after="0" w:line="197" w:lineRule="exact"/>
        <w:rPr>
          <w:sz w:val="20"/>
          <w:szCs w:val="20"/>
          <w:color w:val="auto"/>
        </w:rPr>
      </w:pPr>
    </w:p>
    <w:p>
      <w:pPr>
        <w:jc w:val="both"/>
        <w:ind w:firstLine="560"/>
        <w:spacing w:after="0" w:line="259" w:lineRule="auto"/>
        <w:rPr>
          <w:sz w:val="20"/>
          <w:szCs w:val="20"/>
          <w:color w:val="auto"/>
        </w:rPr>
      </w:pPr>
      <w:r>
        <w:rPr>
          <w:rFonts w:ascii="Arial" w:cs="Arial" w:eastAsia="Arial" w:hAnsi="Arial"/>
          <w:sz w:val="18"/>
          <w:szCs w:val="18"/>
          <w:color w:val="auto"/>
        </w:rPr>
        <w:t>We provide asset management and other services to certain investment structures that are considered VIEs as we generally earn performance-based management fees. We are not the primary beneficiary of these entities as we do not have the obligation to absorb losses of the entities that could be potentially significant to the VIE or the right to receive benefits from these entities that could be potentially significant.</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3" w:name="page114"/>
    <w:bookmarkEnd w:id="11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Investments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Fixed Maturities and Equity Securities</w:t>
      </w:r>
    </w:p>
    <w:p>
      <w:pPr>
        <w:spacing w:after="0" w:line="231" w:lineRule="exact"/>
        <w:rPr>
          <w:sz w:val="20"/>
          <w:szCs w:val="20"/>
          <w:color w:val="auto"/>
        </w:rPr>
      </w:pPr>
    </w:p>
    <w:p>
      <w:pPr>
        <w:ind w:firstLine="437"/>
        <w:spacing w:after="0" w:line="268" w:lineRule="auto"/>
        <w:rPr>
          <w:sz w:val="20"/>
          <w:szCs w:val="20"/>
          <w:color w:val="auto"/>
        </w:rPr>
      </w:pPr>
      <w:r>
        <w:rPr>
          <w:rFonts w:ascii="Arial" w:cs="Arial" w:eastAsia="Arial" w:hAnsi="Arial"/>
          <w:sz w:val="18"/>
          <w:szCs w:val="18"/>
          <w:color w:val="auto"/>
        </w:rPr>
        <w:t>The amortized cost, gross unrealized gains and losses, other-than-temporary impairments in AOCI and fair value of fixed maturities and equity securities available-for-sale are summarized as follows:</w:t>
      </w:r>
    </w:p>
    <w:p>
      <w:pPr>
        <w:spacing w:after="0" w:line="169"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Other-than-</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6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center"/>
              <w:ind w:right="92"/>
              <w:spacing w:after="0" w:line="149" w:lineRule="exact"/>
              <w:rPr>
                <w:sz w:val="20"/>
                <w:szCs w:val="20"/>
                <w:color w:val="auto"/>
              </w:rPr>
            </w:pPr>
            <w:r>
              <w:rPr>
                <w:rFonts w:ascii="Arial" w:cs="Arial" w:eastAsia="Arial" w:hAnsi="Arial"/>
                <w:sz w:val="14"/>
                <w:szCs w:val="14"/>
                <w:b w:val="1"/>
                <w:bCs w:val="1"/>
                <w:color w:val="auto"/>
                <w:w w:val="83"/>
              </w:rPr>
              <w:t>Gross</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3"/>
              </w:rPr>
              <w:t>Gross</w:t>
            </w: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0"/>
              </w:rPr>
              <w:t>temporary</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6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40" w:type="dxa"/>
            <w:vAlign w:val="bottom"/>
            <w:gridSpan w:val="2"/>
          </w:tcPr>
          <w:p>
            <w:pPr>
              <w:jc w:val="right"/>
              <w:ind w:right="12"/>
              <w:spacing w:after="0" w:line="149" w:lineRule="exact"/>
              <w:rPr>
                <w:sz w:val="20"/>
                <w:szCs w:val="20"/>
                <w:color w:val="auto"/>
              </w:rPr>
            </w:pPr>
            <w:r>
              <w:rPr>
                <w:rFonts w:ascii="Arial" w:cs="Arial" w:eastAsia="Arial" w:hAnsi="Arial"/>
                <w:sz w:val="14"/>
                <w:szCs w:val="14"/>
                <w:b w:val="1"/>
                <w:bCs w:val="1"/>
                <w:color w:val="auto"/>
                <w:w w:val="93"/>
              </w:rPr>
              <w:t>Amortized</w:t>
            </w:r>
          </w:p>
        </w:tc>
        <w:tc>
          <w:tcPr>
            <w:tcW w:w="160" w:type="dxa"/>
            <w:vAlign w:val="bottom"/>
          </w:tcPr>
          <w:p>
            <w:pPr>
              <w:spacing w:after="0"/>
              <w:rPr>
                <w:sz w:val="12"/>
                <w:szCs w:val="12"/>
                <w:color w:val="auto"/>
              </w:rPr>
            </w:pPr>
          </w:p>
        </w:tc>
        <w:tc>
          <w:tcPr>
            <w:tcW w:w="7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6"/>
              </w:rPr>
              <w:t>unrealized</w:t>
            </w:r>
          </w:p>
        </w:tc>
        <w:tc>
          <w:tcPr>
            <w:tcW w:w="160" w:type="dxa"/>
            <w:vAlign w:val="bottom"/>
          </w:tcPr>
          <w:p>
            <w:pPr>
              <w:spacing w:after="0"/>
              <w:rPr>
                <w:sz w:val="12"/>
                <w:szCs w:val="12"/>
                <w:color w:val="auto"/>
              </w:rPr>
            </w:pPr>
          </w:p>
        </w:tc>
        <w:tc>
          <w:tcPr>
            <w:tcW w:w="920" w:type="dxa"/>
            <w:vAlign w:val="bottom"/>
            <w:gridSpan w:val="3"/>
          </w:tcPr>
          <w:p>
            <w:pPr>
              <w:jc w:val="center"/>
              <w:ind w:right="200"/>
              <w:spacing w:after="0" w:line="149" w:lineRule="exact"/>
              <w:rPr>
                <w:sz w:val="20"/>
                <w:szCs w:val="20"/>
                <w:color w:val="auto"/>
              </w:rPr>
            </w:pPr>
            <w:r>
              <w:rPr>
                <w:rFonts w:ascii="Arial" w:cs="Arial" w:eastAsia="Arial" w:hAnsi="Arial"/>
                <w:sz w:val="14"/>
                <w:szCs w:val="14"/>
                <w:b w:val="1"/>
                <w:bCs w:val="1"/>
                <w:color w:val="auto"/>
                <w:w w:val="86"/>
              </w:rPr>
              <w:t>unrealized</w:t>
            </w: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impairments in</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right"/>
              <w:ind w:right="212"/>
              <w:spacing w:after="0"/>
              <w:rPr>
                <w:sz w:val="20"/>
                <w:szCs w:val="20"/>
                <w:color w:val="auto"/>
              </w:rPr>
            </w:pPr>
            <w:r>
              <w:rPr>
                <w:rFonts w:ascii="Arial" w:cs="Arial" w:eastAsia="Arial" w:hAnsi="Arial"/>
                <w:sz w:val="14"/>
                <w:szCs w:val="14"/>
                <w:b w:val="1"/>
                <w:bCs w:val="1"/>
                <w:color w:val="auto"/>
                <w:w w:val="97"/>
              </w:rPr>
              <w:t>cost</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jc w:val="center"/>
              <w:ind w:right="92"/>
              <w:spacing w:after="0"/>
              <w:rPr>
                <w:sz w:val="20"/>
                <w:szCs w:val="20"/>
                <w:color w:val="auto"/>
              </w:rPr>
            </w:pPr>
            <w:r>
              <w:rPr>
                <w:rFonts w:ascii="Arial" w:cs="Arial" w:eastAsia="Arial" w:hAnsi="Arial"/>
                <w:sz w:val="14"/>
                <w:szCs w:val="14"/>
                <w:b w:val="1"/>
                <w:bCs w:val="1"/>
                <w:color w:val="auto"/>
                <w:w w:val="81"/>
              </w:rPr>
              <w:t>gains</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73"/>
              </w:rPr>
              <w:t>losses</w:t>
            </w:r>
          </w:p>
        </w:tc>
        <w:tc>
          <w:tcPr>
            <w:tcW w:w="740" w:type="dxa"/>
            <w:vAlign w:val="bottom"/>
            <w:gridSpan w:val="2"/>
          </w:tcPr>
          <w:p>
            <w:pPr>
              <w:jc w:val="right"/>
              <w:ind w:right="12"/>
              <w:spacing w:after="0"/>
              <w:rPr>
                <w:sz w:val="20"/>
                <w:szCs w:val="20"/>
                <w:color w:val="auto"/>
              </w:rPr>
            </w:pPr>
            <w:r>
              <w:rPr>
                <w:rFonts w:ascii="Arial" w:cs="Arial" w:eastAsia="Arial" w:hAnsi="Arial"/>
                <w:sz w:val="14"/>
                <w:szCs w:val="14"/>
                <w:b w:val="1"/>
                <w:bCs w:val="1"/>
                <w:color w:val="auto"/>
                <w:w w:val="97"/>
              </w:rPr>
              <w:t>Fair value</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6"/>
              </w:rPr>
              <w:t>AOCI (1)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6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6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i w:val="1"/>
                <w:iCs w:val="1"/>
                <w:color w:val="auto"/>
                <w:w w:val="78"/>
              </w:rPr>
              <w:t>(in millions)</w:t>
            </w:r>
          </w:p>
        </w:tc>
        <w:tc>
          <w:tcPr>
            <w:tcW w:w="16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9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December 31, 2013</w:t>
            </w: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gridSpan w:val="2"/>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U.S. government and agencies</w:t>
            </w:r>
          </w:p>
        </w:tc>
        <w:tc>
          <w:tcPr>
            <w:tcW w:w="820" w:type="dxa"/>
            <w:vAlign w:val="bottom"/>
            <w:gridSpan w:val="2"/>
            <w:shd w:val="clear" w:color="auto" w:fill="CCEEFF"/>
          </w:tcPr>
          <w:p>
            <w:pPr>
              <w:jc w:val="right"/>
              <w:ind w:right="32"/>
              <w:spacing w:after="0" w:line="149" w:lineRule="exact"/>
              <w:rPr>
                <w:sz w:val="20"/>
                <w:szCs w:val="20"/>
                <w:color w:val="auto"/>
              </w:rPr>
            </w:pPr>
            <w:r>
              <w:rPr>
                <w:rFonts w:ascii="Arial" w:cs="Arial" w:eastAsia="Arial" w:hAnsi="Arial"/>
                <w:sz w:val="14"/>
                <w:szCs w:val="14"/>
                <w:b w:val="1"/>
                <w:bCs w:val="1"/>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818.2</w:t>
            </w:r>
          </w:p>
        </w:tc>
        <w:tc>
          <w:tcPr>
            <w:tcW w:w="300" w:type="dxa"/>
            <w:vAlign w:val="bottom"/>
            <w:gridSpan w:val="2"/>
            <w:shd w:val="clear" w:color="auto" w:fill="CCEEFF"/>
          </w:tcPr>
          <w:p>
            <w:pPr>
              <w:jc w:val="right"/>
              <w:ind w:right="24"/>
              <w:spacing w:after="0" w:line="149" w:lineRule="exact"/>
              <w:rPr>
                <w:sz w:val="20"/>
                <w:szCs w:val="20"/>
                <w:color w:val="auto"/>
              </w:rPr>
            </w:pPr>
            <w:r>
              <w:rPr>
                <w:rFonts w:ascii="Arial" w:cs="Arial" w:eastAsia="Arial" w:hAnsi="Arial"/>
                <w:sz w:val="14"/>
                <w:szCs w:val="14"/>
                <w:b w:val="1"/>
                <w:bCs w:val="1"/>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12.7</w:t>
            </w:r>
          </w:p>
        </w:tc>
        <w:tc>
          <w:tcPr>
            <w:tcW w:w="280" w:type="dxa"/>
            <w:vAlign w:val="bottom"/>
            <w:gridSpan w:val="2"/>
            <w:shd w:val="clear" w:color="auto" w:fill="CCEEFF"/>
          </w:tcPr>
          <w:p>
            <w:pPr>
              <w:jc w:val="right"/>
              <w:ind w:right="4"/>
              <w:spacing w:after="0" w:line="149" w:lineRule="exact"/>
              <w:rPr>
                <w:sz w:val="20"/>
                <w:szCs w:val="20"/>
                <w:color w:val="auto"/>
              </w:rPr>
            </w:pPr>
            <w:r>
              <w:rPr>
                <w:rFonts w:ascii="Arial" w:cs="Arial" w:eastAsia="Arial" w:hAnsi="Arial"/>
                <w:sz w:val="14"/>
                <w:szCs w:val="14"/>
                <w:b w:val="1"/>
                <w:bCs w:val="1"/>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50.4</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jc w:val="right"/>
              <w:ind w:right="47"/>
              <w:spacing w:after="0"/>
              <w:rPr>
                <w:sz w:val="20"/>
                <w:szCs w:val="20"/>
                <w:color w:val="auto"/>
              </w:rPr>
            </w:pPr>
            <w:r>
              <w:rPr>
                <w:rFonts w:ascii="Arial" w:cs="Arial" w:eastAsia="Arial" w:hAnsi="Arial"/>
                <w:sz w:val="10"/>
                <w:szCs w:val="10"/>
                <w:b w:val="1"/>
                <w:bCs w:val="1"/>
                <w:color w:val="auto"/>
                <w:w w:val="71"/>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780.5</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1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Non-U.S. government and agencies</w:t>
            </w: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853.2</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148.8</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5.2</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996.8</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40" w:type="dxa"/>
            <w:vAlign w:val="bottom"/>
            <w:gridSpan w:val="2"/>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States and political subdivisions</w:t>
            </w: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3,622.8</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120.9</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85.7</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3,658.0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Corporate</w:t>
            </w: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99"/>
              </w:rPr>
              <w:t>30,280.6</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1,958.8</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320.4</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99"/>
              </w:rPr>
              <w:t>31,919.0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17.1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Residential mortgage-backed pass-through securities</w:t>
            </w: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2,799.1</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92.8</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46.7</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2,845.2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Commercial mortgage-backed securities</w:t>
            </w: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4,078.0</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170.6</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222.2</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4,026.4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183.4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Collateralized debt obligations</w:t>
            </w: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391.9</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6.0</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34.5</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363.4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Other debt obligations</w:t>
            </w:r>
          </w:p>
        </w:tc>
        <w:tc>
          <w:tcPr>
            <w:tcW w:w="6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4,157.5</w:t>
            </w:r>
          </w:p>
        </w:tc>
        <w:tc>
          <w:tcPr>
            <w:tcW w:w="1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51.8</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41.5</w:t>
            </w:r>
          </w:p>
        </w:tc>
        <w:tc>
          <w:tcPr>
            <w:tcW w:w="1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4,167.8</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9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76.3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64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Total fixed maturities, available-for-sale</w:t>
            </w:r>
          </w:p>
        </w:tc>
        <w:tc>
          <w:tcPr>
            <w:tcW w:w="820" w:type="dxa"/>
            <w:vAlign w:val="bottom"/>
            <w:gridSpan w:val="2"/>
            <w:shd w:val="clear" w:color="auto" w:fill="CCEEFF"/>
          </w:tcPr>
          <w:p>
            <w:pPr>
              <w:jc w:val="right"/>
              <w:ind w:right="32"/>
              <w:spacing w:after="0" w:line="142" w:lineRule="exact"/>
              <w:rPr>
                <w:sz w:val="20"/>
                <w:szCs w:val="20"/>
                <w:color w:val="auto"/>
              </w:rPr>
            </w:pPr>
            <w:r>
              <w:rPr>
                <w:rFonts w:ascii="Arial" w:cs="Arial" w:eastAsia="Arial" w:hAnsi="Arial"/>
                <w:sz w:val="14"/>
                <w:szCs w:val="14"/>
                <w:b w:val="1"/>
                <w:bCs w:val="1"/>
                <w:color w:val="auto"/>
              </w:rPr>
              <w:t>$</w:t>
            </w:r>
          </w:p>
        </w:tc>
        <w:tc>
          <w:tcPr>
            <w:tcW w:w="5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99"/>
              </w:rPr>
              <w:t>47,001.3</w:t>
            </w:r>
          </w:p>
        </w:tc>
        <w:tc>
          <w:tcPr>
            <w:tcW w:w="300" w:type="dxa"/>
            <w:vAlign w:val="bottom"/>
            <w:gridSpan w:val="2"/>
            <w:shd w:val="clear" w:color="auto" w:fill="CCEEFF"/>
          </w:tcPr>
          <w:p>
            <w:pPr>
              <w:jc w:val="right"/>
              <w:ind w:right="24"/>
              <w:spacing w:after="0" w:line="142" w:lineRule="exact"/>
              <w:rPr>
                <w:sz w:val="20"/>
                <w:szCs w:val="20"/>
                <w:color w:val="auto"/>
              </w:rPr>
            </w:pPr>
            <w:r>
              <w:rPr>
                <w:rFonts w:ascii="Arial" w:cs="Arial" w:eastAsia="Arial" w:hAnsi="Arial"/>
                <w:sz w:val="14"/>
                <w:szCs w:val="14"/>
                <w:b w:val="1"/>
                <w:bCs w:val="1"/>
                <w:color w:val="auto"/>
              </w:rPr>
              <w:t>$</w:t>
            </w:r>
          </w:p>
        </w:tc>
        <w:tc>
          <w:tcPr>
            <w:tcW w:w="6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2,562.4</w:t>
            </w:r>
          </w:p>
        </w:tc>
        <w:tc>
          <w:tcPr>
            <w:tcW w:w="280" w:type="dxa"/>
            <w:vAlign w:val="bottom"/>
            <w:gridSpan w:val="2"/>
            <w:shd w:val="clear" w:color="auto" w:fill="CCEEFF"/>
          </w:tcPr>
          <w:p>
            <w:pPr>
              <w:jc w:val="right"/>
              <w:ind w:right="4"/>
              <w:spacing w:after="0" w:line="142" w:lineRule="exact"/>
              <w:rPr>
                <w:sz w:val="20"/>
                <w:szCs w:val="20"/>
                <w:color w:val="auto"/>
              </w:rPr>
            </w:pPr>
            <w:r>
              <w:rPr>
                <w:rFonts w:ascii="Arial" w:cs="Arial" w:eastAsia="Arial" w:hAnsi="Arial"/>
                <w:sz w:val="14"/>
                <w:szCs w:val="14"/>
                <w:b w:val="1"/>
                <w:bCs w:val="1"/>
                <w:color w:val="auto"/>
              </w:rPr>
              <w:t>$</w:t>
            </w:r>
          </w:p>
        </w:tc>
        <w:tc>
          <w:tcPr>
            <w:tcW w:w="6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806.6</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jc w:val="right"/>
              <w:ind w:right="47"/>
              <w:spacing w:after="0"/>
              <w:rPr>
                <w:sz w:val="20"/>
                <w:szCs w:val="20"/>
                <w:color w:val="auto"/>
              </w:rPr>
            </w:pPr>
            <w:r>
              <w:rPr>
                <w:rFonts w:ascii="Arial" w:cs="Arial" w:eastAsia="Arial" w:hAnsi="Arial"/>
                <w:sz w:val="10"/>
                <w:szCs w:val="10"/>
                <w:b w:val="1"/>
                <w:bCs w:val="1"/>
                <w:color w:val="auto"/>
                <w:w w:val="71"/>
              </w:rPr>
              <w:t>$</w:t>
            </w:r>
          </w:p>
        </w:tc>
        <w:tc>
          <w:tcPr>
            <w:tcW w:w="5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99"/>
              </w:rPr>
              <w:t>48,757.1</w:t>
            </w:r>
          </w:p>
        </w:tc>
        <w:tc>
          <w:tcPr>
            <w:tcW w:w="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9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277.5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660" w:type="dxa"/>
            <w:vAlign w:val="bottom"/>
            <w:gridSpan w:val="3"/>
            <w:vMerge w:val="restart"/>
          </w:tcPr>
          <w:p>
            <w:pPr>
              <w:spacing w:after="0"/>
              <w:rPr>
                <w:sz w:val="20"/>
                <w:szCs w:val="20"/>
                <w:color w:val="auto"/>
              </w:rPr>
            </w:pPr>
            <w:r>
              <w:rPr>
                <w:rFonts w:ascii="Arial" w:cs="Arial" w:eastAsia="Arial" w:hAnsi="Arial"/>
                <w:sz w:val="14"/>
                <w:szCs w:val="14"/>
                <w:color w:val="auto"/>
              </w:rPr>
              <w:t>Total equity securities, available-for-sale</w:t>
            </w:r>
          </w:p>
        </w:tc>
        <w:tc>
          <w:tcPr>
            <w:tcW w:w="6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3660" w:type="dxa"/>
            <w:vAlign w:val="bottom"/>
            <w:gridSpan w:val="3"/>
            <w:vMerge w:val="continue"/>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Borders>
              <w:bottom w:val="single" w:sz="8" w:color="auto"/>
            </w:tcBorders>
          </w:tcPr>
          <w:p>
            <w:pPr>
              <w:spacing w:after="0" w:line="129" w:lineRule="exact"/>
              <w:rPr>
                <w:sz w:val="20"/>
                <w:szCs w:val="20"/>
                <w:color w:val="auto"/>
              </w:rPr>
            </w:pPr>
            <w:r>
              <w:rPr>
                <w:rFonts w:ascii="Arial" w:cs="Arial" w:eastAsia="Arial" w:hAnsi="Arial"/>
                <w:sz w:val="14"/>
                <w:szCs w:val="14"/>
                <w:b w:val="1"/>
                <w:bCs w:val="1"/>
                <w:color w:val="auto"/>
              </w:rPr>
              <w:t>$</w:t>
            </w:r>
          </w:p>
        </w:tc>
        <w:tc>
          <w:tcPr>
            <w:tcW w:w="58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rPr>
              <w:t>113.8</w:t>
            </w:r>
          </w:p>
        </w:tc>
        <w:tc>
          <w:tcPr>
            <w:tcW w:w="160" w:type="dxa"/>
            <w:vAlign w:val="bottom"/>
          </w:tcPr>
          <w:p>
            <w:pPr>
              <w:spacing w:after="0"/>
              <w:rPr>
                <w:sz w:val="11"/>
                <w:szCs w:val="11"/>
                <w:color w:val="auto"/>
              </w:rPr>
            </w:pPr>
          </w:p>
        </w:tc>
        <w:tc>
          <w:tcPr>
            <w:tcW w:w="140" w:type="dxa"/>
            <w:vAlign w:val="bottom"/>
            <w:tcBorders>
              <w:bottom w:val="single" w:sz="8" w:color="auto"/>
            </w:tcBorders>
          </w:tcPr>
          <w:p>
            <w:pPr>
              <w:jc w:val="right"/>
              <w:ind w:right="24"/>
              <w:spacing w:after="0"/>
              <w:rPr>
                <w:sz w:val="20"/>
                <w:szCs w:val="20"/>
                <w:color w:val="auto"/>
              </w:rPr>
            </w:pPr>
            <w:r>
              <w:rPr>
                <w:rFonts w:ascii="Arial" w:cs="Arial" w:eastAsia="Arial" w:hAnsi="Arial"/>
                <w:sz w:val="10"/>
                <w:szCs w:val="10"/>
                <w:b w:val="1"/>
                <w:bCs w:val="1"/>
                <w:color w:val="auto"/>
                <w:w w:val="71"/>
              </w:rPr>
              <w:t>$</w:t>
            </w:r>
          </w:p>
        </w:tc>
        <w:tc>
          <w:tcPr>
            <w:tcW w:w="62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rPr>
              <w:t>10.0</w:t>
            </w:r>
          </w:p>
        </w:tc>
        <w:tc>
          <w:tcPr>
            <w:tcW w:w="160" w:type="dxa"/>
            <w:vAlign w:val="bottom"/>
          </w:tcPr>
          <w:p>
            <w:pPr>
              <w:spacing w:after="0"/>
              <w:rPr>
                <w:sz w:val="11"/>
                <w:szCs w:val="11"/>
                <w:color w:val="auto"/>
              </w:rPr>
            </w:pPr>
          </w:p>
        </w:tc>
        <w:tc>
          <w:tcPr>
            <w:tcW w:w="120" w:type="dxa"/>
            <w:vAlign w:val="bottom"/>
            <w:tcBorders>
              <w:bottom w:val="single" w:sz="8" w:color="auto"/>
            </w:tcBorders>
          </w:tcPr>
          <w:p>
            <w:pPr>
              <w:jc w:val="right"/>
              <w:ind w:right="4"/>
              <w:spacing w:after="0"/>
              <w:rPr>
                <w:sz w:val="20"/>
                <w:szCs w:val="20"/>
                <w:color w:val="auto"/>
              </w:rPr>
            </w:pPr>
            <w:r>
              <w:rPr>
                <w:rFonts w:ascii="Arial" w:cs="Arial" w:eastAsia="Arial" w:hAnsi="Arial"/>
                <w:sz w:val="10"/>
                <w:szCs w:val="10"/>
                <w:b w:val="1"/>
                <w:bCs w:val="1"/>
                <w:color w:val="auto"/>
                <w:w w:val="71"/>
              </w:rPr>
              <w:t>$</w:t>
            </w:r>
          </w:p>
        </w:tc>
        <w:tc>
          <w:tcPr>
            <w:tcW w:w="64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rPr>
              <w:t>13.3</w:t>
            </w:r>
          </w:p>
        </w:tc>
        <w:tc>
          <w:tcPr>
            <w:tcW w:w="160" w:type="dxa"/>
            <w:vAlign w:val="bottom"/>
          </w:tcPr>
          <w:p>
            <w:pPr>
              <w:spacing w:after="0"/>
              <w:rPr>
                <w:sz w:val="11"/>
                <w:szCs w:val="11"/>
                <w:color w:val="auto"/>
              </w:rPr>
            </w:pPr>
          </w:p>
        </w:tc>
        <w:tc>
          <w:tcPr>
            <w:tcW w:w="160" w:type="dxa"/>
            <w:vAlign w:val="bottom"/>
            <w:tcBorders>
              <w:bottom w:val="single" w:sz="8" w:color="auto"/>
            </w:tcBorders>
          </w:tcPr>
          <w:p>
            <w:pPr>
              <w:jc w:val="right"/>
              <w:ind w:right="47"/>
              <w:spacing w:after="0"/>
              <w:rPr>
                <w:sz w:val="20"/>
                <w:szCs w:val="20"/>
                <w:color w:val="auto"/>
              </w:rPr>
            </w:pPr>
            <w:r>
              <w:rPr>
                <w:rFonts w:ascii="Arial" w:cs="Arial" w:eastAsia="Arial" w:hAnsi="Arial"/>
                <w:sz w:val="10"/>
                <w:szCs w:val="10"/>
                <w:b w:val="1"/>
                <w:bCs w:val="1"/>
                <w:color w:val="auto"/>
                <w:w w:val="71"/>
              </w:rPr>
              <w:t>$</w:t>
            </w:r>
          </w:p>
        </w:tc>
        <w:tc>
          <w:tcPr>
            <w:tcW w:w="58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rPr>
              <w:t>110.5</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3640" w:type="dxa"/>
            <w:vAlign w:val="bottom"/>
            <w:gridSpan w:val="2"/>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December 31, 2012</w:t>
            </w:r>
          </w:p>
        </w:tc>
        <w:tc>
          <w:tcPr>
            <w:tcW w:w="6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gridSpan w:val="2"/>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U.S. government and agencies</w:t>
            </w:r>
          </w:p>
        </w:tc>
        <w:tc>
          <w:tcPr>
            <w:tcW w:w="820" w:type="dxa"/>
            <w:vAlign w:val="bottom"/>
            <w:gridSpan w:val="2"/>
            <w:shd w:val="clear" w:color="auto" w:fill="CCEEFF"/>
          </w:tcPr>
          <w:p>
            <w:pPr>
              <w:ind w:left="660"/>
              <w:spacing w:after="0" w:line="149" w:lineRule="exact"/>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911.4</w:t>
            </w:r>
          </w:p>
        </w:tc>
        <w:tc>
          <w:tcPr>
            <w:tcW w:w="300" w:type="dxa"/>
            <w:vAlign w:val="bottom"/>
            <w:gridSpan w:val="2"/>
            <w:shd w:val="clear" w:color="auto" w:fill="CCEEFF"/>
          </w:tcPr>
          <w:p>
            <w:pPr>
              <w:jc w:val="right"/>
              <w:ind w:right="24"/>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33.2</w:t>
            </w:r>
          </w:p>
        </w:tc>
        <w:tc>
          <w:tcPr>
            <w:tcW w:w="280" w:type="dxa"/>
            <w:vAlign w:val="bottom"/>
            <w:gridSpan w:val="2"/>
            <w:shd w:val="clear" w:color="auto" w:fill="CCEEFF"/>
          </w:tcPr>
          <w:p>
            <w:pPr>
              <w:jc w:val="right"/>
              <w:ind w:right="4"/>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0.3</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jc w:val="right"/>
              <w:ind w:right="47"/>
              <w:spacing w:after="0"/>
              <w:rPr>
                <w:sz w:val="20"/>
                <w:szCs w:val="20"/>
                <w:color w:val="auto"/>
              </w:rPr>
            </w:pPr>
            <w:r>
              <w:rPr>
                <w:rFonts w:ascii="Arial" w:cs="Arial" w:eastAsia="Arial" w:hAnsi="Arial"/>
                <w:sz w:val="10"/>
                <w:szCs w:val="10"/>
                <w:color w:val="auto"/>
                <w:w w:val="71"/>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944.3</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1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Non-U.S. government and agencies</w:t>
            </w: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944.9</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264.3</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0.9</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1,208.3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4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States and political subdivisions</w:t>
            </w: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2,940.4</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241.1</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2.7</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3,178.8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Corporate</w:t>
            </w: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w w:val="99"/>
              </w:rPr>
              <w:t>31,615.4</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3,029.9</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319.9</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w w:val="99"/>
              </w:rPr>
              <w:t>34,325.4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right"/>
              <w:spacing w:after="0" w:line="149" w:lineRule="exact"/>
              <w:rPr>
                <w:sz w:val="20"/>
                <w:szCs w:val="20"/>
                <w:color w:val="auto"/>
              </w:rPr>
            </w:pPr>
            <w:r>
              <w:rPr>
                <w:rFonts w:ascii="Arial" w:cs="Arial" w:eastAsia="Arial" w:hAnsi="Arial"/>
                <w:sz w:val="14"/>
                <w:szCs w:val="14"/>
                <w:color w:val="auto"/>
              </w:rPr>
              <w:t>19.5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Residential mortgage-backed pass-through securities</w:t>
            </w: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3,022.7</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204.4</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0.4</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3,226.7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Commercial mortgage-backed securities</w:t>
            </w: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4,094.8</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241.7</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439.1</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3,897.4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right"/>
              <w:spacing w:after="0" w:line="149" w:lineRule="exact"/>
              <w:rPr>
                <w:sz w:val="20"/>
                <w:szCs w:val="20"/>
                <w:color w:val="auto"/>
              </w:rPr>
            </w:pPr>
            <w:r>
              <w:rPr>
                <w:rFonts w:ascii="Arial" w:cs="Arial" w:eastAsia="Arial" w:hAnsi="Arial"/>
                <w:sz w:val="14"/>
                <w:szCs w:val="14"/>
                <w:color w:val="auto"/>
              </w:rPr>
              <w:t>195.4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Collateralized debt obligations</w:t>
            </w: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428.8</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7.0</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56.6</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379.2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Other debt obligations</w:t>
            </w:r>
          </w:p>
        </w:tc>
        <w:tc>
          <w:tcPr>
            <w:tcW w:w="6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3,756.9</w:t>
            </w:r>
          </w:p>
        </w:tc>
        <w:tc>
          <w:tcPr>
            <w:tcW w:w="1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73.5</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51.2</w:t>
            </w:r>
          </w:p>
        </w:tc>
        <w:tc>
          <w:tcPr>
            <w:tcW w:w="1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3,779.2</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9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82.8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64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Total fixed maturities, available-for-sale</w:t>
            </w:r>
          </w:p>
        </w:tc>
        <w:tc>
          <w:tcPr>
            <w:tcW w:w="820" w:type="dxa"/>
            <w:vAlign w:val="bottom"/>
            <w:gridSpan w:val="2"/>
            <w:shd w:val="clear" w:color="auto" w:fill="CCEEFF"/>
          </w:tcPr>
          <w:p>
            <w:pPr>
              <w:ind w:left="660"/>
              <w:spacing w:after="0" w:line="142" w:lineRule="exact"/>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9"/>
              </w:rPr>
              <w:t>47,715.3</w:t>
            </w:r>
          </w:p>
        </w:tc>
        <w:tc>
          <w:tcPr>
            <w:tcW w:w="300" w:type="dxa"/>
            <w:vAlign w:val="bottom"/>
            <w:gridSpan w:val="2"/>
            <w:shd w:val="clear" w:color="auto" w:fill="CCEEFF"/>
          </w:tcPr>
          <w:p>
            <w:pPr>
              <w:jc w:val="right"/>
              <w:ind w:right="24"/>
              <w:spacing w:after="0" w:line="142"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4,095.1</w:t>
            </w:r>
          </w:p>
        </w:tc>
        <w:tc>
          <w:tcPr>
            <w:tcW w:w="280" w:type="dxa"/>
            <w:vAlign w:val="bottom"/>
            <w:gridSpan w:val="2"/>
            <w:shd w:val="clear" w:color="auto" w:fill="CCEEFF"/>
          </w:tcPr>
          <w:p>
            <w:pPr>
              <w:jc w:val="right"/>
              <w:ind w:right="4"/>
              <w:spacing w:after="0" w:line="142"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871.1</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jc w:val="right"/>
              <w:ind w:right="47"/>
              <w:spacing w:after="0"/>
              <w:rPr>
                <w:sz w:val="20"/>
                <w:szCs w:val="20"/>
                <w:color w:val="auto"/>
              </w:rPr>
            </w:pPr>
            <w:r>
              <w:rPr>
                <w:rFonts w:ascii="Arial" w:cs="Arial" w:eastAsia="Arial" w:hAnsi="Arial"/>
                <w:sz w:val="10"/>
                <w:szCs w:val="10"/>
                <w:color w:val="auto"/>
                <w:w w:val="71"/>
              </w:rPr>
              <w:t>$</w:t>
            </w:r>
          </w:p>
        </w:tc>
        <w:tc>
          <w:tcPr>
            <w:tcW w:w="5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9"/>
              </w:rPr>
              <w:t>50,939.3</w:t>
            </w:r>
          </w:p>
        </w:tc>
        <w:tc>
          <w:tcPr>
            <w:tcW w:w="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302.0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660" w:type="dxa"/>
            <w:vAlign w:val="bottom"/>
            <w:gridSpan w:val="3"/>
            <w:vMerge w:val="restart"/>
          </w:tcPr>
          <w:p>
            <w:pPr>
              <w:spacing w:after="0"/>
              <w:rPr>
                <w:sz w:val="20"/>
                <w:szCs w:val="20"/>
                <w:color w:val="auto"/>
              </w:rPr>
            </w:pPr>
            <w:r>
              <w:rPr>
                <w:rFonts w:ascii="Arial" w:cs="Arial" w:eastAsia="Arial" w:hAnsi="Arial"/>
                <w:sz w:val="14"/>
                <w:szCs w:val="14"/>
                <w:color w:val="auto"/>
              </w:rPr>
              <w:t>Total equity securities, available-for-sale</w:t>
            </w:r>
          </w:p>
        </w:tc>
        <w:tc>
          <w:tcPr>
            <w:tcW w:w="6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3660" w:type="dxa"/>
            <w:vAlign w:val="bottom"/>
            <w:gridSpan w:val="3"/>
            <w:vMerge w:val="continue"/>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Borders>
              <w:bottom w:val="single" w:sz="8" w:color="auto"/>
            </w:tcBorders>
          </w:tcPr>
          <w:p>
            <w:pPr>
              <w:spacing w:after="0" w:line="129" w:lineRule="exact"/>
              <w:rPr>
                <w:sz w:val="20"/>
                <w:szCs w:val="20"/>
                <w:color w:val="auto"/>
              </w:rPr>
            </w:pPr>
            <w:r>
              <w:rPr>
                <w:rFonts w:ascii="Arial" w:cs="Arial" w:eastAsia="Arial" w:hAnsi="Arial"/>
                <w:sz w:val="14"/>
                <w:szCs w:val="14"/>
                <w:color w:val="auto"/>
              </w:rPr>
              <w:t>$</w:t>
            </w:r>
          </w:p>
        </w:tc>
        <w:tc>
          <w:tcPr>
            <w:tcW w:w="58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color w:val="auto"/>
              </w:rPr>
              <w:t>132.4</w:t>
            </w:r>
          </w:p>
        </w:tc>
        <w:tc>
          <w:tcPr>
            <w:tcW w:w="160" w:type="dxa"/>
            <w:vAlign w:val="bottom"/>
          </w:tcPr>
          <w:p>
            <w:pPr>
              <w:spacing w:after="0"/>
              <w:rPr>
                <w:sz w:val="11"/>
                <w:szCs w:val="11"/>
                <w:color w:val="auto"/>
              </w:rPr>
            </w:pPr>
          </w:p>
        </w:tc>
        <w:tc>
          <w:tcPr>
            <w:tcW w:w="140" w:type="dxa"/>
            <w:vAlign w:val="bottom"/>
            <w:tcBorders>
              <w:bottom w:val="single" w:sz="8" w:color="auto"/>
            </w:tcBorders>
          </w:tcPr>
          <w:p>
            <w:pPr>
              <w:jc w:val="right"/>
              <w:ind w:right="24"/>
              <w:spacing w:after="0"/>
              <w:rPr>
                <w:sz w:val="20"/>
                <w:szCs w:val="20"/>
                <w:color w:val="auto"/>
              </w:rPr>
            </w:pPr>
            <w:r>
              <w:rPr>
                <w:rFonts w:ascii="Arial" w:cs="Arial" w:eastAsia="Arial" w:hAnsi="Arial"/>
                <w:sz w:val="10"/>
                <w:szCs w:val="10"/>
                <w:color w:val="auto"/>
                <w:w w:val="71"/>
              </w:rPr>
              <w:t>$</w:t>
            </w:r>
          </w:p>
        </w:tc>
        <w:tc>
          <w:tcPr>
            <w:tcW w:w="62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color w:val="auto"/>
              </w:rPr>
              <w:t>12.6</w:t>
            </w:r>
          </w:p>
        </w:tc>
        <w:tc>
          <w:tcPr>
            <w:tcW w:w="160" w:type="dxa"/>
            <w:vAlign w:val="bottom"/>
          </w:tcPr>
          <w:p>
            <w:pPr>
              <w:spacing w:after="0"/>
              <w:rPr>
                <w:sz w:val="11"/>
                <w:szCs w:val="11"/>
                <w:color w:val="auto"/>
              </w:rPr>
            </w:pPr>
          </w:p>
        </w:tc>
        <w:tc>
          <w:tcPr>
            <w:tcW w:w="120" w:type="dxa"/>
            <w:vAlign w:val="bottom"/>
            <w:tcBorders>
              <w:bottom w:val="single" w:sz="8" w:color="auto"/>
            </w:tcBorders>
          </w:tcPr>
          <w:p>
            <w:pPr>
              <w:jc w:val="right"/>
              <w:ind w:right="4"/>
              <w:spacing w:after="0"/>
              <w:rPr>
                <w:sz w:val="20"/>
                <w:szCs w:val="20"/>
                <w:color w:val="auto"/>
              </w:rPr>
            </w:pPr>
            <w:r>
              <w:rPr>
                <w:rFonts w:ascii="Arial" w:cs="Arial" w:eastAsia="Arial" w:hAnsi="Arial"/>
                <w:sz w:val="10"/>
                <w:szCs w:val="10"/>
                <w:color w:val="auto"/>
                <w:w w:val="71"/>
              </w:rPr>
              <w:t>$</w:t>
            </w:r>
          </w:p>
        </w:tc>
        <w:tc>
          <w:tcPr>
            <w:tcW w:w="64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color w:val="auto"/>
              </w:rPr>
              <w:t>8.5</w:t>
            </w:r>
          </w:p>
        </w:tc>
        <w:tc>
          <w:tcPr>
            <w:tcW w:w="160" w:type="dxa"/>
            <w:vAlign w:val="bottom"/>
          </w:tcPr>
          <w:p>
            <w:pPr>
              <w:spacing w:after="0"/>
              <w:rPr>
                <w:sz w:val="11"/>
                <w:szCs w:val="11"/>
                <w:color w:val="auto"/>
              </w:rPr>
            </w:pPr>
          </w:p>
        </w:tc>
        <w:tc>
          <w:tcPr>
            <w:tcW w:w="160" w:type="dxa"/>
            <w:vAlign w:val="bottom"/>
            <w:tcBorders>
              <w:bottom w:val="single" w:sz="8" w:color="auto"/>
            </w:tcBorders>
          </w:tcPr>
          <w:p>
            <w:pPr>
              <w:jc w:val="right"/>
              <w:ind w:right="47"/>
              <w:spacing w:after="0"/>
              <w:rPr>
                <w:sz w:val="20"/>
                <w:szCs w:val="20"/>
                <w:color w:val="auto"/>
              </w:rPr>
            </w:pPr>
            <w:r>
              <w:rPr>
                <w:rFonts w:ascii="Arial" w:cs="Arial" w:eastAsia="Arial" w:hAnsi="Arial"/>
                <w:sz w:val="10"/>
                <w:szCs w:val="10"/>
                <w:color w:val="auto"/>
                <w:w w:val="71"/>
              </w:rPr>
              <w:t>$</w:t>
            </w:r>
          </w:p>
        </w:tc>
        <w:tc>
          <w:tcPr>
            <w:tcW w:w="58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color w:val="auto"/>
              </w:rPr>
              <w:t>136.5</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20" w:type="dxa"/>
            <w:vAlign w:val="bottom"/>
            <w:tcBorders>
              <w:bottom w:val="single" w:sz="8" w:color="auto"/>
            </w:tcBorders>
          </w:tcPr>
          <w:p>
            <w:pPr>
              <w:spacing w:after="0"/>
              <w:rPr>
                <w:sz w:val="7"/>
                <w:szCs w:val="7"/>
                <w:color w:val="auto"/>
              </w:rPr>
            </w:pPr>
          </w:p>
        </w:tc>
        <w:tc>
          <w:tcPr>
            <w:tcW w:w="2620" w:type="dxa"/>
            <w:vAlign w:val="bottom"/>
          </w:tcPr>
          <w:p>
            <w:pPr>
              <w:spacing w:after="0"/>
              <w:rPr>
                <w:sz w:val="7"/>
                <w:szCs w:val="7"/>
                <w:color w:val="auto"/>
              </w:rPr>
            </w:pPr>
          </w:p>
        </w:tc>
        <w:tc>
          <w:tcPr>
            <w:tcW w:w="660" w:type="dxa"/>
            <w:vAlign w:val="bottom"/>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98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ind w:left="1680" w:hanging="531"/>
        <w:spacing w:after="0" w:line="318" w:lineRule="auto"/>
        <w:tabs>
          <w:tab w:leader="none" w:pos="1680" w:val="left"/>
        </w:tabs>
        <w:numPr>
          <w:ilvl w:val="0"/>
          <w:numId w:val="51"/>
        </w:numPr>
        <w:rPr>
          <w:rFonts w:ascii="Arial" w:cs="Arial" w:eastAsia="Arial" w:hAnsi="Arial"/>
          <w:sz w:val="12"/>
          <w:szCs w:val="12"/>
          <w:color w:val="auto"/>
        </w:rPr>
      </w:pPr>
      <w:r>
        <w:rPr>
          <w:rFonts w:ascii="Arial" w:cs="Arial" w:eastAsia="Arial" w:hAnsi="Arial"/>
          <w:sz w:val="12"/>
          <w:szCs w:val="12"/>
          <w:color w:val="auto"/>
        </w:rPr>
        <w:t>Excludes $148.6 million and $95.0 million as of December 31, 2013 and December 31, 2012, respectively, of net unrealized gains on impaired fixed maturities, available-for-sale related to changes in fair value subsequent to the impairment date, which are included in gross unrealized gains and gross unrealized losses.</w:t>
      </w:r>
    </w:p>
    <w:p>
      <w:pPr>
        <w:spacing w:after="0" w:line="15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amortized cost and fair value of fixed maturities available-for-sale at December 31, 2013, by expected maturity, were as follows:</w:t>
      </w:r>
    </w:p>
    <w:p>
      <w:pPr>
        <w:spacing w:after="0" w:line="20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06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760" w:type="dxa"/>
            <w:vAlign w:val="bottom"/>
            <w:gridSpan w:val="2"/>
          </w:tcPr>
          <w:p>
            <w:pPr>
              <w:jc w:val="right"/>
              <w:ind w:right="12"/>
              <w:spacing w:after="0"/>
              <w:rPr>
                <w:sz w:val="20"/>
                <w:szCs w:val="20"/>
                <w:color w:val="auto"/>
              </w:rPr>
            </w:pPr>
            <w:r>
              <w:rPr>
                <w:rFonts w:ascii="Arial" w:cs="Arial" w:eastAsia="Arial" w:hAnsi="Arial"/>
                <w:sz w:val="14"/>
                <w:szCs w:val="14"/>
                <w:b w:val="1"/>
                <w:bCs w:val="1"/>
                <w:color w:val="auto"/>
                <w:w w:val="96"/>
              </w:rPr>
              <w:t>Amortized</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20" w:type="dxa"/>
            <w:vAlign w:val="bottom"/>
            <w:gridSpan w:val="2"/>
          </w:tcPr>
          <w:p>
            <w:pPr>
              <w:ind w:left="80"/>
              <w:spacing w:after="0"/>
              <w:rPr>
                <w:sz w:val="20"/>
                <w:szCs w:val="20"/>
                <w:color w:val="auto"/>
              </w:rPr>
            </w:pPr>
            <w:r>
              <w:rPr>
                <w:rFonts w:ascii="Arial" w:cs="Arial" w:eastAsia="Arial" w:hAnsi="Arial"/>
                <w:sz w:val="14"/>
                <w:szCs w:val="14"/>
                <w:b w:val="1"/>
                <w:bCs w:val="1"/>
                <w:color w:val="auto"/>
              </w:rPr>
              <w:t>Fair</w:t>
            </w:r>
          </w:p>
        </w:tc>
      </w:tr>
      <w:tr>
        <w:trPr>
          <w:trHeight w:val="161"/>
        </w:trPr>
        <w:tc>
          <w:tcPr>
            <w:tcW w:w="20" w:type="dxa"/>
            <w:vAlign w:val="bottom"/>
          </w:tcPr>
          <w:p>
            <w:pPr>
              <w:spacing w:after="0"/>
              <w:rPr>
                <w:sz w:val="14"/>
                <w:szCs w:val="14"/>
                <w:color w:val="auto"/>
              </w:rPr>
            </w:pPr>
          </w:p>
        </w:tc>
        <w:tc>
          <w:tcPr>
            <w:tcW w:w="506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212"/>
              <w:spacing w:after="0"/>
              <w:rPr>
                <w:sz w:val="20"/>
                <w:szCs w:val="20"/>
                <w:color w:val="auto"/>
              </w:rPr>
            </w:pPr>
            <w:r>
              <w:rPr>
                <w:rFonts w:ascii="Arial" w:cs="Arial" w:eastAsia="Arial" w:hAnsi="Arial"/>
                <w:sz w:val="14"/>
                <w:szCs w:val="14"/>
                <w:b w:val="1"/>
                <w:bCs w:val="1"/>
                <w:color w:val="auto"/>
              </w:rPr>
              <w:t>cost</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b w:val="1"/>
                <w:bCs w:val="1"/>
                <w:color w:val="auto"/>
                <w:w w:val="94"/>
              </w:rPr>
              <w:t>value</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506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ind w:right="7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840" w:type="dxa"/>
            <w:vAlign w:val="bottom"/>
            <w:gridSpan w:val="3"/>
          </w:tcPr>
          <w:p>
            <w:pPr>
              <w:jc w:val="center"/>
              <w:ind w:right="392"/>
              <w:spacing w:after="0"/>
              <w:rPr>
                <w:sz w:val="20"/>
                <w:szCs w:val="20"/>
                <w:color w:val="auto"/>
              </w:rPr>
            </w:pPr>
            <w:r>
              <w:rPr>
                <w:rFonts w:ascii="Arial" w:cs="Arial" w:eastAsia="Arial" w:hAnsi="Arial"/>
                <w:sz w:val="12"/>
                <w:szCs w:val="12"/>
                <w:b w:val="1"/>
                <w:bCs w:val="1"/>
                <w:i w:val="1"/>
                <w:iCs w:val="1"/>
                <w:color w:val="auto"/>
                <w:w w:val="76"/>
              </w:rPr>
              <w:t>millions)</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Due in one year or less</w:t>
            </w:r>
          </w:p>
        </w:tc>
        <w:tc>
          <w:tcPr>
            <w:tcW w:w="2460" w:type="dxa"/>
            <w:vAlign w:val="bottom"/>
            <w:gridSpan w:val="2"/>
            <w:shd w:val="clear" w:color="auto" w:fill="CCEEFF"/>
          </w:tcPr>
          <w:p>
            <w:pPr>
              <w:jc w:val="right"/>
              <w:ind w:right="12"/>
              <w:spacing w:after="0" w:line="149" w:lineRule="exact"/>
              <w:rPr>
                <w:sz w:val="20"/>
                <w:szCs w:val="20"/>
                <w:color w:val="auto"/>
              </w:rPr>
            </w:pPr>
            <w:r>
              <w:rPr>
                <w:rFonts w:ascii="Arial" w:cs="Arial" w:eastAsia="Arial" w:hAnsi="Arial"/>
                <w:sz w:val="14"/>
                <w:szCs w:val="14"/>
                <w:b w:val="1"/>
                <w:bCs w:val="1"/>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2,977.3</w:t>
            </w:r>
          </w:p>
        </w:tc>
        <w:tc>
          <w:tcPr>
            <w:tcW w:w="280" w:type="dxa"/>
            <w:vAlign w:val="bottom"/>
            <w:gridSpan w:val="2"/>
            <w:shd w:val="clear" w:color="auto" w:fill="CCEEFF"/>
          </w:tcPr>
          <w:p>
            <w:pPr>
              <w:jc w:val="center"/>
              <w:ind w:left="14"/>
              <w:spacing w:after="0" w:line="149"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3,019.0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60" w:type="dxa"/>
            <w:vAlign w:val="bottom"/>
          </w:tcPr>
          <w:p>
            <w:pPr>
              <w:spacing w:after="0" w:line="149" w:lineRule="exact"/>
              <w:rPr>
                <w:sz w:val="20"/>
                <w:szCs w:val="20"/>
                <w:color w:val="auto"/>
              </w:rPr>
            </w:pPr>
            <w:r>
              <w:rPr>
                <w:rFonts w:ascii="Arial" w:cs="Arial" w:eastAsia="Arial" w:hAnsi="Arial"/>
                <w:sz w:val="14"/>
                <w:szCs w:val="14"/>
                <w:color w:val="auto"/>
              </w:rPr>
              <w:t>Due after one year through five years</w:t>
            </w:r>
          </w:p>
        </w:tc>
        <w:tc>
          <w:tcPr>
            <w:tcW w:w="2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12,674.4</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99"/>
              </w:rPr>
              <w:t>13,297.3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Due after five years through ten years</w:t>
            </w:r>
          </w:p>
        </w:tc>
        <w:tc>
          <w:tcPr>
            <w:tcW w:w="23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8,669.8</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9,091.2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60" w:type="dxa"/>
            <w:vAlign w:val="bottom"/>
          </w:tcPr>
          <w:p>
            <w:pPr>
              <w:spacing w:after="0" w:line="149" w:lineRule="exact"/>
              <w:rPr>
                <w:sz w:val="20"/>
                <w:szCs w:val="20"/>
                <w:color w:val="auto"/>
              </w:rPr>
            </w:pPr>
            <w:r>
              <w:rPr>
                <w:rFonts w:ascii="Arial" w:cs="Arial" w:eastAsia="Arial" w:hAnsi="Arial"/>
                <w:sz w:val="14"/>
                <w:szCs w:val="14"/>
                <w:color w:val="auto"/>
              </w:rPr>
              <w:t>Due after ten years</w:t>
            </w:r>
          </w:p>
        </w:tc>
        <w:tc>
          <w:tcPr>
            <w:tcW w:w="230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11,253.3</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w w:val="99"/>
              </w:rPr>
              <w:t>11,946.8</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506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Subtotal</w:t>
            </w:r>
          </w:p>
        </w:tc>
        <w:tc>
          <w:tcPr>
            <w:tcW w:w="23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35,574.8</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99"/>
              </w:rPr>
              <w:t>37,354.3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60" w:type="dxa"/>
            <w:vAlign w:val="bottom"/>
          </w:tcPr>
          <w:p>
            <w:pPr>
              <w:spacing w:after="0" w:line="149" w:lineRule="exact"/>
              <w:rPr>
                <w:sz w:val="20"/>
                <w:szCs w:val="20"/>
                <w:color w:val="auto"/>
              </w:rPr>
            </w:pPr>
            <w:r>
              <w:rPr>
                <w:rFonts w:ascii="Arial" w:cs="Arial" w:eastAsia="Arial" w:hAnsi="Arial"/>
                <w:sz w:val="14"/>
                <w:szCs w:val="14"/>
                <w:color w:val="auto"/>
              </w:rPr>
              <w:t>Mortgage-backed and other asset-backed securities</w:t>
            </w:r>
          </w:p>
        </w:tc>
        <w:tc>
          <w:tcPr>
            <w:tcW w:w="230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11,426.5</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w w:val="99"/>
              </w:rPr>
              <w:t>11,402.8</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506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w:t>
            </w:r>
          </w:p>
        </w:tc>
        <w:tc>
          <w:tcPr>
            <w:tcW w:w="2460" w:type="dxa"/>
            <w:vAlign w:val="bottom"/>
            <w:gridSpan w:val="2"/>
            <w:shd w:val="clear" w:color="auto" w:fill="CCEEFF"/>
          </w:tcPr>
          <w:p>
            <w:pPr>
              <w:jc w:val="right"/>
              <w:ind w:right="12"/>
              <w:spacing w:after="0" w:line="142" w:lineRule="exact"/>
              <w:rPr>
                <w:sz w:val="20"/>
                <w:szCs w:val="20"/>
                <w:color w:val="auto"/>
              </w:rPr>
            </w:pPr>
            <w:r>
              <w:rPr>
                <w:rFonts w:ascii="Arial" w:cs="Arial" w:eastAsia="Arial" w:hAnsi="Arial"/>
                <w:sz w:val="14"/>
                <w:szCs w:val="14"/>
                <w:b w:val="1"/>
                <w:bCs w:val="1"/>
                <w:color w:val="auto"/>
              </w:rPr>
              <w:t>$</w:t>
            </w:r>
          </w:p>
        </w:tc>
        <w:tc>
          <w:tcPr>
            <w:tcW w:w="6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47,001.3</w:t>
            </w:r>
          </w:p>
        </w:tc>
        <w:tc>
          <w:tcPr>
            <w:tcW w:w="280" w:type="dxa"/>
            <w:vAlign w:val="bottom"/>
            <w:gridSpan w:val="2"/>
            <w:shd w:val="clear" w:color="auto" w:fill="CCEEFF"/>
          </w:tcPr>
          <w:p>
            <w:pPr>
              <w:jc w:val="center"/>
              <w:ind w:left="14"/>
              <w:spacing w:after="0" w:line="142"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99"/>
              </w:rPr>
              <w:t>48,757.1</w:t>
            </w:r>
          </w:p>
        </w:tc>
        <w:tc>
          <w:tcPr>
            <w:tcW w:w="160" w:type="dxa"/>
            <w:vAlign w:val="bottom"/>
            <w:shd w:val="clear" w:color="auto" w:fill="CCEEFF"/>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506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firstLine="436"/>
        <w:spacing w:after="0" w:line="268" w:lineRule="auto"/>
        <w:rPr>
          <w:sz w:val="20"/>
          <w:szCs w:val="20"/>
          <w:color w:val="auto"/>
        </w:rPr>
      </w:pPr>
      <w:r>
        <w:rPr>
          <w:rFonts w:ascii="Arial" w:cs="Arial" w:eastAsia="Arial" w:hAnsi="Arial"/>
          <w:sz w:val="18"/>
          <w:szCs w:val="18"/>
          <w:color w:val="auto"/>
        </w:rPr>
        <w:t>Actual maturities may differ because borrowers may have the right to call or prepay obligations. Our portfolio is diversified by industry, issuer and asset class. Credit concentrations are managed to established limits.</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4" w:name="page115"/>
    <w:bookmarkEnd w:id="11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Investments — (continued)</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Investment Income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Major categories of net investment income are summarized as follows:</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34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40" w:type="dxa"/>
            <w:vAlign w:val="bottom"/>
            <w:gridSpan w:val="10"/>
          </w:tcPr>
          <w:p>
            <w:pPr>
              <w:jc w:val="center"/>
              <w:ind w:right="280"/>
              <w:spacing w:after="0"/>
              <w:rPr>
                <w:sz w:val="20"/>
                <w:szCs w:val="20"/>
                <w:color w:val="auto"/>
              </w:rPr>
            </w:pPr>
            <w:r>
              <w:rPr>
                <w:rFonts w:ascii="Arial" w:cs="Arial" w:eastAsia="Arial" w:hAnsi="Arial"/>
                <w:sz w:val="14"/>
                <w:szCs w:val="14"/>
                <w:b w:val="1"/>
                <w:bCs w:val="1"/>
                <w:color w:val="auto"/>
                <w:w w:val="87"/>
              </w:rPr>
              <w:t>For the year ended December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340" w:type="dxa"/>
            <w:vAlign w:val="bottom"/>
          </w:tcPr>
          <w:p>
            <w:pPr>
              <w:spacing w:after="0"/>
              <w:rPr>
                <w:sz w:val="12"/>
                <w:szCs w:val="12"/>
                <w:color w:val="auto"/>
              </w:rPr>
            </w:pPr>
          </w:p>
        </w:tc>
        <w:tc>
          <w:tcPr>
            <w:tcW w:w="244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20" w:type="dxa"/>
            <w:vAlign w:val="bottom"/>
            <w:tcBorders>
              <w:top w:val="single" w:sz="8" w:color="auto"/>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rPr>
              <w:t>2013</w:t>
            </w:r>
          </w:p>
        </w:tc>
        <w:tc>
          <w:tcPr>
            <w:tcW w:w="8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center"/>
              <w:ind w:right="72"/>
              <w:spacing w:after="0" w:line="142" w:lineRule="exact"/>
              <w:rPr>
                <w:sz w:val="20"/>
                <w:szCs w:val="20"/>
                <w:color w:val="auto"/>
              </w:rPr>
            </w:pPr>
            <w:r>
              <w:rPr>
                <w:rFonts w:ascii="Arial" w:cs="Arial" w:eastAsia="Arial" w:hAnsi="Arial"/>
                <w:sz w:val="14"/>
                <w:szCs w:val="14"/>
                <w:b w:val="1"/>
                <w:bCs w:val="1"/>
                <w:color w:val="auto"/>
                <w:w w:val="89"/>
              </w:rPr>
              <w:t>2012</w:t>
            </w: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w w:val="96"/>
              </w:rPr>
              <w:t>2011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340" w:type="dxa"/>
            <w:vAlign w:val="bottom"/>
          </w:tcPr>
          <w:p>
            <w:pPr>
              <w:spacing w:after="0"/>
              <w:rPr>
                <w:sz w:val="12"/>
                <w:szCs w:val="12"/>
                <w:color w:val="auto"/>
              </w:rPr>
            </w:pPr>
          </w:p>
        </w:tc>
        <w:tc>
          <w:tcPr>
            <w:tcW w:w="2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3"/>
          </w:tcPr>
          <w:p>
            <w:pPr>
              <w:jc w:val="center"/>
              <w:spacing w:after="0" w:line="142" w:lineRule="exact"/>
              <w:rPr>
                <w:sz w:val="20"/>
                <w:szCs w:val="20"/>
                <w:color w:val="auto"/>
              </w:rPr>
            </w:pPr>
            <w:r>
              <w:rPr>
                <w:rFonts w:ascii="Arial" w:cs="Arial" w:eastAsia="Arial" w:hAnsi="Arial"/>
                <w:sz w:val="14"/>
                <w:szCs w:val="14"/>
                <w:b w:val="1"/>
                <w:bCs w:val="1"/>
                <w:i w:val="1"/>
                <w:iCs w:val="1"/>
                <w:color w:val="auto"/>
                <w:w w:val="83"/>
              </w:rPr>
              <w:t>(in millions)</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254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b w:val="1"/>
                <w:bCs w:val="1"/>
                <w:color w:val="auto"/>
              </w:rPr>
              <w:t>$</w:t>
            </w: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2,321.3</w:t>
            </w:r>
          </w:p>
        </w:tc>
        <w:tc>
          <w:tcPr>
            <w:tcW w:w="80" w:type="dxa"/>
            <w:vAlign w:val="bottom"/>
            <w:shd w:val="clear" w:color="auto" w:fill="CCEEFF"/>
          </w:tcPr>
          <w:p>
            <w:pPr>
              <w:spacing w:after="0"/>
              <w:rPr>
                <w:sz w:val="12"/>
                <w:szCs w:val="12"/>
                <w:color w:val="auto"/>
              </w:rPr>
            </w:pPr>
          </w:p>
        </w:tc>
        <w:tc>
          <w:tcPr>
            <w:tcW w:w="2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2,454.8</w:t>
            </w:r>
          </w:p>
        </w:tc>
        <w:tc>
          <w:tcPr>
            <w:tcW w:w="10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2,596.2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tcPr>
          <w:p>
            <w:pPr>
              <w:spacing w:after="0" w:line="149" w:lineRule="exact"/>
              <w:rPr>
                <w:sz w:val="20"/>
                <w:szCs w:val="20"/>
                <w:color w:val="auto"/>
              </w:rPr>
            </w:pPr>
            <w:r>
              <w:rPr>
                <w:rFonts w:ascii="Arial" w:cs="Arial" w:eastAsia="Arial" w:hAnsi="Arial"/>
                <w:sz w:val="14"/>
                <w:szCs w:val="14"/>
                <w:color w:val="auto"/>
              </w:rPr>
              <w:t>Fixed maturities, trading</w:t>
            </w:r>
          </w:p>
        </w:tc>
        <w:tc>
          <w:tcPr>
            <w:tcW w:w="2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22.5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30.2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64.7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Equity securities, available-for-sale</w:t>
            </w:r>
          </w:p>
        </w:tc>
        <w:tc>
          <w:tcPr>
            <w:tcW w:w="2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8.6</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tcPr>
          <w:p>
            <w:pPr>
              <w:spacing w:after="0" w:line="149" w:lineRule="exact"/>
              <w:rPr>
                <w:sz w:val="20"/>
                <w:szCs w:val="20"/>
                <w:color w:val="auto"/>
              </w:rPr>
            </w:pPr>
            <w:r>
              <w:rPr>
                <w:rFonts w:ascii="Arial" w:cs="Arial" w:eastAsia="Arial" w:hAnsi="Arial"/>
                <w:sz w:val="14"/>
                <w:szCs w:val="14"/>
                <w:color w:val="auto"/>
              </w:rPr>
              <w:t>Equity securities, trading</w:t>
            </w:r>
          </w:p>
        </w:tc>
        <w:tc>
          <w:tcPr>
            <w:tcW w:w="2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6.6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4.4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Mortgage loans</w:t>
            </w:r>
          </w:p>
        </w:tc>
        <w:tc>
          <w:tcPr>
            <w:tcW w:w="2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611.5</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635.8</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649.2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tcPr>
          <w:p>
            <w:pPr>
              <w:spacing w:after="0" w:line="149" w:lineRule="exact"/>
              <w:rPr>
                <w:sz w:val="20"/>
                <w:szCs w:val="20"/>
                <w:color w:val="auto"/>
              </w:rPr>
            </w:pPr>
            <w:r>
              <w:rPr>
                <w:rFonts w:ascii="Arial" w:cs="Arial" w:eastAsia="Arial" w:hAnsi="Arial"/>
                <w:sz w:val="14"/>
                <w:szCs w:val="14"/>
                <w:color w:val="auto"/>
              </w:rPr>
              <w:t>Real estate</w:t>
            </w:r>
          </w:p>
        </w:tc>
        <w:tc>
          <w:tcPr>
            <w:tcW w:w="2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61.2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71.4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74.2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Policy loans</w:t>
            </w:r>
          </w:p>
        </w:tc>
        <w:tc>
          <w:tcPr>
            <w:tcW w:w="2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49.9</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53.7</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58.2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tcPr>
          <w:p>
            <w:pPr>
              <w:spacing w:after="0" w:line="149" w:lineRule="exact"/>
              <w:rPr>
                <w:sz w:val="20"/>
                <w:szCs w:val="20"/>
                <w:color w:val="auto"/>
              </w:rPr>
            </w:pPr>
            <w:r>
              <w:rPr>
                <w:rFonts w:ascii="Arial" w:cs="Arial" w:eastAsia="Arial" w:hAnsi="Arial"/>
                <w:sz w:val="14"/>
                <w:szCs w:val="14"/>
                <w:color w:val="auto"/>
              </w:rPr>
              <w:t>Cash and cash equivalents</w:t>
            </w:r>
          </w:p>
        </w:tc>
        <w:tc>
          <w:tcPr>
            <w:tcW w:w="2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9.6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8.5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Derivatives</w:t>
            </w:r>
          </w:p>
        </w:tc>
        <w:tc>
          <w:tcPr>
            <w:tcW w:w="2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b w:val="1"/>
                <w:bCs w:val="1"/>
                <w:color w:val="auto"/>
              </w:rPr>
              <w:t>(115.2)</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(131.2)</w:t>
            </w: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(196.1)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tcPr>
          <w:p>
            <w:pPr>
              <w:spacing w:after="0" w:line="149" w:lineRule="exact"/>
              <w:rPr>
                <w:sz w:val="20"/>
                <w:szCs w:val="20"/>
                <w:color w:val="auto"/>
              </w:rPr>
            </w:pPr>
            <w:r>
              <w:rPr>
                <w:rFonts w:ascii="Arial" w:cs="Arial" w:eastAsia="Arial" w:hAnsi="Arial"/>
                <w:sz w:val="14"/>
                <w:szCs w:val="14"/>
                <w:color w:val="auto"/>
              </w:rPr>
              <w:t>Other</w:t>
            </w:r>
          </w:p>
        </w:tc>
        <w:tc>
          <w:tcPr>
            <w:tcW w:w="244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222.0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196.6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188.5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34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w:t>
            </w:r>
          </w:p>
        </w:tc>
        <w:tc>
          <w:tcPr>
            <w:tcW w:w="2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3,214.6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3,336.1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3,458.3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tcPr>
          <w:p>
            <w:pPr>
              <w:spacing w:after="0" w:line="149" w:lineRule="exact"/>
              <w:rPr>
                <w:sz w:val="20"/>
                <w:szCs w:val="20"/>
                <w:color w:val="auto"/>
              </w:rPr>
            </w:pPr>
            <w:r>
              <w:rPr>
                <w:rFonts w:ascii="Arial" w:cs="Arial" w:eastAsia="Arial" w:hAnsi="Arial"/>
                <w:sz w:val="14"/>
                <w:szCs w:val="14"/>
                <w:color w:val="auto"/>
              </w:rPr>
              <w:t>Investment expenses</w:t>
            </w:r>
          </w:p>
        </w:tc>
        <w:tc>
          <w:tcPr>
            <w:tcW w:w="2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gridSpan w:val="2"/>
          </w:tcPr>
          <w:p>
            <w:pPr>
              <w:jc w:val="right"/>
              <w:ind w:right="40"/>
              <w:spacing w:after="0" w:line="149" w:lineRule="exact"/>
              <w:rPr>
                <w:sz w:val="20"/>
                <w:szCs w:val="20"/>
                <w:color w:val="auto"/>
              </w:rPr>
            </w:pPr>
            <w:r>
              <w:rPr>
                <w:rFonts w:ascii="Arial" w:cs="Arial" w:eastAsia="Arial" w:hAnsi="Arial"/>
                <w:sz w:val="14"/>
                <w:szCs w:val="14"/>
                <w:b w:val="1"/>
                <w:bCs w:val="1"/>
                <w:color w:val="auto"/>
              </w:rPr>
              <w:t>(76.2)</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(81.2)</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(83.0)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434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investment income</w:t>
            </w:r>
          </w:p>
        </w:tc>
        <w:tc>
          <w:tcPr>
            <w:tcW w:w="254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b w:val="1"/>
                <w:bCs w:val="1"/>
                <w:color w:val="auto"/>
              </w:rPr>
              <w:t>$</w:t>
            </w:r>
          </w:p>
        </w:tc>
        <w:tc>
          <w:tcPr>
            <w:tcW w:w="5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3,138.4</w:t>
            </w:r>
          </w:p>
        </w:tc>
        <w:tc>
          <w:tcPr>
            <w:tcW w:w="80" w:type="dxa"/>
            <w:vAlign w:val="bottom"/>
            <w:shd w:val="clear" w:color="auto" w:fill="CCEEFF"/>
          </w:tcPr>
          <w:p>
            <w:pPr>
              <w:spacing w:after="0"/>
              <w:rPr>
                <w:sz w:val="12"/>
                <w:szCs w:val="12"/>
                <w:color w:val="auto"/>
              </w:rPr>
            </w:pPr>
          </w:p>
        </w:tc>
        <w:tc>
          <w:tcPr>
            <w:tcW w:w="20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3,254.9</w:t>
            </w:r>
          </w:p>
        </w:tc>
        <w:tc>
          <w:tcPr>
            <w:tcW w:w="10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3,375.3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Realized Capital Gains and Losses</w:t>
      </w:r>
    </w:p>
    <w:p>
      <w:pPr>
        <w:spacing w:after="0" w:line="227"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9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160" w:type="dxa"/>
            <w:vAlign w:val="bottom"/>
            <w:gridSpan w:val="11"/>
          </w:tcPr>
          <w:p>
            <w:pPr>
              <w:jc w:val="right"/>
              <w:ind w:right="181"/>
              <w:spacing w:after="0"/>
              <w:rPr>
                <w:sz w:val="20"/>
                <w:szCs w:val="20"/>
                <w:color w:val="auto"/>
              </w:rPr>
            </w:pPr>
            <w:r>
              <w:rPr>
                <w:rFonts w:ascii="Arial" w:cs="Arial" w:eastAsia="Arial" w:hAnsi="Arial"/>
                <w:sz w:val="14"/>
                <w:szCs w:val="14"/>
                <w:b w:val="1"/>
                <w:bCs w:val="1"/>
                <w:color w:val="auto"/>
                <w:w w:val="87"/>
              </w:rPr>
              <w:t>For the year ended December 31,</w:t>
            </w:r>
          </w:p>
        </w:tc>
      </w:tr>
      <w:tr>
        <w:trPr>
          <w:trHeight w:val="142"/>
        </w:trPr>
        <w:tc>
          <w:tcPr>
            <w:tcW w:w="20" w:type="dxa"/>
            <w:vAlign w:val="bottom"/>
          </w:tcPr>
          <w:p>
            <w:pPr>
              <w:spacing w:after="0"/>
              <w:rPr>
                <w:sz w:val="12"/>
                <w:szCs w:val="12"/>
                <w:color w:val="auto"/>
              </w:rPr>
            </w:pPr>
          </w:p>
        </w:tc>
        <w:tc>
          <w:tcPr>
            <w:tcW w:w="69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89"/>
              </w:rPr>
              <w:t>2013</w:t>
            </w:r>
          </w:p>
        </w:tc>
        <w:tc>
          <w:tcPr>
            <w:tcW w:w="8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80" w:type="dxa"/>
            <w:vAlign w:val="bottom"/>
            <w:tcBorders>
              <w:top w:val="single" w:sz="8" w:color="auto"/>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96"/>
              </w:rPr>
              <w:t>2012</w:t>
            </w: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89"/>
              </w:rPr>
              <w:t>2011</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69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gridSpan w:val="3"/>
          </w:tcPr>
          <w:p>
            <w:pPr>
              <w:jc w:val="right"/>
              <w:spacing w:after="0" w:line="142" w:lineRule="exact"/>
              <w:rPr>
                <w:sz w:val="20"/>
                <w:szCs w:val="20"/>
                <w:color w:val="auto"/>
              </w:rPr>
            </w:pPr>
            <w:r>
              <w:rPr>
                <w:rFonts w:ascii="Arial" w:cs="Arial" w:eastAsia="Arial" w:hAnsi="Arial"/>
                <w:sz w:val="14"/>
                <w:szCs w:val="14"/>
                <w:b w:val="1"/>
                <w:bCs w:val="1"/>
                <w:i w:val="1"/>
                <w:iCs w:val="1"/>
                <w:color w:val="auto"/>
                <w:w w:val="81"/>
              </w:rPr>
              <w:t>(in millions)</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940" w:type="dxa"/>
            <w:vAlign w:val="bottom"/>
          </w:tcPr>
          <w:p>
            <w:pPr>
              <w:ind w:left="140"/>
              <w:spacing w:after="0" w:line="149" w:lineRule="exact"/>
              <w:rPr>
                <w:sz w:val="20"/>
                <w:szCs w:val="20"/>
                <w:color w:val="auto"/>
              </w:rPr>
            </w:pPr>
            <w:r>
              <w:rPr>
                <w:rFonts w:ascii="Arial" w:cs="Arial" w:eastAsia="Arial" w:hAnsi="Arial"/>
                <w:sz w:val="14"/>
                <w:szCs w:val="14"/>
                <w:color w:val="auto"/>
              </w:rPr>
              <w:t>Gross gains</w:t>
            </w:r>
          </w:p>
        </w:tc>
        <w:tc>
          <w:tcPr>
            <w:tcW w:w="100" w:type="dxa"/>
            <w:vAlign w:val="bottom"/>
            <w:gridSpan w:val="2"/>
          </w:tcPr>
          <w:p>
            <w:pPr>
              <w:jc w:val="right"/>
              <w:spacing w:after="0"/>
              <w:rPr>
                <w:sz w:val="20"/>
                <w:szCs w:val="20"/>
                <w:color w:val="auto"/>
              </w:rPr>
            </w:pPr>
            <w:r>
              <w:rPr>
                <w:rFonts w:ascii="Arial" w:cs="Arial" w:eastAsia="Arial" w:hAnsi="Arial"/>
                <w:sz w:val="10"/>
                <w:szCs w:val="10"/>
                <w:b w:val="1"/>
                <w:bCs w:val="1"/>
                <w:color w:val="auto"/>
                <w:w w:val="71"/>
              </w:rPr>
              <w:t>$</w:t>
            </w:r>
          </w:p>
        </w:tc>
        <w:tc>
          <w:tcPr>
            <w:tcW w:w="4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45.5</w:t>
            </w:r>
          </w:p>
        </w:tc>
        <w:tc>
          <w:tcPr>
            <w:tcW w:w="80" w:type="dxa"/>
            <w:vAlign w:val="bottom"/>
          </w:tcPr>
          <w:p>
            <w:pPr>
              <w:spacing w:after="0"/>
              <w:rPr>
                <w:sz w:val="12"/>
                <w:szCs w:val="12"/>
                <w:color w:val="auto"/>
              </w:rPr>
            </w:pPr>
          </w:p>
        </w:tc>
        <w:tc>
          <w:tcPr>
            <w:tcW w:w="1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480" w:type="dxa"/>
            <w:vAlign w:val="bottom"/>
          </w:tcPr>
          <w:p>
            <w:pPr>
              <w:jc w:val="right"/>
              <w:spacing w:after="0" w:line="149" w:lineRule="exact"/>
              <w:rPr>
                <w:sz w:val="20"/>
                <w:szCs w:val="20"/>
                <w:color w:val="auto"/>
              </w:rPr>
            </w:pPr>
            <w:r>
              <w:rPr>
                <w:rFonts w:ascii="Arial" w:cs="Arial" w:eastAsia="Arial" w:hAnsi="Arial"/>
                <w:sz w:val="14"/>
                <w:szCs w:val="14"/>
                <w:color w:val="auto"/>
              </w:rPr>
              <w:t>31.0</w:t>
            </w:r>
          </w:p>
        </w:tc>
        <w:tc>
          <w:tcPr>
            <w:tcW w:w="100" w:type="dxa"/>
            <w:vAlign w:val="bottom"/>
          </w:tcPr>
          <w:p>
            <w:pPr>
              <w:spacing w:after="0"/>
              <w:rPr>
                <w:sz w:val="12"/>
                <w:szCs w:val="12"/>
                <w:color w:val="auto"/>
              </w:rPr>
            </w:pP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26.4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9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Gross losses</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
              <w:spacing w:after="0" w:line="149" w:lineRule="exact"/>
              <w:rPr>
                <w:sz w:val="20"/>
                <w:szCs w:val="20"/>
                <w:color w:val="auto"/>
              </w:rPr>
            </w:pPr>
            <w:r>
              <w:rPr>
                <w:rFonts w:ascii="Arial" w:cs="Arial" w:eastAsia="Arial" w:hAnsi="Arial"/>
                <w:sz w:val="14"/>
                <w:szCs w:val="14"/>
                <w:b w:val="1"/>
                <w:bCs w:val="1"/>
                <w:color w:val="auto"/>
              </w:rPr>
              <w:t>(122.1)</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(144.9)</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81"/>
              <w:spacing w:after="0" w:line="149" w:lineRule="exact"/>
              <w:rPr>
                <w:sz w:val="20"/>
                <w:szCs w:val="20"/>
                <w:color w:val="auto"/>
              </w:rPr>
            </w:pPr>
            <w:r>
              <w:rPr>
                <w:rFonts w:ascii="Arial" w:cs="Arial" w:eastAsia="Arial" w:hAnsi="Arial"/>
                <w:sz w:val="14"/>
                <w:szCs w:val="14"/>
                <w:color w:val="auto"/>
              </w:rPr>
              <w:t>(158.8)</w:t>
            </w:r>
          </w:p>
        </w:tc>
      </w:tr>
      <w:tr>
        <w:trPr>
          <w:trHeight w:val="149"/>
        </w:trPr>
        <w:tc>
          <w:tcPr>
            <w:tcW w:w="20" w:type="dxa"/>
            <w:vAlign w:val="bottom"/>
          </w:tcPr>
          <w:p>
            <w:pPr>
              <w:spacing w:after="0"/>
              <w:rPr>
                <w:sz w:val="12"/>
                <w:szCs w:val="12"/>
                <w:color w:val="auto"/>
              </w:rPr>
            </w:pPr>
          </w:p>
        </w:tc>
        <w:tc>
          <w:tcPr>
            <w:tcW w:w="6940" w:type="dxa"/>
            <w:vAlign w:val="bottom"/>
          </w:tcPr>
          <w:p>
            <w:pPr>
              <w:ind w:left="140"/>
              <w:spacing w:after="0" w:line="149" w:lineRule="exact"/>
              <w:rPr>
                <w:sz w:val="20"/>
                <w:szCs w:val="20"/>
                <w:color w:val="auto"/>
              </w:rPr>
            </w:pPr>
            <w:r>
              <w:rPr>
                <w:rFonts w:ascii="Arial" w:cs="Arial" w:eastAsia="Arial" w:hAnsi="Arial"/>
                <w:sz w:val="14"/>
                <w:szCs w:val="14"/>
                <w:color w:val="auto"/>
              </w:rPr>
              <w:t>Other-than-temporary impairment losses reclassified to (from) OCI</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gridSpan w:val="2"/>
          </w:tcPr>
          <w:p>
            <w:pPr>
              <w:jc w:val="right"/>
              <w:ind w:right="1"/>
              <w:spacing w:after="0" w:line="149" w:lineRule="exact"/>
              <w:rPr>
                <w:sz w:val="20"/>
                <w:szCs w:val="20"/>
                <w:color w:val="auto"/>
              </w:rPr>
            </w:pPr>
            <w:r>
              <w:rPr>
                <w:rFonts w:ascii="Arial" w:cs="Arial" w:eastAsia="Arial" w:hAnsi="Arial"/>
                <w:sz w:val="14"/>
                <w:szCs w:val="14"/>
                <w:b w:val="1"/>
                <w:bCs w:val="1"/>
                <w:color w:val="auto"/>
              </w:rPr>
              <w:t>(24.5)</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spacing w:after="0" w:line="149" w:lineRule="exact"/>
              <w:rPr>
                <w:sz w:val="20"/>
                <w:szCs w:val="20"/>
                <w:color w:val="auto"/>
              </w:rPr>
            </w:pPr>
            <w:r>
              <w:rPr>
                <w:rFonts w:ascii="Arial" w:cs="Arial" w:eastAsia="Arial" w:hAnsi="Arial"/>
                <w:sz w:val="14"/>
                <w:szCs w:val="14"/>
                <w:color w:val="auto"/>
              </w:rPr>
              <w:t>17.3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jc w:val="right"/>
              <w:ind w:right="81"/>
              <w:spacing w:after="0" w:line="149" w:lineRule="exact"/>
              <w:rPr>
                <w:sz w:val="20"/>
                <w:szCs w:val="20"/>
                <w:color w:val="auto"/>
              </w:rPr>
            </w:pPr>
            <w:r>
              <w:rPr>
                <w:rFonts w:ascii="Arial" w:cs="Arial" w:eastAsia="Arial" w:hAnsi="Arial"/>
                <w:sz w:val="14"/>
                <w:szCs w:val="14"/>
                <w:color w:val="auto"/>
              </w:rPr>
              <w:t>(49.7)</w:t>
            </w:r>
          </w:p>
        </w:tc>
      </w:tr>
      <w:tr>
        <w:trPr>
          <w:trHeight w:val="149"/>
        </w:trPr>
        <w:tc>
          <w:tcPr>
            <w:tcW w:w="20" w:type="dxa"/>
            <w:vAlign w:val="bottom"/>
          </w:tcPr>
          <w:p>
            <w:pPr>
              <w:spacing w:after="0"/>
              <w:rPr>
                <w:sz w:val="12"/>
                <w:szCs w:val="12"/>
                <w:color w:val="auto"/>
              </w:rPr>
            </w:pPr>
          </w:p>
        </w:tc>
        <w:tc>
          <w:tcPr>
            <w:tcW w:w="69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Hedging, net</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
              <w:spacing w:after="0" w:line="149" w:lineRule="exact"/>
              <w:rPr>
                <w:sz w:val="20"/>
                <w:szCs w:val="20"/>
                <w:color w:val="auto"/>
              </w:rPr>
            </w:pPr>
            <w:r>
              <w:rPr>
                <w:rFonts w:ascii="Arial" w:cs="Arial" w:eastAsia="Arial" w:hAnsi="Arial"/>
                <w:sz w:val="14"/>
                <w:szCs w:val="14"/>
                <w:b w:val="1"/>
                <w:bCs w:val="1"/>
                <w:color w:val="auto"/>
              </w:rPr>
              <w:t>(115.5)</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(27.5)</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130.5</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940" w:type="dxa"/>
            <w:vAlign w:val="bottom"/>
          </w:tcPr>
          <w:p>
            <w:pPr>
              <w:spacing w:after="0" w:line="149" w:lineRule="exact"/>
              <w:rPr>
                <w:sz w:val="20"/>
                <w:szCs w:val="20"/>
                <w:color w:val="auto"/>
              </w:rPr>
            </w:pPr>
            <w:r>
              <w:rPr>
                <w:rFonts w:ascii="Arial" w:cs="Arial" w:eastAsia="Arial" w:hAnsi="Arial"/>
                <w:sz w:val="14"/>
                <w:szCs w:val="14"/>
                <w:color w:val="auto"/>
              </w:rPr>
              <w:t>Fixed maturities, trading</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gridSpan w:val="2"/>
          </w:tcPr>
          <w:p>
            <w:pPr>
              <w:jc w:val="right"/>
              <w:ind w:right="1"/>
              <w:spacing w:after="0" w:line="149" w:lineRule="exact"/>
              <w:rPr>
                <w:sz w:val="20"/>
                <w:szCs w:val="20"/>
                <w:color w:val="auto"/>
              </w:rPr>
            </w:pPr>
            <w:r>
              <w:rPr>
                <w:rFonts w:ascii="Arial" w:cs="Arial" w:eastAsia="Arial" w:hAnsi="Arial"/>
                <w:sz w:val="14"/>
                <w:szCs w:val="14"/>
                <w:b w:val="1"/>
                <w:bCs w:val="1"/>
                <w:color w:val="auto"/>
              </w:rPr>
              <w:t>(7.1)</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spacing w:after="0" w:line="149" w:lineRule="exact"/>
              <w:rPr>
                <w:sz w:val="20"/>
                <w:szCs w:val="20"/>
                <w:color w:val="auto"/>
              </w:rPr>
            </w:pPr>
            <w:r>
              <w:rPr>
                <w:rFonts w:ascii="Arial" w:cs="Arial" w:eastAsia="Arial" w:hAnsi="Arial"/>
                <w:sz w:val="14"/>
                <w:szCs w:val="14"/>
                <w:color w:val="auto"/>
              </w:rPr>
              <w:t>2.2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jc w:val="right"/>
              <w:ind w:right="81"/>
              <w:spacing w:after="0" w:line="149" w:lineRule="exact"/>
              <w:rPr>
                <w:sz w:val="20"/>
                <w:szCs w:val="20"/>
                <w:color w:val="auto"/>
              </w:rPr>
            </w:pPr>
            <w:r>
              <w:rPr>
                <w:rFonts w:ascii="Arial" w:cs="Arial" w:eastAsia="Arial" w:hAnsi="Arial"/>
                <w:sz w:val="14"/>
                <w:szCs w:val="14"/>
                <w:color w:val="auto"/>
              </w:rPr>
              <w:t>(6.7)</w:t>
            </w:r>
          </w:p>
        </w:tc>
      </w:tr>
      <w:tr>
        <w:trPr>
          <w:trHeight w:val="149"/>
        </w:trPr>
        <w:tc>
          <w:tcPr>
            <w:tcW w:w="20" w:type="dxa"/>
            <w:vAlign w:val="bottom"/>
          </w:tcPr>
          <w:p>
            <w:pPr>
              <w:spacing w:after="0"/>
              <w:rPr>
                <w:sz w:val="12"/>
                <w:szCs w:val="12"/>
                <w:color w:val="auto"/>
              </w:rPr>
            </w:pPr>
          </w:p>
        </w:tc>
        <w:tc>
          <w:tcPr>
            <w:tcW w:w="6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Equity securities, available-for-sale:</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940" w:type="dxa"/>
            <w:vAlign w:val="bottom"/>
          </w:tcPr>
          <w:p>
            <w:pPr>
              <w:ind w:left="140"/>
              <w:spacing w:after="0" w:line="149" w:lineRule="exact"/>
              <w:rPr>
                <w:sz w:val="20"/>
                <w:szCs w:val="20"/>
                <w:color w:val="auto"/>
              </w:rPr>
            </w:pPr>
            <w:r>
              <w:rPr>
                <w:rFonts w:ascii="Arial" w:cs="Arial" w:eastAsia="Arial" w:hAnsi="Arial"/>
                <w:sz w:val="14"/>
                <w:szCs w:val="14"/>
                <w:color w:val="auto"/>
              </w:rPr>
              <w:t>Gross gains</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spacing w:after="0" w:line="149" w:lineRule="exact"/>
              <w:rPr>
                <w:sz w:val="20"/>
                <w:szCs w:val="20"/>
                <w:color w:val="auto"/>
              </w:rPr>
            </w:pPr>
            <w:r>
              <w:rPr>
                <w:rFonts w:ascii="Arial" w:cs="Arial" w:eastAsia="Arial" w:hAnsi="Arial"/>
                <w:sz w:val="14"/>
                <w:szCs w:val="14"/>
                <w:color w:val="auto"/>
              </w:rPr>
              <w:t>0.6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2.2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9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Gross losses</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
              <w:spacing w:after="0" w:line="149" w:lineRule="exact"/>
              <w:rPr>
                <w:sz w:val="20"/>
                <w:szCs w:val="20"/>
                <w:color w:val="auto"/>
              </w:rPr>
            </w:pPr>
            <w:r>
              <w:rPr>
                <w:rFonts w:ascii="Arial" w:cs="Arial" w:eastAsia="Arial" w:hAnsi="Arial"/>
                <w:sz w:val="14"/>
                <w:szCs w:val="14"/>
                <w:b w:val="1"/>
                <w:bCs w:val="1"/>
                <w:color w:val="auto"/>
              </w:rPr>
              <w:t>(0.3)</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(0.9)</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81"/>
              <w:spacing w:after="0" w:line="149" w:lineRule="exact"/>
              <w:rPr>
                <w:sz w:val="20"/>
                <w:szCs w:val="20"/>
                <w:color w:val="auto"/>
              </w:rPr>
            </w:pPr>
            <w:r>
              <w:rPr>
                <w:rFonts w:ascii="Arial" w:cs="Arial" w:eastAsia="Arial" w:hAnsi="Arial"/>
                <w:sz w:val="14"/>
                <w:szCs w:val="14"/>
                <w:color w:val="auto"/>
              </w:rPr>
              <w:t>(6.4)</w:t>
            </w:r>
          </w:p>
        </w:tc>
      </w:tr>
      <w:tr>
        <w:trPr>
          <w:trHeight w:val="149"/>
        </w:trPr>
        <w:tc>
          <w:tcPr>
            <w:tcW w:w="20" w:type="dxa"/>
            <w:vAlign w:val="bottom"/>
          </w:tcPr>
          <w:p>
            <w:pPr>
              <w:spacing w:after="0"/>
              <w:rPr>
                <w:sz w:val="12"/>
                <w:szCs w:val="12"/>
                <w:color w:val="auto"/>
              </w:rPr>
            </w:pPr>
          </w:p>
        </w:tc>
        <w:tc>
          <w:tcPr>
            <w:tcW w:w="6940" w:type="dxa"/>
            <w:vAlign w:val="bottom"/>
          </w:tcPr>
          <w:p>
            <w:pPr>
              <w:spacing w:after="0" w:line="149" w:lineRule="exact"/>
              <w:rPr>
                <w:sz w:val="20"/>
                <w:szCs w:val="20"/>
                <w:color w:val="auto"/>
              </w:rPr>
            </w:pPr>
            <w:r>
              <w:rPr>
                <w:rFonts w:ascii="Arial" w:cs="Arial" w:eastAsia="Arial" w:hAnsi="Arial"/>
                <w:sz w:val="14"/>
                <w:szCs w:val="14"/>
                <w:color w:val="auto"/>
              </w:rPr>
              <w:t>Equity securities, trading</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26.9</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spacing w:after="0" w:line="149" w:lineRule="exact"/>
              <w:rPr>
                <w:sz w:val="20"/>
                <w:szCs w:val="20"/>
                <w:color w:val="auto"/>
              </w:rPr>
            </w:pPr>
            <w:r>
              <w:rPr>
                <w:rFonts w:ascii="Arial" w:cs="Arial" w:eastAsia="Arial" w:hAnsi="Arial"/>
                <w:sz w:val="14"/>
                <w:szCs w:val="14"/>
                <w:color w:val="auto"/>
              </w:rPr>
              <w:t>34.1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20.3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Mortgage loans</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
              <w:spacing w:after="0" w:line="149" w:lineRule="exact"/>
              <w:rPr>
                <w:sz w:val="20"/>
                <w:szCs w:val="20"/>
                <w:color w:val="auto"/>
              </w:rPr>
            </w:pPr>
            <w:r>
              <w:rPr>
                <w:rFonts w:ascii="Arial" w:cs="Arial" w:eastAsia="Arial" w:hAnsi="Arial"/>
                <w:sz w:val="14"/>
                <w:szCs w:val="14"/>
                <w:b w:val="1"/>
                <w:bCs w:val="1"/>
                <w:color w:val="auto"/>
              </w:rPr>
              <w:t>(15.8)</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(51.3)</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81"/>
              <w:spacing w:after="0" w:line="149" w:lineRule="exact"/>
              <w:rPr>
                <w:sz w:val="20"/>
                <w:szCs w:val="20"/>
                <w:color w:val="auto"/>
              </w:rPr>
            </w:pPr>
            <w:r>
              <w:rPr>
                <w:rFonts w:ascii="Arial" w:cs="Arial" w:eastAsia="Arial" w:hAnsi="Arial"/>
                <w:sz w:val="14"/>
                <w:szCs w:val="14"/>
                <w:color w:val="auto"/>
              </w:rPr>
              <w:t>(42.1)</w:t>
            </w:r>
          </w:p>
        </w:tc>
      </w:tr>
      <w:tr>
        <w:trPr>
          <w:trHeight w:val="149"/>
        </w:trPr>
        <w:tc>
          <w:tcPr>
            <w:tcW w:w="20" w:type="dxa"/>
            <w:vAlign w:val="bottom"/>
          </w:tcPr>
          <w:p>
            <w:pPr>
              <w:spacing w:after="0"/>
              <w:rPr>
                <w:sz w:val="12"/>
                <w:szCs w:val="12"/>
                <w:color w:val="auto"/>
              </w:rPr>
            </w:pPr>
          </w:p>
        </w:tc>
        <w:tc>
          <w:tcPr>
            <w:tcW w:w="6940" w:type="dxa"/>
            <w:vAlign w:val="bottom"/>
          </w:tcPr>
          <w:p>
            <w:pPr>
              <w:spacing w:after="0" w:line="149" w:lineRule="exact"/>
              <w:rPr>
                <w:sz w:val="20"/>
                <w:szCs w:val="20"/>
                <w:color w:val="auto"/>
              </w:rPr>
            </w:pPr>
            <w:r>
              <w:rPr>
                <w:rFonts w:ascii="Arial" w:cs="Arial" w:eastAsia="Arial" w:hAnsi="Arial"/>
                <w:sz w:val="14"/>
                <w:szCs w:val="14"/>
                <w:color w:val="auto"/>
              </w:rPr>
              <w:t>Derivatives</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gridSpan w:val="2"/>
          </w:tcPr>
          <w:p>
            <w:pPr>
              <w:jc w:val="right"/>
              <w:ind w:right="1"/>
              <w:spacing w:after="0" w:line="149" w:lineRule="exact"/>
              <w:rPr>
                <w:sz w:val="20"/>
                <w:szCs w:val="20"/>
                <w:color w:val="auto"/>
              </w:rPr>
            </w:pPr>
            <w:r>
              <w:rPr>
                <w:rFonts w:ascii="Arial" w:cs="Arial" w:eastAsia="Arial" w:hAnsi="Arial"/>
                <w:sz w:val="14"/>
                <w:szCs w:val="14"/>
                <w:b w:val="1"/>
                <w:bCs w:val="1"/>
                <w:color w:val="auto"/>
              </w:rPr>
              <w:t>(23.0)</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(10.9)</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jc w:val="right"/>
              <w:ind w:right="81"/>
              <w:spacing w:after="0" w:line="149" w:lineRule="exact"/>
              <w:rPr>
                <w:sz w:val="20"/>
                <w:szCs w:val="20"/>
                <w:color w:val="auto"/>
              </w:rPr>
            </w:pPr>
            <w:r>
              <w:rPr>
                <w:rFonts w:ascii="Arial" w:cs="Arial" w:eastAsia="Arial" w:hAnsi="Arial"/>
                <w:sz w:val="14"/>
                <w:szCs w:val="14"/>
                <w:color w:val="auto"/>
              </w:rPr>
              <w:t>(180.5)</w:t>
            </w:r>
          </w:p>
        </w:tc>
      </w:tr>
      <w:tr>
        <w:trPr>
          <w:trHeight w:val="149"/>
        </w:trPr>
        <w:tc>
          <w:tcPr>
            <w:tcW w:w="20" w:type="dxa"/>
            <w:vAlign w:val="bottom"/>
          </w:tcPr>
          <w:p>
            <w:pPr>
              <w:spacing w:after="0"/>
              <w:rPr>
                <w:sz w:val="12"/>
                <w:szCs w:val="12"/>
                <w:color w:val="auto"/>
              </w:rPr>
            </w:pPr>
          </w:p>
        </w:tc>
        <w:tc>
          <w:tcPr>
            <w:tcW w:w="6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w:t>
            </w:r>
          </w:p>
        </w:tc>
        <w:tc>
          <w:tcPr>
            <w:tcW w:w="2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4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9.9</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4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264.4</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4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142.5</w:t>
            </w:r>
          </w:p>
        </w:tc>
        <w:tc>
          <w:tcPr>
            <w:tcW w:w="160" w:type="dxa"/>
            <w:vAlign w:val="bottom"/>
            <w:shd w:val="clear" w:color="auto" w:fill="CCEEFF"/>
          </w:tcPr>
          <w:p>
            <w:pPr>
              <w:spacing w:after="0"/>
              <w:rPr>
                <w:sz w:val="12"/>
                <w:szCs w:val="12"/>
                <w:color w:val="auto"/>
              </w:rPr>
            </w:pPr>
          </w:p>
        </w:tc>
      </w:tr>
      <w:tr>
        <w:trPr>
          <w:trHeight w:val="142"/>
        </w:trPr>
        <w:tc>
          <w:tcPr>
            <w:tcW w:w="6960" w:type="dxa"/>
            <w:vAlign w:val="bottom"/>
            <w:gridSpan w:val="2"/>
          </w:tcPr>
          <w:p>
            <w:pPr>
              <w:spacing w:after="0" w:line="142" w:lineRule="exact"/>
              <w:rPr>
                <w:sz w:val="20"/>
                <w:szCs w:val="20"/>
                <w:color w:val="auto"/>
              </w:rPr>
            </w:pPr>
            <w:r>
              <w:rPr>
                <w:rFonts w:ascii="Arial" w:cs="Arial" w:eastAsia="Arial" w:hAnsi="Arial"/>
                <w:sz w:val="14"/>
                <w:szCs w:val="14"/>
                <w:color w:val="auto"/>
              </w:rPr>
              <w:t>Net realized capital gains (losses)</w:t>
            </w:r>
          </w:p>
        </w:tc>
        <w:tc>
          <w:tcPr>
            <w:tcW w:w="2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5"/>
                <w:szCs w:val="5"/>
                <w:b w:val="1"/>
                <w:bCs w:val="1"/>
                <w:color w:val="auto"/>
                <w:w w:val="70"/>
              </w:rPr>
              <w:t>$</w:t>
            </w:r>
          </w:p>
        </w:tc>
        <w:tc>
          <w:tcPr>
            <w:tcW w:w="4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(225.2</w:t>
            </w:r>
          </w:p>
        </w:tc>
        <w:tc>
          <w:tcPr>
            <w:tcW w:w="80" w:type="dxa"/>
            <w:vAlign w:val="bottom"/>
          </w:tcPr>
          <w:p>
            <w:pPr>
              <w:jc w:val="right"/>
              <w:ind w:right="1"/>
              <w:spacing w:after="0"/>
              <w:rPr>
                <w:sz w:val="20"/>
                <w:szCs w:val="20"/>
                <w:color w:val="auto"/>
              </w:rPr>
            </w:pPr>
            <w:r>
              <w:rPr>
                <w:rFonts w:ascii="Arial" w:cs="Arial" w:eastAsia="Arial" w:hAnsi="Arial"/>
                <w:sz w:val="8"/>
                <w:szCs w:val="8"/>
                <w:b w:val="1"/>
                <w:bCs w:val="1"/>
                <w:color w:val="auto"/>
                <w:w w:val="73"/>
              </w:rPr>
              <w:t>)</w:t>
            </w:r>
          </w:p>
        </w:tc>
        <w:tc>
          <w:tcPr>
            <w:tcW w:w="80" w:type="dxa"/>
            <w:vAlign w:val="bottom"/>
          </w:tcPr>
          <w:p>
            <w:pPr>
              <w:spacing w:after="0"/>
              <w:rPr>
                <w:sz w:val="12"/>
                <w:szCs w:val="12"/>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114.1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(122.3</w:t>
            </w:r>
          </w:p>
        </w:tc>
        <w:tc>
          <w:tcPr>
            <w:tcW w:w="160" w:type="dxa"/>
            <w:vAlign w:val="bottom"/>
          </w:tcPr>
          <w:p>
            <w:pPr>
              <w:jc w:val="right"/>
              <w:ind w:right="81"/>
              <w:spacing w:after="0"/>
              <w:rPr>
                <w:sz w:val="20"/>
                <w:szCs w:val="20"/>
                <w:color w:val="auto"/>
              </w:rPr>
            </w:pPr>
            <w:r>
              <w:rPr>
                <w:rFonts w:ascii="Arial" w:cs="Arial" w:eastAsia="Arial" w:hAnsi="Arial"/>
                <w:sz w:val="8"/>
                <w:szCs w:val="8"/>
                <w:color w:val="auto"/>
                <w:w w:val="73"/>
              </w:rPr>
              <w:t>)</w:t>
            </w:r>
          </w:p>
        </w:tc>
      </w:tr>
      <w:tr>
        <w:trPr>
          <w:trHeight w:val="20"/>
        </w:trPr>
        <w:tc>
          <w:tcPr>
            <w:tcW w:w="20" w:type="dxa"/>
            <w:vAlign w:val="bottom"/>
          </w:tcPr>
          <w:p>
            <w:pPr>
              <w:spacing w:after="0" w:line="20" w:lineRule="exact"/>
              <w:rPr>
                <w:sz w:val="1"/>
                <w:szCs w:val="1"/>
                <w:color w:val="auto"/>
              </w:rPr>
            </w:pPr>
          </w:p>
        </w:tc>
        <w:tc>
          <w:tcPr>
            <w:tcW w:w="69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firstLine="363"/>
        <w:spacing w:after="0" w:line="268" w:lineRule="auto"/>
        <w:rPr>
          <w:sz w:val="20"/>
          <w:szCs w:val="20"/>
          <w:color w:val="auto"/>
        </w:rPr>
      </w:pPr>
      <w:r>
        <w:rPr>
          <w:rFonts w:ascii="Arial" w:cs="Arial" w:eastAsia="Arial" w:hAnsi="Arial"/>
          <w:sz w:val="18"/>
          <w:szCs w:val="18"/>
          <w:color w:val="auto"/>
        </w:rPr>
        <w:t>Proceeds from sales of investments (excluding call and maturity proceeds) in fixed maturities, available-for-sale were $1,773.0 million, $1,228.6 million and $881.7 million in 2013, 2012 and 2011, respectively.</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Other-Than-Temporary Impairments</w:t>
      </w:r>
    </w:p>
    <w:p>
      <w:pPr>
        <w:spacing w:after="0" w:line="231" w:lineRule="exact"/>
        <w:rPr>
          <w:sz w:val="20"/>
          <w:szCs w:val="20"/>
          <w:color w:val="auto"/>
        </w:rPr>
      </w:pPr>
    </w:p>
    <w:p>
      <w:pPr>
        <w:jc w:val="both"/>
        <w:ind w:firstLine="387"/>
        <w:spacing w:after="0" w:line="256" w:lineRule="auto"/>
        <w:rPr>
          <w:sz w:val="20"/>
          <w:szCs w:val="20"/>
          <w:color w:val="auto"/>
        </w:rPr>
      </w:pPr>
      <w:r>
        <w:rPr>
          <w:rFonts w:ascii="Arial" w:cs="Arial" w:eastAsia="Arial" w:hAnsi="Arial"/>
          <w:sz w:val="18"/>
          <w:szCs w:val="18"/>
          <w:color w:val="auto"/>
        </w:rPr>
        <w:t>We have a process in place to identify fixed maturity and equity securities that could potentially have a credit impairment that is other than temporary. This process involves monitoring market events that could impact issuers' credit ratings, business climate, management changes, litigation and government actions and other similar factors. This process also involves monitoring late payments, pricing levels, downgrades by rating agencies, key financial ratios, financial statements, revenue forecasts and cash flow projections as indicators of credit issues.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5" w:name="page116"/>
    <w:bookmarkEnd w:id="11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Investments — (continued)</w:t>
      </w:r>
    </w:p>
    <w:p>
      <w:pPr>
        <w:spacing w:after="0" w:line="231" w:lineRule="exact"/>
        <w:rPr>
          <w:sz w:val="20"/>
          <w:szCs w:val="20"/>
          <w:color w:val="auto"/>
        </w:rPr>
      </w:pPr>
    </w:p>
    <w:p>
      <w:pPr>
        <w:jc w:val="both"/>
        <w:ind w:firstLine="533"/>
        <w:spacing w:after="0" w:line="303" w:lineRule="auto"/>
        <w:rPr>
          <w:sz w:val="20"/>
          <w:szCs w:val="20"/>
          <w:color w:val="auto"/>
        </w:rPr>
      </w:pPr>
      <w:r>
        <w:rPr>
          <w:rFonts w:ascii="Arial" w:cs="Arial" w:eastAsia="Arial" w:hAnsi="Arial"/>
          <w:sz w:val="15"/>
          <w:szCs w:val="15"/>
          <w:color w:val="auto"/>
        </w:rPr>
        <w:t>Each reporting period, all securities are reviewed to determine whether an other-than-temporary decline in value exists and whether losses should be recognized. We consider relevant facts and circumstances in evaluating whether a credit or interest-related impairment of a security is other than temporary. Relevant facts and circumstances considered include: (1) the extent and length of time the fair value has been below cost; (2) the reasons for the decline in value;</w:t>
      </w:r>
    </w:p>
    <w:p>
      <w:pPr>
        <w:spacing w:after="0" w:line="1" w:lineRule="exact"/>
        <w:rPr>
          <w:sz w:val="20"/>
          <w:szCs w:val="20"/>
          <w:color w:val="auto"/>
        </w:rPr>
      </w:pPr>
    </w:p>
    <w:p>
      <w:pPr>
        <w:jc w:val="both"/>
        <w:ind w:firstLine="8"/>
        <w:spacing w:after="0" w:line="253" w:lineRule="auto"/>
        <w:tabs>
          <w:tab w:leader="none" w:pos="272"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financial position and access to capital of the issuer, including the current and future impact of any specific events; (4) for structured securities, the adequacy of the expected cash flows; (5) for fixed maturities, our intent to sell a security or whether it is more likely than not we will be required to sell the security before the recovery of its amortized cost which, in some cases, may extend to maturity and (6) for equity securities, our ability and intent to hold the security for a period of time that allows for the recovery in value. To the extent we determine that a security is deemed to be other than temporarily impaired, an impairment loss is recognized.</w:t>
      </w:r>
    </w:p>
    <w:p>
      <w:pPr>
        <w:spacing w:after="0" w:line="199" w:lineRule="exact"/>
        <w:rPr>
          <w:sz w:val="20"/>
          <w:szCs w:val="20"/>
          <w:color w:val="auto"/>
        </w:rPr>
      </w:pPr>
    </w:p>
    <w:p>
      <w:pPr>
        <w:jc w:val="both"/>
        <w:ind w:firstLine="409"/>
        <w:spacing w:after="0" w:line="253" w:lineRule="auto"/>
        <w:rPr>
          <w:sz w:val="20"/>
          <w:szCs w:val="20"/>
          <w:color w:val="auto"/>
        </w:rPr>
      </w:pPr>
      <w:r>
        <w:rPr>
          <w:rFonts w:ascii="Arial" w:cs="Arial" w:eastAsia="Arial" w:hAnsi="Arial"/>
          <w:sz w:val="18"/>
          <w:szCs w:val="18"/>
          <w:color w:val="auto"/>
        </w:rPr>
        <w:t>Impairment losses on equity securities are recognized in net income and are measured as the difference between amortized cost and fair value. The way in which impairment losses on fixed maturities are recognized in the financial statements is dependent on the facts and circumstances related to the specific security. If we intend to sell a security or it is more likely than not that we would be required to sell a security before the recovery of its amortized cost, we recognize an other-than-temporary impairment in net income for the difference between amortized cost and fair value. If we do not expect to recover the amortized cost basis, we do not plan to sell the security and if it is not more likely than not that we would be required to sell a security before the recovery of its amortized cost, the recognition of the other-than-temporary impairment is bifurcated. We recognize the credit loss portion in net income and the noncredit loss portion in OCI ("bifurcated OTTI").</w:t>
      </w:r>
    </w:p>
    <w:p>
      <w:pPr>
        <w:spacing w:after="0" w:line="20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Total other-than-temporary impairment losses, net of recoveries from the sale of previously impaired securities, were as follows:</w:t>
      </w:r>
    </w:p>
    <w:p>
      <w:pPr>
        <w:spacing w:after="0" w:line="20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53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80" w:type="dxa"/>
            <w:vAlign w:val="bottom"/>
            <w:gridSpan w:val="8"/>
          </w:tcPr>
          <w:p>
            <w:pPr>
              <w:jc w:val="center"/>
              <w:ind w:left="252"/>
              <w:spacing w:after="0"/>
              <w:rPr>
                <w:sz w:val="20"/>
                <w:szCs w:val="20"/>
                <w:color w:val="auto"/>
              </w:rPr>
            </w:pPr>
            <w:r>
              <w:rPr>
                <w:rFonts w:ascii="Arial" w:cs="Arial" w:eastAsia="Arial" w:hAnsi="Arial"/>
                <w:sz w:val="14"/>
                <w:szCs w:val="14"/>
                <w:b w:val="1"/>
                <w:bCs w:val="1"/>
                <w:color w:val="auto"/>
                <w:w w:val="86"/>
              </w:rPr>
              <w:t>For the year ended</w:t>
            </w:r>
          </w:p>
        </w:tc>
        <w:tc>
          <w:tcPr>
            <w:tcW w:w="4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53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85"/>
              </w:rPr>
              <w:t>December 31,</w:t>
            </w:r>
          </w:p>
        </w:tc>
        <w:tc>
          <w:tcPr>
            <w:tcW w:w="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53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89"/>
              </w:rPr>
              <w:t>2013</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jc w:val="center"/>
              <w:ind w:right="52"/>
              <w:spacing w:after="0" w:line="142" w:lineRule="exact"/>
              <w:rPr>
                <w:sz w:val="20"/>
                <w:szCs w:val="20"/>
                <w:color w:val="auto"/>
              </w:rPr>
            </w:pPr>
            <w:r>
              <w:rPr>
                <w:rFonts w:ascii="Arial" w:cs="Arial" w:eastAsia="Arial" w:hAnsi="Arial"/>
                <w:sz w:val="14"/>
                <w:szCs w:val="14"/>
                <w:b w:val="1"/>
                <w:bCs w:val="1"/>
                <w:color w:val="auto"/>
                <w:w w:val="89"/>
              </w:rPr>
              <w:t>2012</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53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gridSpan w:val="3"/>
          </w:tcPr>
          <w:p>
            <w:pPr>
              <w:jc w:val="right"/>
              <w:spacing w:after="0" w:line="142" w:lineRule="exact"/>
              <w:rPr>
                <w:sz w:val="20"/>
                <w:szCs w:val="20"/>
                <w:color w:val="auto"/>
              </w:rPr>
            </w:pPr>
            <w:r>
              <w:rPr>
                <w:rFonts w:ascii="Arial" w:cs="Arial" w:eastAsia="Arial" w:hAnsi="Arial"/>
                <w:sz w:val="14"/>
                <w:szCs w:val="14"/>
                <w:b w:val="1"/>
                <w:bCs w:val="1"/>
                <w:i w:val="1"/>
                <w:iCs w:val="1"/>
                <w:color w:val="auto"/>
                <w:w w:val="86"/>
              </w:rPr>
              <w:t>(in millions)</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4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58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b w:val="1"/>
                <w:bCs w:val="1"/>
                <w:color w:val="auto"/>
              </w:rPr>
              <w:t>$</w:t>
            </w:r>
          </w:p>
        </w:tc>
        <w:tc>
          <w:tcPr>
            <w:tcW w:w="5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(91.2)</w:t>
            </w:r>
          </w:p>
        </w:tc>
        <w:tc>
          <w:tcPr>
            <w:tcW w:w="22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(135.5)</w:t>
            </w:r>
          </w:p>
        </w:tc>
        <w:tc>
          <w:tcPr>
            <w:tcW w:w="1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(143.8)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460" w:type="dxa"/>
            <w:vAlign w:val="bottom"/>
            <w:gridSpan w:val="2"/>
          </w:tcPr>
          <w:p>
            <w:pPr>
              <w:spacing w:after="0" w:line="149" w:lineRule="exact"/>
              <w:rPr>
                <w:sz w:val="20"/>
                <w:szCs w:val="20"/>
                <w:color w:val="auto"/>
              </w:rPr>
            </w:pPr>
            <w:r>
              <w:rPr>
                <w:rFonts w:ascii="Arial" w:cs="Arial" w:eastAsia="Arial" w:hAnsi="Arial"/>
                <w:sz w:val="14"/>
                <w:szCs w:val="14"/>
                <w:color w:val="auto"/>
              </w:rPr>
              <w:t>Equity securities, available-for-sale</w:t>
            </w: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(0.3)</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(0.4)</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(3.8)</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646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w w:val="94"/>
              </w:rPr>
              <w:t>Total other-than-temporary impairment losses, net of recoveries from the sale of previously impaired securities</w:t>
            </w:r>
          </w:p>
        </w:tc>
        <w:tc>
          <w:tcPr>
            <w:tcW w:w="4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(91.5)</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80"/>
              <w:spacing w:after="0" w:line="142" w:lineRule="exact"/>
              <w:rPr>
                <w:sz w:val="20"/>
                <w:szCs w:val="20"/>
                <w:color w:val="auto"/>
              </w:rPr>
            </w:pPr>
            <w:r>
              <w:rPr>
                <w:rFonts w:ascii="Arial" w:cs="Arial" w:eastAsia="Arial" w:hAnsi="Arial"/>
                <w:sz w:val="14"/>
                <w:szCs w:val="14"/>
                <w:color w:val="auto"/>
              </w:rPr>
              <w:t>(135.9)</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(147.6)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460" w:type="dxa"/>
            <w:vAlign w:val="bottom"/>
            <w:gridSpan w:val="2"/>
          </w:tcPr>
          <w:p>
            <w:pPr>
              <w:spacing w:after="0" w:line="149" w:lineRule="exact"/>
              <w:rPr>
                <w:sz w:val="20"/>
                <w:szCs w:val="20"/>
                <w:color w:val="auto"/>
              </w:rPr>
            </w:pPr>
            <w:r>
              <w:rPr>
                <w:rFonts w:ascii="Arial" w:cs="Arial" w:eastAsia="Arial" w:hAnsi="Arial"/>
                <w:sz w:val="14"/>
                <w:szCs w:val="14"/>
                <w:color w:val="auto"/>
                <w:w w:val="97"/>
              </w:rPr>
              <w:t>Other-than-temporary impairment losses on fixed maturities, available-for-sale reclassified to (from) OCI (1)</w:t>
            </w: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(24.5)</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spacing w:after="0" w:line="149" w:lineRule="exact"/>
              <w:rPr>
                <w:sz w:val="20"/>
                <w:szCs w:val="20"/>
                <w:color w:val="auto"/>
              </w:rPr>
            </w:pPr>
            <w:r>
              <w:rPr>
                <w:rFonts w:ascii="Arial" w:cs="Arial" w:eastAsia="Arial" w:hAnsi="Arial"/>
                <w:sz w:val="14"/>
                <w:szCs w:val="14"/>
                <w:color w:val="auto"/>
              </w:rPr>
              <w:t>17.3</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(49.7)</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646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Net impairment losses on available-for-sale securities</w:t>
            </w:r>
          </w:p>
        </w:tc>
        <w:tc>
          <w:tcPr>
            <w:tcW w:w="58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b w:val="1"/>
                <w:bCs w:val="1"/>
                <w:color w:val="auto"/>
              </w:rPr>
              <w:t>$</w:t>
            </w:r>
          </w:p>
        </w:tc>
        <w:tc>
          <w:tcPr>
            <w:tcW w:w="50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(116.0)</w:t>
            </w:r>
          </w:p>
        </w:tc>
        <w:tc>
          <w:tcPr>
            <w:tcW w:w="22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80"/>
              <w:spacing w:after="0" w:line="142" w:lineRule="exact"/>
              <w:rPr>
                <w:sz w:val="20"/>
                <w:szCs w:val="20"/>
                <w:color w:val="auto"/>
              </w:rPr>
            </w:pPr>
            <w:r>
              <w:rPr>
                <w:rFonts w:ascii="Arial" w:cs="Arial" w:eastAsia="Arial" w:hAnsi="Arial"/>
                <w:sz w:val="14"/>
                <w:szCs w:val="14"/>
                <w:color w:val="auto"/>
              </w:rPr>
              <w:t>(118.6)</w:t>
            </w:r>
          </w:p>
        </w:tc>
        <w:tc>
          <w:tcPr>
            <w:tcW w:w="16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(197.3)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5340" w:type="dxa"/>
            <w:vAlign w:val="bottom"/>
          </w:tcPr>
          <w:p>
            <w:pPr>
              <w:spacing w:after="0"/>
              <w:rPr>
                <w:sz w:val="7"/>
                <w:szCs w:val="7"/>
                <w:color w:val="auto"/>
              </w:rPr>
            </w:pPr>
          </w:p>
        </w:tc>
        <w:tc>
          <w:tcPr>
            <w:tcW w:w="480" w:type="dxa"/>
            <w:vAlign w:val="bottom"/>
          </w:tcPr>
          <w:p>
            <w:pPr>
              <w:spacing w:after="0"/>
              <w:rPr>
                <w:sz w:val="7"/>
                <w:szCs w:val="7"/>
                <w:color w:val="auto"/>
              </w:rPr>
            </w:pPr>
          </w:p>
        </w:tc>
        <w:tc>
          <w:tcPr>
            <w:tcW w:w="100" w:type="dxa"/>
            <w:vAlign w:val="bottom"/>
          </w:tcPr>
          <w:p>
            <w:pPr>
              <w:spacing w:after="0"/>
              <w:rPr>
                <w:sz w:val="7"/>
                <w:szCs w:val="7"/>
                <w:color w:val="auto"/>
              </w:rPr>
            </w:pPr>
          </w:p>
        </w:tc>
        <w:tc>
          <w:tcPr>
            <w:tcW w:w="46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48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44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jc w:val="both"/>
        <w:ind w:left="1680" w:hanging="531"/>
        <w:spacing w:after="0" w:line="288" w:lineRule="auto"/>
        <w:tabs>
          <w:tab w:leader="none" w:pos="1680" w:val="left"/>
        </w:tabs>
        <w:numPr>
          <w:ilvl w:val="0"/>
          <w:numId w:val="53"/>
        </w:numPr>
        <w:rPr>
          <w:rFonts w:ascii="Arial" w:cs="Arial" w:eastAsia="Arial" w:hAnsi="Arial"/>
          <w:sz w:val="12"/>
          <w:szCs w:val="12"/>
          <w:color w:val="auto"/>
        </w:rPr>
      </w:pPr>
      <w:r>
        <w:rPr>
          <w:rFonts w:ascii="Arial" w:cs="Arial" w:eastAsia="Arial" w:hAnsi="Arial"/>
          <w:sz w:val="12"/>
          <w:szCs w:val="12"/>
          <w:color w:val="auto"/>
        </w:rPr>
        <w:t>Represents the net impact of (a) gains resulting from reclassification of noncredit impairment losses for fixed maturities with bifurcated OTTI from net realized capital gains (losses) to OCI and (b) losses resulting from reclassification of previously recognized noncredit impairment losses from OCI to net realized capital gains (losses) for fixed maturities with bifurcated OTTI that had additional credit losses or fixed maturities that previously had bifurcated OTTI that have now been sold or are intended to be sold.</w:t>
      </w:r>
    </w:p>
    <w:p>
      <w:pPr>
        <w:spacing w:after="0" w:line="167" w:lineRule="exact"/>
        <w:rPr>
          <w:sz w:val="20"/>
          <w:szCs w:val="20"/>
          <w:color w:val="auto"/>
        </w:rPr>
      </w:pPr>
    </w:p>
    <w:p>
      <w:pPr>
        <w:jc w:val="both"/>
        <w:ind w:firstLine="372"/>
        <w:spacing w:after="0" w:line="290" w:lineRule="auto"/>
        <w:rPr>
          <w:sz w:val="20"/>
          <w:szCs w:val="20"/>
          <w:color w:val="auto"/>
        </w:rPr>
      </w:pPr>
      <w:r>
        <w:rPr>
          <w:rFonts w:ascii="Arial" w:cs="Arial" w:eastAsia="Arial" w:hAnsi="Arial"/>
          <w:sz w:val="16"/>
          <w:szCs w:val="16"/>
          <w:color w:val="auto"/>
        </w:rPr>
        <w:t>We estimate the amount of the credit loss component of a fixed maturity security impairment as the difference between amortized cost and the present value of the expected cash flows of the security. The present value is determined using the best estimate cash flows discounted at the effective interest rate implicit to the security at the date of purchase or the current yield to accrete an asset-backed or floating rate security. The methodology and assumptions for establishing the best estimate cash flows vary depending on the type of security. The ABS cash flow estimates are based on security specific facts and circumstances that may include collateral characteristics, expectations of delinquency and default rates, loss severity and prepayment speeds and structural support, including subordination and guarantees. The corporate security cash flow estimates are derived from scenario-based outcomes of expected corporate restructurings or liquidations using bond specific facts and circumstances including timing, security interests and loss severity.</w:t>
      </w:r>
    </w:p>
    <w:p>
      <w:pPr>
        <w:spacing w:after="0" w:line="172" w:lineRule="exact"/>
        <w:rPr>
          <w:sz w:val="20"/>
          <w:szCs w:val="20"/>
          <w:color w:val="auto"/>
        </w:rPr>
      </w:pPr>
    </w:p>
    <w:p>
      <w:pPr>
        <w:jc w:val="both"/>
        <w:ind w:right="20" w:firstLine="470"/>
        <w:spacing w:after="0" w:line="259" w:lineRule="auto"/>
        <w:rPr>
          <w:sz w:val="20"/>
          <w:szCs w:val="20"/>
          <w:color w:val="auto"/>
        </w:rPr>
      </w:pPr>
      <w:r>
        <w:rPr>
          <w:rFonts w:ascii="Arial" w:cs="Arial" w:eastAsia="Arial" w:hAnsi="Arial"/>
          <w:sz w:val="18"/>
          <w:szCs w:val="18"/>
          <w:color w:val="auto"/>
        </w:rPr>
        <w:t>The following table provides a rollforward of accumulated credit losses for fixed maturities with bifurcated credit losses. The purpose of the table is to provide detail of (1) additions to the bifurcated credit loss amounts recognized in net realized capital gains (losses) during the period and (2) decrements for previously recognized bifurcated credit losses</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6" w:name="page117"/>
    <w:bookmarkEnd w:id="11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Investments — (continued)</w:t>
      </w:r>
    </w:p>
    <w:p>
      <w:pPr>
        <w:spacing w:after="0" w:line="231" w:lineRule="exact"/>
        <w:rPr>
          <w:sz w:val="20"/>
          <w:szCs w:val="20"/>
          <w:color w:val="auto"/>
        </w:rPr>
      </w:pPr>
    </w:p>
    <w:p>
      <w:pPr>
        <w:spacing w:after="0"/>
        <w:rPr>
          <w:sz w:val="20"/>
          <w:szCs w:val="20"/>
          <w:color w:val="auto"/>
        </w:rPr>
      </w:pPr>
      <w:r>
        <w:rPr>
          <w:rFonts w:ascii="Arial" w:cs="Arial" w:eastAsia="Arial" w:hAnsi="Arial"/>
          <w:sz w:val="16"/>
          <w:szCs w:val="16"/>
          <w:color w:val="auto"/>
        </w:rPr>
        <w:t>where the loss is no longer bifurcated and/or there has been a positive change in expected cash flows or accretion of the bifurcated credit loss amount.</w:t>
      </w:r>
    </w:p>
    <w:p>
      <w:pPr>
        <w:spacing w:after="0" w:line="23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80" w:type="dxa"/>
            <w:vAlign w:val="bottom"/>
            <w:gridSpan w:val="8"/>
          </w:tcPr>
          <w:p>
            <w:pPr>
              <w:jc w:val="center"/>
              <w:ind w:left="252"/>
              <w:spacing w:after="0"/>
              <w:rPr>
                <w:sz w:val="20"/>
                <w:szCs w:val="20"/>
                <w:color w:val="auto"/>
              </w:rPr>
            </w:pPr>
            <w:r>
              <w:rPr>
                <w:rFonts w:ascii="Arial" w:cs="Arial" w:eastAsia="Arial" w:hAnsi="Arial"/>
                <w:sz w:val="14"/>
                <w:szCs w:val="14"/>
                <w:b w:val="1"/>
                <w:bCs w:val="1"/>
                <w:color w:val="auto"/>
                <w:w w:val="86"/>
              </w:rPr>
              <w:t>For the year ended</w:t>
            </w:r>
          </w:p>
        </w:tc>
        <w:tc>
          <w:tcPr>
            <w:tcW w:w="44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61"/>
        </w:trPr>
        <w:tc>
          <w:tcPr>
            <w:tcW w:w="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85"/>
              </w:rPr>
              <w:t>December 31,</w:t>
            </w:r>
          </w:p>
        </w:tc>
        <w:tc>
          <w:tcPr>
            <w:tcW w:w="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3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89"/>
              </w:rPr>
              <w:t>2013</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jc w:val="center"/>
              <w:ind w:right="52"/>
              <w:spacing w:after="0" w:line="142" w:lineRule="exact"/>
              <w:rPr>
                <w:sz w:val="20"/>
                <w:szCs w:val="20"/>
                <w:color w:val="auto"/>
              </w:rPr>
            </w:pPr>
            <w:r>
              <w:rPr>
                <w:rFonts w:ascii="Arial" w:cs="Arial" w:eastAsia="Arial" w:hAnsi="Arial"/>
                <w:sz w:val="14"/>
                <w:szCs w:val="14"/>
                <w:b w:val="1"/>
                <w:bCs w:val="1"/>
                <w:color w:val="auto"/>
                <w:w w:val="89"/>
              </w:rPr>
              <w:t>2012</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3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gridSpan w:val="3"/>
          </w:tcPr>
          <w:p>
            <w:pPr>
              <w:jc w:val="right"/>
              <w:spacing w:after="0" w:line="142" w:lineRule="exact"/>
              <w:rPr>
                <w:sz w:val="20"/>
                <w:szCs w:val="20"/>
                <w:color w:val="auto"/>
              </w:rPr>
            </w:pPr>
            <w:r>
              <w:rPr>
                <w:rFonts w:ascii="Arial" w:cs="Arial" w:eastAsia="Arial" w:hAnsi="Arial"/>
                <w:sz w:val="14"/>
                <w:szCs w:val="14"/>
                <w:b w:val="1"/>
                <w:bCs w:val="1"/>
                <w:i w:val="1"/>
                <w:iCs w:val="1"/>
                <w:color w:val="auto"/>
                <w:w w:val="86"/>
              </w:rPr>
              <w:t>(in millions)</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50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Beginning balance</w:t>
            </w:r>
          </w:p>
        </w:tc>
        <w:tc>
          <w:tcPr>
            <w:tcW w:w="5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(335.2)</w:t>
            </w:r>
          </w:p>
        </w:tc>
        <w:tc>
          <w:tcPr>
            <w:tcW w:w="2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41"/>
              <w:spacing w:after="0" w:line="149" w:lineRule="exact"/>
              <w:rPr>
                <w:sz w:val="20"/>
                <w:szCs w:val="20"/>
                <w:color w:val="auto"/>
              </w:rPr>
            </w:pPr>
            <w:r>
              <w:rPr>
                <w:rFonts w:ascii="Arial" w:cs="Arial" w:eastAsia="Arial" w:hAnsi="Arial"/>
                <w:sz w:val="14"/>
                <w:szCs w:val="14"/>
                <w:color w:val="auto"/>
              </w:rPr>
              <w:t>(434.8)</w:t>
            </w:r>
          </w:p>
        </w:tc>
        <w:tc>
          <w:tcPr>
            <w:tcW w:w="16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81"/>
              <w:spacing w:after="0" w:line="149" w:lineRule="exact"/>
              <w:rPr>
                <w:sz w:val="20"/>
                <w:szCs w:val="20"/>
                <w:color w:val="auto"/>
              </w:rPr>
            </w:pPr>
            <w:r>
              <w:rPr>
                <w:rFonts w:ascii="Arial" w:cs="Arial" w:eastAsia="Arial" w:hAnsi="Arial"/>
                <w:sz w:val="14"/>
                <w:szCs w:val="14"/>
                <w:color w:val="auto"/>
              </w:rPr>
              <w:t>(325.7)</w:t>
            </w:r>
          </w:p>
        </w:tc>
      </w:tr>
      <w:tr>
        <w:trPr>
          <w:trHeight w:val="149"/>
        </w:trPr>
        <w:tc>
          <w:tcPr>
            <w:tcW w:w="20" w:type="dxa"/>
            <w:vAlign w:val="bottom"/>
          </w:tcPr>
          <w:p>
            <w:pPr>
              <w:spacing w:after="0"/>
              <w:rPr>
                <w:sz w:val="12"/>
                <w:szCs w:val="12"/>
                <w:color w:val="auto"/>
              </w:rPr>
            </w:pPr>
          </w:p>
        </w:tc>
        <w:tc>
          <w:tcPr>
            <w:tcW w:w="6500" w:type="dxa"/>
            <w:vAlign w:val="bottom"/>
            <w:gridSpan w:val="3"/>
          </w:tcPr>
          <w:p>
            <w:pPr>
              <w:spacing w:after="0" w:line="149" w:lineRule="exact"/>
              <w:rPr>
                <w:sz w:val="20"/>
                <w:szCs w:val="20"/>
                <w:color w:val="auto"/>
              </w:rPr>
            </w:pPr>
            <w:r>
              <w:rPr>
                <w:rFonts w:ascii="Arial" w:cs="Arial" w:eastAsia="Arial" w:hAnsi="Arial"/>
                <w:sz w:val="14"/>
                <w:szCs w:val="14"/>
                <w:color w:val="auto"/>
              </w:rPr>
              <w:t>Credit losses for which an other-than-temporary impairment was not previously recognized</w:t>
            </w: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(15.1)</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gridSpan w:val="2"/>
          </w:tcPr>
          <w:p>
            <w:pPr>
              <w:jc w:val="right"/>
              <w:ind w:right="41"/>
              <w:spacing w:after="0" w:line="149" w:lineRule="exact"/>
              <w:rPr>
                <w:sz w:val="20"/>
                <w:szCs w:val="20"/>
                <w:color w:val="auto"/>
              </w:rPr>
            </w:pPr>
            <w:r>
              <w:rPr>
                <w:rFonts w:ascii="Arial" w:cs="Arial" w:eastAsia="Arial" w:hAnsi="Arial"/>
                <w:sz w:val="14"/>
                <w:szCs w:val="14"/>
                <w:color w:val="auto"/>
              </w:rPr>
              <w:t>(20.7)</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81"/>
              <w:spacing w:after="0" w:line="149" w:lineRule="exact"/>
              <w:rPr>
                <w:sz w:val="20"/>
                <w:szCs w:val="20"/>
                <w:color w:val="auto"/>
              </w:rPr>
            </w:pPr>
            <w:r>
              <w:rPr>
                <w:rFonts w:ascii="Arial" w:cs="Arial" w:eastAsia="Arial" w:hAnsi="Arial"/>
                <w:sz w:val="14"/>
                <w:szCs w:val="14"/>
                <w:color w:val="auto"/>
              </w:rPr>
              <w:t>(37.8)</w:t>
            </w:r>
          </w:p>
        </w:tc>
      </w:tr>
      <w:tr>
        <w:trPr>
          <w:trHeight w:val="149"/>
        </w:trPr>
        <w:tc>
          <w:tcPr>
            <w:tcW w:w="20" w:type="dxa"/>
            <w:vAlign w:val="bottom"/>
          </w:tcPr>
          <w:p>
            <w:pPr>
              <w:spacing w:after="0"/>
              <w:rPr>
                <w:sz w:val="12"/>
                <w:szCs w:val="12"/>
                <w:color w:val="auto"/>
              </w:rPr>
            </w:pPr>
          </w:p>
        </w:tc>
        <w:tc>
          <w:tcPr>
            <w:tcW w:w="650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Credit losses for which an other-than-temporary impairment was previously recognized</w:t>
            </w: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(75.9)</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41"/>
              <w:spacing w:after="0" w:line="149" w:lineRule="exact"/>
              <w:rPr>
                <w:sz w:val="20"/>
                <w:szCs w:val="20"/>
                <w:color w:val="auto"/>
              </w:rPr>
            </w:pPr>
            <w:r>
              <w:rPr>
                <w:rFonts w:ascii="Arial" w:cs="Arial" w:eastAsia="Arial" w:hAnsi="Arial"/>
                <w:sz w:val="14"/>
                <w:szCs w:val="14"/>
                <w:color w:val="auto"/>
              </w:rPr>
              <w:t>(80.0)</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81"/>
              <w:spacing w:after="0" w:line="149" w:lineRule="exact"/>
              <w:rPr>
                <w:sz w:val="20"/>
                <w:szCs w:val="20"/>
                <w:color w:val="auto"/>
              </w:rPr>
            </w:pPr>
            <w:r>
              <w:rPr>
                <w:rFonts w:ascii="Arial" w:cs="Arial" w:eastAsia="Arial" w:hAnsi="Arial"/>
                <w:sz w:val="14"/>
                <w:szCs w:val="14"/>
                <w:color w:val="auto"/>
              </w:rPr>
              <w:t>(135.6)</w:t>
            </w:r>
          </w:p>
        </w:tc>
      </w:tr>
      <w:tr>
        <w:trPr>
          <w:trHeight w:val="149"/>
        </w:trPr>
        <w:tc>
          <w:tcPr>
            <w:tcW w:w="20" w:type="dxa"/>
            <w:vAlign w:val="bottom"/>
          </w:tcPr>
          <w:p>
            <w:pPr>
              <w:spacing w:after="0"/>
              <w:rPr>
                <w:sz w:val="12"/>
                <w:szCs w:val="12"/>
                <w:color w:val="auto"/>
              </w:rPr>
            </w:pPr>
          </w:p>
        </w:tc>
        <w:tc>
          <w:tcPr>
            <w:tcW w:w="6500" w:type="dxa"/>
            <w:vAlign w:val="bottom"/>
            <w:gridSpan w:val="3"/>
          </w:tcPr>
          <w:p>
            <w:pPr>
              <w:spacing w:after="0" w:line="149" w:lineRule="exact"/>
              <w:rPr>
                <w:sz w:val="20"/>
                <w:szCs w:val="20"/>
                <w:color w:val="auto"/>
              </w:rPr>
            </w:pPr>
            <w:r>
              <w:rPr>
                <w:rFonts w:ascii="Arial" w:cs="Arial" w:eastAsia="Arial" w:hAnsi="Arial"/>
                <w:sz w:val="14"/>
                <w:szCs w:val="14"/>
                <w:color w:val="auto"/>
                <w:w w:val="93"/>
              </w:rPr>
              <w:t>Reduction for credit losses previously recognized on fixed maturities now sold, paid down or intended to be sold</w:t>
            </w: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177.6</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spacing w:after="0" w:line="149" w:lineRule="exact"/>
              <w:rPr>
                <w:sz w:val="20"/>
                <w:szCs w:val="20"/>
                <w:color w:val="auto"/>
              </w:rPr>
            </w:pPr>
            <w:r>
              <w:rPr>
                <w:rFonts w:ascii="Arial" w:cs="Arial" w:eastAsia="Arial" w:hAnsi="Arial"/>
                <w:sz w:val="14"/>
                <w:szCs w:val="14"/>
                <w:color w:val="auto"/>
              </w:rPr>
              <w:t>191.9</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jc w:val="right"/>
              <w:spacing w:after="0" w:line="149" w:lineRule="exact"/>
              <w:rPr>
                <w:sz w:val="20"/>
                <w:szCs w:val="20"/>
                <w:color w:val="auto"/>
              </w:rPr>
            </w:pPr>
            <w:r>
              <w:rPr>
                <w:rFonts w:ascii="Arial" w:cs="Arial" w:eastAsia="Arial" w:hAnsi="Arial"/>
                <w:sz w:val="14"/>
                <w:szCs w:val="14"/>
                <w:color w:val="auto"/>
              </w:rPr>
              <w:t>68.2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50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Net reduction (increase) for positive changes in cash flows expected to be collected and amortization (1)</w:t>
            </w: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12.6</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8.4</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81"/>
              <w:spacing w:after="0" w:line="149" w:lineRule="exact"/>
              <w:rPr>
                <w:sz w:val="20"/>
                <w:szCs w:val="20"/>
                <w:color w:val="auto"/>
              </w:rPr>
            </w:pPr>
            <w:r>
              <w:rPr>
                <w:rFonts w:ascii="Arial" w:cs="Arial" w:eastAsia="Arial" w:hAnsi="Arial"/>
                <w:sz w:val="14"/>
                <w:szCs w:val="14"/>
                <w:color w:val="auto"/>
              </w:rPr>
              <w:t>(3.9)</w:t>
            </w:r>
          </w:p>
        </w:tc>
      </w:tr>
      <w:tr>
        <w:trPr>
          <w:trHeight w:val="142"/>
        </w:trPr>
        <w:tc>
          <w:tcPr>
            <w:tcW w:w="6520" w:type="dxa"/>
            <w:vAlign w:val="bottom"/>
            <w:gridSpan w:val="4"/>
          </w:tcPr>
          <w:p>
            <w:pPr>
              <w:spacing w:after="0" w:line="142" w:lineRule="exact"/>
              <w:rPr>
                <w:sz w:val="20"/>
                <w:szCs w:val="20"/>
                <w:color w:val="auto"/>
              </w:rPr>
            </w:pPr>
            <w:r>
              <w:rPr>
                <w:rFonts w:ascii="Arial" w:cs="Arial" w:eastAsia="Arial" w:hAnsi="Arial"/>
                <w:sz w:val="14"/>
                <w:szCs w:val="14"/>
                <w:color w:val="auto"/>
              </w:rPr>
              <w:t>Ending balance</w:t>
            </w:r>
          </w:p>
        </w:tc>
        <w:tc>
          <w:tcPr>
            <w:tcW w:w="44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(236.0</w:t>
            </w:r>
          </w:p>
        </w:tc>
        <w:tc>
          <w:tcPr>
            <w:tcW w:w="40" w:type="dxa"/>
            <w:vAlign w:val="bottom"/>
          </w:tcPr>
          <w:p>
            <w:pPr>
              <w:jc w:val="right"/>
              <w:spacing w:after="0"/>
              <w:rPr>
                <w:sz w:val="20"/>
                <w:szCs w:val="20"/>
                <w:color w:val="auto"/>
              </w:rPr>
            </w:pPr>
            <w:r>
              <w:rPr>
                <w:rFonts w:ascii="Arial" w:cs="Arial" w:eastAsia="Arial" w:hAnsi="Arial"/>
                <w:sz w:val="8"/>
                <w:szCs w:val="8"/>
                <w:b w:val="1"/>
                <w:bCs w:val="1"/>
                <w:color w:val="auto"/>
                <w:w w:val="73"/>
              </w:rPr>
              <w:t>)</w:t>
            </w:r>
          </w:p>
        </w:tc>
        <w:tc>
          <w:tcPr>
            <w:tcW w:w="12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(335.2</w:t>
            </w:r>
          </w:p>
        </w:tc>
        <w:tc>
          <w:tcPr>
            <w:tcW w:w="120" w:type="dxa"/>
            <w:vAlign w:val="bottom"/>
          </w:tcPr>
          <w:p>
            <w:pPr>
              <w:jc w:val="right"/>
              <w:ind w:right="41"/>
              <w:spacing w:after="0"/>
              <w:rPr>
                <w:sz w:val="20"/>
                <w:szCs w:val="20"/>
                <w:color w:val="auto"/>
              </w:rPr>
            </w:pPr>
            <w:r>
              <w:rPr>
                <w:rFonts w:ascii="Arial" w:cs="Arial" w:eastAsia="Arial" w:hAnsi="Arial"/>
                <w:sz w:val="8"/>
                <w:szCs w:val="8"/>
                <w:color w:val="auto"/>
                <w:w w:val="73"/>
              </w:rPr>
              <w:t>)</w:t>
            </w:r>
          </w:p>
        </w:tc>
        <w:tc>
          <w:tcPr>
            <w:tcW w:w="4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4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(434.8</w:t>
            </w:r>
          </w:p>
        </w:tc>
        <w:tc>
          <w:tcPr>
            <w:tcW w:w="160" w:type="dxa"/>
            <w:vAlign w:val="bottom"/>
          </w:tcPr>
          <w:p>
            <w:pPr>
              <w:jc w:val="right"/>
              <w:ind w:right="81"/>
              <w:spacing w:after="0"/>
              <w:rPr>
                <w:sz w:val="20"/>
                <w:szCs w:val="20"/>
                <w:color w:val="auto"/>
              </w:rPr>
            </w:pPr>
            <w:r>
              <w:rPr>
                <w:rFonts w:ascii="Arial" w:cs="Arial" w:eastAsia="Arial" w:hAnsi="Arial"/>
                <w:sz w:val="8"/>
                <w:szCs w:val="8"/>
                <w:color w:val="auto"/>
                <w:w w:val="73"/>
              </w:rPr>
              <w:t>)</w:t>
            </w:r>
          </w:p>
        </w:tc>
      </w:tr>
      <w:tr>
        <w:trPr>
          <w:trHeight w:val="20"/>
        </w:trPr>
        <w:tc>
          <w:tcPr>
            <w:tcW w:w="36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53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340" w:type="dxa"/>
            <w:vAlign w:val="bottom"/>
            <w:tcBorders>
              <w:bottom w:val="single" w:sz="8" w:color="auto"/>
            </w:tcBorders>
          </w:tcPr>
          <w:p>
            <w:pPr>
              <w:spacing w:after="0"/>
              <w:rPr>
                <w:sz w:val="7"/>
                <w:szCs w:val="7"/>
                <w:color w:val="auto"/>
              </w:rPr>
            </w:pPr>
          </w:p>
        </w:tc>
        <w:tc>
          <w:tcPr>
            <w:tcW w:w="780" w:type="dxa"/>
            <w:vAlign w:val="bottom"/>
            <w:tcBorders>
              <w:bottom w:val="single" w:sz="8" w:color="auto"/>
            </w:tcBorders>
          </w:tcPr>
          <w:p>
            <w:pPr>
              <w:spacing w:after="0"/>
              <w:rPr>
                <w:sz w:val="7"/>
                <w:szCs w:val="7"/>
                <w:color w:val="auto"/>
              </w:rPr>
            </w:pPr>
          </w:p>
        </w:tc>
        <w:tc>
          <w:tcPr>
            <w:tcW w:w="5380" w:type="dxa"/>
            <w:vAlign w:val="bottom"/>
          </w:tcPr>
          <w:p>
            <w:pPr>
              <w:spacing w:after="0"/>
              <w:rPr>
                <w:sz w:val="7"/>
                <w:szCs w:val="7"/>
                <w:color w:val="auto"/>
              </w:rPr>
            </w:pPr>
          </w:p>
        </w:tc>
        <w:tc>
          <w:tcPr>
            <w:tcW w:w="440" w:type="dxa"/>
            <w:vAlign w:val="bottom"/>
          </w:tcPr>
          <w:p>
            <w:pPr>
              <w:spacing w:after="0"/>
              <w:rPr>
                <w:sz w:val="7"/>
                <w:szCs w:val="7"/>
                <w:color w:val="auto"/>
              </w:rPr>
            </w:pPr>
          </w:p>
        </w:tc>
        <w:tc>
          <w:tcPr>
            <w:tcW w:w="100" w:type="dxa"/>
            <w:vAlign w:val="bottom"/>
          </w:tcPr>
          <w:p>
            <w:pPr>
              <w:spacing w:after="0"/>
              <w:rPr>
                <w:sz w:val="7"/>
                <w:szCs w:val="7"/>
                <w:color w:val="auto"/>
              </w:rPr>
            </w:pPr>
          </w:p>
        </w:tc>
        <w:tc>
          <w:tcPr>
            <w:tcW w:w="46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48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440" w:type="dxa"/>
            <w:vAlign w:val="bottom"/>
          </w:tcPr>
          <w:p>
            <w:pPr>
              <w:spacing w:after="0"/>
              <w:rPr>
                <w:sz w:val="7"/>
                <w:szCs w:val="7"/>
                <w:color w:val="auto"/>
              </w:rPr>
            </w:pPr>
          </w:p>
        </w:tc>
        <w:tc>
          <w:tcPr>
            <w:tcW w:w="160" w:type="dxa"/>
            <w:vAlign w:val="bottom"/>
          </w:tcPr>
          <w:p>
            <w:pPr>
              <w:spacing w:after="0"/>
              <w:rPr>
                <w:sz w:val="7"/>
                <w:szCs w:val="7"/>
                <w:color w:val="auto"/>
              </w:rPr>
            </w:pPr>
          </w:p>
        </w:tc>
      </w:tr>
      <w:tr>
        <w:trPr>
          <w:trHeight w:val="371"/>
        </w:trPr>
        <w:tc>
          <w:tcPr>
            <w:tcW w:w="360" w:type="dxa"/>
            <w:vAlign w:val="bottom"/>
            <w:gridSpan w:val="2"/>
          </w:tcPr>
          <w:p>
            <w:pPr>
              <w:spacing w:after="0"/>
              <w:rPr>
                <w:sz w:val="20"/>
                <w:szCs w:val="20"/>
                <w:color w:val="auto"/>
              </w:rPr>
            </w:pPr>
            <w:r>
              <w:rPr>
                <w:rFonts w:ascii="Arial" w:cs="Arial" w:eastAsia="Arial" w:hAnsi="Arial"/>
                <w:sz w:val="14"/>
                <w:szCs w:val="14"/>
                <w:color w:val="auto"/>
              </w:rPr>
              <w:t>(1)</w:t>
            </w:r>
          </w:p>
        </w:tc>
        <w:tc>
          <w:tcPr>
            <w:tcW w:w="6160" w:type="dxa"/>
            <w:vAlign w:val="bottom"/>
            <w:gridSpan w:val="2"/>
          </w:tcPr>
          <w:p>
            <w:pPr>
              <w:ind w:left="180"/>
              <w:spacing w:after="0"/>
              <w:rPr>
                <w:sz w:val="20"/>
                <w:szCs w:val="20"/>
                <w:color w:val="auto"/>
              </w:rPr>
            </w:pPr>
            <w:r>
              <w:rPr>
                <w:rFonts w:ascii="Arial" w:cs="Arial" w:eastAsia="Arial" w:hAnsi="Arial"/>
                <w:sz w:val="14"/>
                <w:szCs w:val="14"/>
                <w:color w:val="auto"/>
              </w:rPr>
              <w:t>Amounts are recognized in net investment income.</w:t>
            </w: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60" w:type="dxa"/>
            <w:vAlign w:val="bottom"/>
          </w:tcPr>
          <w:p>
            <w:pPr>
              <w:spacing w:after="0"/>
              <w:rPr>
                <w:sz w:val="24"/>
                <w:szCs w:val="24"/>
                <w:color w:val="auto"/>
              </w:rPr>
            </w:pPr>
          </w:p>
        </w:tc>
      </w:tr>
    </w:tbl>
    <w:p>
      <w:pPr>
        <w:spacing w:after="0" w:line="3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Gross Unrealized Losses for Fixed Maturities and Equity Securities</w:t>
      </w:r>
    </w:p>
    <w:p>
      <w:pPr>
        <w:spacing w:after="0" w:line="231" w:lineRule="exact"/>
        <w:rPr>
          <w:sz w:val="20"/>
          <w:szCs w:val="20"/>
          <w:color w:val="auto"/>
        </w:rPr>
      </w:pPr>
    </w:p>
    <w:p>
      <w:pPr>
        <w:jc w:val="both"/>
        <w:ind w:firstLine="429"/>
        <w:spacing w:after="0" w:line="259" w:lineRule="auto"/>
        <w:rPr>
          <w:sz w:val="20"/>
          <w:szCs w:val="20"/>
          <w:color w:val="auto"/>
        </w:rPr>
      </w:pPr>
      <w:r>
        <w:rPr>
          <w:rFonts w:ascii="Arial" w:cs="Arial" w:eastAsia="Arial" w:hAnsi="Arial"/>
          <w:sz w:val="18"/>
          <w:szCs w:val="18"/>
          <w:color w:val="auto"/>
        </w:rPr>
        <w:t>For fixed maturities and equity securities available-for-sale with unrealized losses, including other-than-temporary impairment losses reported in OCI, the gross unrealized losses and fair value, aggregated by investment category and length of time that individual securities have been in a continuous unrealized loss position are summarized as follows:</w:t>
      </w:r>
    </w:p>
    <w:p>
      <w:pPr>
        <w:spacing w:after="0" w:line="190"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5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gridSpan w:val="4"/>
          </w:tcPr>
          <w:p>
            <w:pPr>
              <w:jc w:val="right"/>
              <w:ind w:right="132"/>
              <w:spacing w:after="0"/>
              <w:rPr>
                <w:sz w:val="20"/>
                <w:szCs w:val="20"/>
                <w:color w:val="auto"/>
              </w:rPr>
            </w:pPr>
            <w:r>
              <w:rPr>
                <w:rFonts w:ascii="Arial" w:cs="Arial" w:eastAsia="Arial" w:hAnsi="Arial"/>
                <w:sz w:val="14"/>
                <w:szCs w:val="14"/>
                <w:b w:val="1"/>
                <w:bCs w:val="1"/>
                <w:color w:val="auto"/>
                <w:w w:val="96"/>
              </w:rPr>
              <w:t>December 31, 2013</w:t>
            </w:r>
          </w:p>
        </w:tc>
        <w:tc>
          <w:tcPr>
            <w:tcW w:w="1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35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40" w:type="dxa"/>
            <w:vAlign w:val="bottom"/>
            <w:gridSpan w:val="4"/>
          </w:tcPr>
          <w:p>
            <w:pPr>
              <w:jc w:val="center"/>
              <w:ind w:right="52"/>
              <w:spacing w:after="0" w:line="129" w:lineRule="exact"/>
              <w:rPr>
                <w:sz w:val="20"/>
                <w:szCs w:val="20"/>
                <w:color w:val="auto"/>
              </w:rPr>
            </w:pPr>
            <w:r>
              <w:rPr>
                <w:rFonts w:ascii="Arial" w:cs="Arial" w:eastAsia="Arial" w:hAnsi="Arial"/>
                <w:sz w:val="14"/>
                <w:szCs w:val="14"/>
                <w:b w:val="1"/>
                <w:bCs w:val="1"/>
                <w:color w:val="auto"/>
                <w:w w:val="90"/>
              </w:rPr>
              <w:t>Greater than or</w:t>
            </w: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40" w:type="dxa"/>
            <w:vAlign w:val="bottom"/>
            <w:gridSpan w:val="4"/>
          </w:tcPr>
          <w:p>
            <w:pPr>
              <w:jc w:val="right"/>
              <w:ind w:right="232"/>
              <w:spacing w:after="0" w:line="149" w:lineRule="exact"/>
              <w:rPr>
                <w:sz w:val="20"/>
                <w:szCs w:val="20"/>
                <w:color w:val="auto"/>
              </w:rPr>
            </w:pPr>
            <w:r>
              <w:rPr>
                <w:rFonts w:ascii="Arial" w:cs="Arial" w:eastAsia="Arial" w:hAnsi="Arial"/>
                <w:sz w:val="14"/>
                <w:szCs w:val="14"/>
                <w:b w:val="1"/>
                <w:bCs w:val="1"/>
                <w:color w:val="auto"/>
                <w:w w:val="99"/>
              </w:rPr>
              <w:t>Less than twelve</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40" w:type="dxa"/>
            <w:vAlign w:val="bottom"/>
            <w:gridSpan w:val="4"/>
          </w:tcPr>
          <w:p>
            <w:pPr>
              <w:jc w:val="center"/>
              <w:ind w:right="72"/>
              <w:spacing w:after="0" w:line="149" w:lineRule="exact"/>
              <w:rPr>
                <w:sz w:val="20"/>
                <w:szCs w:val="20"/>
                <w:color w:val="auto"/>
              </w:rPr>
            </w:pPr>
            <w:r>
              <w:rPr>
                <w:rFonts w:ascii="Arial" w:cs="Arial" w:eastAsia="Arial" w:hAnsi="Arial"/>
                <w:sz w:val="14"/>
                <w:szCs w:val="14"/>
                <w:b w:val="1"/>
                <w:bCs w:val="1"/>
                <w:color w:val="auto"/>
                <w:w w:val="85"/>
              </w:rPr>
              <w:t>equal to twelve</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61"/>
        </w:trPr>
        <w:tc>
          <w:tcPr>
            <w:tcW w:w="20" w:type="dxa"/>
            <w:vAlign w:val="bottom"/>
          </w:tcPr>
          <w:p>
            <w:pPr>
              <w:spacing w:after="0"/>
              <w:rPr>
                <w:sz w:val="14"/>
                <w:szCs w:val="14"/>
                <w:color w:val="auto"/>
              </w:rPr>
            </w:pPr>
          </w:p>
        </w:tc>
        <w:tc>
          <w:tcPr>
            <w:tcW w:w="35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40" w:type="dxa"/>
            <w:vAlign w:val="bottom"/>
            <w:gridSpan w:val="4"/>
          </w:tcPr>
          <w:p>
            <w:pPr>
              <w:jc w:val="right"/>
              <w:ind w:right="492"/>
              <w:spacing w:after="0"/>
              <w:rPr>
                <w:sz w:val="20"/>
                <w:szCs w:val="20"/>
                <w:color w:val="auto"/>
              </w:rPr>
            </w:pPr>
            <w:r>
              <w:rPr>
                <w:rFonts w:ascii="Arial" w:cs="Arial" w:eastAsia="Arial" w:hAnsi="Arial"/>
                <w:sz w:val="14"/>
                <w:szCs w:val="14"/>
                <w:b w:val="1"/>
                <w:bCs w:val="1"/>
                <w:color w:val="auto"/>
              </w:rPr>
              <w:t>months</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40" w:type="dxa"/>
            <w:vAlign w:val="bottom"/>
            <w:gridSpan w:val="4"/>
          </w:tcPr>
          <w:p>
            <w:pPr>
              <w:jc w:val="center"/>
              <w:ind w:right="52"/>
              <w:spacing w:after="0"/>
              <w:rPr>
                <w:sz w:val="20"/>
                <w:szCs w:val="20"/>
                <w:color w:val="auto"/>
              </w:rPr>
            </w:pPr>
            <w:r>
              <w:rPr>
                <w:rFonts w:ascii="Arial" w:cs="Arial" w:eastAsia="Arial" w:hAnsi="Arial"/>
                <w:sz w:val="14"/>
                <w:szCs w:val="14"/>
                <w:b w:val="1"/>
                <w:bCs w:val="1"/>
                <w:color w:val="auto"/>
                <w:w w:val="86"/>
              </w:rPr>
              <w:t>months</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40" w:type="dxa"/>
            <w:vAlign w:val="bottom"/>
            <w:gridSpan w:val="5"/>
          </w:tcPr>
          <w:p>
            <w:pPr>
              <w:ind w:left="520"/>
              <w:spacing w:after="0"/>
              <w:rPr>
                <w:sz w:val="20"/>
                <w:szCs w:val="20"/>
                <w:color w:val="auto"/>
              </w:rPr>
            </w:pPr>
            <w:r>
              <w:rPr>
                <w:rFonts w:ascii="Arial" w:cs="Arial" w:eastAsia="Arial" w:hAnsi="Arial"/>
                <w:sz w:val="14"/>
                <w:szCs w:val="14"/>
                <w:b w:val="1"/>
                <w:bCs w:val="1"/>
                <w:color w:val="auto"/>
              </w:rPr>
              <w:t>Total</w:t>
            </w:r>
          </w:p>
        </w:tc>
      </w:tr>
      <w:tr>
        <w:trPr>
          <w:trHeight w:val="129"/>
        </w:trPr>
        <w:tc>
          <w:tcPr>
            <w:tcW w:w="20" w:type="dxa"/>
            <w:vAlign w:val="bottom"/>
          </w:tcPr>
          <w:p>
            <w:pPr>
              <w:spacing w:after="0"/>
              <w:rPr>
                <w:sz w:val="11"/>
                <w:szCs w:val="11"/>
                <w:color w:val="auto"/>
              </w:rPr>
            </w:pPr>
          </w:p>
        </w:tc>
        <w:tc>
          <w:tcPr>
            <w:tcW w:w="35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52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700" w:type="dxa"/>
            <w:vAlign w:val="bottom"/>
            <w:tcBorders>
              <w:top w:val="single" w:sz="8" w:color="auto"/>
            </w:tcBorders>
          </w:tcPr>
          <w:p>
            <w:pPr>
              <w:jc w:val="center"/>
              <w:ind w:right="12"/>
              <w:spacing w:after="0" w:line="129" w:lineRule="exact"/>
              <w:rPr>
                <w:sz w:val="20"/>
                <w:szCs w:val="20"/>
                <w:color w:val="auto"/>
              </w:rPr>
            </w:pPr>
            <w:r>
              <w:rPr>
                <w:rFonts w:ascii="Arial" w:cs="Arial" w:eastAsia="Arial" w:hAnsi="Arial"/>
                <w:sz w:val="14"/>
                <w:szCs w:val="14"/>
                <w:b w:val="1"/>
                <w:bCs w:val="1"/>
                <w:color w:val="auto"/>
                <w:w w:val="83"/>
              </w:rPr>
              <w:t>Gross</w:t>
            </w:r>
          </w:p>
        </w:tc>
        <w:tc>
          <w:tcPr>
            <w:tcW w:w="16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52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700" w:type="dxa"/>
            <w:vAlign w:val="bottom"/>
            <w:tcBorders>
              <w:top w:val="single" w:sz="8" w:color="auto"/>
            </w:tcBorders>
          </w:tcPr>
          <w:p>
            <w:pPr>
              <w:jc w:val="center"/>
              <w:ind w:right="12"/>
              <w:spacing w:after="0" w:line="129" w:lineRule="exact"/>
              <w:rPr>
                <w:sz w:val="20"/>
                <w:szCs w:val="20"/>
                <w:color w:val="auto"/>
              </w:rPr>
            </w:pPr>
            <w:r>
              <w:rPr>
                <w:rFonts w:ascii="Arial" w:cs="Arial" w:eastAsia="Arial" w:hAnsi="Arial"/>
                <w:sz w:val="14"/>
                <w:szCs w:val="14"/>
                <w:b w:val="1"/>
                <w:bCs w:val="1"/>
                <w:color w:val="auto"/>
                <w:w w:val="83"/>
              </w:rPr>
              <w:t>Gross</w:t>
            </w: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5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jc w:val="center"/>
              <w:ind w:right="12"/>
              <w:spacing w:after="0" w:line="129" w:lineRule="exact"/>
              <w:rPr>
                <w:sz w:val="20"/>
                <w:szCs w:val="20"/>
                <w:color w:val="auto"/>
              </w:rPr>
            </w:pPr>
            <w:r>
              <w:rPr>
                <w:rFonts w:ascii="Arial" w:cs="Arial" w:eastAsia="Arial" w:hAnsi="Arial"/>
                <w:sz w:val="14"/>
                <w:szCs w:val="14"/>
                <w:b w:val="1"/>
                <w:bCs w:val="1"/>
                <w:color w:val="auto"/>
                <w:w w:val="78"/>
              </w:rPr>
              <w:t>Gross</w:t>
            </w: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ind w:right="132"/>
              <w:spacing w:after="0" w:line="149" w:lineRule="exact"/>
              <w:rPr>
                <w:sz w:val="20"/>
                <w:szCs w:val="20"/>
                <w:color w:val="auto"/>
              </w:rPr>
            </w:pPr>
            <w:r>
              <w:rPr>
                <w:rFonts w:ascii="Arial" w:cs="Arial" w:eastAsia="Arial" w:hAnsi="Arial"/>
                <w:sz w:val="14"/>
                <w:szCs w:val="14"/>
                <w:b w:val="1"/>
                <w:bCs w:val="1"/>
                <w:color w:val="auto"/>
              </w:rPr>
              <w:t>Fair</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9"/>
              </w:rPr>
              <w:t>unrealized</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ind w:right="132"/>
              <w:spacing w:after="0" w:line="149" w:lineRule="exact"/>
              <w:rPr>
                <w:sz w:val="20"/>
                <w:szCs w:val="20"/>
                <w:color w:val="auto"/>
              </w:rPr>
            </w:pPr>
            <w:r>
              <w:rPr>
                <w:rFonts w:ascii="Arial" w:cs="Arial" w:eastAsia="Arial" w:hAnsi="Arial"/>
                <w:sz w:val="14"/>
                <w:szCs w:val="14"/>
                <w:b w:val="1"/>
                <w:bCs w:val="1"/>
                <w:color w:val="auto"/>
              </w:rPr>
              <w:t>Fair</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9"/>
              </w:rPr>
              <w:t>unrealized</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ind w:right="152"/>
              <w:spacing w:after="0" w:line="149" w:lineRule="exact"/>
              <w:rPr>
                <w:sz w:val="20"/>
                <w:szCs w:val="20"/>
                <w:color w:val="auto"/>
              </w:rPr>
            </w:pPr>
            <w:r>
              <w:rPr>
                <w:rFonts w:ascii="Arial" w:cs="Arial" w:eastAsia="Arial" w:hAnsi="Arial"/>
                <w:sz w:val="14"/>
                <w:szCs w:val="14"/>
                <w:b w:val="1"/>
                <w:bCs w:val="1"/>
                <w:color w:val="auto"/>
              </w:rPr>
              <w:t>Fair</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6"/>
              </w:rPr>
              <w:t>unrealized</w:t>
            </w:r>
          </w:p>
        </w:tc>
      </w:tr>
      <w:tr>
        <w:trPr>
          <w:trHeight w:val="161"/>
        </w:trPr>
        <w:tc>
          <w:tcPr>
            <w:tcW w:w="20" w:type="dxa"/>
            <w:vAlign w:val="bottom"/>
          </w:tcPr>
          <w:p>
            <w:pPr>
              <w:spacing w:after="0"/>
              <w:rPr>
                <w:sz w:val="14"/>
                <w:szCs w:val="14"/>
                <w:color w:val="auto"/>
              </w:rPr>
            </w:pPr>
          </w:p>
        </w:tc>
        <w:tc>
          <w:tcPr>
            <w:tcW w:w="35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right"/>
              <w:ind w:right="92"/>
              <w:spacing w:after="0"/>
              <w:rPr>
                <w:sz w:val="20"/>
                <w:szCs w:val="20"/>
                <w:color w:val="auto"/>
              </w:rPr>
            </w:pPr>
            <w:r>
              <w:rPr>
                <w:rFonts w:ascii="Arial" w:cs="Arial" w:eastAsia="Arial" w:hAnsi="Arial"/>
                <w:sz w:val="14"/>
                <w:szCs w:val="14"/>
                <w:b w:val="1"/>
                <w:bCs w:val="1"/>
                <w:color w:val="auto"/>
                <w:w w:val="94"/>
              </w:rPr>
              <w:t>value</w:t>
            </w: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73"/>
              </w:rPr>
              <w:t>losses</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right"/>
              <w:ind w:right="92"/>
              <w:spacing w:after="0"/>
              <w:rPr>
                <w:sz w:val="20"/>
                <w:szCs w:val="20"/>
                <w:color w:val="auto"/>
              </w:rPr>
            </w:pPr>
            <w:r>
              <w:rPr>
                <w:rFonts w:ascii="Arial" w:cs="Arial" w:eastAsia="Arial" w:hAnsi="Arial"/>
                <w:sz w:val="14"/>
                <w:szCs w:val="14"/>
                <w:b w:val="1"/>
                <w:bCs w:val="1"/>
                <w:color w:val="auto"/>
                <w:w w:val="94"/>
              </w:rPr>
              <w:t>value</w:t>
            </w: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77"/>
              </w:rPr>
              <w:t>losses</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b w:val="1"/>
                <w:bCs w:val="1"/>
                <w:color w:val="auto"/>
                <w:w w:val="94"/>
              </w:rPr>
              <w:t>value</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73"/>
              </w:rPr>
              <w:t>losses</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35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920" w:type="dxa"/>
            <w:vAlign w:val="bottom"/>
            <w:gridSpan w:val="3"/>
          </w:tcPr>
          <w:p>
            <w:pPr>
              <w:jc w:val="right"/>
              <w:ind w:right="332"/>
              <w:spacing w:after="0" w:line="142" w:lineRule="exact"/>
              <w:rPr>
                <w:sz w:val="20"/>
                <w:szCs w:val="20"/>
                <w:color w:val="auto"/>
              </w:rPr>
            </w:pPr>
            <w:r>
              <w:rPr>
                <w:rFonts w:ascii="Arial" w:cs="Arial" w:eastAsia="Arial" w:hAnsi="Arial"/>
                <w:sz w:val="14"/>
                <w:szCs w:val="14"/>
                <w:b w:val="1"/>
                <w:bCs w:val="1"/>
                <w:i w:val="1"/>
                <w:iCs w:val="1"/>
                <w:color w:val="auto"/>
                <w:w w:val="86"/>
              </w:rPr>
              <w:t>millions)</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500" w:type="dxa"/>
            <w:vAlign w:val="bottom"/>
          </w:tcPr>
          <w:p>
            <w:pPr>
              <w:ind w:left="140"/>
              <w:spacing w:after="0" w:line="149" w:lineRule="exact"/>
              <w:rPr>
                <w:sz w:val="20"/>
                <w:szCs w:val="20"/>
                <w:color w:val="auto"/>
              </w:rPr>
            </w:pPr>
            <w:r>
              <w:rPr>
                <w:rFonts w:ascii="Arial" w:cs="Arial" w:eastAsia="Arial" w:hAnsi="Arial"/>
                <w:sz w:val="14"/>
                <w:szCs w:val="14"/>
                <w:color w:val="auto"/>
              </w:rPr>
              <w:t>U.S. government and agencies</w:t>
            </w:r>
          </w:p>
        </w:tc>
        <w:tc>
          <w:tcPr>
            <w:tcW w:w="6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526.8</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49.6</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9.2</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0.8</w:t>
            </w:r>
          </w:p>
        </w:tc>
        <w:tc>
          <w:tcPr>
            <w:tcW w:w="280" w:type="dxa"/>
            <w:vAlign w:val="bottom"/>
            <w:gridSpan w:val="2"/>
          </w:tcPr>
          <w:p>
            <w:pPr>
              <w:jc w:val="right"/>
              <w:ind w:right="9"/>
              <w:spacing w:after="0" w:line="149" w:lineRule="exact"/>
              <w:rPr>
                <w:sz w:val="20"/>
                <w:szCs w:val="20"/>
                <w:color w:val="auto"/>
              </w:rPr>
            </w:pPr>
            <w:r>
              <w:rPr>
                <w:rFonts w:ascii="Arial" w:cs="Arial" w:eastAsia="Arial" w:hAnsi="Arial"/>
                <w:sz w:val="14"/>
                <w:szCs w:val="14"/>
                <w:b w:val="1"/>
                <w:bCs w:val="1"/>
                <w:color w:val="auto"/>
              </w:rPr>
              <w:t>$</w:t>
            </w: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536.0</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50.4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Non-U.S. governments</w:t>
            </w: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78.1</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5.1</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5.8</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83.9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500" w:type="dxa"/>
            <w:vAlign w:val="bottom"/>
          </w:tcPr>
          <w:p>
            <w:pPr>
              <w:ind w:left="140"/>
              <w:spacing w:after="0" w:line="149" w:lineRule="exact"/>
              <w:rPr>
                <w:sz w:val="20"/>
                <w:szCs w:val="20"/>
                <w:color w:val="auto"/>
              </w:rPr>
            </w:pPr>
            <w:r>
              <w:rPr>
                <w:rFonts w:ascii="Arial" w:cs="Arial" w:eastAsia="Arial" w:hAnsi="Arial"/>
                <w:sz w:val="14"/>
                <w:szCs w:val="14"/>
                <w:color w:val="auto"/>
              </w:rPr>
              <w:t>States and political subdivisions</w:t>
            </w: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1,338.6</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75.3</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46.1</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10.4</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1,384.7</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85.7</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Corporate</w:t>
            </w: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4,087.9</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155.4</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1,278.1</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165.0</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5,366.0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320.4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500" w:type="dxa"/>
            <w:vAlign w:val="bottom"/>
          </w:tcPr>
          <w:p>
            <w:pPr>
              <w:ind w:left="140"/>
              <w:spacing w:after="0" w:line="149" w:lineRule="exact"/>
              <w:rPr>
                <w:sz w:val="20"/>
                <w:szCs w:val="20"/>
                <w:color w:val="auto"/>
              </w:rPr>
            </w:pPr>
            <w:r>
              <w:rPr>
                <w:rFonts w:ascii="Arial" w:cs="Arial" w:eastAsia="Arial" w:hAnsi="Arial"/>
                <w:sz w:val="14"/>
                <w:szCs w:val="14"/>
                <w:color w:val="auto"/>
                <w:w w:val="99"/>
              </w:rPr>
              <w:t>Residential mortgage-backed pass- through securities</w:t>
            </w: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1,150.3</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38.2</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85.9</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8.5</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1,236.2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46.7</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Commercial mortgage-backed securities</w:t>
            </w: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683.7</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15.3</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495.6</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206.9</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1,179.3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222.2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500" w:type="dxa"/>
            <w:vAlign w:val="bottom"/>
          </w:tcPr>
          <w:p>
            <w:pPr>
              <w:ind w:left="140"/>
              <w:spacing w:after="0" w:line="149" w:lineRule="exact"/>
              <w:rPr>
                <w:sz w:val="20"/>
                <w:szCs w:val="20"/>
                <w:color w:val="auto"/>
              </w:rPr>
            </w:pPr>
            <w:r>
              <w:rPr>
                <w:rFonts w:ascii="Arial" w:cs="Arial" w:eastAsia="Arial" w:hAnsi="Arial"/>
                <w:sz w:val="14"/>
                <w:szCs w:val="14"/>
                <w:color w:val="auto"/>
              </w:rPr>
              <w:t>Collateralized debt obligations</w:t>
            </w: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88.8</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47.4</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33.1</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136.2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34.5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Other debt obligations</w:t>
            </w:r>
          </w:p>
        </w:tc>
        <w:tc>
          <w:tcPr>
            <w:tcW w:w="50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5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1,359.0</w:t>
            </w:r>
          </w:p>
        </w:tc>
        <w:tc>
          <w:tcPr>
            <w:tcW w:w="16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7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16.1</w:t>
            </w:r>
          </w:p>
        </w:tc>
        <w:tc>
          <w:tcPr>
            <w:tcW w:w="16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5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287.9</w:t>
            </w:r>
          </w:p>
        </w:tc>
        <w:tc>
          <w:tcPr>
            <w:tcW w:w="16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7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25.4</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1,646.9</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6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41.5</w:t>
            </w:r>
          </w:p>
        </w:tc>
        <w:tc>
          <w:tcPr>
            <w:tcW w:w="160" w:type="dxa"/>
            <w:vAlign w:val="bottom"/>
            <w:shd w:val="clear" w:color="auto" w:fill="CCEEFF"/>
          </w:tcPr>
          <w:p>
            <w:pPr>
              <w:spacing w:after="0"/>
              <w:rPr>
                <w:sz w:val="12"/>
                <w:szCs w:val="12"/>
                <w:color w:val="auto"/>
              </w:rPr>
            </w:pPr>
          </w:p>
        </w:tc>
      </w:tr>
      <w:tr>
        <w:trPr>
          <w:trHeight w:val="142"/>
        </w:trPr>
        <w:tc>
          <w:tcPr>
            <w:tcW w:w="3520" w:type="dxa"/>
            <w:vAlign w:val="bottom"/>
            <w:gridSpan w:val="2"/>
          </w:tcPr>
          <w:p>
            <w:pPr>
              <w:spacing w:after="0" w:line="142" w:lineRule="exact"/>
              <w:rPr>
                <w:sz w:val="20"/>
                <w:szCs w:val="20"/>
                <w:color w:val="auto"/>
              </w:rPr>
            </w:pPr>
            <w:r>
              <w:rPr>
                <w:rFonts w:ascii="Arial" w:cs="Arial" w:eastAsia="Arial" w:hAnsi="Arial"/>
                <w:sz w:val="14"/>
                <w:szCs w:val="14"/>
                <w:color w:val="auto"/>
              </w:rPr>
              <w:t>Total fixed maturities, available-for-sale</w:t>
            </w:r>
          </w:p>
        </w:tc>
        <w:tc>
          <w:tcPr>
            <w:tcW w:w="500" w:type="dxa"/>
            <w:vAlign w:val="bottom"/>
          </w:tcPr>
          <w:p>
            <w:pPr>
              <w:spacing w:after="0"/>
              <w:rPr>
                <w:sz w:val="12"/>
                <w:szCs w:val="12"/>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9,313.2</w:t>
            </w:r>
          </w:p>
        </w:tc>
        <w:tc>
          <w:tcPr>
            <w:tcW w:w="160" w:type="dxa"/>
            <w:vAlign w:val="bottom"/>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7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356.4</w:t>
            </w:r>
          </w:p>
        </w:tc>
        <w:tc>
          <w:tcPr>
            <w:tcW w:w="160" w:type="dxa"/>
            <w:vAlign w:val="bottom"/>
          </w:tcPr>
          <w:p>
            <w:pPr>
              <w:spacing w:after="0"/>
              <w:rPr>
                <w:sz w:val="12"/>
                <w:szCs w:val="12"/>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2,256.0</w:t>
            </w:r>
          </w:p>
        </w:tc>
        <w:tc>
          <w:tcPr>
            <w:tcW w:w="160" w:type="dxa"/>
            <w:vAlign w:val="bottom"/>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7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450.2</w:t>
            </w:r>
          </w:p>
        </w:tc>
        <w:tc>
          <w:tcPr>
            <w:tcW w:w="160" w:type="dxa"/>
            <w:vAlign w:val="bottom"/>
          </w:tcPr>
          <w:p>
            <w:pPr>
              <w:spacing w:after="0"/>
              <w:rPr>
                <w:sz w:val="12"/>
                <w:szCs w:val="12"/>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9"/>
              </w:rPr>
              <w:t>11,569.2</w:t>
            </w:r>
          </w:p>
        </w:tc>
        <w:tc>
          <w:tcPr>
            <w:tcW w:w="160" w:type="dxa"/>
            <w:vAlign w:val="bottom"/>
          </w:tcPr>
          <w:p>
            <w:pPr>
              <w:spacing w:after="0"/>
              <w:rPr>
                <w:sz w:val="12"/>
                <w:szCs w:val="12"/>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6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806.6</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5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3500" w:type="dxa"/>
            <w:vAlign w:val="bottom"/>
            <w:shd w:val="clear" w:color="auto" w:fill="CCEEFF"/>
          </w:tcPr>
          <w:p>
            <w:pPr>
              <w:spacing w:after="0" w:line="129" w:lineRule="exact"/>
              <w:rPr>
                <w:sz w:val="20"/>
                <w:szCs w:val="20"/>
                <w:color w:val="auto"/>
              </w:rPr>
            </w:pPr>
            <w:r>
              <w:rPr>
                <w:rFonts w:ascii="Arial" w:cs="Arial" w:eastAsia="Arial" w:hAnsi="Arial"/>
                <w:sz w:val="14"/>
                <w:szCs w:val="14"/>
                <w:color w:val="auto"/>
              </w:rPr>
              <w:t>Total equity securities, available-for-sale</w:t>
            </w:r>
          </w:p>
        </w:tc>
        <w:tc>
          <w:tcPr>
            <w:tcW w:w="600" w:type="dxa"/>
            <w:vAlign w:val="bottom"/>
            <w:gridSpan w:val="2"/>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w:t>
            </w:r>
          </w:p>
        </w:tc>
        <w:tc>
          <w:tcPr>
            <w:tcW w:w="52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16.7</w:t>
            </w:r>
          </w:p>
        </w:tc>
        <w:tc>
          <w:tcPr>
            <w:tcW w:w="220" w:type="dxa"/>
            <w:vAlign w:val="bottom"/>
            <w:gridSpan w:val="2"/>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w:t>
            </w:r>
          </w:p>
        </w:tc>
        <w:tc>
          <w:tcPr>
            <w:tcW w:w="70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0.3</w:t>
            </w:r>
          </w:p>
        </w:tc>
        <w:tc>
          <w:tcPr>
            <w:tcW w:w="260" w:type="dxa"/>
            <w:vAlign w:val="bottom"/>
            <w:gridSpan w:val="2"/>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w:t>
            </w:r>
          </w:p>
        </w:tc>
        <w:tc>
          <w:tcPr>
            <w:tcW w:w="52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48.3</w:t>
            </w:r>
          </w:p>
        </w:tc>
        <w:tc>
          <w:tcPr>
            <w:tcW w:w="220" w:type="dxa"/>
            <w:vAlign w:val="bottom"/>
            <w:gridSpan w:val="2"/>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w:t>
            </w:r>
          </w:p>
        </w:tc>
        <w:tc>
          <w:tcPr>
            <w:tcW w:w="70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13.0</w:t>
            </w:r>
          </w:p>
        </w:tc>
        <w:tc>
          <w:tcPr>
            <w:tcW w:w="280" w:type="dxa"/>
            <w:vAlign w:val="bottom"/>
            <w:gridSpan w:val="2"/>
            <w:shd w:val="clear" w:color="auto" w:fill="CCEEFF"/>
          </w:tcPr>
          <w:p>
            <w:pPr>
              <w:jc w:val="right"/>
              <w:ind w:right="9"/>
              <w:spacing w:after="0" w:line="129"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65.0</w:t>
            </w:r>
          </w:p>
        </w:tc>
        <w:tc>
          <w:tcPr>
            <w:tcW w:w="240" w:type="dxa"/>
            <w:vAlign w:val="bottom"/>
            <w:gridSpan w:val="2"/>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w:t>
            </w:r>
          </w:p>
        </w:tc>
        <w:tc>
          <w:tcPr>
            <w:tcW w:w="68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13.3</w:t>
            </w:r>
          </w:p>
        </w:tc>
        <w:tc>
          <w:tcPr>
            <w:tcW w:w="160" w:type="dxa"/>
            <w:vAlign w:val="bottom"/>
            <w:shd w:val="clear" w:color="auto" w:fill="CCEEFF"/>
          </w:tcPr>
          <w:p>
            <w:pPr>
              <w:spacing w:after="0"/>
              <w:rPr>
                <w:sz w:val="11"/>
                <w:szCs w:val="11"/>
                <w:color w:val="auto"/>
              </w:rPr>
            </w:pPr>
          </w:p>
        </w:tc>
      </w:tr>
      <w:tr>
        <w:trPr>
          <w:trHeight w:val="20"/>
        </w:trPr>
        <w:tc>
          <w:tcPr>
            <w:tcW w:w="20" w:type="dxa"/>
            <w:vAlign w:val="bottom"/>
          </w:tcPr>
          <w:p>
            <w:pPr>
              <w:spacing w:after="0" w:line="20" w:lineRule="exact"/>
              <w:rPr>
                <w:sz w:val="1"/>
                <w:szCs w:val="1"/>
                <w:color w:val="auto"/>
              </w:rPr>
            </w:pPr>
          </w:p>
        </w:tc>
        <w:tc>
          <w:tcPr>
            <w:tcW w:w="35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firstLine="394"/>
        <w:spacing w:after="0" w:line="298" w:lineRule="auto"/>
        <w:rPr>
          <w:sz w:val="20"/>
          <w:szCs w:val="20"/>
          <w:color w:val="auto"/>
        </w:rPr>
      </w:pPr>
      <w:r>
        <w:rPr>
          <w:rFonts w:ascii="Arial" w:cs="Arial" w:eastAsia="Arial" w:hAnsi="Arial"/>
          <w:sz w:val="16"/>
          <w:szCs w:val="16"/>
          <w:color w:val="auto"/>
        </w:rPr>
        <w:t>Of the total amounts, Principal Life Insurance Company's ("Principal Life") consolidated portfolio represented $10,905.4 million in available-for-sale fixed maturities with gross unrealized losses of $752.5 million. Of those fixed maturity securities in Principal Life's consolidated portfolio with a gross unrealized loss position, 87% were investment grade (rated AAA through BBB-) with an average price of 94 (carrying value/amortized cost) at December 31, 2013. Gross unrealized losses in our fixed maturities portfolio decreased slightly during the year ended December 31, 2013, due to spread improvements.</w:t>
      </w:r>
    </w:p>
    <w:p>
      <w:pPr>
        <w:spacing w:after="0" w:line="167" w:lineRule="exact"/>
        <w:rPr>
          <w:sz w:val="20"/>
          <w:szCs w:val="20"/>
          <w:color w:val="auto"/>
        </w:rPr>
      </w:pPr>
    </w:p>
    <w:p>
      <w:pPr>
        <w:jc w:val="both"/>
        <w:ind w:firstLine="452"/>
        <w:spacing w:after="0" w:line="298" w:lineRule="auto"/>
        <w:rPr>
          <w:sz w:val="20"/>
          <w:szCs w:val="20"/>
          <w:color w:val="auto"/>
        </w:rPr>
      </w:pPr>
      <w:r>
        <w:rPr>
          <w:rFonts w:ascii="Arial" w:cs="Arial" w:eastAsia="Arial" w:hAnsi="Arial"/>
          <w:sz w:val="16"/>
          <w:szCs w:val="16"/>
          <w:color w:val="auto"/>
        </w:rPr>
        <w:t>For those securities that had been in a continuous unrealized loss position for less than twelve months, Principal Life's consolidated portfolio held 1,154 securities with a carrying value of $8,899.5 million and unrealized losses of $339.8 million reflecting an average price of 96 at December 31, 2013. Of this portfolio, 94% was investment grade (rated AAA through BBB-) at December 31, 2013, with associated unrealized losses of $325.9 million. The unrealized losses on these securities can primarily be attributed to changes in market interest rates and changes in credit spreads since the securities were acquired.</w:t>
      </w:r>
    </w:p>
    <w:p>
      <w:pPr>
        <w:spacing w:after="0" w:line="167" w:lineRule="exact"/>
        <w:rPr>
          <w:sz w:val="20"/>
          <w:szCs w:val="20"/>
          <w:color w:val="auto"/>
        </w:rPr>
      </w:pPr>
    </w:p>
    <w:p>
      <w:pPr>
        <w:jc w:val="both"/>
        <w:ind w:firstLine="365"/>
        <w:spacing w:after="0" w:line="259" w:lineRule="auto"/>
        <w:rPr>
          <w:sz w:val="20"/>
          <w:szCs w:val="20"/>
          <w:color w:val="auto"/>
        </w:rPr>
      </w:pPr>
      <w:r>
        <w:rPr>
          <w:rFonts w:ascii="Arial" w:cs="Arial" w:eastAsia="Arial" w:hAnsi="Arial"/>
          <w:sz w:val="18"/>
          <w:szCs w:val="18"/>
          <w:color w:val="auto"/>
        </w:rPr>
        <w:t>For those securities that had been in a continuous unrealized loss position greater than or equal to twelve months, Principal Life's consolidated portfolio held 359 securities with a carrying value of $2,005.9 million and unrealized losses of $412.7 million. The average rating of this portfolio was BBB- with an average price of 83 at December 31, 2013. Of the</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7" w:name="page118"/>
    <w:bookmarkEnd w:id="11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Investments — (continued)</w:t>
      </w:r>
    </w:p>
    <w:p>
      <w:pPr>
        <w:spacing w:after="0" w:line="231" w:lineRule="exact"/>
        <w:rPr>
          <w:sz w:val="20"/>
          <w:szCs w:val="20"/>
          <w:color w:val="auto"/>
        </w:rPr>
      </w:pPr>
    </w:p>
    <w:p>
      <w:pPr>
        <w:jc w:val="both"/>
        <w:spacing w:after="0" w:line="298" w:lineRule="auto"/>
        <w:rPr>
          <w:sz w:val="20"/>
          <w:szCs w:val="20"/>
          <w:color w:val="auto"/>
        </w:rPr>
      </w:pPr>
      <w:r>
        <w:rPr>
          <w:rFonts w:ascii="Arial" w:cs="Arial" w:eastAsia="Arial" w:hAnsi="Arial"/>
          <w:sz w:val="16"/>
          <w:szCs w:val="16"/>
          <w:color w:val="auto"/>
        </w:rPr>
        <w:t>$412.7 million in unrealized losses, the commercial mortgage-backed securities sector accounts for $206.9 million in unrealized losses with an average price of 71 and an average credit rating of BB-. The remaining unrealized losses consist primarily of $127.6 million within the corporate sector at December 31, 2013. The average price of the corporate sector was 89 and the average credit rating was BBB+. The unrealized losses on these securities can primarily be attributed to changes in market interest rates and changes in credit spreads since the securities were acquired.</w:t>
      </w:r>
    </w:p>
    <w:p>
      <w:pPr>
        <w:spacing w:after="0" w:line="167" w:lineRule="exact"/>
        <w:rPr>
          <w:sz w:val="20"/>
          <w:szCs w:val="20"/>
          <w:color w:val="auto"/>
        </w:rPr>
      </w:pPr>
    </w:p>
    <w:p>
      <w:pPr>
        <w:jc w:val="both"/>
        <w:ind w:firstLine="395"/>
        <w:spacing w:after="0" w:line="259" w:lineRule="auto"/>
        <w:rPr>
          <w:sz w:val="20"/>
          <w:szCs w:val="20"/>
          <w:color w:val="auto"/>
        </w:rPr>
      </w:pPr>
      <w:r>
        <w:rPr>
          <w:rFonts w:ascii="Arial" w:cs="Arial" w:eastAsia="Arial" w:hAnsi="Arial"/>
          <w:sz w:val="18"/>
          <w:szCs w:val="18"/>
          <w:color w:val="auto"/>
        </w:rPr>
        <w:t>Because we expected to recover our amortized cost, it was not our intent to sell the fixed maturity available-for-sale securities with unrealized losses and it was not more likely than not that we would be required to sell these securities before recovery of the amortized cost, which may be maturity, we did not consider these investments to be other-than-temporarily impaired at December 31, 2013.</w:t>
      </w:r>
    </w:p>
    <w:p>
      <w:pPr>
        <w:spacing w:after="0" w:line="190"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0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gridSpan w:val="4"/>
          </w:tcPr>
          <w:p>
            <w:pPr>
              <w:jc w:val="center"/>
              <w:ind w:right="52"/>
              <w:spacing w:after="0"/>
              <w:rPr>
                <w:sz w:val="20"/>
                <w:szCs w:val="20"/>
                <w:color w:val="auto"/>
              </w:rPr>
            </w:pPr>
            <w:r>
              <w:rPr>
                <w:rFonts w:ascii="Arial" w:cs="Arial" w:eastAsia="Arial" w:hAnsi="Arial"/>
                <w:sz w:val="14"/>
                <w:szCs w:val="14"/>
                <w:b w:val="1"/>
                <w:bCs w:val="1"/>
                <w:color w:val="auto"/>
                <w:w w:val="87"/>
              </w:rPr>
              <w:t>December 31, 2012</w:t>
            </w:r>
          </w:p>
        </w:tc>
        <w:tc>
          <w:tcPr>
            <w:tcW w:w="1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40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gridSpan w:val="3"/>
          </w:tcPr>
          <w:p>
            <w:pPr>
              <w:jc w:val="center"/>
              <w:ind w:left="112"/>
              <w:spacing w:after="0" w:line="129" w:lineRule="exact"/>
              <w:rPr>
                <w:sz w:val="20"/>
                <w:szCs w:val="20"/>
                <w:color w:val="auto"/>
              </w:rPr>
            </w:pPr>
            <w:r>
              <w:rPr>
                <w:rFonts w:ascii="Arial" w:cs="Arial" w:eastAsia="Arial" w:hAnsi="Arial"/>
                <w:sz w:val="14"/>
                <w:szCs w:val="14"/>
                <w:b w:val="1"/>
                <w:bCs w:val="1"/>
                <w:color w:val="auto"/>
                <w:w w:val="90"/>
              </w:rPr>
              <w:t>Greater than or</w:t>
            </w:r>
          </w:p>
        </w:tc>
        <w:tc>
          <w:tcPr>
            <w:tcW w:w="3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40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20" w:type="dxa"/>
            <w:vAlign w:val="bottom"/>
            <w:gridSpan w:val="4"/>
          </w:tcPr>
          <w:p>
            <w:pPr>
              <w:jc w:val="right"/>
              <w:ind w:right="232"/>
              <w:spacing w:after="0" w:line="149" w:lineRule="exact"/>
              <w:rPr>
                <w:sz w:val="20"/>
                <w:szCs w:val="20"/>
                <w:color w:val="auto"/>
              </w:rPr>
            </w:pPr>
            <w:r>
              <w:rPr>
                <w:rFonts w:ascii="Arial" w:cs="Arial" w:eastAsia="Arial" w:hAnsi="Arial"/>
                <w:sz w:val="14"/>
                <w:szCs w:val="14"/>
                <w:b w:val="1"/>
                <w:bCs w:val="1"/>
                <w:color w:val="auto"/>
                <w:w w:val="98"/>
              </w:rPr>
              <w:t>Less than twelve</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3"/>
          </w:tcPr>
          <w:p>
            <w:pPr>
              <w:jc w:val="center"/>
              <w:ind w:left="132"/>
              <w:spacing w:after="0" w:line="149" w:lineRule="exact"/>
              <w:rPr>
                <w:sz w:val="20"/>
                <w:szCs w:val="20"/>
                <w:color w:val="auto"/>
              </w:rPr>
            </w:pPr>
            <w:r>
              <w:rPr>
                <w:rFonts w:ascii="Arial" w:cs="Arial" w:eastAsia="Arial" w:hAnsi="Arial"/>
                <w:sz w:val="14"/>
                <w:szCs w:val="14"/>
                <w:b w:val="1"/>
                <w:bCs w:val="1"/>
                <w:color w:val="auto"/>
                <w:w w:val="85"/>
              </w:rPr>
              <w:t>equal to twelve</w:t>
            </w:r>
          </w:p>
        </w:tc>
        <w:tc>
          <w:tcPr>
            <w:tcW w:w="3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61"/>
        </w:trPr>
        <w:tc>
          <w:tcPr>
            <w:tcW w:w="20" w:type="dxa"/>
            <w:vAlign w:val="bottom"/>
          </w:tcPr>
          <w:p>
            <w:pPr>
              <w:spacing w:after="0"/>
              <w:rPr>
                <w:sz w:val="14"/>
                <w:szCs w:val="14"/>
                <w:color w:val="auto"/>
              </w:rPr>
            </w:pPr>
          </w:p>
        </w:tc>
        <w:tc>
          <w:tcPr>
            <w:tcW w:w="40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months</w:t>
            </w:r>
          </w:p>
        </w:tc>
        <w:tc>
          <w:tcPr>
            <w:tcW w:w="5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gridSpan w:val="3"/>
          </w:tcPr>
          <w:p>
            <w:pPr>
              <w:jc w:val="center"/>
              <w:ind w:left="132"/>
              <w:spacing w:after="0"/>
              <w:rPr>
                <w:sz w:val="20"/>
                <w:szCs w:val="20"/>
                <w:color w:val="auto"/>
              </w:rPr>
            </w:pPr>
            <w:r>
              <w:rPr>
                <w:rFonts w:ascii="Arial" w:cs="Arial" w:eastAsia="Arial" w:hAnsi="Arial"/>
                <w:sz w:val="14"/>
                <w:szCs w:val="14"/>
                <w:b w:val="1"/>
                <w:bCs w:val="1"/>
                <w:color w:val="auto"/>
                <w:w w:val="82"/>
              </w:rPr>
              <w:t>months</w:t>
            </w:r>
          </w:p>
        </w:tc>
        <w:tc>
          <w:tcPr>
            <w:tcW w:w="3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83"/>
              </w:rPr>
              <w:t>Total</w:t>
            </w:r>
          </w:p>
        </w:tc>
        <w:tc>
          <w:tcPr>
            <w:tcW w:w="5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40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jc w:val="right"/>
              <w:ind w:right="152"/>
              <w:spacing w:after="0" w:line="129" w:lineRule="exact"/>
              <w:rPr>
                <w:sz w:val="20"/>
                <w:szCs w:val="20"/>
                <w:color w:val="auto"/>
              </w:rPr>
            </w:pPr>
            <w:r>
              <w:rPr>
                <w:rFonts w:ascii="Arial" w:cs="Arial" w:eastAsia="Arial" w:hAnsi="Arial"/>
                <w:sz w:val="14"/>
                <w:szCs w:val="14"/>
                <w:b w:val="1"/>
                <w:bCs w:val="1"/>
                <w:color w:val="auto"/>
                <w:w w:val="78"/>
              </w:rPr>
              <w:t>Gross</w:t>
            </w: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83"/>
              </w:rPr>
              <w:t>Gross</w:t>
            </w: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jc w:val="right"/>
              <w:ind w:right="152"/>
              <w:spacing w:after="0" w:line="129" w:lineRule="exact"/>
              <w:rPr>
                <w:sz w:val="20"/>
                <w:szCs w:val="20"/>
                <w:color w:val="auto"/>
              </w:rPr>
            </w:pPr>
            <w:r>
              <w:rPr>
                <w:rFonts w:ascii="Arial" w:cs="Arial" w:eastAsia="Arial" w:hAnsi="Arial"/>
                <w:sz w:val="14"/>
                <w:szCs w:val="14"/>
                <w:b w:val="1"/>
                <w:bCs w:val="1"/>
                <w:color w:val="auto"/>
                <w:w w:val="83"/>
              </w:rPr>
              <w:t>Gross</w:t>
            </w: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40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ind w:right="132"/>
              <w:spacing w:after="0" w:line="149" w:lineRule="exact"/>
              <w:rPr>
                <w:sz w:val="20"/>
                <w:szCs w:val="20"/>
                <w:color w:val="auto"/>
              </w:rPr>
            </w:pPr>
            <w:r>
              <w:rPr>
                <w:rFonts w:ascii="Arial" w:cs="Arial" w:eastAsia="Arial" w:hAnsi="Arial"/>
                <w:sz w:val="14"/>
                <w:szCs w:val="14"/>
                <w:b w:val="1"/>
                <w:bCs w:val="1"/>
                <w:color w:val="auto"/>
              </w:rPr>
              <w:t>Fair</w:t>
            </w:r>
          </w:p>
        </w:tc>
        <w:tc>
          <w:tcPr>
            <w:tcW w:w="160" w:type="dxa"/>
            <w:vAlign w:val="bottom"/>
          </w:tcPr>
          <w:p>
            <w:pPr>
              <w:spacing w:after="0"/>
              <w:rPr>
                <w:sz w:val="12"/>
                <w:szCs w:val="12"/>
                <w:color w:val="auto"/>
              </w:rPr>
            </w:pPr>
          </w:p>
        </w:tc>
        <w:tc>
          <w:tcPr>
            <w:tcW w:w="760" w:type="dxa"/>
            <w:vAlign w:val="bottom"/>
            <w:gridSpan w:val="2"/>
          </w:tcPr>
          <w:p>
            <w:pPr>
              <w:jc w:val="right"/>
              <w:ind w:right="12"/>
              <w:spacing w:after="0" w:line="149" w:lineRule="exact"/>
              <w:rPr>
                <w:sz w:val="20"/>
                <w:szCs w:val="20"/>
                <w:color w:val="auto"/>
              </w:rPr>
            </w:pPr>
            <w:r>
              <w:rPr>
                <w:rFonts w:ascii="Arial" w:cs="Arial" w:eastAsia="Arial" w:hAnsi="Arial"/>
                <w:sz w:val="14"/>
                <w:szCs w:val="14"/>
                <w:b w:val="1"/>
                <w:bCs w:val="1"/>
                <w:color w:val="auto"/>
                <w:w w:val="95"/>
              </w:rPr>
              <w:t>unrealized</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ind w:right="112"/>
              <w:spacing w:after="0" w:line="149" w:lineRule="exact"/>
              <w:rPr>
                <w:sz w:val="20"/>
                <w:szCs w:val="20"/>
                <w:color w:val="auto"/>
              </w:rPr>
            </w:pPr>
            <w:r>
              <w:rPr>
                <w:rFonts w:ascii="Arial" w:cs="Arial" w:eastAsia="Arial" w:hAnsi="Arial"/>
                <w:sz w:val="14"/>
                <w:szCs w:val="14"/>
                <w:b w:val="1"/>
                <w:bCs w:val="1"/>
                <w:color w:val="auto"/>
              </w:rPr>
              <w:t>Fair</w:t>
            </w:r>
          </w:p>
        </w:tc>
        <w:tc>
          <w:tcPr>
            <w:tcW w:w="160" w:type="dxa"/>
            <w:vAlign w:val="bottom"/>
          </w:tcPr>
          <w:p>
            <w:pPr>
              <w:spacing w:after="0"/>
              <w:rPr>
                <w:sz w:val="12"/>
                <w:szCs w:val="12"/>
                <w:color w:val="auto"/>
              </w:rPr>
            </w:pPr>
          </w:p>
        </w:tc>
        <w:tc>
          <w:tcPr>
            <w:tcW w:w="7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6"/>
              </w:rPr>
              <w:t>unrealized</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ind w:right="112"/>
              <w:spacing w:after="0" w:line="149" w:lineRule="exact"/>
              <w:rPr>
                <w:sz w:val="20"/>
                <w:szCs w:val="20"/>
                <w:color w:val="auto"/>
              </w:rPr>
            </w:pPr>
            <w:r>
              <w:rPr>
                <w:rFonts w:ascii="Arial" w:cs="Arial" w:eastAsia="Arial" w:hAnsi="Arial"/>
                <w:sz w:val="14"/>
                <w:szCs w:val="14"/>
                <w:b w:val="1"/>
                <w:bCs w:val="1"/>
                <w:color w:val="auto"/>
              </w:rPr>
              <w:t>Fair</w:t>
            </w:r>
          </w:p>
        </w:tc>
        <w:tc>
          <w:tcPr>
            <w:tcW w:w="160" w:type="dxa"/>
            <w:vAlign w:val="bottom"/>
          </w:tcPr>
          <w:p>
            <w:pPr>
              <w:spacing w:after="0"/>
              <w:rPr>
                <w:sz w:val="12"/>
                <w:szCs w:val="12"/>
                <w:color w:val="auto"/>
              </w:rPr>
            </w:pPr>
          </w:p>
        </w:tc>
        <w:tc>
          <w:tcPr>
            <w:tcW w:w="920" w:type="dxa"/>
            <w:vAlign w:val="bottom"/>
            <w:gridSpan w:val="3"/>
          </w:tcPr>
          <w:p>
            <w:pPr>
              <w:ind w:left="80"/>
              <w:spacing w:after="0" w:line="149" w:lineRule="exact"/>
              <w:rPr>
                <w:sz w:val="20"/>
                <w:szCs w:val="20"/>
                <w:color w:val="auto"/>
              </w:rPr>
            </w:pPr>
            <w:r>
              <w:rPr>
                <w:rFonts w:ascii="Arial" w:cs="Arial" w:eastAsia="Arial" w:hAnsi="Arial"/>
                <w:sz w:val="14"/>
                <w:szCs w:val="14"/>
                <w:b w:val="1"/>
                <w:bCs w:val="1"/>
                <w:color w:val="auto"/>
              </w:rPr>
              <w:t>unrealized</w:t>
            </w:r>
          </w:p>
        </w:tc>
      </w:tr>
      <w:tr>
        <w:trPr>
          <w:trHeight w:val="161"/>
        </w:trPr>
        <w:tc>
          <w:tcPr>
            <w:tcW w:w="20" w:type="dxa"/>
            <w:vAlign w:val="bottom"/>
          </w:tcPr>
          <w:p>
            <w:pPr>
              <w:spacing w:after="0"/>
              <w:rPr>
                <w:sz w:val="14"/>
                <w:szCs w:val="14"/>
                <w:color w:val="auto"/>
              </w:rPr>
            </w:pPr>
          </w:p>
        </w:tc>
        <w:tc>
          <w:tcPr>
            <w:tcW w:w="40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92"/>
              <w:spacing w:after="0"/>
              <w:rPr>
                <w:sz w:val="20"/>
                <w:szCs w:val="20"/>
                <w:color w:val="auto"/>
              </w:rPr>
            </w:pPr>
            <w:r>
              <w:rPr>
                <w:rFonts w:ascii="Arial" w:cs="Arial" w:eastAsia="Arial" w:hAnsi="Arial"/>
                <w:sz w:val="14"/>
                <w:szCs w:val="14"/>
                <w:b w:val="1"/>
                <w:bCs w:val="1"/>
                <w:color w:val="auto"/>
                <w:w w:val="89"/>
              </w:rPr>
              <w:t>value</w:t>
            </w:r>
          </w:p>
        </w:tc>
        <w:tc>
          <w:tcPr>
            <w:tcW w:w="16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ind w:right="152"/>
              <w:spacing w:after="0"/>
              <w:rPr>
                <w:sz w:val="20"/>
                <w:szCs w:val="20"/>
                <w:color w:val="auto"/>
              </w:rPr>
            </w:pPr>
            <w:r>
              <w:rPr>
                <w:rFonts w:ascii="Arial" w:cs="Arial" w:eastAsia="Arial" w:hAnsi="Arial"/>
                <w:sz w:val="14"/>
                <w:szCs w:val="14"/>
                <w:b w:val="1"/>
                <w:bCs w:val="1"/>
                <w:color w:val="auto"/>
                <w:w w:val="73"/>
              </w:rPr>
              <w:t>losses</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92"/>
              <w:spacing w:after="0"/>
              <w:rPr>
                <w:sz w:val="20"/>
                <w:szCs w:val="20"/>
                <w:color w:val="auto"/>
              </w:rPr>
            </w:pPr>
            <w:r>
              <w:rPr>
                <w:rFonts w:ascii="Arial" w:cs="Arial" w:eastAsia="Arial" w:hAnsi="Arial"/>
                <w:sz w:val="14"/>
                <w:szCs w:val="14"/>
                <w:b w:val="1"/>
                <w:bCs w:val="1"/>
                <w:color w:val="auto"/>
                <w:w w:val="89"/>
              </w:rPr>
              <w:t>value</w:t>
            </w:r>
          </w:p>
        </w:tc>
        <w:tc>
          <w:tcPr>
            <w:tcW w:w="160" w:type="dxa"/>
            <w:vAlign w:val="bottom"/>
          </w:tcPr>
          <w:p>
            <w:pPr>
              <w:spacing w:after="0"/>
              <w:rPr>
                <w:sz w:val="14"/>
                <w:szCs w:val="14"/>
                <w:color w:val="auto"/>
              </w:rPr>
            </w:pPr>
          </w:p>
        </w:tc>
        <w:tc>
          <w:tcPr>
            <w:tcW w:w="7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73"/>
              </w:rPr>
              <w:t>losses</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92"/>
              <w:spacing w:after="0"/>
              <w:rPr>
                <w:sz w:val="20"/>
                <w:szCs w:val="20"/>
                <w:color w:val="auto"/>
              </w:rPr>
            </w:pPr>
            <w:r>
              <w:rPr>
                <w:rFonts w:ascii="Arial" w:cs="Arial" w:eastAsia="Arial" w:hAnsi="Arial"/>
                <w:sz w:val="14"/>
                <w:szCs w:val="14"/>
                <w:b w:val="1"/>
                <w:bCs w:val="1"/>
                <w:color w:val="auto"/>
                <w:w w:val="89"/>
              </w:rPr>
              <w:t>value</w:t>
            </w: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52"/>
              <w:spacing w:after="0"/>
              <w:rPr>
                <w:sz w:val="20"/>
                <w:szCs w:val="20"/>
                <w:color w:val="auto"/>
              </w:rPr>
            </w:pPr>
            <w:r>
              <w:rPr>
                <w:rFonts w:ascii="Arial" w:cs="Arial" w:eastAsia="Arial" w:hAnsi="Arial"/>
                <w:sz w:val="14"/>
                <w:szCs w:val="14"/>
                <w:b w:val="1"/>
                <w:bCs w:val="1"/>
                <w:color w:val="auto"/>
                <w:w w:val="77"/>
              </w:rPr>
              <w:t>losses</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40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600" w:type="dxa"/>
            <w:vAlign w:val="bottom"/>
            <w:gridSpan w:val="2"/>
          </w:tcPr>
          <w:p>
            <w:pPr>
              <w:jc w:val="right"/>
              <w:ind w:right="52"/>
              <w:spacing w:after="0" w:line="142" w:lineRule="exact"/>
              <w:rPr>
                <w:sz w:val="20"/>
                <w:szCs w:val="20"/>
                <w:color w:val="auto"/>
              </w:rPr>
            </w:pPr>
            <w:r>
              <w:rPr>
                <w:rFonts w:ascii="Arial" w:cs="Arial" w:eastAsia="Arial" w:hAnsi="Arial"/>
                <w:sz w:val="14"/>
                <w:szCs w:val="14"/>
                <w:b w:val="1"/>
                <w:bCs w:val="1"/>
                <w:i w:val="1"/>
                <w:iCs w:val="1"/>
                <w:color w:val="auto"/>
                <w:w w:val="79"/>
              </w:rPr>
              <w:t>millions)</w:t>
            </w:r>
          </w:p>
        </w:tc>
        <w:tc>
          <w:tcPr>
            <w:tcW w:w="3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060" w:type="dxa"/>
            <w:vAlign w:val="bottom"/>
          </w:tcPr>
          <w:p>
            <w:pPr>
              <w:ind w:left="140"/>
              <w:spacing w:after="0" w:line="149" w:lineRule="exact"/>
              <w:rPr>
                <w:sz w:val="20"/>
                <w:szCs w:val="20"/>
                <w:color w:val="auto"/>
              </w:rPr>
            </w:pPr>
            <w:r>
              <w:rPr>
                <w:rFonts w:ascii="Arial" w:cs="Arial" w:eastAsia="Arial" w:hAnsi="Arial"/>
                <w:sz w:val="14"/>
                <w:szCs w:val="14"/>
                <w:color w:val="auto"/>
              </w:rPr>
              <w:t>U.S. government and agencies</w:t>
            </w:r>
          </w:p>
        </w:tc>
        <w:tc>
          <w:tcPr>
            <w:tcW w:w="12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115.4</w:t>
            </w:r>
          </w:p>
        </w:tc>
        <w:tc>
          <w:tcPr>
            <w:tcW w:w="360" w:type="dxa"/>
            <w:vAlign w:val="bottom"/>
            <w:gridSpan w:val="2"/>
          </w:tcPr>
          <w:p>
            <w:pPr>
              <w:jc w:val="right"/>
              <w:ind w:right="52"/>
              <w:spacing w:after="0" w:line="149" w:lineRule="exact"/>
              <w:rPr>
                <w:sz w:val="20"/>
                <w:szCs w:val="20"/>
                <w:color w:val="auto"/>
              </w:rPr>
            </w:pPr>
            <w:r>
              <w:rPr>
                <w:rFonts w:ascii="Arial" w:cs="Arial" w:eastAsia="Arial" w:hAnsi="Arial"/>
                <w:sz w:val="14"/>
                <w:szCs w:val="14"/>
                <w:color w:val="auto"/>
              </w:rPr>
              <w:t>$</w:t>
            </w: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0.3</w:t>
            </w:r>
          </w:p>
        </w:tc>
        <w:tc>
          <w:tcPr>
            <w:tcW w:w="2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tcPr>
          <w:p>
            <w:pPr>
              <w:jc w:val="right"/>
              <w:ind w:right="292"/>
              <w:spacing w:after="0" w:line="149" w:lineRule="exact"/>
              <w:rPr>
                <w:sz w:val="20"/>
                <w:szCs w:val="20"/>
                <w:color w:val="auto"/>
              </w:rPr>
            </w:pPr>
            <w:r>
              <w:rPr>
                <w:rFonts w:ascii="Arial" w:cs="Arial" w:eastAsia="Arial" w:hAnsi="Arial"/>
                <w:sz w:val="14"/>
                <w:szCs w:val="14"/>
                <w:color w:val="auto"/>
              </w:rPr>
              <w:t>$</w:t>
            </w:r>
          </w:p>
        </w:tc>
        <w:tc>
          <w:tcPr>
            <w:tcW w:w="3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115.4</w:t>
            </w:r>
          </w:p>
        </w:tc>
        <w:tc>
          <w:tcPr>
            <w:tcW w:w="340" w:type="dxa"/>
            <w:vAlign w:val="bottom"/>
            <w:gridSpan w:val="2"/>
          </w:tcPr>
          <w:p>
            <w:pPr>
              <w:jc w:val="right"/>
              <w:ind w:right="32"/>
              <w:spacing w:after="0" w:line="149" w:lineRule="exact"/>
              <w:rPr>
                <w:sz w:val="20"/>
                <w:szCs w:val="20"/>
                <w:color w:val="auto"/>
              </w:rPr>
            </w:pPr>
            <w:r>
              <w:rPr>
                <w:rFonts w:ascii="Arial" w:cs="Arial" w:eastAsia="Arial" w:hAnsi="Arial"/>
                <w:sz w:val="14"/>
                <w:szCs w:val="14"/>
                <w:color w:val="auto"/>
              </w:rPr>
              <w:t>$</w:t>
            </w: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0.3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06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Non-U.S. governments</w:t>
            </w: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17.3</w:t>
            </w:r>
          </w:p>
        </w:tc>
        <w:tc>
          <w:tcPr>
            <w:tcW w:w="1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0.2</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13.4</w:t>
            </w: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0.7</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30.7</w:t>
            </w: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060" w:type="dxa"/>
            <w:vAlign w:val="bottom"/>
          </w:tcPr>
          <w:p>
            <w:pPr>
              <w:ind w:left="140"/>
              <w:spacing w:after="0" w:line="149" w:lineRule="exact"/>
              <w:rPr>
                <w:sz w:val="20"/>
                <w:szCs w:val="20"/>
                <w:color w:val="auto"/>
              </w:rPr>
            </w:pPr>
            <w:r>
              <w:rPr>
                <w:rFonts w:ascii="Arial" w:cs="Arial" w:eastAsia="Arial" w:hAnsi="Arial"/>
                <w:sz w:val="14"/>
                <w:szCs w:val="14"/>
                <w:color w:val="auto"/>
              </w:rPr>
              <w:t>States and political subdivisions</w:t>
            </w: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235.3</w:t>
            </w: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2.1</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8.8</w:t>
            </w:r>
          </w:p>
        </w:tc>
        <w:tc>
          <w:tcPr>
            <w:tcW w:w="1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320" w:type="dxa"/>
            <w:vAlign w:val="bottom"/>
          </w:tcPr>
          <w:p>
            <w:pPr>
              <w:jc w:val="right"/>
              <w:spacing w:after="0" w:line="149" w:lineRule="exact"/>
              <w:rPr>
                <w:sz w:val="20"/>
                <w:szCs w:val="20"/>
                <w:color w:val="auto"/>
              </w:rPr>
            </w:pPr>
            <w:r>
              <w:rPr>
                <w:rFonts w:ascii="Arial" w:cs="Arial" w:eastAsia="Arial" w:hAnsi="Arial"/>
                <w:sz w:val="14"/>
                <w:szCs w:val="14"/>
                <w:color w:val="auto"/>
              </w:rPr>
              <w:t>0.6</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244.1</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2.7</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06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Corporate</w:t>
            </w: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831.8</w:t>
            </w:r>
          </w:p>
        </w:tc>
        <w:tc>
          <w:tcPr>
            <w:tcW w:w="1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10.6</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1,961.7</w:t>
            </w: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85"/>
              </w:rPr>
              <w:t>309.3</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2,793.5</w:t>
            </w: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319.9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060" w:type="dxa"/>
            <w:vAlign w:val="bottom"/>
          </w:tcPr>
          <w:p>
            <w:pPr>
              <w:ind w:left="140"/>
              <w:spacing w:after="0" w:line="149" w:lineRule="exact"/>
              <w:rPr>
                <w:sz w:val="20"/>
                <w:szCs w:val="20"/>
                <w:color w:val="auto"/>
              </w:rPr>
            </w:pPr>
            <w:r>
              <w:rPr>
                <w:rFonts w:ascii="Arial" w:cs="Arial" w:eastAsia="Arial" w:hAnsi="Arial"/>
                <w:sz w:val="14"/>
                <w:szCs w:val="14"/>
                <w:color w:val="auto"/>
              </w:rPr>
              <w:t>Residential mortgage-backed pass- through securities</w:t>
            </w: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70.4</w:t>
            </w: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0.3</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2.4</w:t>
            </w:r>
          </w:p>
        </w:tc>
        <w:tc>
          <w:tcPr>
            <w:tcW w:w="1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320" w:type="dxa"/>
            <w:vAlign w:val="bottom"/>
          </w:tcPr>
          <w:p>
            <w:pPr>
              <w:jc w:val="right"/>
              <w:spacing w:after="0" w:line="149" w:lineRule="exact"/>
              <w:rPr>
                <w:sz w:val="20"/>
                <w:szCs w:val="20"/>
                <w:color w:val="auto"/>
              </w:rPr>
            </w:pPr>
            <w:r>
              <w:rPr>
                <w:rFonts w:ascii="Arial" w:cs="Arial" w:eastAsia="Arial" w:hAnsi="Arial"/>
                <w:sz w:val="14"/>
                <w:szCs w:val="14"/>
                <w:color w:val="auto"/>
              </w:rPr>
              <w:t>0.1</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72.8</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0.4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06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Commercial mortgage-backed securities</w:t>
            </w: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98.9</w:t>
            </w:r>
          </w:p>
        </w:tc>
        <w:tc>
          <w:tcPr>
            <w:tcW w:w="1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785.0</w:t>
            </w: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85"/>
              </w:rPr>
              <w:t>435.8</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883.9</w:t>
            </w: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439.1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060" w:type="dxa"/>
            <w:vAlign w:val="bottom"/>
          </w:tcPr>
          <w:p>
            <w:pPr>
              <w:ind w:left="140"/>
              <w:spacing w:after="0" w:line="149" w:lineRule="exact"/>
              <w:rPr>
                <w:sz w:val="20"/>
                <w:szCs w:val="20"/>
                <w:color w:val="auto"/>
              </w:rPr>
            </w:pPr>
            <w:r>
              <w:rPr>
                <w:rFonts w:ascii="Arial" w:cs="Arial" w:eastAsia="Arial" w:hAnsi="Arial"/>
                <w:sz w:val="14"/>
                <w:szCs w:val="14"/>
                <w:color w:val="auto"/>
              </w:rPr>
              <w:t>Collateralized debt obligations</w:t>
            </w: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72.2</w:t>
            </w: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1.0</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133.8</w:t>
            </w:r>
          </w:p>
        </w:tc>
        <w:tc>
          <w:tcPr>
            <w:tcW w:w="1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320" w:type="dxa"/>
            <w:vAlign w:val="bottom"/>
          </w:tcPr>
          <w:p>
            <w:pPr>
              <w:jc w:val="right"/>
              <w:spacing w:after="0" w:line="149" w:lineRule="exact"/>
              <w:rPr>
                <w:sz w:val="20"/>
                <w:szCs w:val="20"/>
                <w:color w:val="auto"/>
              </w:rPr>
            </w:pPr>
            <w:r>
              <w:rPr>
                <w:rFonts w:ascii="Arial" w:cs="Arial" w:eastAsia="Arial" w:hAnsi="Arial"/>
                <w:sz w:val="14"/>
                <w:szCs w:val="14"/>
                <w:color w:val="auto"/>
              </w:rPr>
              <w:t>55.6</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206.0</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56.6</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06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Other debt obligations</w:t>
            </w:r>
          </w:p>
        </w:tc>
        <w:tc>
          <w:tcPr>
            <w:tcW w:w="120" w:type="dxa"/>
            <w:vAlign w:val="bottom"/>
            <w:tcBorders>
              <w:bottom w:val="single" w:sz="8" w:color="auto"/>
            </w:tcBorders>
            <w:shd w:val="clear" w:color="auto" w:fill="CCEEFF"/>
          </w:tcPr>
          <w:p>
            <w:pPr>
              <w:spacing w:after="0"/>
              <w:rPr>
                <w:sz w:val="12"/>
                <w:szCs w:val="12"/>
                <w:color w:val="auto"/>
              </w:rPr>
            </w:pPr>
          </w:p>
        </w:tc>
        <w:tc>
          <w:tcPr>
            <w:tcW w:w="5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235.6</w:t>
            </w:r>
          </w:p>
        </w:tc>
        <w:tc>
          <w:tcPr>
            <w:tcW w:w="160" w:type="dxa"/>
            <w:vAlign w:val="bottom"/>
            <w:shd w:val="clear" w:color="auto" w:fill="CCEEFF"/>
          </w:tcPr>
          <w:p>
            <w:pPr>
              <w:spacing w:after="0"/>
              <w:rPr>
                <w:sz w:val="12"/>
                <w:szCs w:val="12"/>
                <w:color w:val="auto"/>
              </w:rPr>
            </w:pPr>
          </w:p>
        </w:tc>
        <w:tc>
          <w:tcPr>
            <w:tcW w:w="20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2.0</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414.9</w:t>
            </w:r>
          </w:p>
        </w:tc>
        <w:tc>
          <w:tcPr>
            <w:tcW w:w="160" w:type="dxa"/>
            <w:vAlign w:val="bottom"/>
            <w:shd w:val="clear" w:color="auto" w:fill="CCEEFF"/>
          </w:tcPr>
          <w:p>
            <w:pPr>
              <w:spacing w:after="0"/>
              <w:rPr>
                <w:sz w:val="12"/>
                <w:szCs w:val="12"/>
                <w:color w:val="auto"/>
              </w:rPr>
            </w:pPr>
          </w:p>
        </w:tc>
        <w:tc>
          <w:tcPr>
            <w:tcW w:w="440" w:type="dxa"/>
            <w:vAlign w:val="bottom"/>
            <w:tcBorders>
              <w:bottom w:val="single" w:sz="8" w:color="auto"/>
            </w:tcBorders>
            <w:shd w:val="clear" w:color="auto" w:fill="CCEEFF"/>
          </w:tcPr>
          <w:p>
            <w:pPr>
              <w:spacing w:after="0"/>
              <w:rPr>
                <w:sz w:val="12"/>
                <w:szCs w:val="12"/>
                <w:color w:val="auto"/>
              </w:rPr>
            </w:pPr>
          </w:p>
        </w:tc>
        <w:tc>
          <w:tcPr>
            <w:tcW w:w="3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49.2</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650.5</w:t>
            </w:r>
          </w:p>
        </w:tc>
        <w:tc>
          <w:tcPr>
            <w:tcW w:w="160" w:type="dxa"/>
            <w:vAlign w:val="bottom"/>
            <w:shd w:val="clear" w:color="auto" w:fill="CCEEFF"/>
          </w:tcPr>
          <w:p>
            <w:pPr>
              <w:spacing w:after="0"/>
              <w:rPr>
                <w:sz w:val="12"/>
                <w:szCs w:val="12"/>
                <w:color w:val="auto"/>
              </w:rPr>
            </w:pPr>
          </w:p>
        </w:tc>
        <w:tc>
          <w:tcPr>
            <w:tcW w:w="18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51.2</w:t>
            </w:r>
          </w:p>
        </w:tc>
        <w:tc>
          <w:tcPr>
            <w:tcW w:w="160" w:type="dxa"/>
            <w:vAlign w:val="bottom"/>
            <w:shd w:val="clear" w:color="auto" w:fill="CCEEFF"/>
          </w:tcPr>
          <w:p>
            <w:pPr>
              <w:spacing w:after="0"/>
              <w:rPr>
                <w:sz w:val="12"/>
                <w:szCs w:val="12"/>
                <w:color w:val="auto"/>
              </w:rPr>
            </w:pPr>
          </w:p>
        </w:tc>
      </w:tr>
      <w:tr>
        <w:trPr>
          <w:trHeight w:val="142"/>
        </w:trPr>
        <w:tc>
          <w:tcPr>
            <w:tcW w:w="4080" w:type="dxa"/>
            <w:vAlign w:val="bottom"/>
            <w:gridSpan w:val="2"/>
          </w:tcPr>
          <w:p>
            <w:pPr>
              <w:spacing w:after="0" w:line="142" w:lineRule="exact"/>
              <w:rPr>
                <w:sz w:val="20"/>
                <w:szCs w:val="20"/>
                <w:color w:val="auto"/>
              </w:rPr>
            </w:pPr>
            <w:r>
              <w:rPr>
                <w:rFonts w:ascii="Arial" w:cs="Arial" w:eastAsia="Arial" w:hAnsi="Arial"/>
                <w:sz w:val="14"/>
                <w:szCs w:val="14"/>
                <w:color w:val="auto"/>
              </w:rPr>
              <w:t>Total fixed maturities, available-for-sale</w:t>
            </w:r>
          </w:p>
        </w:tc>
        <w:tc>
          <w:tcPr>
            <w:tcW w:w="1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5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1,676.9</w:t>
            </w:r>
          </w:p>
        </w:tc>
        <w:tc>
          <w:tcPr>
            <w:tcW w:w="160" w:type="dxa"/>
            <w:vAlign w:val="bottom"/>
          </w:tcPr>
          <w:p>
            <w:pPr>
              <w:spacing w:after="0"/>
              <w:rPr>
                <w:sz w:val="12"/>
                <w:szCs w:val="12"/>
                <w:color w:val="auto"/>
              </w:rPr>
            </w:pPr>
          </w:p>
        </w:tc>
        <w:tc>
          <w:tcPr>
            <w:tcW w:w="200" w:type="dxa"/>
            <w:vAlign w:val="bottom"/>
            <w:tcBorders>
              <w:bottom w:val="single" w:sz="8" w:color="auto"/>
            </w:tcBorders>
          </w:tcPr>
          <w:p>
            <w:pPr>
              <w:jc w:val="right"/>
              <w:ind w:right="52"/>
              <w:spacing w:after="0" w:line="142" w:lineRule="exact"/>
              <w:rPr>
                <w:sz w:val="20"/>
                <w:szCs w:val="20"/>
                <w:color w:val="auto"/>
              </w:rPr>
            </w:pPr>
            <w:r>
              <w:rPr>
                <w:rFonts w:ascii="Arial" w:cs="Arial" w:eastAsia="Arial" w:hAnsi="Arial"/>
                <w:sz w:val="14"/>
                <w:szCs w:val="14"/>
                <w:color w:val="auto"/>
                <w:w w:val="76"/>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19.8</w:t>
            </w:r>
          </w:p>
        </w:tc>
        <w:tc>
          <w:tcPr>
            <w:tcW w:w="160" w:type="dxa"/>
            <w:vAlign w:val="bottom"/>
          </w:tcPr>
          <w:p>
            <w:pPr>
              <w:spacing w:after="0"/>
              <w:rPr>
                <w:sz w:val="12"/>
                <w:szCs w:val="12"/>
                <w:color w:val="auto"/>
              </w:rPr>
            </w:pPr>
          </w:p>
        </w:tc>
        <w:tc>
          <w:tcPr>
            <w:tcW w:w="1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5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3,320.0</w:t>
            </w:r>
          </w:p>
        </w:tc>
        <w:tc>
          <w:tcPr>
            <w:tcW w:w="160" w:type="dxa"/>
            <w:vAlign w:val="bottom"/>
          </w:tcPr>
          <w:p>
            <w:pPr>
              <w:spacing w:after="0"/>
              <w:rPr>
                <w:sz w:val="12"/>
                <w:szCs w:val="12"/>
                <w:color w:val="auto"/>
              </w:rPr>
            </w:pPr>
          </w:p>
        </w:tc>
        <w:tc>
          <w:tcPr>
            <w:tcW w:w="440" w:type="dxa"/>
            <w:vAlign w:val="bottom"/>
            <w:tcBorders>
              <w:bottom w:val="single" w:sz="8" w:color="auto"/>
            </w:tcBorders>
          </w:tcPr>
          <w:p>
            <w:pPr>
              <w:jc w:val="right"/>
              <w:ind w:right="292"/>
              <w:spacing w:after="0" w:line="142" w:lineRule="exact"/>
              <w:rPr>
                <w:sz w:val="20"/>
                <w:szCs w:val="20"/>
                <w:color w:val="auto"/>
              </w:rPr>
            </w:pPr>
            <w:r>
              <w:rPr>
                <w:rFonts w:ascii="Arial" w:cs="Arial" w:eastAsia="Arial" w:hAnsi="Arial"/>
                <w:sz w:val="14"/>
                <w:szCs w:val="14"/>
                <w:color w:val="auto"/>
                <w:w w:val="76"/>
              </w:rPr>
              <w:t>$</w:t>
            </w:r>
          </w:p>
        </w:tc>
        <w:tc>
          <w:tcPr>
            <w:tcW w:w="3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85"/>
              </w:rPr>
              <w:t>851.3</w:t>
            </w:r>
          </w:p>
        </w:tc>
        <w:tc>
          <w:tcPr>
            <w:tcW w:w="160" w:type="dxa"/>
            <w:vAlign w:val="bottom"/>
          </w:tcPr>
          <w:p>
            <w:pPr>
              <w:spacing w:after="0"/>
              <w:rPr>
                <w:sz w:val="12"/>
                <w:szCs w:val="12"/>
                <w:color w:val="auto"/>
              </w:rPr>
            </w:pPr>
          </w:p>
        </w:tc>
        <w:tc>
          <w:tcPr>
            <w:tcW w:w="1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5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4,996.9</w:t>
            </w:r>
          </w:p>
        </w:tc>
        <w:tc>
          <w:tcPr>
            <w:tcW w:w="160" w:type="dxa"/>
            <w:vAlign w:val="bottom"/>
          </w:tcPr>
          <w:p>
            <w:pPr>
              <w:spacing w:after="0"/>
              <w:rPr>
                <w:sz w:val="12"/>
                <w:szCs w:val="12"/>
                <w:color w:val="auto"/>
              </w:rPr>
            </w:pPr>
          </w:p>
        </w:tc>
        <w:tc>
          <w:tcPr>
            <w:tcW w:w="180" w:type="dxa"/>
            <w:vAlign w:val="bottom"/>
            <w:tcBorders>
              <w:bottom w:val="single" w:sz="8" w:color="auto"/>
            </w:tcBorders>
          </w:tcPr>
          <w:p>
            <w:pPr>
              <w:jc w:val="right"/>
              <w:ind w:right="32"/>
              <w:spacing w:after="0" w:line="142" w:lineRule="exact"/>
              <w:rPr>
                <w:sz w:val="20"/>
                <w:szCs w:val="20"/>
                <w:color w:val="auto"/>
              </w:rPr>
            </w:pPr>
            <w:r>
              <w:rPr>
                <w:rFonts w:ascii="Arial" w:cs="Arial" w:eastAsia="Arial" w:hAnsi="Arial"/>
                <w:sz w:val="14"/>
                <w:szCs w:val="14"/>
                <w:color w:val="auto"/>
                <w:w w:val="76"/>
              </w:rPr>
              <w:t>$</w:t>
            </w:r>
          </w:p>
        </w:tc>
        <w:tc>
          <w:tcPr>
            <w:tcW w:w="5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871.1</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40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4060" w:type="dxa"/>
            <w:vAlign w:val="bottom"/>
            <w:shd w:val="clear" w:color="auto" w:fill="CCEEFF"/>
          </w:tcPr>
          <w:p>
            <w:pPr>
              <w:spacing w:after="0" w:line="129" w:lineRule="exact"/>
              <w:rPr>
                <w:sz w:val="20"/>
                <w:szCs w:val="20"/>
                <w:color w:val="auto"/>
              </w:rPr>
            </w:pPr>
            <w:r>
              <w:rPr>
                <w:rFonts w:ascii="Arial" w:cs="Arial" w:eastAsia="Arial" w:hAnsi="Arial"/>
                <w:sz w:val="14"/>
                <w:szCs w:val="14"/>
                <w:color w:val="auto"/>
              </w:rPr>
              <w:t>Total equity securities, available-for-sale</w:t>
            </w:r>
          </w:p>
        </w:tc>
        <w:tc>
          <w:tcPr>
            <w:tcW w:w="12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w w:val="76"/>
              </w:rPr>
              <w:t>$</w:t>
            </w:r>
          </w:p>
        </w:tc>
        <w:tc>
          <w:tcPr>
            <w:tcW w:w="50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rPr>
              <w:t>5.8</w:t>
            </w:r>
          </w:p>
        </w:tc>
        <w:tc>
          <w:tcPr>
            <w:tcW w:w="360" w:type="dxa"/>
            <w:vAlign w:val="bottom"/>
            <w:gridSpan w:val="2"/>
            <w:shd w:val="clear" w:color="auto" w:fill="CCEEFF"/>
          </w:tcPr>
          <w:p>
            <w:pPr>
              <w:jc w:val="right"/>
              <w:ind w:right="52"/>
              <w:spacing w:after="0" w:line="129"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rPr>
              <w:t>0.1</w:t>
            </w:r>
          </w:p>
        </w:tc>
        <w:tc>
          <w:tcPr>
            <w:tcW w:w="280" w:type="dxa"/>
            <w:vAlign w:val="bottom"/>
            <w:gridSpan w:val="2"/>
            <w:shd w:val="clear" w:color="auto" w:fill="CCEEFF"/>
          </w:tcPr>
          <w:p>
            <w:pPr>
              <w:jc w:val="right"/>
              <w:spacing w:after="0" w:line="129"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rPr>
              <w:t>52.9</w:t>
            </w:r>
          </w:p>
        </w:tc>
        <w:tc>
          <w:tcPr>
            <w:tcW w:w="600" w:type="dxa"/>
            <w:vAlign w:val="bottom"/>
            <w:gridSpan w:val="2"/>
            <w:shd w:val="clear" w:color="auto" w:fill="CCEEFF"/>
          </w:tcPr>
          <w:p>
            <w:pPr>
              <w:jc w:val="right"/>
              <w:ind w:right="292"/>
              <w:spacing w:after="0" w:line="129" w:lineRule="exact"/>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rPr>
              <w:t>8.4</w:t>
            </w:r>
          </w:p>
        </w:tc>
        <w:tc>
          <w:tcPr>
            <w:tcW w:w="280" w:type="dxa"/>
            <w:vAlign w:val="bottom"/>
            <w:gridSpan w:val="2"/>
            <w:shd w:val="clear" w:color="auto" w:fill="CCEEFF"/>
          </w:tcPr>
          <w:p>
            <w:pPr>
              <w:jc w:val="right"/>
              <w:spacing w:after="0" w:line="129"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rPr>
              <w:t>58.7</w:t>
            </w:r>
          </w:p>
        </w:tc>
        <w:tc>
          <w:tcPr>
            <w:tcW w:w="340" w:type="dxa"/>
            <w:vAlign w:val="bottom"/>
            <w:gridSpan w:val="2"/>
            <w:shd w:val="clear" w:color="auto" w:fill="CCEEFF"/>
          </w:tcPr>
          <w:p>
            <w:pPr>
              <w:jc w:val="right"/>
              <w:ind w:right="32"/>
              <w:spacing w:after="0" w:line="129" w:lineRule="exact"/>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rPr>
              <w:t>8.5</w:t>
            </w:r>
          </w:p>
        </w:tc>
        <w:tc>
          <w:tcPr>
            <w:tcW w:w="160" w:type="dxa"/>
            <w:vAlign w:val="bottom"/>
            <w:shd w:val="clear" w:color="auto" w:fill="CCEEFF"/>
          </w:tcPr>
          <w:p>
            <w:pPr>
              <w:spacing w:after="0"/>
              <w:rPr>
                <w:sz w:val="11"/>
                <w:szCs w:val="11"/>
                <w:color w:val="auto"/>
              </w:rPr>
            </w:pPr>
          </w:p>
        </w:tc>
      </w:tr>
      <w:tr>
        <w:trPr>
          <w:trHeight w:val="20"/>
        </w:trPr>
        <w:tc>
          <w:tcPr>
            <w:tcW w:w="20" w:type="dxa"/>
            <w:vAlign w:val="bottom"/>
          </w:tcPr>
          <w:p>
            <w:pPr>
              <w:spacing w:after="0" w:line="20" w:lineRule="exact"/>
              <w:rPr>
                <w:sz w:val="1"/>
                <w:szCs w:val="1"/>
                <w:color w:val="auto"/>
              </w:rPr>
            </w:pPr>
          </w:p>
        </w:tc>
        <w:tc>
          <w:tcPr>
            <w:tcW w:w="40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firstLine="355"/>
        <w:spacing w:after="0" w:line="255" w:lineRule="auto"/>
        <w:rPr>
          <w:sz w:val="20"/>
          <w:szCs w:val="20"/>
          <w:color w:val="auto"/>
        </w:rPr>
      </w:pPr>
      <w:r>
        <w:rPr>
          <w:rFonts w:ascii="Arial" w:cs="Arial" w:eastAsia="Arial" w:hAnsi="Arial"/>
          <w:sz w:val="18"/>
          <w:szCs w:val="18"/>
          <w:color w:val="auto"/>
        </w:rPr>
        <w:t>Of the total amounts, Principal Life's consolidated portfolio represented $4,419.4 million in available-for-sale fixed maturities with gross unrealized losses of $825.7 million. Of those fixed maturity securities in Principal Life's consolidated portfolio with a gross unrealized loss position, 71% were investment grade (rated AAA through BBB-) with an average price of 84 (carrying value/amortized cost) at December 31, 2012. Gross unrealized losses in our fixed maturities portfolio decreased during the year ended December 31, 2012, due to a tightening of credit spreads, primarily in the corporate and commercial mortgage-backed securities sectors.</w:t>
      </w:r>
    </w:p>
    <w:p>
      <w:pPr>
        <w:spacing w:after="0" w:line="197" w:lineRule="exact"/>
        <w:rPr>
          <w:sz w:val="20"/>
          <w:szCs w:val="20"/>
          <w:color w:val="auto"/>
        </w:rPr>
      </w:pPr>
    </w:p>
    <w:p>
      <w:pPr>
        <w:jc w:val="both"/>
        <w:ind w:firstLine="488"/>
        <w:spacing w:after="0" w:line="298" w:lineRule="auto"/>
        <w:rPr>
          <w:sz w:val="20"/>
          <w:szCs w:val="20"/>
          <w:color w:val="auto"/>
        </w:rPr>
      </w:pPr>
      <w:r>
        <w:rPr>
          <w:rFonts w:ascii="Arial" w:cs="Arial" w:eastAsia="Arial" w:hAnsi="Arial"/>
          <w:sz w:val="16"/>
          <w:szCs w:val="16"/>
          <w:color w:val="auto"/>
        </w:rPr>
        <w:t>For those securities that had been in a continuous unrealized loss position for less than twelve months, Principal Life's consolidated portfolio held 224 securities with a carrying value of $1,382.1 million and unrealized losses of $16.2 million reflecting an average price of 99 at December 31, 2012. Of this portfolio, 89% was investment grade (rated AAA through BBB-) at December 31, 2012, with associated unrealized losses of $13.3 million. The unrealized losses on these securities can primarily be attributed to changes in market interest rates and changes in credit spreads since the securities were acquired.</w:t>
      </w:r>
    </w:p>
    <w:p>
      <w:pPr>
        <w:spacing w:after="0" w:line="167" w:lineRule="exact"/>
        <w:rPr>
          <w:sz w:val="20"/>
          <w:szCs w:val="20"/>
          <w:color w:val="auto"/>
        </w:rPr>
      </w:pPr>
    </w:p>
    <w:p>
      <w:pPr>
        <w:jc w:val="both"/>
        <w:ind w:firstLine="365"/>
        <w:spacing w:after="0" w:line="291" w:lineRule="auto"/>
        <w:rPr>
          <w:sz w:val="20"/>
          <w:szCs w:val="20"/>
          <w:color w:val="auto"/>
        </w:rPr>
      </w:pPr>
      <w:r>
        <w:rPr>
          <w:rFonts w:ascii="Arial" w:cs="Arial" w:eastAsia="Arial" w:hAnsi="Arial"/>
          <w:sz w:val="16"/>
          <w:szCs w:val="16"/>
          <w:color w:val="auto"/>
        </w:rPr>
        <w:t>For those securities that had been in a continuous unrealized loss position greater than or equal to twelve months, Principal Life's consolidated portfolio held 488 securities with a carrying value of $3,037.3 million and unrealized losses of $809.5 million. The average rating of this portfolio was BBB- with an average price of 79 at December 31, 2012. Of the $809.5 million in unrealized losses, the commercial mortgage-backed securities sector accounts for $435.8 million in unrealized losses with an average price of 64 and an average credit rating of BB+. The remaining unrealized losses consist primarily of $268.1 million within the corporate sector at December 31, 2012. The average price of the corporate sector was 86 and the average credit rating was BBB. The unrealized losses on these securities can primarily be attributed to changes in market interest rates and changes in credit spreads since the securities were acquired.</w:t>
      </w:r>
    </w:p>
    <w:p>
      <w:pPr>
        <w:spacing w:after="0" w:line="174" w:lineRule="exact"/>
        <w:rPr>
          <w:sz w:val="20"/>
          <w:szCs w:val="20"/>
          <w:color w:val="auto"/>
        </w:rPr>
      </w:pPr>
    </w:p>
    <w:p>
      <w:pPr>
        <w:jc w:val="both"/>
        <w:ind w:firstLine="395"/>
        <w:spacing w:after="0" w:line="259" w:lineRule="auto"/>
        <w:rPr>
          <w:sz w:val="20"/>
          <w:szCs w:val="20"/>
          <w:color w:val="auto"/>
        </w:rPr>
      </w:pPr>
      <w:r>
        <w:rPr>
          <w:rFonts w:ascii="Arial" w:cs="Arial" w:eastAsia="Arial" w:hAnsi="Arial"/>
          <w:sz w:val="18"/>
          <w:szCs w:val="18"/>
          <w:color w:val="auto"/>
        </w:rPr>
        <w:t>Because we expected to recover our amortized cost, it was not our intent to sell the fixed maturity available-for-sale securities with unrealized losses and it was not more likely than not that we would be required to sell these securities before recovery of the amortized cost, which may be maturity, we did not consider these investments to be other-than-temporarily impaired at December 31, 2012.</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8" w:name="page119"/>
    <w:bookmarkEnd w:id="11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Investments — (continued)</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Unrealized Gains and Losses on Available-for-Sale Securities and Derivative Instruments</w:t>
      </w:r>
    </w:p>
    <w:p>
      <w:pPr>
        <w:spacing w:after="0" w:line="231" w:lineRule="exact"/>
        <w:rPr>
          <w:sz w:val="20"/>
          <w:szCs w:val="20"/>
          <w:color w:val="auto"/>
        </w:rPr>
      </w:pPr>
    </w:p>
    <w:p>
      <w:pPr>
        <w:jc w:val="both"/>
        <w:ind w:firstLine="435"/>
        <w:spacing w:after="0" w:line="298" w:lineRule="auto"/>
        <w:rPr>
          <w:sz w:val="20"/>
          <w:szCs w:val="20"/>
          <w:color w:val="auto"/>
        </w:rPr>
      </w:pPr>
      <w:r>
        <w:rPr>
          <w:rFonts w:ascii="Arial" w:cs="Arial" w:eastAsia="Arial" w:hAnsi="Arial"/>
          <w:sz w:val="16"/>
          <w:szCs w:val="16"/>
          <w:color w:val="auto"/>
        </w:rPr>
        <w:t>The net unrealized gains and losses on investments in fixed maturities available-for-sale, equity securities available-for-sale and derivative instruments in cash flow hedge relationships are reported as a separate component of stockholders' equity. The cumulative amount of net unrealized gains and losses on available-for-sale securities and derivative instruments in cash flow hedge relationships net of adjustments related to DAC, reinsurance assets or liabilities, sales inducements, unearned revenue reserves, changes in policyholder liabilities and applicable income taxes was as follows:</w:t>
      </w:r>
    </w:p>
    <w:p>
      <w:pPr>
        <w:spacing w:after="0" w:line="16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2013</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2012</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44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ind w:right="5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1420" w:type="dxa"/>
            <w:vAlign w:val="bottom"/>
            <w:gridSpan w:val="3"/>
          </w:tcPr>
          <w:p>
            <w:pPr>
              <w:jc w:val="right"/>
              <w:ind w:right="952"/>
              <w:spacing w:after="0"/>
              <w:rPr>
                <w:sz w:val="20"/>
                <w:szCs w:val="20"/>
                <w:color w:val="auto"/>
              </w:rPr>
            </w:pPr>
            <w:r>
              <w:rPr>
                <w:rFonts w:ascii="Arial" w:cs="Arial" w:eastAsia="Arial" w:hAnsi="Arial"/>
                <w:sz w:val="12"/>
                <w:szCs w:val="12"/>
                <w:b w:val="1"/>
                <w:bCs w:val="1"/>
                <w:i w:val="1"/>
                <w:iCs w:val="1"/>
                <w:color w:val="auto"/>
                <w:w w:val="76"/>
              </w:rPr>
              <w:t>millions)</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5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Net unrealized gains on fixed maturities, available-for-sale (1)</w:t>
            </w:r>
          </w:p>
        </w:tc>
        <w:tc>
          <w:tcPr>
            <w:tcW w:w="76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2,064.0</w:t>
            </w:r>
          </w:p>
        </w:tc>
        <w:tc>
          <w:tcPr>
            <w:tcW w:w="8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3,562.5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580" w:type="dxa"/>
            <w:vAlign w:val="bottom"/>
            <w:gridSpan w:val="2"/>
          </w:tcPr>
          <w:p>
            <w:pPr>
              <w:spacing w:after="0" w:line="149" w:lineRule="exact"/>
              <w:rPr>
                <w:sz w:val="20"/>
                <w:szCs w:val="20"/>
                <w:color w:val="auto"/>
              </w:rPr>
            </w:pPr>
            <w:r>
              <w:rPr>
                <w:rFonts w:ascii="Arial" w:cs="Arial" w:eastAsia="Arial" w:hAnsi="Arial"/>
                <w:sz w:val="14"/>
                <w:szCs w:val="14"/>
                <w:color w:val="auto"/>
              </w:rPr>
              <w:t>Noncredit component of impairment losses on fixed maturities, available-for-sale</w:t>
            </w: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(277.5)</w:t>
            </w:r>
          </w:p>
        </w:tc>
        <w:tc>
          <w:tcPr>
            <w:tcW w:w="140" w:type="dxa"/>
            <w:vAlign w:val="bottom"/>
          </w:tcPr>
          <w:p>
            <w:pPr>
              <w:spacing w:after="0"/>
              <w:rPr>
                <w:sz w:val="12"/>
                <w:szCs w:val="12"/>
                <w:color w:val="auto"/>
              </w:rPr>
            </w:pPr>
          </w:p>
        </w:tc>
        <w:tc>
          <w:tcPr>
            <w:tcW w:w="13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(302.0)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5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Net unrealized gains (losses) on equity securities, available-for-sale</w:t>
            </w:r>
          </w:p>
        </w:tc>
        <w:tc>
          <w:tcPr>
            <w:tcW w:w="6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(3.3)</w:t>
            </w:r>
          </w:p>
        </w:tc>
        <w:tc>
          <w:tcPr>
            <w:tcW w:w="140" w:type="dxa"/>
            <w:vAlign w:val="bottom"/>
            <w:tcBorders>
              <w:right w:val="single" w:sz="8" w:color="CCEEFF"/>
            </w:tcBorders>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580" w:type="dxa"/>
            <w:vAlign w:val="bottom"/>
            <w:gridSpan w:val="2"/>
          </w:tcPr>
          <w:p>
            <w:pPr>
              <w:spacing w:after="0" w:line="149" w:lineRule="exact"/>
              <w:rPr>
                <w:sz w:val="20"/>
                <w:szCs w:val="20"/>
                <w:color w:val="auto"/>
              </w:rPr>
            </w:pPr>
            <w:r>
              <w:rPr>
                <w:rFonts w:ascii="Arial" w:cs="Arial" w:eastAsia="Arial" w:hAnsi="Arial"/>
                <w:sz w:val="14"/>
                <w:szCs w:val="14"/>
                <w:color w:val="auto"/>
              </w:rPr>
              <w:t>Adjustments for assumed changes in amortization patterns</w:t>
            </w: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(265.9)</w:t>
            </w:r>
          </w:p>
        </w:tc>
        <w:tc>
          <w:tcPr>
            <w:tcW w:w="140" w:type="dxa"/>
            <w:vAlign w:val="bottom"/>
          </w:tcPr>
          <w:p>
            <w:pPr>
              <w:spacing w:after="0"/>
              <w:rPr>
                <w:sz w:val="12"/>
                <w:szCs w:val="12"/>
                <w:color w:val="auto"/>
              </w:rPr>
            </w:pPr>
          </w:p>
        </w:tc>
        <w:tc>
          <w:tcPr>
            <w:tcW w:w="13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(515.2)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5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Adjustments for assumed changes in policyholder liabilities</w:t>
            </w:r>
          </w:p>
        </w:tc>
        <w:tc>
          <w:tcPr>
            <w:tcW w:w="6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(602.5)</w:t>
            </w:r>
          </w:p>
        </w:tc>
        <w:tc>
          <w:tcPr>
            <w:tcW w:w="140" w:type="dxa"/>
            <w:vAlign w:val="bottom"/>
            <w:tcBorders>
              <w:right w:val="single" w:sz="8" w:color="CCEEFF"/>
            </w:tcBorders>
            <w:shd w:val="clear" w:color="auto" w:fill="CCEEFF"/>
          </w:tcPr>
          <w:p>
            <w:pPr>
              <w:spacing w:after="0"/>
              <w:rPr>
                <w:sz w:val="12"/>
                <w:szCs w:val="12"/>
                <w:color w:val="auto"/>
              </w:rPr>
            </w:pPr>
          </w:p>
        </w:tc>
        <w:tc>
          <w:tcPr>
            <w:tcW w:w="13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(1,198.7)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580" w:type="dxa"/>
            <w:vAlign w:val="bottom"/>
            <w:gridSpan w:val="2"/>
          </w:tcPr>
          <w:p>
            <w:pPr>
              <w:spacing w:after="0" w:line="149" w:lineRule="exact"/>
              <w:rPr>
                <w:sz w:val="20"/>
                <w:szCs w:val="20"/>
                <w:color w:val="auto"/>
              </w:rPr>
            </w:pPr>
            <w:r>
              <w:rPr>
                <w:rFonts w:ascii="Arial" w:cs="Arial" w:eastAsia="Arial" w:hAnsi="Arial"/>
                <w:sz w:val="14"/>
                <w:szCs w:val="14"/>
                <w:color w:val="auto"/>
              </w:rPr>
              <w:t>Net unrealized gains on derivative instruments</w:t>
            </w: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56.0</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90.7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5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w w:val="98"/>
              </w:rPr>
              <w:t>Net unrealized gains on equity method subsidiaries and noncontrolling interest adjustments</w:t>
            </w:r>
          </w:p>
        </w:tc>
        <w:tc>
          <w:tcPr>
            <w:tcW w:w="6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71.8</w:t>
            </w:r>
          </w:p>
        </w:tc>
        <w:tc>
          <w:tcPr>
            <w:tcW w:w="8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191.3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580" w:type="dxa"/>
            <w:vAlign w:val="bottom"/>
            <w:gridSpan w:val="2"/>
          </w:tcPr>
          <w:p>
            <w:pPr>
              <w:spacing w:after="0" w:line="149" w:lineRule="exact"/>
              <w:rPr>
                <w:sz w:val="20"/>
                <w:szCs w:val="20"/>
                <w:color w:val="auto"/>
              </w:rPr>
            </w:pPr>
            <w:r>
              <w:rPr>
                <w:rFonts w:ascii="Arial" w:cs="Arial" w:eastAsia="Arial" w:hAnsi="Arial"/>
                <w:sz w:val="14"/>
                <w:szCs w:val="14"/>
                <w:color w:val="auto"/>
              </w:rPr>
              <w:t>Provision for deferred income taxes</w:t>
            </w: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(342.0)</w:t>
            </w:r>
          </w:p>
        </w:tc>
        <w:tc>
          <w:tcPr>
            <w:tcW w:w="140" w:type="dxa"/>
            <w:vAlign w:val="bottom"/>
          </w:tcPr>
          <w:p>
            <w:pPr>
              <w:spacing w:after="0"/>
              <w:rPr>
                <w:sz w:val="12"/>
                <w:szCs w:val="12"/>
                <w:color w:val="auto"/>
              </w:rPr>
            </w:pPr>
          </w:p>
        </w:tc>
        <w:tc>
          <w:tcPr>
            <w:tcW w:w="13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(597.0)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446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558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Net unrealized gains on available-for-sale securities and derivative instruments</w:t>
            </w:r>
          </w:p>
        </w:tc>
        <w:tc>
          <w:tcPr>
            <w:tcW w:w="76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700.6</w:t>
            </w:r>
          </w:p>
        </w:tc>
        <w:tc>
          <w:tcPr>
            <w:tcW w:w="8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1,235.7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446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4460" w:type="dxa"/>
            <w:vAlign w:val="bottom"/>
          </w:tcPr>
          <w:p>
            <w:pPr>
              <w:spacing w:after="0"/>
              <w:rPr>
                <w:sz w:val="7"/>
                <w:szCs w:val="7"/>
                <w:color w:val="auto"/>
              </w:rPr>
            </w:pPr>
          </w:p>
        </w:tc>
        <w:tc>
          <w:tcPr>
            <w:tcW w:w="68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1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ind w:left="1680" w:hanging="531"/>
        <w:spacing w:after="0"/>
        <w:tabs>
          <w:tab w:leader="none" w:pos="1680" w:val="left"/>
        </w:tabs>
        <w:numPr>
          <w:ilvl w:val="0"/>
          <w:numId w:val="54"/>
        </w:numPr>
        <w:rPr>
          <w:rFonts w:ascii="Arial" w:cs="Arial" w:eastAsia="Arial" w:hAnsi="Arial"/>
          <w:sz w:val="14"/>
          <w:szCs w:val="14"/>
          <w:color w:val="auto"/>
        </w:rPr>
      </w:pPr>
      <w:r>
        <w:rPr>
          <w:rFonts w:ascii="Arial" w:cs="Arial" w:eastAsia="Arial" w:hAnsi="Arial"/>
          <w:sz w:val="14"/>
          <w:szCs w:val="14"/>
          <w:color w:val="auto"/>
        </w:rPr>
        <w:t>Excludes net unrealized gains (losses) on fixed maturities, available-for-sale included in fair value hedging relationships.</w:t>
      </w:r>
    </w:p>
    <w:p>
      <w:pPr>
        <w:spacing w:after="0" w:line="200" w:lineRule="exact"/>
        <w:rPr>
          <w:sz w:val="20"/>
          <w:szCs w:val="20"/>
          <w:color w:val="auto"/>
        </w:rPr>
      </w:pP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Mortgage Loans</w:t>
      </w:r>
    </w:p>
    <w:p>
      <w:pPr>
        <w:spacing w:after="0" w:line="231" w:lineRule="exact"/>
        <w:rPr>
          <w:sz w:val="20"/>
          <w:szCs w:val="20"/>
          <w:color w:val="auto"/>
        </w:rPr>
      </w:pPr>
    </w:p>
    <w:p>
      <w:pPr>
        <w:jc w:val="both"/>
        <w:ind w:firstLine="366"/>
        <w:spacing w:after="0" w:line="298" w:lineRule="auto"/>
        <w:rPr>
          <w:sz w:val="20"/>
          <w:szCs w:val="20"/>
          <w:color w:val="auto"/>
        </w:rPr>
      </w:pPr>
      <w:r>
        <w:rPr>
          <w:rFonts w:ascii="Arial" w:cs="Arial" w:eastAsia="Arial" w:hAnsi="Arial"/>
          <w:sz w:val="16"/>
          <w:szCs w:val="16"/>
          <w:color w:val="auto"/>
        </w:rPr>
        <w:t>Mortgage loans consist of commercial and residential mortgage loans. We evaluate risks inherent in our commercial mortgage loans in two classes: (1) brick and mortar property loans, where we analyze the property's rent payments as support for the loan, and (2) credit tenant loans ("CTL"), where we rely on the credit analysis of the tenant for the repayment of the loan. We evaluate risks inherent in our residential mortgage loan portfolio in two classes: (1) home equity mortgages and (2) first lien mortgages. The carrying amount of our mortgage loan portfolio was as follows:</w:t>
      </w:r>
    </w:p>
    <w:p>
      <w:pPr>
        <w:spacing w:after="0" w:line="16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88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2013</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2012</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88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ind w:right="5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1420" w:type="dxa"/>
            <w:vAlign w:val="bottom"/>
            <w:gridSpan w:val="3"/>
          </w:tcPr>
          <w:p>
            <w:pPr>
              <w:jc w:val="right"/>
              <w:ind w:right="952"/>
              <w:spacing w:after="0"/>
              <w:rPr>
                <w:sz w:val="20"/>
                <w:szCs w:val="20"/>
                <w:color w:val="auto"/>
              </w:rPr>
            </w:pPr>
            <w:r>
              <w:rPr>
                <w:rFonts w:ascii="Arial" w:cs="Arial" w:eastAsia="Arial" w:hAnsi="Arial"/>
                <w:sz w:val="12"/>
                <w:szCs w:val="12"/>
                <w:b w:val="1"/>
                <w:bCs w:val="1"/>
                <w:i w:val="1"/>
                <w:iCs w:val="1"/>
                <w:color w:val="auto"/>
                <w:w w:val="76"/>
              </w:rPr>
              <w:t>millions)</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Commercial mortgage loans</w:t>
            </w:r>
          </w:p>
        </w:tc>
        <w:tc>
          <w:tcPr>
            <w:tcW w:w="246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10,327.7</w:t>
            </w:r>
          </w:p>
        </w:tc>
        <w:tc>
          <w:tcPr>
            <w:tcW w:w="8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10,235.1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80" w:type="dxa"/>
            <w:vAlign w:val="bottom"/>
          </w:tcPr>
          <w:p>
            <w:pPr>
              <w:spacing w:after="0" w:line="149" w:lineRule="exact"/>
              <w:rPr>
                <w:sz w:val="20"/>
                <w:szCs w:val="20"/>
                <w:color w:val="auto"/>
              </w:rPr>
            </w:pPr>
            <w:r>
              <w:rPr>
                <w:rFonts w:ascii="Arial" w:cs="Arial" w:eastAsia="Arial" w:hAnsi="Arial"/>
                <w:sz w:val="14"/>
                <w:szCs w:val="14"/>
                <w:color w:val="auto"/>
              </w:rPr>
              <w:t>Residential mortgage loans</w:t>
            </w:r>
          </w:p>
        </w:tc>
        <w:tc>
          <w:tcPr>
            <w:tcW w:w="238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1,275.7</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1,382.0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88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amortized cost</w:t>
            </w:r>
          </w:p>
        </w:tc>
        <w:tc>
          <w:tcPr>
            <w:tcW w:w="23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11,603.4</w:t>
            </w:r>
          </w:p>
        </w:tc>
        <w:tc>
          <w:tcPr>
            <w:tcW w:w="8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11,617.1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80" w:type="dxa"/>
            <w:vAlign w:val="bottom"/>
          </w:tcPr>
          <w:p>
            <w:pPr>
              <w:spacing w:after="0" w:line="149" w:lineRule="exact"/>
              <w:rPr>
                <w:sz w:val="20"/>
                <w:szCs w:val="20"/>
                <w:color w:val="auto"/>
              </w:rPr>
            </w:pPr>
            <w:r>
              <w:rPr>
                <w:rFonts w:ascii="Arial" w:cs="Arial" w:eastAsia="Arial" w:hAnsi="Arial"/>
                <w:sz w:val="14"/>
                <w:szCs w:val="14"/>
                <w:color w:val="auto"/>
              </w:rPr>
              <w:t>Valuation allowance</w:t>
            </w:r>
          </w:p>
        </w:tc>
        <w:tc>
          <w:tcPr>
            <w:tcW w:w="23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(69.8)</w:t>
            </w:r>
          </w:p>
        </w:tc>
        <w:tc>
          <w:tcPr>
            <w:tcW w:w="140" w:type="dxa"/>
            <w:vAlign w:val="bottom"/>
          </w:tcPr>
          <w:p>
            <w:pPr>
              <w:spacing w:after="0"/>
              <w:rPr>
                <w:sz w:val="12"/>
                <w:szCs w:val="12"/>
                <w:color w:val="auto"/>
              </w:rPr>
            </w:pPr>
          </w:p>
        </w:tc>
        <w:tc>
          <w:tcPr>
            <w:tcW w:w="13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(97.4)</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88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38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 carrying value</w:t>
            </w:r>
          </w:p>
        </w:tc>
        <w:tc>
          <w:tcPr>
            <w:tcW w:w="246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11,533.6</w:t>
            </w:r>
          </w:p>
        </w:tc>
        <w:tc>
          <w:tcPr>
            <w:tcW w:w="8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11,519.7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88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firstLine="370"/>
        <w:spacing w:after="0" w:line="298" w:lineRule="auto"/>
        <w:rPr>
          <w:sz w:val="20"/>
          <w:szCs w:val="20"/>
          <w:color w:val="auto"/>
        </w:rPr>
      </w:pPr>
      <w:r>
        <w:rPr>
          <w:rFonts w:ascii="Arial" w:cs="Arial" w:eastAsia="Arial" w:hAnsi="Arial"/>
          <w:sz w:val="16"/>
          <w:szCs w:val="16"/>
          <w:color w:val="auto"/>
        </w:rPr>
        <w:t>We periodically purchase mortgage loans as well as sell mortgage loans we have originated. We purchased $157.2 million, $153.0 million and $40.6 million of residential mortgage loans in 2013, 2012 and 2011, respectively. We sold $0.0 million, $14.2 million and $18.4 million of residential mortgage loans in 2013, 2012 and 2011, respectively. We purchased $166.1 million, $149.1 million and $50.3 million of commercial mortgage loans in 2013, 2012 and 2011, respectively. We sold $13.0 million, $31.1 million and $0.0 million of commercial mortgage loans in 2013, 2012 and 2011, respectively.</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9" w:name="page120"/>
    <w:bookmarkEnd w:id="11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Investments — (continued)</w:t>
      </w:r>
    </w:p>
    <w:p>
      <w:pPr>
        <w:spacing w:after="0" w:line="231" w:lineRule="exact"/>
        <w:rPr>
          <w:sz w:val="20"/>
          <w:szCs w:val="20"/>
          <w:color w:val="auto"/>
        </w:rPr>
      </w:pPr>
    </w:p>
    <w:p>
      <w:pPr>
        <w:jc w:val="both"/>
        <w:ind w:firstLine="430"/>
        <w:spacing w:after="0" w:line="268" w:lineRule="auto"/>
        <w:rPr>
          <w:sz w:val="20"/>
          <w:szCs w:val="20"/>
          <w:color w:val="auto"/>
        </w:rPr>
      </w:pPr>
      <w:r>
        <w:rPr>
          <w:rFonts w:ascii="Arial" w:cs="Arial" w:eastAsia="Arial" w:hAnsi="Arial"/>
          <w:sz w:val="18"/>
          <w:szCs w:val="18"/>
          <w:color w:val="auto"/>
        </w:rPr>
        <w:t>Our commercial mortgage loan portfolio consists primarily of non-recourse, fixed rate mortgages on stabilized properties. Our commercial mortgage loan portfolio is diversified by geographic region and specific collateral property type as follows:</w:t>
      </w:r>
    </w:p>
    <w:p>
      <w:pPr>
        <w:spacing w:after="0" w:line="18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8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60" w:type="dxa"/>
            <w:vAlign w:val="bottom"/>
            <w:gridSpan w:val="3"/>
          </w:tcPr>
          <w:p>
            <w:pPr>
              <w:jc w:val="right"/>
              <w:ind w:right="132"/>
              <w:spacing w:after="0"/>
              <w:rPr>
                <w:sz w:val="20"/>
                <w:szCs w:val="20"/>
                <w:color w:val="auto"/>
              </w:rPr>
            </w:pPr>
            <w:r>
              <w:rPr>
                <w:rFonts w:ascii="Arial" w:cs="Arial" w:eastAsia="Arial" w:hAnsi="Arial"/>
                <w:sz w:val="14"/>
                <w:szCs w:val="14"/>
                <w:b w:val="1"/>
                <w:bCs w:val="1"/>
                <w:color w:val="auto"/>
                <w:w w:val="90"/>
              </w:rPr>
              <w:t>December 31, 2013</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20" w:type="dxa"/>
            <w:vAlign w:val="bottom"/>
            <w:gridSpan w:val="4"/>
          </w:tcPr>
          <w:p>
            <w:pPr>
              <w:jc w:val="right"/>
              <w:ind w:right="360"/>
              <w:spacing w:after="0"/>
              <w:rPr>
                <w:sz w:val="20"/>
                <w:szCs w:val="20"/>
                <w:color w:val="auto"/>
              </w:rPr>
            </w:pPr>
            <w:r>
              <w:rPr>
                <w:rFonts w:ascii="Arial" w:cs="Arial" w:eastAsia="Arial" w:hAnsi="Arial"/>
                <w:sz w:val="14"/>
                <w:szCs w:val="14"/>
                <w:b w:val="1"/>
                <w:bCs w:val="1"/>
                <w:color w:val="auto"/>
                <w:w w:val="90"/>
              </w:rPr>
              <w:t>December 31, 2012</w:t>
            </w:r>
          </w:p>
        </w:tc>
      </w:tr>
      <w:tr>
        <w:trPr>
          <w:trHeight w:val="129"/>
        </w:trPr>
        <w:tc>
          <w:tcPr>
            <w:tcW w:w="20" w:type="dxa"/>
            <w:vAlign w:val="bottom"/>
          </w:tcPr>
          <w:p>
            <w:pPr>
              <w:spacing w:after="0"/>
              <w:rPr>
                <w:sz w:val="11"/>
                <w:szCs w:val="11"/>
                <w:color w:val="auto"/>
              </w:rPr>
            </w:pPr>
          </w:p>
        </w:tc>
        <w:tc>
          <w:tcPr>
            <w:tcW w:w="5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tcBorders>
              <w:top w:val="single" w:sz="8" w:color="auto"/>
            </w:tcBorders>
            <w:gridSpan w:val="2"/>
          </w:tcPr>
          <w:p>
            <w:pPr>
              <w:jc w:val="right"/>
              <w:ind w:right="12"/>
              <w:spacing w:after="0" w:line="129" w:lineRule="exact"/>
              <w:rPr>
                <w:sz w:val="20"/>
                <w:szCs w:val="20"/>
                <w:color w:val="auto"/>
              </w:rPr>
            </w:pPr>
            <w:r>
              <w:rPr>
                <w:rFonts w:ascii="Arial" w:cs="Arial" w:eastAsia="Arial" w:hAnsi="Arial"/>
                <w:sz w:val="14"/>
                <w:szCs w:val="14"/>
                <w:b w:val="1"/>
                <w:bCs w:val="1"/>
                <w:color w:val="auto"/>
                <w:w w:val="93"/>
              </w:rPr>
              <w:t>Amortized</w:t>
            </w:r>
          </w:p>
        </w:tc>
        <w:tc>
          <w:tcPr>
            <w:tcW w:w="160" w:type="dxa"/>
            <w:vAlign w:val="bottom"/>
            <w:tcBorders>
              <w:top w:val="single" w:sz="8" w:color="auto"/>
            </w:tcBorders>
          </w:tcPr>
          <w:p>
            <w:pPr>
              <w:spacing w:after="0"/>
              <w:rPr>
                <w:sz w:val="11"/>
                <w:szCs w:val="11"/>
                <w:color w:val="auto"/>
              </w:rPr>
            </w:pPr>
          </w:p>
        </w:tc>
        <w:tc>
          <w:tcPr>
            <w:tcW w:w="580" w:type="dxa"/>
            <w:vAlign w:val="bottom"/>
            <w:tcBorders>
              <w:top w:val="single" w:sz="8" w:color="auto"/>
            </w:tcBorders>
          </w:tcPr>
          <w:p>
            <w:pPr>
              <w:jc w:val="right"/>
              <w:ind w:right="12"/>
              <w:spacing w:after="0" w:line="129" w:lineRule="exact"/>
              <w:rPr>
                <w:sz w:val="20"/>
                <w:szCs w:val="20"/>
                <w:color w:val="auto"/>
              </w:rPr>
            </w:pPr>
            <w:r>
              <w:rPr>
                <w:rFonts w:ascii="Arial" w:cs="Arial" w:eastAsia="Arial" w:hAnsi="Arial"/>
                <w:sz w:val="14"/>
                <w:szCs w:val="14"/>
                <w:b w:val="1"/>
                <w:bCs w:val="1"/>
                <w:color w:val="auto"/>
                <w:w w:val="93"/>
              </w:rPr>
              <w:t>Percent</w:t>
            </w:r>
          </w:p>
        </w:tc>
        <w:tc>
          <w:tcPr>
            <w:tcW w:w="160" w:type="dxa"/>
            <w:vAlign w:val="bottom"/>
          </w:tcPr>
          <w:p>
            <w:pPr>
              <w:spacing w:after="0"/>
              <w:rPr>
                <w:sz w:val="11"/>
                <w:szCs w:val="11"/>
                <w:color w:val="auto"/>
              </w:rPr>
            </w:pPr>
          </w:p>
        </w:tc>
        <w:tc>
          <w:tcPr>
            <w:tcW w:w="740" w:type="dxa"/>
            <w:vAlign w:val="bottom"/>
            <w:tcBorders>
              <w:top w:val="single" w:sz="8" w:color="auto"/>
            </w:tcBorders>
            <w:gridSpan w:val="2"/>
          </w:tcPr>
          <w:p>
            <w:pPr>
              <w:jc w:val="right"/>
              <w:spacing w:after="0" w:line="129" w:lineRule="exact"/>
              <w:rPr>
                <w:sz w:val="20"/>
                <w:szCs w:val="20"/>
                <w:color w:val="auto"/>
              </w:rPr>
            </w:pPr>
            <w:r>
              <w:rPr>
                <w:rFonts w:ascii="Arial" w:cs="Arial" w:eastAsia="Arial" w:hAnsi="Arial"/>
                <w:sz w:val="14"/>
                <w:szCs w:val="14"/>
                <w:b w:val="1"/>
                <w:bCs w:val="1"/>
                <w:color w:val="auto"/>
                <w:w w:val="96"/>
              </w:rPr>
              <w:t>Amortized</w:t>
            </w:r>
          </w:p>
        </w:tc>
        <w:tc>
          <w:tcPr>
            <w:tcW w:w="160" w:type="dxa"/>
            <w:vAlign w:val="bottom"/>
            <w:tcBorders>
              <w:top w:val="single" w:sz="8" w:color="auto"/>
            </w:tcBorders>
          </w:tcPr>
          <w:p>
            <w:pPr>
              <w:spacing w:after="0"/>
              <w:rPr>
                <w:sz w:val="11"/>
                <w:szCs w:val="11"/>
                <w:color w:val="auto"/>
              </w:rPr>
            </w:pPr>
          </w:p>
        </w:tc>
        <w:tc>
          <w:tcPr>
            <w:tcW w:w="580" w:type="dxa"/>
            <w:vAlign w:val="bottom"/>
            <w:tcBorders>
              <w:top w:val="single" w:sz="8" w:color="auto"/>
            </w:tcBorders>
          </w:tcPr>
          <w:p>
            <w:pPr>
              <w:jc w:val="right"/>
              <w:ind w:right="12"/>
              <w:spacing w:after="0" w:line="129" w:lineRule="exact"/>
              <w:rPr>
                <w:sz w:val="20"/>
                <w:szCs w:val="20"/>
                <w:color w:val="auto"/>
              </w:rPr>
            </w:pPr>
            <w:r>
              <w:rPr>
                <w:rFonts w:ascii="Arial" w:cs="Arial" w:eastAsia="Arial" w:hAnsi="Arial"/>
                <w:sz w:val="14"/>
                <w:szCs w:val="14"/>
                <w:b w:val="1"/>
                <w:bCs w:val="1"/>
                <w:color w:val="auto"/>
                <w:w w:val="93"/>
              </w:rPr>
              <w:t>Percent</w:t>
            </w:r>
          </w:p>
        </w:tc>
        <w:tc>
          <w:tcPr>
            <w:tcW w:w="160" w:type="dxa"/>
            <w:vAlign w:val="bottom"/>
          </w:tcPr>
          <w:p>
            <w:pPr>
              <w:spacing w:after="0"/>
              <w:rPr>
                <w:sz w:val="11"/>
                <w:szCs w:val="11"/>
                <w:color w:val="auto"/>
              </w:rPr>
            </w:pPr>
          </w:p>
        </w:tc>
      </w:tr>
      <w:tr>
        <w:trPr>
          <w:trHeight w:val="161"/>
        </w:trPr>
        <w:tc>
          <w:tcPr>
            <w:tcW w:w="20" w:type="dxa"/>
            <w:vAlign w:val="bottom"/>
          </w:tcPr>
          <w:p>
            <w:pPr>
              <w:spacing w:after="0"/>
              <w:rPr>
                <w:sz w:val="14"/>
                <w:szCs w:val="14"/>
                <w:color w:val="auto"/>
              </w:rPr>
            </w:pPr>
          </w:p>
        </w:tc>
        <w:tc>
          <w:tcPr>
            <w:tcW w:w="58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ind w:right="212"/>
              <w:spacing w:after="0"/>
              <w:rPr>
                <w:sz w:val="20"/>
                <w:szCs w:val="20"/>
                <w:color w:val="auto"/>
              </w:rPr>
            </w:pPr>
            <w:r>
              <w:rPr>
                <w:rFonts w:ascii="Arial" w:cs="Arial" w:eastAsia="Arial" w:hAnsi="Arial"/>
                <w:sz w:val="14"/>
                <w:szCs w:val="14"/>
                <w:b w:val="1"/>
                <w:bCs w:val="1"/>
                <w:color w:val="auto"/>
              </w:rPr>
              <w:t>cost</w:t>
            </w:r>
          </w:p>
        </w:tc>
        <w:tc>
          <w:tcPr>
            <w:tcW w:w="160" w:type="dxa"/>
            <w:vAlign w:val="bottom"/>
          </w:tcPr>
          <w:p>
            <w:pPr>
              <w:spacing w:after="0"/>
              <w:rPr>
                <w:sz w:val="14"/>
                <w:szCs w:val="14"/>
                <w:color w:val="auto"/>
              </w:rPr>
            </w:pPr>
          </w:p>
        </w:tc>
        <w:tc>
          <w:tcPr>
            <w:tcW w:w="58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98"/>
              </w:rPr>
              <w:t>of total</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cost</w:t>
            </w:r>
          </w:p>
        </w:tc>
        <w:tc>
          <w:tcPr>
            <w:tcW w:w="160" w:type="dxa"/>
            <w:vAlign w:val="bottom"/>
          </w:tcPr>
          <w:p>
            <w:pPr>
              <w:spacing w:after="0"/>
              <w:rPr>
                <w:sz w:val="14"/>
                <w:szCs w:val="14"/>
                <w:color w:val="auto"/>
              </w:rPr>
            </w:pPr>
          </w:p>
        </w:tc>
        <w:tc>
          <w:tcPr>
            <w:tcW w:w="58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rPr>
              <w:t>of total</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58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2" w:lineRule="exact"/>
              <w:rPr>
                <w:sz w:val="20"/>
                <w:szCs w:val="20"/>
                <w:color w:val="auto"/>
              </w:rPr>
            </w:pPr>
            <w:r>
              <w:rPr>
                <w:rFonts w:ascii="Arial" w:cs="Arial" w:eastAsia="Arial" w:hAnsi="Arial"/>
                <w:sz w:val="14"/>
                <w:szCs w:val="14"/>
                <w:b w:val="1"/>
                <w:bCs w:val="1"/>
                <w:i w:val="1"/>
                <w:iCs w:val="1"/>
                <w:color w:val="auto"/>
              </w:rPr>
              <w:t>($ in</w:t>
            </w:r>
          </w:p>
        </w:tc>
        <w:tc>
          <w:tcPr>
            <w:tcW w:w="900" w:type="dxa"/>
            <w:vAlign w:val="bottom"/>
            <w:gridSpan w:val="3"/>
          </w:tcPr>
          <w:p>
            <w:pPr>
              <w:jc w:val="right"/>
              <w:ind w:right="372"/>
              <w:spacing w:after="0" w:line="142" w:lineRule="exact"/>
              <w:rPr>
                <w:sz w:val="20"/>
                <w:szCs w:val="20"/>
                <w:color w:val="auto"/>
              </w:rPr>
            </w:pPr>
            <w:r>
              <w:rPr>
                <w:rFonts w:ascii="Arial" w:cs="Arial" w:eastAsia="Arial" w:hAnsi="Arial"/>
                <w:sz w:val="14"/>
                <w:szCs w:val="14"/>
                <w:b w:val="1"/>
                <w:bCs w:val="1"/>
                <w:i w:val="1"/>
                <w:iCs w:val="1"/>
                <w:color w:val="auto"/>
                <w:w w:val="76"/>
              </w:rPr>
              <w:t>millions)</w:t>
            </w: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Geographic distribution</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20" w:type="dxa"/>
            <w:vAlign w:val="bottom"/>
          </w:tcPr>
          <w:p>
            <w:pPr>
              <w:spacing w:after="0" w:line="149" w:lineRule="exact"/>
              <w:rPr>
                <w:sz w:val="20"/>
                <w:szCs w:val="20"/>
                <w:color w:val="auto"/>
              </w:rPr>
            </w:pPr>
            <w:r>
              <w:rPr>
                <w:rFonts w:ascii="Arial" w:cs="Arial" w:eastAsia="Arial" w:hAnsi="Arial"/>
                <w:sz w:val="14"/>
                <w:szCs w:val="14"/>
                <w:color w:val="auto"/>
              </w:rPr>
              <w:t>New England</w:t>
            </w:r>
          </w:p>
        </w:tc>
        <w:tc>
          <w:tcPr>
            <w:tcW w:w="140" w:type="dxa"/>
            <w:vAlign w:val="bottom"/>
            <w:gridSpan w:val="2"/>
          </w:tcPr>
          <w:p>
            <w:pPr>
              <w:jc w:val="right"/>
              <w:ind w:right="4"/>
              <w:spacing w:after="0" w:line="149" w:lineRule="exact"/>
              <w:rPr>
                <w:sz w:val="20"/>
                <w:szCs w:val="20"/>
                <w:color w:val="auto"/>
              </w:rPr>
            </w:pPr>
            <w:r>
              <w:rPr>
                <w:rFonts w:ascii="Arial" w:cs="Arial" w:eastAsia="Arial" w:hAnsi="Arial"/>
                <w:sz w:val="14"/>
                <w:szCs w:val="14"/>
                <w:b w:val="1"/>
                <w:bCs w:val="1"/>
                <w:color w:val="auto"/>
                <w:w w:val="76"/>
              </w:rPr>
              <w:t>$</w:t>
            </w: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528.5</w:t>
            </w:r>
          </w:p>
        </w:tc>
        <w:tc>
          <w:tcPr>
            <w:tcW w:w="1020" w:type="dxa"/>
            <w:vAlign w:val="bottom"/>
            <w:gridSpan w:val="4"/>
          </w:tcPr>
          <w:p>
            <w:pPr>
              <w:jc w:val="right"/>
              <w:spacing w:after="0" w:line="149" w:lineRule="exact"/>
              <w:rPr>
                <w:sz w:val="20"/>
                <w:szCs w:val="20"/>
                <w:color w:val="auto"/>
              </w:rPr>
            </w:pPr>
            <w:r>
              <w:rPr>
                <w:rFonts w:ascii="Arial" w:cs="Arial" w:eastAsia="Arial" w:hAnsi="Arial"/>
                <w:sz w:val="14"/>
                <w:szCs w:val="14"/>
                <w:b w:val="1"/>
                <w:bCs w:val="1"/>
                <w:color w:val="auto"/>
              </w:rPr>
              <w:t xml:space="preserve">5.1% </w:t>
            </w:r>
            <w:r>
              <w:rPr>
                <w:rFonts w:ascii="Arial" w:cs="Arial" w:eastAsia="Arial" w:hAnsi="Arial"/>
                <w:sz w:val="14"/>
                <w:szCs w:val="14"/>
                <w:color w:val="auto"/>
              </w:rPr>
              <w:t>$</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536.6</w:t>
            </w:r>
          </w:p>
        </w:tc>
        <w:tc>
          <w:tcPr>
            <w:tcW w:w="90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5.2%</w:t>
            </w:r>
          </w:p>
        </w:tc>
      </w:tr>
      <w:tr>
        <w:trPr>
          <w:trHeight w:val="149"/>
        </w:trPr>
        <w:tc>
          <w:tcPr>
            <w:tcW w:w="20" w:type="dxa"/>
            <w:vAlign w:val="bottom"/>
          </w:tcPr>
          <w:p>
            <w:pPr>
              <w:spacing w:after="0"/>
              <w:rPr>
                <w:sz w:val="12"/>
                <w:szCs w:val="12"/>
                <w:color w:val="auto"/>
              </w:rPr>
            </w:pPr>
          </w:p>
        </w:tc>
        <w:tc>
          <w:tcPr>
            <w:tcW w:w="58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Middle Atlantic</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2,489.0</w:t>
            </w: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24.1</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2,233.4</w:t>
            </w: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21.8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20" w:type="dxa"/>
            <w:vAlign w:val="bottom"/>
          </w:tcPr>
          <w:p>
            <w:pPr>
              <w:spacing w:after="0" w:line="149" w:lineRule="exact"/>
              <w:rPr>
                <w:sz w:val="20"/>
                <w:szCs w:val="20"/>
                <w:color w:val="auto"/>
              </w:rPr>
            </w:pPr>
            <w:r>
              <w:rPr>
                <w:rFonts w:ascii="Arial" w:cs="Arial" w:eastAsia="Arial" w:hAnsi="Arial"/>
                <w:sz w:val="14"/>
                <w:szCs w:val="14"/>
                <w:color w:val="auto"/>
              </w:rPr>
              <w:t>East North Central</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519.9</w:t>
            </w:r>
          </w:p>
        </w:tc>
        <w:tc>
          <w:tcPr>
            <w:tcW w:w="7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5.0</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635.6</w:t>
            </w:r>
          </w:p>
        </w:tc>
        <w:tc>
          <w:tcPr>
            <w:tcW w:w="7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6.2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West North Central</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302.9</w:t>
            </w: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2.9</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377.3</w:t>
            </w: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3.7</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20" w:type="dxa"/>
            <w:vAlign w:val="bottom"/>
          </w:tcPr>
          <w:p>
            <w:pPr>
              <w:spacing w:after="0" w:line="149" w:lineRule="exact"/>
              <w:rPr>
                <w:sz w:val="20"/>
                <w:szCs w:val="20"/>
                <w:color w:val="auto"/>
              </w:rPr>
            </w:pPr>
            <w:r>
              <w:rPr>
                <w:rFonts w:ascii="Arial" w:cs="Arial" w:eastAsia="Arial" w:hAnsi="Arial"/>
                <w:sz w:val="14"/>
                <w:szCs w:val="14"/>
                <w:color w:val="auto"/>
              </w:rPr>
              <w:t>South Atlantic</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1,949.5</w:t>
            </w:r>
          </w:p>
        </w:tc>
        <w:tc>
          <w:tcPr>
            <w:tcW w:w="7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18.9</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2,135.0</w:t>
            </w:r>
          </w:p>
        </w:tc>
        <w:tc>
          <w:tcPr>
            <w:tcW w:w="7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20.9</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East South Central</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192.8</w:t>
            </w: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1.9</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244.8</w:t>
            </w: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20" w:type="dxa"/>
            <w:vAlign w:val="bottom"/>
          </w:tcPr>
          <w:p>
            <w:pPr>
              <w:spacing w:after="0" w:line="149" w:lineRule="exact"/>
              <w:rPr>
                <w:sz w:val="20"/>
                <w:szCs w:val="20"/>
                <w:color w:val="auto"/>
              </w:rPr>
            </w:pPr>
            <w:r>
              <w:rPr>
                <w:rFonts w:ascii="Arial" w:cs="Arial" w:eastAsia="Arial" w:hAnsi="Arial"/>
                <w:sz w:val="14"/>
                <w:szCs w:val="14"/>
                <w:color w:val="auto"/>
              </w:rPr>
              <w:t>West South Central</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830.3</w:t>
            </w:r>
          </w:p>
        </w:tc>
        <w:tc>
          <w:tcPr>
            <w:tcW w:w="7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8.0</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767.9</w:t>
            </w:r>
          </w:p>
        </w:tc>
        <w:tc>
          <w:tcPr>
            <w:tcW w:w="7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7.5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Mountain</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747.1</w:t>
            </w: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7.2</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726.6</w:t>
            </w: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7.1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20" w:type="dxa"/>
            <w:vAlign w:val="bottom"/>
          </w:tcPr>
          <w:p>
            <w:pPr>
              <w:spacing w:after="0" w:line="149" w:lineRule="exact"/>
              <w:rPr>
                <w:sz w:val="20"/>
                <w:szCs w:val="20"/>
                <w:color w:val="auto"/>
              </w:rPr>
            </w:pPr>
            <w:r>
              <w:rPr>
                <w:rFonts w:ascii="Arial" w:cs="Arial" w:eastAsia="Arial" w:hAnsi="Arial"/>
                <w:sz w:val="14"/>
                <w:szCs w:val="14"/>
                <w:color w:val="auto"/>
              </w:rPr>
              <w:t>Pacific</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2,722.5</w:t>
            </w:r>
          </w:p>
        </w:tc>
        <w:tc>
          <w:tcPr>
            <w:tcW w:w="7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26.5</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2,562.3</w:t>
            </w:r>
          </w:p>
        </w:tc>
        <w:tc>
          <w:tcPr>
            <w:tcW w:w="7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25.0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International</w:t>
            </w:r>
          </w:p>
        </w:tc>
        <w:tc>
          <w:tcPr>
            <w:tcW w:w="2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6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45.2</w:t>
            </w:r>
          </w:p>
        </w:tc>
        <w:tc>
          <w:tcPr>
            <w:tcW w:w="160" w:type="dxa"/>
            <w:vAlign w:val="bottom"/>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0.4</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6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15.6</w:t>
            </w:r>
          </w:p>
        </w:tc>
        <w:tc>
          <w:tcPr>
            <w:tcW w:w="160" w:type="dxa"/>
            <w:vAlign w:val="bottom"/>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0.2</w:t>
            </w:r>
          </w:p>
        </w:tc>
        <w:tc>
          <w:tcPr>
            <w:tcW w:w="160" w:type="dxa"/>
            <w:vAlign w:val="bottom"/>
            <w:shd w:val="clear" w:color="auto" w:fill="CCEEFF"/>
          </w:tcPr>
          <w:p>
            <w:pPr>
              <w:spacing w:after="0"/>
              <w:rPr>
                <w:sz w:val="12"/>
                <w:szCs w:val="12"/>
                <w:color w:val="auto"/>
              </w:rPr>
            </w:pPr>
          </w:p>
        </w:tc>
      </w:tr>
      <w:tr>
        <w:trPr>
          <w:trHeight w:val="142"/>
        </w:trPr>
        <w:tc>
          <w:tcPr>
            <w:tcW w:w="5840" w:type="dxa"/>
            <w:vAlign w:val="bottom"/>
            <w:gridSpan w:val="2"/>
          </w:tcPr>
          <w:p>
            <w:pPr>
              <w:spacing w:after="0" w:line="142" w:lineRule="exact"/>
              <w:rPr>
                <w:sz w:val="20"/>
                <w:szCs w:val="20"/>
                <w:color w:val="auto"/>
              </w:rPr>
            </w:pPr>
            <w:r>
              <w:rPr>
                <w:rFonts w:ascii="Arial" w:cs="Arial" w:eastAsia="Arial" w:hAnsi="Arial"/>
                <w:sz w:val="14"/>
                <w:szCs w:val="14"/>
                <w:color w:val="auto"/>
              </w:rPr>
              <w:t>Total</w:t>
            </w:r>
          </w:p>
        </w:tc>
        <w:tc>
          <w:tcPr>
            <w:tcW w:w="20" w:type="dxa"/>
            <w:vAlign w:val="bottom"/>
          </w:tcPr>
          <w:p>
            <w:pPr>
              <w:spacing w:after="0"/>
              <w:rPr>
                <w:sz w:val="12"/>
                <w:szCs w:val="12"/>
                <w:color w:val="auto"/>
              </w:rPr>
            </w:pPr>
          </w:p>
        </w:tc>
        <w:tc>
          <w:tcPr>
            <w:tcW w:w="120" w:type="dxa"/>
            <w:vAlign w:val="bottom"/>
          </w:tcPr>
          <w:p>
            <w:pPr>
              <w:jc w:val="right"/>
              <w:ind w:right="4"/>
              <w:spacing w:after="0"/>
              <w:rPr>
                <w:sz w:val="20"/>
                <w:szCs w:val="20"/>
                <w:color w:val="auto"/>
              </w:rPr>
            </w:pPr>
            <w:r>
              <w:rPr>
                <w:rFonts w:ascii="Arial" w:cs="Arial" w:eastAsia="Arial" w:hAnsi="Arial"/>
                <w:sz w:val="10"/>
                <w:szCs w:val="10"/>
                <w:b w:val="1"/>
                <w:bCs w:val="1"/>
                <w:color w:val="auto"/>
                <w:w w:val="71"/>
              </w:rPr>
              <w:t>$</w:t>
            </w:r>
          </w:p>
        </w:tc>
        <w:tc>
          <w:tcPr>
            <w:tcW w:w="62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10,327.7</w:t>
            </w:r>
          </w:p>
        </w:tc>
        <w:tc>
          <w:tcPr>
            <w:tcW w:w="160" w:type="dxa"/>
            <w:vAlign w:val="bottom"/>
          </w:tcPr>
          <w:p>
            <w:pPr>
              <w:spacing w:after="0"/>
              <w:rPr>
                <w:sz w:val="12"/>
                <w:szCs w:val="12"/>
                <w:color w:val="auto"/>
              </w:rPr>
            </w:pPr>
          </w:p>
        </w:tc>
        <w:tc>
          <w:tcPr>
            <w:tcW w:w="860" w:type="dxa"/>
            <w:vAlign w:val="bottom"/>
            <w:gridSpan w:val="3"/>
          </w:tcPr>
          <w:p>
            <w:pPr>
              <w:jc w:val="right"/>
              <w:spacing w:after="0" w:line="142" w:lineRule="exact"/>
              <w:rPr>
                <w:sz w:val="20"/>
                <w:szCs w:val="20"/>
                <w:color w:val="auto"/>
              </w:rPr>
            </w:pPr>
            <w:r>
              <w:rPr>
                <w:rFonts w:ascii="Arial" w:cs="Arial" w:eastAsia="Arial" w:hAnsi="Arial"/>
                <w:sz w:val="14"/>
                <w:szCs w:val="14"/>
                <w:b w:val="1"/>
                <w:bCs w:val="1"/>
                <w:color w:val="auto"/>
              </w:rPr>
              <w:t xml:space="preserve">100.0% </w:t>
            </w:r>
            <w:r>
              <w:rPr>
                <w:rFonts w:ascii="Arial" w:cs="Arial" w:eastAsia="Arial" w:hAnsi="Arial"/>
                <w:sz w:val="14"/>
                <w:szCs w:val="14"/>
                <w:color w:val="auto"/>
              </w:rPr>
              <w:t>$</w:t>
            </w:r>
          </w:p>
        </w:tc>
        <w:tc>
          <w:tcPr>
            <w:tcW w:w="620" w:type="dxa"/>
            <w:vAlign w:val="bottom"/>
          </w:tcPr>
          <w:p>
            <w:pPr>
              <w:jc w:val="right"/>
              <w:spacing w:after="0" w:line="142" w:lineRule="exact"/>
              <w:rPr>
                <w:sz w:val="20"/>
                <w:szCs w:val="20"/>
                <w:color w:val="auto"/>
              </w:rPr>
            </w:pPr>
            <w:r>
              <w:rPr>
                <w:rFonts w:ascii="Arial" w:cs="Arial" w:eastAsia="Arial" w:hAnsi="Arial"/>
                <w:sz w:val="14"/>
                <w:szCs w:val="14"/>
                <w:color w:val="auto"/>
              </w:rPr>
              <w:t>10,235.1</w:t>
            </w:r>
          </w:p>
        </w:tc>
        <w:tc>
          <w:tcPr>
            <w:tcW w:w="160" w:type="dxa"/>
            <w:vAlign w:val="bottom"/>
          </w:tcPr>
          <w:p>
            <w:pPr>
              <w:spacing w:after="0"/>
              <w:rPr>
                <w:sz w:val="12"/>
                <w:szCs w:val="12"/>
                <w:color w:val="auto"/>
              </w:rPr>
            </w:pPr>
          </w:p>
        </w:tc>
        <w:tc>
          <w:tcPr>
            <w:tcW w:w="740" w:type="dxa"/>
            <w:vAlign w:val="bottom"/>
            <w:gridSpan w:val="2"/>
          </w:tcPr>
          <w:p>
            <w:pPr>
              <w:jc w:val="right"/>
              <w:ind w:right="60"/>
              <w:spacing w:after="0" w:line="142" w:lineRule="exact"/>
              <w:rPr>
                <w:sz w:val="20"/>
                <w:szCs w:val="20"/>
                <w:color w:val="auto"/>
              </w:rPr>
            </w:pPr>
            <w:r>
              <w:rPr>
                <w:rFonts w:ascii="Arial" w:cs="Arial" w:eastAsia="Arial" w:hAnsi="Arial"/>
                <w:sz w:val="14"/>
                <w:szCs w:val="14"/>
                <w:color w:val="auto"/>
              </w:rPr>
              <w:t>100.0%</w:t>
            </w:r>
          </w:p>
        </w:tc>
      </w:tr>
      <w:tr>
        <w:trPr>
          <w:trHeight w:val="20"/>
        </w:trPr>
        <w:tc>
          <w:tcPr>
            <w:tcW w:w="20" w:type="dxa"/>
            <w:vAlign w:val="bottom"/>
          </w:tcPr>
          <w:p>
            <w:pPr>
              <w:spacing w:after="0" w:line="20" w:lineRule="exact"/>
              <w:rPr>
                <w:sz w:val="1"/>
                <w:szCs w:val="1"/>
                <w:color w:val="auto"/>
              </w:rPr>
            </w:pPr>
          </w:p>
        </w:tc>
        <w:tc>
          <w:tcPr>
            <w:tcW w:w="58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5820" w:type="dxa"/>
            <w:vAlign w:val="bottom"/>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Property type distribution</w:t>
            </w: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5820" w:type="dxa"/>
            <w:vAlign w:val="bottom"/>
          </w:tcPr>
          <w:p>
            <w:pPr>
              <w:spacing w:after="0" w:line="149" w:lineRule="exact"/>
              <w:rPr>
                <w:sz w:val="20"/>
                <w:szCs w:val="20"/>
                <w:color w:val="auto"/>
              </w:rPr>
            </w:pPr>
            <w:r>
              <w:rPr>
                <w:rFonts w:ascii="Arial" w:cs="Arial" w:eastAsia="Arial" w:hAnsi="Arial"/>
                <w:sz w:val="14"/>
                <w:szCs w:val="14"/>
                <w:color w:val="auto"/>
              </w:rPr>
              <w:t>Office</w:t>
            </w:r>
          </w:p>
        </w:tc>
        <w:tc>
          <w:tcPr>
            <w:tcW w:w="140" w:type="dxa"/>
            <w:vAlign w:val="bottom"/>
            <w:gridSpan w:val="2"/>
          </w:tcPr>
          <w:p>
            <w:pPr>
              <w:jc w:val="right"/>
              <w:ind w:right="4"/>
              <w:spacing w:after="0" w:line="149" w:lineRule="exact"/>
              <w:rPr>
                <w:sz w:val="20"/>
                <w:szCs w:val="20"/>
                <w:color w:val="auto"/>
              </w:rPr>
            </w:pPr>
            <w:r>
              <w:rPr>
                <w:rFonts w:ascii="Arial" w:cs="Arial" w:eastAsia="Arial" w:hAnsi="Arial"/>
                <w:sz w:val="14"/>
                <w:szCs w:val="14"/>
                <w:b w:val="1"/>
                <w:bCs w:val="1"/>
                <w:color w:val="auto"/>
                <w:w w:val="76"/>
              </w:rPr>
              <w:t>$</w:t>
            </w: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3,360.5</w:t>
            </w:r>
          </w:p>
        </w:tc>
        <w:tc>
          <w:tcPr>
            <w:tcW w:w="1020" w:type="dxa"/>
            <w:vAlign w:val="bottom"/>
            <w:gridSpan w:val="4"/>
          </w:tcPr>
          <w:p>
            <w:pPr>
              <w:jc w:val="right"/>
              <w:spacing w:after="0" w:line="149" w:lineRule="exact"/>
              <w:rPr>
                <w:sz w:val="20"/>
                <w:szCs w:val="20"/>
                <w:color w:val="auto"/>
              </w:rPr>
            </w:pPr>
            <w:r>
              <w:rPr>
                <w:rFonts w:ascii="Arial" w:cs="Arial" w:eastAsia="Arial" w:hAnsi="Arial"/>
                <w:sz w:val="14"/>
                <w:szCs w:val="14"/>
                <w:b w:val="1"/>
                <w:bCs w:val="1"/>
                <w:color w:val="auto"/>
              </w:rPr>
              <w:t xml:space="preserve">32.6% </w:t>
            </w:r>
            <w:r>
              <w:rPr>
                <w:rFonts w:ascii="Arial" w:cs="Arial" w:eastAsia="Arial" w:hAnsi="Arial"/>
                <w:sz w:val="14"/>
                <w:szCs w:val="14"/>
                <w:color w:val="auto"/>
              </w:rPr>
              <w:t>$</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3,078.8</w:t>
            </w:r>
          </w:p>
        </w:tc>
        <w:tc>
          <w:tcPr>
            <w:tcW w:w="90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30.1%</w:t>
            </w:r>
          </w:p>
        </w:tc>
      </w:tr>
      <w:tr>
        <w:trPr>
          <w:trHeight w:val="149"/>
        </w:trPr>
        <w:tc>
          <w:tcPr>
            <w:tcW w:w="20" w:type="dxa"/>
            <w:vAlign w:val="bottom"/>
          </w:tcPr>
          <w:p>
            <w:pPr>
              <w:spacing w:after="0"/>
              <w:rPr>
                <w:sz w:val="12"/>
                <w:szCs w:val="12"/>
                <w:color w:val="auto"/>
              </w:rPr>
            </w:pPr>
          </w:p>
        </w:tc>
        <w:tc>
          <w:tcPr>
            <w:tcW w:w="58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Retail</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2,668.5</w:t>
            </w: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25.8</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2,928.3</w:t>
            </w: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28.6</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20" w:type="dxa"/>
            <w:vAlign w:val="bottom"/>
          </w:tcPr>
          <w:p>
            <w:pPr>
              <w:spacing w:after="0" w:line="149" w:lineRule="exact"/>
              <w:rPr>
                <w:sz w:val="20"/>
                <w:szCs w:val="20"/>
                <w:color w:val="auto"/>
              </w:rPr>
            </w:pPr>
            <w:r>
              <w:rPr>
                <w:rFonts w:ascii="Arial" w:cs="Arial" w:eastAsia="Arial" w:hAnsi="Arial"/>
                <w:sz w:val="14"/>
                <w:szCs w:val="14"/>
                <w:color w:val="auto"/>
              </w:rPr>
              <w:t>Industrial</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1,766.2</w:t>
            </w:r>
          </w:p>
        </w:tc>
        <w:tc>
          <w:tcPr>
            <w:tcW w:w="7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17.1</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1,765.5</w:t>
            </w:r>
          </w:p>
        </w:tc>
        <w:tc>
          <w:tcPr>
            <w:tcW w:w="7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17.2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Apartments</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1,911.2</w:t>
            </w: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18.5</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1,685.9</w:t>
            </w: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16.5</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20" w:type="dxa"/>
            <w:vAlign w:val="bottom"/>
          </w:tcPr>
          <w:p>
            <w:pPr>
              <w:spacing w:after="0" w:line="149" w:lineRule="exact"/>
              <w:rPr>
                <w:sz w:val="20"/>
                <w:szCs w:val="20"/>
                <w:color w:val="auto"/>
              </w:rPr>
            </w:pPr>
            <w:r>
              <w:rPr>
                <w:rFonts w:ascii="Arial" w:cs="Arial" w:eastAsia="Arial" w:hAnsi="Arial"/>
                <w:sz w:val="14"/>
                <w:szCs w:val="14"/>
                <w:color w:val="auto"/>
              </w:rPr>
              <w:t>Hotel</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333.1</w:t>
            </w:r>
          </w:p>
        </w:tc>
        <w:tc>
          <w:tcPr>
            <w:tcW w:w="7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3.2</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445.8</w:t>
            </w:r>
          </w:p>
        </w:tc>
        <w:tc>
          <w:tcPr>
            <w:tcW w:w="7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4.4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Mixed use/other</w:t>
            </w:r>
          </w:p>
        </w:tc>
        <w:tc>
          <w:tcPr>
            <w:tcW w:w="2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6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288.2</w:t>
            </w:r>
          </w:p>
        </w:tc>
        <w:tc>
          <w:tcPr>
            <w:tcW w:w="160" w:type="dxa"/>
            <w:vAlign w:val="bottom"/>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2.8</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6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330.8</w:t>
            </w:r>
          </w:p>
        </w:tc>
        <w:tc>
          <w:tcPr>
            <w:tcW w:w="160" w:type="dxa"/>
            <w:vAlign w:val="bottom"/>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3.2</w:t>
            </w:r>
          </w:p>
        </w:tc>
        <w:tc>
          <w:tcPr>
            <w:tcW w:w="160" w:type="dxa"/>
            <w:vAlign w:val="bottom"/>
            <w:shd w:val="clear" w:color="auto" w:fill="CCEEFF"/>
          </w:tcPr>
          <w:p>
            <w:pPr>
              <w:spacing w:after="0"/>
              <w:rPr>
                <w:sz w:val="12"/>
                <w:szCs w:val="12"/>
                <w:color w:val="auto"/>
              </w:rPr>
            </w:pPr>
          </w:p>
        </w:tc>
      </w:tr>
      <w:tr>
        <w:trPr>
          <w:trHeight w:val="142"/>
        </w:trPr>
        <w:tc>
          <w:tcPr>
            <w:tcW w:w="5840" w:type="dxa"/>
            <w:vAlign w:val="bottom"/>
            <w:gridSpan w:val="2"/>
          </w:tcPr>
          <w:p>
            <w:pPr>
              <w:spacing w:after="0" w:line="142" w:lineRule="exact"/>
              <w:rPr>
                <w:sz w:val="20"/>
                <w:szCs w:val="20"/>
                <w:color w:val="auto"/>
              </w:rPr>
            </w:pPr>
            <w:r>
              <w:rPr>
                <w:rFonts w:ascii="Arial" w:cs="Arial" w:eastAsia="Arial" w:hAnsi="Arial"/>
                <w:sz w:val="14"/>
                <w:szCs w:val="14"/>
                <w:color w:val="auto"/>
              </w:rPr>
              <w:t>Total</w:t>
            </w:r>
          </w:p>
        </w:tc>
        <w:tc>
          <w:tcPr>
            <w:tcW w:w="20" w:type="dxa"/>
            <w:vAlign w:val="bottom"/>
          </w:tcPr>
          <w:p>
            <w:pPr>
              <w:spacing w:after="0"/>
              <w:rPr>
                <w:sz w:val="12"/>
                <w:szCs w:val="12"/>
                <w:color w:val="auto"/>
              </w:rPr>
            </w:pPr>
          </w:p>
        </w:tc>
        <w:tc>
          <w:tcPr>
            <w:tcW w:w="120" w:type="dxa"/>
            <w:vAlign w:val="bottom"/>
          </w:tcPr>
          <w:p>
            <w:pPr>
              <w:jc w:val="right"/>
              <w:ind w:right="4"/>
              <w:spacing w:after="0"/>
              <w:rPr>
                <w:sz w:val="20"/>
                <w:szCs w:val="20"/>
                <w:color w:val="auto"/>
              </w:rPr>
            </w:pPr>
            <w:r>
              <w:rPr>
                <w:rFonts w:ascii="Arial" w:cs="Arial" w:eastAsia="Arial" w:hAnsi="Arial"/>
                <w:sz w:val="10"/>
                <w:szCs w:val="10"/>
                <w:b w:val="1"/>
                <w:bCs w:val="1"/>
                <w:color w:val="auto"/>
                <w:w w:val="71"/>
              </w:rPr>
              <w:t>$</w:t>
            </w:r>
          </w:p>
        </w:tc>
        <w:tc>
          <w:tcPr>
            <w:tcW w:w="62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10,327.7</w:t>
            </w:r>
          </w:p>
        </w:tc>
        <w:tc>
          <w:tcPr>
            <w:tcW w:w="160" w:type="dxa"/>
            <w:vAlign w:val="bottom"/>
          </w:tcPr>
          <w:p>
            <w:pPr>
              <w:spacing w:after="0"/>
              <w:rPr>
                <w:sz w:val="12"/>
                <w:szCs w:val="12"/>
                <w:color w:val="auto"/>
              </w:rPr>
            </w:pPr>
          </w:p>
        </w:tc>
        <w:tc>
          <w:tcPr>
            <w:tcW w:w="860" w:type="dxa"/>
            <w:vAlign w:val="bottom"/>
            <w:gridSpan w:val="3"/>
          </w:tcPr>
          <w:p>
            <w:pPr>
              <w:jc w:val="right"/>
              <w:spacing w:after="0" w:line="142" w:lineRule="exact"/>
              <w:rPr>
                <w:sz w:val="20"/>
                <w:szCs w:val="20"/>
                <w:color w:val="auto"/>
              </w:rPr>
            </w:pPr>
            <w:r>
              <w:rPr>
                <w:rFonts w:ascii="Arial" w:cs="Arial" w:eastAsia="Arial" w:hAnsi="Arial"/>
                <w:sz w:val="14"/>
                <w:szCs w:val="14"/>
                <w:b w:val="1"/>
                <w:bCs w:val="1"/>
                <w:color w:val="auto"/>
              </w:rPr>
              <w:t xml:space="preserve">100.0% </w:t>
            </w:r>
            <w:r>
              <w:rPr>
                <w:rFonts w:ascii="Arial" w:cs="Arial" w:eastAsia="Arial" w:hAnsi="Arial"/>
                <w:sz w:val="14"/>
                <w:szCs w:val="14"/>
                <w:color w:val="auto"/>
              </w:rPr>
              <w:t>$</w:t>
            </w:r>
          </w:p>
        </w:tc>
        <w:tc>
          <w:tcPr>
            <w:tcW w:w="620" w:type="dxa"/>
            <w:vAlign w:val="bottom"/>
          </w:tcPr>
          <w:p>
            <w:pPr>
              <w:jc w:val="right"/>
              <w:spacing w:after="0" w:line="142" w:lineRule="exact"/>
              <w:rPr>
                <w:sz w:val="20"/>
                <w:szCs w:val="20"/>
                <w:color w:val="auto"/>
              </w:rPr>
            </w:pPr>
            <w:r>
              <w:rPr>
                <w:rFonts w:ascii="Arial" w:cs="Arial" w:eastAsia="Arial" w:hAnsi="Arial"/>
                <w:sz w:val="14"/>
                <w:szCs w:val="14"/>
                <w:color w:val="auto"/>
              </w:rPr>
              <w:t>10,235.1</w:t>
            </w:r>
          </w:p>
        </w:tc>
        <w:tc>
          <w:tcPr>
            <w:tcW w:w="160" w:type="dxa"/>
            <w:vAlign w:val="bottom"/>
          </w:tcPr>
          <w:p>
            <w:pPr>
              <w:spacing w:after="0"/>
              <w:rPr>
                <w:sz w:val="12"/>
                <w:szCs w:val="12"/>
                <w:color w:val="auto"/>
              </w:rPr>
            </w:pPr>
          </w:p>
        </w:tc>
        <w:tc>
          <w:tcPr>
            <w:tcW w:w="740" w:type="dxa"/>
            <w:vAlign w:val="bottom"/>
            <w:gridSpan w:val="2"/>
          </w:tcPr>
          <w:p>
            <w:pPr>
              <w:jc w:val="right"/>
              <w:ind w:right="60"/>
              <w:spacing w:after="0" w:line="142" w:lineRule="exact"/>
              <w:rPr>
                <w:sz w:val="20"/>
                <w:szCs w:val="20"/>
                <w:color w:val="auto"/>
              </w:rPr>
            </w:pPr>
            <w:r>
              <w:rPr>
                <w:rFonts w:ascii="Arial" w:cs="Arial" w:eastAsia="Arial" w:hAnsi="Arial"/>
                <w:sz w:val="14"/>
                <w:szCs w:val="14"/>
                <w:color w:val="auto"/>
              </w:rPr>
              <w:t>100.0%</w:t>
            </w:r>
          </w:p>
        </w:tc>
      </w:tr>
      <w:tr>
        <w:trPr>
          <w:trHeight w:val="20"/>
        </w:trPr>
        <w:tc>
          <w:tcPr>
            <w:tcW w:w="20" w:type="dxa"/>
            <w:vAlign w:val="bottom"/>
          </w:tcPr>
          <w:p>
            <w:pPr>
              <w:spacing w:after="0" w:line="20" w:lineRule="exact"/>
              <w:rPr>
                <w:sz w:val="1"/>
                <w:szCs w:val="1"/>
                <w:color w:val="auto"/>
              </w:rPr>
            </w:pPr>
          </w:p>
        </w:tc>
        <w:tc>
          <w:tcPr>
            <w:tcW w:w="582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firstLine="424"/>
        <w:spacing w:after="0" w:line="256" w:lineRule="auto"/>
        <w:rPr>
          <w:sz w:val="20"/>
          <w:szCs w:val="20"/>
          <w:color w:val="auto"/>
        </w:rPr>
      </w:pPr>
      <w:r>
        <w:rPr>
          <w:rFonts w:ascii="Arial" w:cs="Arial" w:eastAsia="Arial" w:hAnsi="Arial"/>
          <w:sz w:val="18"/>
          <w:szCs w:val="18"/>
          <w:color w:val="auto"/>
        </w:rPr>
        <w:t>Our residential mortgage loan portfolio is composed of home equity mortgages with an amortized cost of $394.9 million and $495.7 million and first lien mortgages with an amortized cost of $880.8 million and $886.3 million as of December 31, 2013 and December 31, 2012, respectively. Our residential home equity mortgages are concentrated in the United States and are generally second lien mortgages comprised of closed-end loans and lines of credit. The majority of our first lien loans are concentrated in the Chilean market.</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Mortgage Loan Credit Monitoring</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Commercial Credit Risk Profile Based on Internal Rating</w:t>
      </w:r>
    </w:p>
    <w:p>
      <w:pPr>
        <w:spacing w:after="0" w:line="225" w:lineRule="exact"/>
        <w:rPr>
          <w:sz w:val="20"/>
          <w:szCs w:val="20"/>
          <w:color w:val="auto"/>
        </w:rPr>
      </w:pPr>
    </w:p>
    <w:p>
      <w:pPr>
        <w:jc w:val="both"/>
        <w:ind w:firstLine="425"/>
        <w:spacing w:after="0" w:line="290" w:lineRule="auto"/>
        <w:rPr>
          <w:sz w:val="20"/>
          <w:szCs w:val="20"/>
          <w:color w:val="auto"/>
        </w:rPr>
      </w:pPr>
      <w:r>
        <w:rPr>
          <w:rFonts w:ascii="Arial" w:cs="Arial" w:eastAsia="Arial" w:hAnsi="Arial"/>
          <w:sz w:val="16"/>
          <w:szCs w:val="16"/>
          <w:color w:val="auto"/>
        </w:rPr>
        <w:t>We actively monitor and manage our commercial mortgage loan portfolio. All commercial mortgage loans are analyzed regularly and substantially all are internally rated, based on a proprietary risk rating cash flow model, in order to monitor the financial quality of these assets. The model stresses expected cash flows at various levels and at different points in time depending on the durability of the income stream, which includes our assessment of factors such as location (macro and micro markets), tenant quality and lease expirations. Our internal rating analysis presents expected losses in terms of a Standard &amp; Poor's ("S&amp;P") bond equivalent rating. As the credit risk for commercial mortgage loans increases, we adjust our internal ratings downward with loans in the category "B+ and below" having the highest risk for credit loss. Internal ratings on commercial mortgage loans are updated at least annually and potentially more often for certain loans with material changes in collateral value or occupancy and for loans on an internal "watch list".</w:t>
      </w:r>
    </w:p>
    <w:p>
      <w:pPr>
        <w:spacing w:after="0" w:line="172" w:lineRule="exact"/>
        <w:rPr>
          <w:sz w:val="20"/>
          <w:szCs w:val="20"/>
          <w:color w:val="auto"/>
        </w:rPr>
      </w:pPr>
    </w:p>
    <w:p>
      <w:pPr>
        <w:jc w:val="both"/>
        <w:ind w:firstLine="358"/>
        <w:spacing w:after="0" w:line="306" w:lineRule="auto"/>
        <w:rPr>
          <w:sz w:val="20"/>
          <w:szCs w:val="20"/>
          <w:color w:val="auto"/>
        </w:rPr>
      </w:pPr>
      <w:r>
        <w:rPr>
          <w:rFonts w:ascii="Arial" w:cs="Arial" w:eastAsia="Arial" w:hAnsi="Arial"/>
          <w:sz w:val="16"/>
          <w:szCs w:val="16"/>
          <w:color w:val="auto"/>
        </w:rPr>
        <w:t>Commercial mortgage loans that require more frequent and detailed attention than other loans in our portfolio are identified and placed on an internal "watch list". Among the criteria that would indicate a potential problem are imbalances in ratios of loan to value or contract rents to debt service, major tenant vacancies or bankruptcies, borrower sponsorship problems, late payments, delinquent taxes and loan relief/restructuring requests.</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0" w:name="page121"/>
    <w:bookmarkEnd w:id="12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Investments — (continued)</w:t>
      </w:r>
    </w:p>
    <w:p>
      <w:pPr>
        <w:spacing w:after="0" w:line="231" w:lineRule="exact"/>
        <w:rPr>
          <w:sz w:val="20"/>
          <w:szCs w:val="20"/>
          <w:color w:val="auto"/>
        </w:rPr>
      </w:pPr>
    </w:p>
    <w:p>
      <w:pPr>
        <w:jc w:val="both"/>
        <w:ind w:firstLine="358"/>
        <w:spacing w:after="0" w:line="268" w:lineRule="auto"/>
        <w:rPr>
          <w:sz w:val="20"/>
          <w:szCs w:val="20"/>
          <w:color w:val="auto"/>
        </w:rPr>
      </w:pPr>
      <w:r>
        <w:rPr>
          <w:rFonts w:ascii="Arial" w:cs="Arial" w:eastAsia="Arial" w:hAnsi="Arial"/>
          <w:sz w:val="18"/>
          <w:szCs w:val="18"/>
          <w:color w:val="auto"/>
        </w:rPr>
        <w:t>The amortized cost of our commercial mortgage loan portfolio by credit risk, as determined by our internal rating system expressed in terms of an S&amp;P bond equivalent rating, was as follows:</w:t>
      </w:r>
    </w:p>
    <w:p>
      <w:pPr>
        <w:spacing w:after="0" w:line="18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580" w:type="dxa"/>
            <w:vAlign w:val="bottom"/>
          </w:tcPr>
          <w:p>
            <w:pPr>
              <w:spacing w:after="0"/>
              <w:rPr>
                <w:sz w:val="14"/>
                <w:szCs w:val="14"/>
                <w:color w:val="auto"/>
              </w:rPr>
            </w:pPr>
          </w:p>
        </w:tc>
        <w:tc>
          <w:tcPr>
            <w:tcW w:w="26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880" w:type="dxa"/>
            <w:vAlign w:val="bottom"/>
            <w:tcBorders>
              <w:bottom w:val="single" w:sz="8" w:color="auto"/>
            </w:tcBorders>
            <w:gridSpan w:val="5"/>
          </w:tcPr>
          <w:p>
            <w:pPr>
              <w:ind w:left="740"/>
              <w:spacing w:after="0"/>
              <w:rPr>
                <w:sz w:val="20"/>
                <w:szCs w:val="20"/>
                <w:color w:val="auto"/>
              </w:rPr>
            </w:pPr>
            <w:r>
              <w:rPr>
                <w:rFonts w:ascii="Arial" w:cs="Arial" w:eastAsia="Arial" w:hAnsi="Arial"/>
                <w:sz w:val="14"/>
                <w:szCs w:val="14"/>
                <w:b w:val="1"/>
                <w:bCs w:val="1"/>
                <w:color w:val="auto"/>
                <w:w w:val="88"/>
              </w:rPr>
              <w:t>December 31, 2013</w:t>
            </w:r>
          </w:p>
        </w:tc>
        <w:tc>
          <w:tcPr>
            <w:tcW w:w="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358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120" w:type="dxa"/>
            <w:vAlign w:val="bottom"/>
            <w:tcBorders>
              <w:bottom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w w:val="89"/>
              </w:rPr>
              <w:t>Brick and mortar</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ind w:right="72"/>
              <w:spacing w:after="0" w:line="142" w:lineRule="exact"/>
              <w:rPr>
                <w:sz w:val="20"/>
                <w:szCs w:val="20"/>
                <w:color w:val="auto"/>
              </w:rPr>
            </w:pPr>
            <w:r>
              <w:rPr>
                <w:rFonts w:ascii="Arial" w:cs="Arial" w:eastAsia="Arial" w:hAnsi="Arial"/>
                <w:sz w:val="14"/>
                <w:szCs w:val="14"/>
                <w:b w:val="1"/>
                <w:bCs w:val="1"/>
                <w:color w:val="auto"/>
                <w:w w:val="95"/>
              </w:rPr>
              <w:t>CTL</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132"/>
              <w:spacing w:after="0" w:line="142" w:lineRule="exact"/>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58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20" w:type="dxa"/>
            <w:vAlign w:val="bottom"/>
          </w:tcPr>
          <w:p>
            <w:pPr>
              <w:jc w:val="right"/>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680" w:type="dxa"/>
            <w:vAlign w:val="bottom"/>
            <w:gridSpan w:val="3"/>
          </w:tcPr>
          <w:p>
            <w:pPr>
              <w:jc w:val="right"/>
              <w:ind w:right="112"/>
              <w:spacing w:after="0" w:line="142" w:lineRule="exact"/>
              <w:rPr>
                <w:sz w:val="20"/>
                <w:szCs w:val="20"/>
                <w:color w:val="auto"/>
              </w:rPr>
            </w:pPr>
            <w:r>
              <w:rPr>
                <w:rFonts w:ascii="Arial" w:cs="Arial" w:eastAsia="Arial" w:hAnsi="Arial"/>
                <w:sz w:val="14"/>
                <w:szCs w:val="14"/>
                <w:b w:val="1"/>
                <w:bCs w:val="1"/>
                <w:i w:val="1"/>
                <w:iCs w:val="1"/>
                <w:color w:val="auto"/>
                <w:w w:val="83"/>
              </w:rPr>
              <w:t>millions)</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 and above</w:t>
            </w:r>
          </w:p>
        </w:tc>
        <w:tc>
          <w:tcPr>
            <w:tcW w:w="2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8,091.9</w:t>
            </w:r>
          </w:p>
        </w:tc>
        <w:tc>
          <w:tcPr>
            <w:tcW w:w="2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b w:val="1"/>
                <w:bCs w:val="1"/>
                <w:color w:val="auto"/>
              </w:rPr>
              <w:t>$</w:t>
            </w: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194.5</w:t>
            </w:r>
          </w:p>
        </w:tc>
        <w:tc>
          <w:tcPr>
            <w:tcW w:w="80" w:type="dxa"/>
            <w:vAlign w:val="bottom"/>
            <w:shd w:val="clear" w:color="auto" w:fill="CCEEFF"/>
          </w:tcPr>
          <w:p>
            <w:pPr>
              <w:spacing w:after="0"/>
              <w:rPr>
                <w:sz w:val="12"/>
                <w:szCs w:val="12"/>
                <w:color w:val="auto"/>
              </w:rPr>
            </w:pPr>
          </w:p>
        </w:tc>
        <w:tc>
          <w:tcPr>
            <w:tcW w:w="2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8,286.4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580" w:type="dxa"/>
            <w:vAlign w:val="bottom"/>
          </w:tcPr>
          <w:p>
            <w:pPr>
              <w:spacing w:after="0" w:line="149" w:lineRule="exact"/>
              <w:rPr>
                <w:sz w:val="20"/>
                <w:szCs w:val="20"/>
                <w:color w:val="auto"/>
              </w:rPr>
            </w:pPr>
            <w:r>
              <w:rPr>
                <w:rFonts w:ascii="Arial" w:cs="Arial" w:eastAsia="Arial" w:hAnsi="Arial"/>
                <w:sz w:val="14"/>
                <w:szCs w:val="14"/>
                <w:color w:val="auto"/>
              </w:rPr>
              <w:t>BBB+ thru BBB-</w:t>
            </w:r>
          </w:p>
        </w:tc>
        <w:tc>
          <w:tcPr>
            <w:tcW w:w="2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1,463.7</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250.0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1,713.7</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BB+ thru BB-</w:t>
            </w:r>
          </w:p>
        </w:tc>
        <w:tc>
          <w:tcPr>
            <w:tcW w:w="26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155.4</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155.5</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580" w:type="dxa"/>
            <w:vAlign w:val="bottom"/>
          </w:tcPr>
          <w:p>
            <w:pPr>
              <w:spacing w:after="0" w:line="149" w:lineRule="exact"/>
              <w:rPr>
                <w:sz w:val="20"/>
                <w:szCs w:val="20"/>
                <w:color w:val="auto"/>
              </w:rPr>
            </w:pPr>
            <w:r>
              <w:rPr>
                <w:rFonts w:ascii="Arial" w:cs="Arial" w:eastAsia="Arial" w:hAnsi="Arial"/>
                <w:sz w:val="14"/>
                <w:szCs w:val="14"/>
                <w:color w:val="auto"/>
              </w:rPr>
              <w:t>B+ and below</w:t>
            </w:r>
          </w:p>
        </w:tc>
        <w:tc>
          <w:tcPr>
            <w:tcW w:w="26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1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170.1</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2.0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172.1</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5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w:t>
            </w:r>
          </w:p>
        </w:tc>
        <w:tc>
          <w:tcPr>
            <w:tcW w:w="26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b w:val="1"/>
                <w:bCs w:val="1"/>
                <w:color w:val="auto"/>
                <w:w w:val="71"/>
              </w:rPr>
              <w:t>$</w:t>
            </w:r>
          </w:p>
        </w:tc>
        <w:tc>
          <w:tcPr>
            <w:tcW w:w="11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9,881.1</w:t>
            </w:r>
          </w:p>
        </w:tc>
        <w:tc>
          <w:tcPr>
            <w:tcW w:w="26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b w:val="1"/>
                <w:bCs w:val="1"/>
                <w:color w:val="auto"/>
              </w:rPr>
              <w:t>$</w:t>
            </w:r>
          </w:p>
        </w:tc>
        <w:tc>
          <w:tcPr>
            <w:tcW w:w="4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446.6</w:t>
            </w:r>
          </w:p>
        </w:tc>
        <w:tc>
          <w:tcPr>
            <w:tcW w:w="80" w:type="dxa"/>
            <w:vAlign w:val="bottom"/>
            <w:shd w:val="clear" w:color="auto" w:fill="CCEEFF"/>
          </w:tcPr>
          <w:p>
            <w:pPr>
              <w:spacing w:after="0"/>
              <w:rPr>
                <w:sz w:val="12"/>
                <w:szCs w:val="12"/>
                <w:color w:val="auto"/>
              </w:rPr>
            </w:pPr>
          </w:p>
        </w:tc>
        <w:tc>
          <w:tcPr>
            <w:tcW w:w="20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99"/>
              </w:rPr>
              <w:t>10,327.7</w:t>
            </w:r>
          </w:p>
        </w:tc>
        <w:tc>
          <w:tcPr>
            <w:tcW w:w="160" w:type="dxa"/>
            <w:vAlign w:val="bottom"/>
            <w:shd w:val="clear" w:color="auto" w:fill="CCEEFF"/>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580" w:type="dxa"/>
            <w:vAlign w:val="bottom"/>
          </w:tcPr>
          <w:p>
            <w:pPr>
              <w:spacing w:after="0" w:line="20" w:lineRule="exact"/>
              <w:rPr>
                <w:sz w:val="1"/>
                <w:szCs w:val="1"/>
                <w:color w:val="auto"/>
              </w:rPr>
            </w:pPr>
          </w:p>
        </w:tc>
        <w:tc>
          <w:tcPr>
            <w:tcW w:w="26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777"/>
        </w:trPr>
        <w:tc>
          <w:tcPr>
            <w:tcW w:w="20" w:type="dxa"/>
            <w:vAlign w:val="bottom"/>
          </w:tcPr>
          <w:p>
            <w:pPr>
              <w:spacing w:after="0"/>
              <w:rPr>
                <w:sz w:val="24"/>
                <w:szCs w:val="24"/>
                <w:color w:val="auto"/>
              </w:rPr>
            </w:pPr>
          </w:p>
        </w:tc>
        <w:tc>
          <w:tcPr>
            <w:tcW w:w="3580" w:type="dxa"/>
            <w:vAlign w:val="bottom"/>
          </w:tcPr>
          <w:p>
            <w:pPr>
              <w:spacing w:after="0"/>
              <w:rPr>
                <w:sz w:val="24"/>
                <w:szCs w:val="24"/>
                <w:color w:val="auto"/>
              </w:rPr>
            </w:pPr>
          </w:p>
        </w:tc>
        <w:tc>
          <w:tcPr>
            <w:tcW w:w="266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880" w:type="dxa"/>
            <w:vAlign w:val="bottom"/>
            <w:tcBorders>
              <w:bottom w:val="single" w:sz="8" w:color="auto"/>
            </w:tcBorders>
            <w:gridSpan w:val="5"/>
          </w:tcPr>
          <w:p>
            <w:pPr>
              <w:ind w:left="740"/>
              <w:spacing w:after="0"/>
              <w:rPr>
                <w:sz w:val="20"/>
                <w:szCs w:val="20"/>
                <w:color w:val="auto"/>
              </w:rPr>
            </w:pPr>
            <w:r>
              <w:rPr>
                <w:rFonts w:ascii="Arial" w:cs="Arial" w:eastAsia="Arial" w:hAnsi="Arial"/>
                <w:sz w:val="14"/>
                <w:szCs w:val="14"/>
                <w:b w:val="1"/>
                <w:bCs w:val="1"/>
                <w:color w:val="auto"/>
                <w:w w:val="88"/>
              </w:rPr>
              <w:t>December 31, 2012</w:t>
            </w:r>
          </w:p>
        </w:tc>
        <w:tc>
          <w:tcPr>
            <w:tcW w:w="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142"/>
        </w:trPr>
        <w:tc>
          <w:tcPr>
            <w:tcW w:w="20" w:type="dxa"/>
            <w:vAlign w:val="bottom"/>
          </w:tcPr>
          <w:p>
            <w:pPr>
              <w:spacing w:after="0"/>
              <w:rPr>
                <w:sz w:val="12"/>
                <w:szCs w:val="12"/>
                <w:color w:val="auto"/>
              </w:rPr>
            </w:pPr>
          </w:p>
        </w:tc>
        <w:tc>
          <w:tcPr>
            <w:tcW w:w="358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120" w:type="dxa"/>
            <w:vAlign w:val="bottom"/>
            <w:tcBorders>
              <w:bottom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w w:val="89"/>
              </w:rPr>
              <w:t>Brick and mortar</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ind w:right="72"/>
              <w:spacing w:after="0" w:line="142" w:lineRule="exact"/>
              <w:rPr>
                <w:sz w:val="20"/>
                <w:szCs w:val="20"/>
                <w:color w:val="auto"/>
              </w:rPr>
            </w:pPr>
            <w:r>
              <w:rPr>
                <w:rFonts w:ascii="Arial" w:cs="Arial" w:eastAsia="Arial" w:hAnsi="Arial"/>
                <w:sz w:val="14"/>
                <w:szCs w:val="14"/>
                <w:b w:val="1"/>
                <w:bCs w:val="1"/>
                <w:color w:val="auto"/>
                <w:w w:val="95"/>
              </w:rPr>
              <w:t>CTL</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132"/>
              <w:spacing w:after="0" w:line="142" w:lineRule="exact"/>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58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20" w:type="dxa"/>
            <w:vAlign w:val="bottom"/>
          </w:tcPr>
          <w:p>
            <w:pPr>
              <w:jc w:val="right"/>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680" w:type="dxa"/>
            <w:vAlign w:val="bottom"/>
            <w:gridSpan w:val="3"/>
          </w:tcPr>
          <w:p>
            <w:pPr>
              <w:jc w:val="right"/>
              <w:ind w:right="112"/>
              <w:spacing w:after="0" w:line="142" w:lineRule="exact"/>
              <w:rPr>
                <w:sz w:val="20"/>
                <w:szCs w:val="20"/>
                <w:color w:val="auto"/>
              </w:rPr>
            </w:pPr>
            <w:r>
              <w:rPr>
                <w:rFonts w:ascii="Arial" w:cs="Arial" w:eastAsia="Arial" w:hAnsi="Arial"/>
                <w:sz w:val="14"/>
                <w:szCs w:val="14"/>
                <w:b w:val="1"/>
                <w:bCs w:val="1"/>
                <w:i w:val="1"/>
                <w:iCs w:val="1"/>
                <w:color w:val="auto"/>
                <w:w w:val="83"/>
              </w:rPr>
              <w:t>millions)</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 and above</w:t>
            </w:r>
          </w:p>
        </w:tc>
        <w:tc>
          <w:tcPr>
            <w:tcW w:w="2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7,257.7</w:t>
            </w:r>
          </w:p>
        </w:tc>
        <w:tc>
          <w:tcPr>
            <w:tcW w:w="26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231.3</w:t>
            </w:r>
          </w:p>
        </w:tc>
        <w:tc>
          <w:tcPr>
            <w:tcW w:w="80" w:type="dxa"/>
            <w:vAlign w:val="bottom"/>
            <w:shd w:val="clear" w:color="auto" w:fill="CCEEFF"/>
          </w:tcPr>
          <w:p>
            <w:pPr>
              <w:spacing w:after="0"/>
              <w:rPr>
                <w:sz w:val="12"/>
                <w:szCs w:val="12"/>
                <w:color w:val="auto"/>
              </w:rPr>
            </w:pPr>
          </w:p>
        </w:tc>
        <w:tc>
          <w:tcPr>
            <w:tcW w:w="2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7,489.0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580" w:type="dxa"/>
            <w:vAlign w:val="bottom"/>
          </w:tcPr>
          <w:p>
            <w:pPr>
              <w:spacing w:after="0" w:line="149" w:lineRule="exact"/>
              <w:rPr>
                <w:sz w:val="20"/>
                <w:szCs w:val="20"/>
                <w:color w:val="auto"/>
              </w:rPr>
            </w:pPr>
            <w:r>
              <w:rPr>
                <w:rFonts w:ascii="Arial" w:cs="Arial" w:eastAsia="Arial" w:hAnsi="Arial"/>
                <w:sz w:val="14"/>
                <w:szCs w:val="14"/>
                <w:color w:val="auto"/>
              </w:rPr>
              <w:t>BBB+ thru BBB-</w:t>
            </w:r>
          </w:p>
        </w:tc>
        <w:tc>
          <w:tcPr>
            <w:tcW w:w="2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color w:val="auto"/>
              </w:rPr>
              <w:t>1,804.5</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294.9</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2,099.4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BB+ thru BB-</w:t>
            </w:r>
          </w:p>
        </w:tc>
        <w:tc>
          <w:tcPr>
            <w:tcW w:w="26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266.8</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268.4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580" w:type="dxa"/>
            <w:vAlign w:val="bottom"/>
          </w:tcPr>
          <w:p>
            <w:pPr>
              <w:spacing w:after="0" w:line="149" w:lineRule="exact"/>
              <w:rPr>
                <w:sz w:val="20"/>
                <w:szCs w:val="20"/>
                <w:color w:val="auto"/>
              </w:rPr>
            </w:pPr>
            <w:r>
              <w:rPr>
                <w:rFonts w:ascii="Arial" w:cs="Arial" w:eastAsia="Arial" w:hAnsi="Arial"/>
                <w:sz w:val="14"/>
                <w:szCs w:val="14"/>
                <w:color w:val="auto"/>
              </w:rPr>
              <w:t>B+ and below</w:t>
            </w:r>
          </w:p>
        </w:tc>
        <w:tc>
          <w:tcPr>
            <w:tcW w:w="26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1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376.0</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2.3</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378.3</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5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w:t>
            </w:r>
          </w:p>
        </w:tc>
        <w:tc>
          <w:tcPr>
            <w:tcW w:w="27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9,705.0</w:t>
            </w:r>
          </w:p>
        </w:tc>
        <w:tc>
          <w:tcPr>
            <w:tcW w:w="26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530.1</w:t>
            </w:r>
          </w:p>
        </w:tc>
        <w:tc>
          <w:tcPr>
            <w:tcW w:w="80" w:type="dxa"/>
            <w:vAlign w:val="bottom"/>
            <w:shd w:val="clear" w:color="auto" w:fill="CCEEFF"/>
          </w:tcPr>
          <w:p>
            <w:pPr>
              <w:spacing w:after="0"/>
              <w:rPr>
                <w:sz w:val="12"/>
                <w:szCs w:val="12"/>
                <w:color w:val="auto"/>
              </w:rPr>
            </w:pPr>
          </w:p>
        </w:tc>
        <w:tc>
          <w:tcPr>
            <w:tcW w:w="20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9"/>
              </w:rPr>
              <w:t>10,235.1</w:t>
            </w:r>
          </w:p>
        </w:tc>
        <w:tc>
          <w:tcPr>
            <w:tcW w:w="160" w:type="dxa"/>
            <w:vAlign w:val="bottom"/>
            <w:shd w:val="clear" w:color="auto" w:fill="CCEEFF"/>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580" w:type="dxa"/>
            <w:vAlign w:val="bottom"/>
          </w:tcPr>
          <w:p>
            <w:pPr>
              <w:spacing w:after="0" w:line="20" w:lineRule="exact"/>
              <w:rPr>
                <w:sz w:val="1"/>
                <w:szCs w:val="1"/>
                <w:color w:val="auto"/>
              </w:rPr>
            </w:pPr>
          </w:p>
        </w:tc>
        <w:tc>
          <w:tcPr>
            <w:tcW w:w="26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Residential Credit Risk Profile Based on Performance Status</w:t>
      </w:r>
    </w:p>
    <w:p>
      <w:pPr>
        <w:spacing w:after="0" w:line="225" w:lineRule="exact"/>
        <w:rPr>
          <w:sz w:val="20"/>
          <w:szCs w:val="20"/>
          <w:color w:val="auto"/>
        </w:rPr>
      </w:pPr>
    </w:p>
    <w:p>
      <w:pPr>
        <w:jc w:val="both"/>
        <w:ind w:firstLine="387"/>
        <w:spacing w:after="0" w:line="259" w:lineRule="auto"/>
        <w:rPr>
          <w:sz w:val="20"/>
          <w:szCs w:val="20"/>
          <w:color w:val="auto"/>
        </w:rPr>
      </w:pPr>
      <w:r>
        <w:rPr>
          <w:rFonts w:ascii="Arial" w:cs="Arial" w:eastAsia="Arial" w:hAnsi="Arial"/>
          <w:sz w:val="18"/>
          <w:szCs w:val="18"/>
          <w:color w:val="auto"/>
        </w:rPr>
        <w:t>Our residential mortgage loan portfolio is monitored based on performance of the loans. Monitoring on a residential mortgage loan increases when the loan is delinquent or earlier if there is an indication of impairment. We define non-performing residential mortgage loans as loans 90 days or greater delinquent or on non-accrual status.</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amortized cost of our performing and non-performing residential mortgage loans was as follows:</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600" w:type="dxa"/>
            <w:vAlign w:val="bottom"/>
          </w:tcPr>
          <w:p>
            <w:pPr>
              <w:spacing w:after="0"/>
              <w:rPr>
                <w:sz w:val="14"/>
                <w:szCs w:val="14"/>
                <w:color w:val="auto"/>
              </w:rPr>
            </w:pPr>
          </w:p>
        </w:tc>
        <w:tc>
          <w:tcPr>
            <w:tcW w:w="278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gridSpan w:val="5"/>
          </w:tcPr>
          <w:p>
            <w:pPr>
              <w:jc w:val="center"/>
              <w:ind w:left="272"/>
              <w:spacing w:after="0"/>
              <w:rPr>
                <w:sz w:val="20"/>
                <w:szCs w:val="20"/>
                <w:color w:val="auto"/>
              </w:rPr>
            </w:pPr>
            <w:r>
              <w:rPr>
                <w:rFonts w:ascii="Arial" w:cs="Arial" w:eastAsia="Arial" w:hAnsi="Arial"/>
                <w:sz w:val="14"/>
                <w:szCs w:val="14"/>
                <w:b w:val="1"/>
                <w:bCs w:val="1"/>
                <w:color w:val="auto"/>
                <w:w w:val="87"/>
              </w:rPr>
              <w:t>December 31, 2013</w:t>
            </w:r>
          </w:p>
        </w:tc>
        <w:tc>
          <w:tcPr>
            <w:tcW w:w="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3600" w:type="dxa"/>
            <w:vAlign w:val="bottom"/>
          </w:tcPr>
          <w:p>
            <w:pPr>
              <w:spacing w:after="0"/>
              <w:rPr>
                <w:sz w:val="12"/>
                <w:szCs w:val="12"/>
                <w:color w:val="auto"/>
              </w:rPr>
            </w:pPr>
          </w:p>
        </w:tc>
        <w:tc>
          <w:tcPr>
            <w:tcW w:w="2780" w:type="dxa"/>
            <w:vAlign w:val="bottom"/>
          </w:tcPr>
          <w:p>
            <w:pPr>
              <w:spacing w:after="0"/>
              <w:rPr>
                <w:sz w:val="12"/>
                <w:szCs w:val="12"/>
                <w:color w:val="auto"/>
              </w:rPr>
            </w:pPr>
          </w:p>
        </w:tc>
        <w:tc>
          <w:tcPr>
            <w:tcW w:w="900" w:type="dxa"/>
            <w:vAlign w:val="bottom"/>
            <w:tcBorders>
              <w:bottom w:val="single" w:sz="8" w:color="auto"/>
            </w:tcBorders>
            <w:gridSpan w:val="2"/>
          </w:tcPr>
          <w:p>
            <w:pPr>
              <w:jc w:val="right"/>
              <w:ind w:right="12"/>
              <w:spacing w:after="0" w:line="142" w:lineRule="exact"/>
              <w:rPr>
                <w:sz w:val="20"/>
                <w:szCs w:val="20"/>
                <w:color w:val="auto"/>
              </w:rPr>
            </w:pPr>
            <w:r>
              <w:rPr>
                <w:rFonts w:ascii="Arial" w:cs="Arial" w:eastAsia="Arial" w:hAnsi="Arial"/>
                <w:sz w:val="14"/>
                <w:szCs w:val="14"/>
                <w:b w:val="1"/>
                <w:bCs w:val="1"/>
                <w:color w:val="auto"/>
                <w:w w:val="95"/>
              </w:rPr>
              <w:t>Home equity</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w w:val="81"/>
              </w:rPr>
              <w:t>First liens</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95"/>
              </w:rPr>
              <w:t>Total</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600" w:type="dxa"/>
            <w:vAlign w:val="bottom"/>
          </w:tcPr>
          <w:p>
            <w:pPr>
              <w:spacing w:after="0"/>
              <w:rPr>
                <w:sz w:val="12"/>
                <w:szCs w:val="12"/>
                <w:color w:val="auto"/>
              </w:rPr>
            </w:pPr>
          </w:p>
        </w:tc>
        <w:tc>
          <w:tcPr>
            <w:tcW w:w="27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900" w:type="dxa"/>
            <w:vAlign w:val="bottom"/>
            <w:gridSpan w:val="3"/>
          </w:tcPr>
          <w:p>
            <w:pPr>
              <w:jc w:val="center"/>
              <w:ind w:right="52"/>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6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Performing</w:t>
            </w:r>
          </w:p>
        </w:tc>
        <w:tc>
          <w:tcPr>
            <w:tcW w:w="3120" w:type="dxa"/>
            <w:vAlign w:val="bottom"/>
            <w:gridSpan w:val="2"/>
            <w:shd w:val="clear" w:color="auto" w:fill="CCEEFF"/>
          </w:tcPr>
          <w:p>
            <w:pPr>
              <w:jc w:val="right"/>
              <w:ind w:right="212"/>
              <w:spacing w:after="0" w:line="149"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378.3</w:t>
            </w:r>
          </w:p>
        </w:tc>
        <w:tc>
          <w:tcPr>
            <w:tcW w:w="24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862.1</w:t>
            </w:r>
          </w:p>
        </w:tc>
        <w:tc>
          <w:tcPr>
            <w:tcW w:w="10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1,240.4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600" w:type="dxa"/>
            <w:vAlign w:val="bottom"/>
          </w:tcPr>
          <w:p>
            <w:pPr>
              <w:spacing w:after="0" w:line="149" w:lineRule="exact"/>
              <w:rPr>
                <w:sz w:val="20"/>
                <w:szCs w:val="20"/>
                <w:color w:val="auto"/>
              </w:rPr>
            </w:pPr>
            <w:r>
              <w:rPr>
                <w:rFonts w:ascii="Arial" w:cs="Arial" w:eastAsia="Arial" w:hAnsi="Arial"/>
                <w:sz w:val="14"/>
                <w:szCs w:val="14"/>
                <w:color w:val="auto"/>
              </w:rPr>
              <w:t>Nonperforming</w:t>
            </w:r>
          </w:p>
        </w:tc>
        <w:tc>
          <w:tcPr>
            <w:tcW w:w="2780" w:type="dxa"/>
            <w:vAlign w:val="bottom"/>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16.6</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18.7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35.3</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60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w:t>
            </w:r>
          </w:p>
        </w:tc>
        <w:tc>
          <w:tcPr>
            <w:tcW w:w="3120" w:type="dxa"/>
            <w:vAlign w:val="bottom"/>
            <w:gridSpan w:val="2"/>
            <w:shd w:val="clear" w:color="auto" w:fill="CCEEFF"/>
          </w:tcPr>
          <w:p>
            <w:pPr>
              <w:jc w:val="right"/>
              <w:ind w:right="212"/>
              <w:spacing w:after="0" w:line="142"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394.9</w:t>
            </w:r>
          </w:p>
        </w:tc>
        <w:tc>
          <w:tcPr>
            <w:tcW w:w="24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6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880.8</w:t>
            </w:r>
          </w:p>
        </w:tc>
        <w:tc>
          <w:tcPr>
            <w:tcW w:w="10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w:t>
            </w: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1,275.7</w:t>
            </w:r>
          </w:p>
        </w:tc>
        <w:tc>
          <w:tcPr>
            <w:tcW w:w="160" w:type="dxa"/>
            <w:vAlign w:val="bottom"/>
            <w:shd w:val="clear" w:color="auto" w:fill="CCEEFF"/>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600" w:type="dxa"/>
            <w:vAlign w:val="bottom"/>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777"/>
        </w:trPr>
        <w:tc>
          <w:tcPr>
            <w:tcW w:w="20" w:type="dxa"/>
            <w:vAlign w:val="bottom"/>
          </w:tcPr>
          <w:p>
            <w:pPr>
              <w:spacing w:after="0"/>
              <w:rPr>
                <w:sz w:val="24"/>
                <w:szCs w:val="24"/>
                <w:color w:val="auto"/>
              </w:rPr>
            </w:pPr>
          </w:p>
        </w:tc>
        <w:tc>
          <w:tcPr>
            <w:tcW w:w="3600" w:type="dxa"/>
            <w:vAlign w:val="bottom"/>
          </w:tcPr>
          <w:p>
            <w:pPr>
              <w:spacing w:after="0"/>
              <w:rPr>
                <w:sz w:val="24"/>
                <w:szCs w:val="24"/>
                <w:color w:val="auto"/>
              </w:rPr>
            </w:pPr>
          </w:p>
        </w:tc>
        <w:tc>
          <w:tcPr>
            <w:tcW w:w="278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5"/>
          </w:tcPr>
          <w:p>
            <w:pPr>
              <w:jc w:val="center"/>
              <w:ind w:left="272"/>
              <w:spacing w:after="0"/>
              <w:rPr>
                <w:sz w:val="20"/>
                <w:szCs w:val="20"/>
                <w:color w:val="auto"/>
              </w:rPr>
            </w:pPr>
            <w:r>
              <w:rPr>
                <w:rFonts w:ascii="Arial" w:cs="Arial" w:eastAsia="Arial" w:hAnsi="Arial"/>
                <w:sz w:val="14"/>
                <w:szCs w:val="14"/>
                <w:b w:val="1"/>
                <w:bCs w:val="1"/>
                <w:color w:val="auto"/>
                <w:w w:val="87"/>
              </w:rPr>
              <w:t>December 31, 2012</w:t>
            </w: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142"/>
        </w:trPr>
        <w:tc>
          <w:tcPr>
            <w:tcW w:w="20" w:type="dxa"/>
            <w:vAlign w:val="bottom"/>
          </w:tcPr>
          <w:p>
            <w:pPr>
              <w:spacing w:after="0"/>
              <w:rPr>
                <w:sz w:val="12"/>
                <w:szCs w:val="12"/>
                <w:color w:val="auto"/>
              </w:rPr>
            </w:pPr>
          </w:p>
        </w:tc>
        <w:tc>
          <w:tcPr>
            <w:tcW w:w="3600" w:type="dxa"/>
            <w:vAlign w:val="bottom"/>
          </w:tcPr>
          <w:p>
            <w:pPr>
              <w:spacing w:after="0"/>
              <w:rPr>
                <w:sz w:val="12"/>
                <w:szCs w:val="12"/>
                <w:color w:val="auto"/>
              </w:rPr>
            </w:pPr>
          </w:p>
        </w:tc>
        <w:tc>
          <w:tcPr>
            <w:tcW w:w="2780" w:type="dxa"/>
            <w:vAlign w:val="bottom"/>
          </w:tcPr>
          <w:p>
            <w:pPr>
              <w:spacing w:after="0"/>
              <w:rPr>
                <w:sz w:val="12"/>
                <w:szCs w:val="12"/>
                <w:color w:val="auto"/>
              </w:rPr>
            </w:pPr>
          </w:p>
        </w:tc>
        <w:tc>
          <w:tcPr>
            <w:tcW w:w="900" w:type="dxa"/>
            <w:vAlign w:val="bottom"/>
            <w:tcBorders>
              <w:bottom w:val="single" w:sz="8" w:color="auto"/>
            </w:tcBorders>
            <w:gridSpan w:val="2"/>
          </w:tcPr>
          <w:p>
            <w:pPr>
              <w:jc w:val="right"/>
              <w:ind w:right="12"/>
              <w:spacing w:after="0" w:line="142" w:lineRule="exact"/>
              <w:rPr>
                <w:sz w:val="20"/>
                <w:szCs w:val="20"/>
                <w:color w:val="auto"/>
              </w:rPr>
            </w:pPr>
            <w:r>
              <w:rPr>
                <w:rFonts w:ascii="Arial" w:cs="Arial" w:eastAsia="Arial" w:hAnsi="Arial"/>
                <w:sz w:val="14"/>
                <w:szCs w:val="14"/>
                <w:b w:val="1"/>
                <w:bCs w:val="1"/>
                <w:color w:val="auto"/>
                <w:w w:val="95"/>
              </w:rPr>
              <w:t>Home equity</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w w:val="81"/>
              </w:rPr>
              <w:t>First liens</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95"/>
              </w:rPr>
              <w:t>Total</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600" w:type="dxa"/>
            <w:vAlign w:val="bottom"/>
          </w:tcPr>
          <w:p>
            <w:pPr>
              <w:spacing w:after="0"/>
              <w:rPr>
                <w:sz w:val="12"/>
                <w:szCs w:val="12"/>
                <w:color w:val="auto"/>
              </w:rPr>
            </w:pPr>
          </w:p>
        </w:tc>
        <w:tc>
          <w:tcPr>
            <w:tcW w:w="27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900" w:type="dxa"/>
            <w:vAlign w:val="bottom"/>
            <w:gridSpan w:val="3"/>
          </w:tcPr>
          <w:p>
            <w:pPr>
              <w:jc w:val="center"/>
              <w:ind w:right="52"/>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6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Performing</w:t>
            </w:r>
          </w:p>
        </w:tc>
        <w:tc>
          <w:tcPr>
            <w:tcW w:w="3120" w:type="dxa"/>
            <w:vAlign w:val="bottom"/>
            <w:gridSpan w:val="2"/>
            <w:shd w:val="clear" w:color="auto" w:fill="CCEEFF"/>
          </w:tcPr>
          <w:p>
            <w:pPr>
              <w:jc w:val="right"/>
              <w:ind w:right="192"/>
              <w:spacing w:after="0" w:line="149"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472.6</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865.0</w:t>
            </w:r>
          </w:p>
        </w:tc>
        <w:tc>
          <w:tcPr>
            <w:tcW w:w="10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1,337.6</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600" w:type="dxa"/>
            <w:vAlign w:val="bottom"/>
          </w:tcPr>
          <w:p>
            <w:pPr>
              <w:spacing w:after="0" w:line="149" w:lineRule="exact"/>
              <w:rPr>
                <w:sz w:val="20"/>
                <w:szCs w:val="20"/>
                <w:color w:val="auto"/>
              </w:rPr>
            </w:pPr>
            <w:r>
              <w:rPr>
                <w:rFonts w:ascii="Arial" w:cs="Arial" w:eastAsia="Arial" w:hAnsi="Arial"/>
                <w:sz w:val="14"/>
                <w:szCs w:val="14"/>
                <w:color w:val="auto"/>
              </w:rPr>
              <w:t>Nonperforming</w:t>
            </w:r>
          </w:p>
        </w:tc>
        <w:tc>
          <w:tcPr>
            <w:tcW w:w="2780" w:type="dxa"/>
            <w:vAlign w:val="bottom"/>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23.1</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21.3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44.4</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60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w:t>
            </w:r>
          </w:p>
        </w:tc>
        <w:tc>
          <w:tcPr>
            <w:tcW w:w="3120" w:type="dxa"/>
            <w:vAlign w:val="bottom"/>
            <w:gridSpan w:val="2"/>
            <w:shd w:val="clear" w:color="auto" w:fill="CCEEFF"/>
          </w:tcPr>
          <w:p>
            <w:pPr>
              <w:jc w:val="right"/>
              <w:ind w:right="192"/>
              <w:spacing w:after="0" w:line="142"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495.7</w:t>
            </w:r>
          </w:p>
        </w:tc>
        <w:tc>
          <w:tcPr>
            <w:tcW w:w="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886.3</w:t>
            </w:r>
          </w:p>
        </w:tc>
        <w:tc>
          <w:tcPr>
            <w:tcW w:w="10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1,382.0</w:t>
            </w:r>
          </w:p>
        </w:tc>
        <w:tc>
          <w:tcPr>
            <w:tcW w:w="160" w:type="dxa"/>
            <w:vAlign w:val="bottom"/>
            <w:shd w:val="clear" w:color="auto" w:fill="CCEEFF"/>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600" w:type="dxa"/>
            <w:vAlign w:val="bottom"/>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Non-Accrual Mortgage Loans</w:t>
      </w:r>
    </w:p>
    <w:p>
      <w:pPr>
        <w:spacing w:after="0" w:line="231" w:lineRule="exact"/>
        <w:rPr>
          <w:sz w:val="20"/>
          <w:szCs w:val="20"/>
          <w:color w:val="auto"/>
        </w:rPr>
      </w:pPr>
    </w:p>
    <w:p>
      <w:pPr>
        <w:jc w:val="both"/>
        <w:ind w:firstLine="403"/>
        <w:spacing w:after="0" w:line="253" w:lineRule="auto"/>
        <w:rPr>
          <w:sz w:val="20"/>
          <w:szCs w:val="20"/>
          <w:color w:val="auto"/>
        </w:rPr>
      </w:pPr>
      <w:r>
        <w:rPr>
          <w:rFonts w:ascii="Arial" w:cs="Arial" w:eastAsia="Arial" w:hAnsi="Arial"/>
          <w:sz w:val="18"/>
          <w:szCs w:val="18"/>
          <w:color w:val="auto"/>
        </w:rPr>
        <w:t>Commercial and residential mortgage loans are placed on non-accrual status if we have concern regarding the collectability of future payments or if a loan has matured without being paid off or extended. Factors considered may include conversations with the borrower, loss of major tenant, bankruptcy of borrower or major tenant, decreased property cash flow for commercial mortgage loans or number of days past due and other circumstances for residential mortgage loans. Based on an assessment as to the collectability of the principal, a determination is made to apply any payments received either against the principal or according to the contractual terms of the loan. When a loan is placed on nonaccrual status, the accrued unpaid interest receivable is reversed against interest income. Accrual of interest resumes after factors resulting in doubts about collectability have improved. Residential first lien mortgages in the Chilean market are carried on accrual for a longer period of delinquency than domestic loans, as assessment of collectability is based on the nature of the loans and collection practices in that market.</w:t>
      </w:r>
    </w:p>
    <w:p>
      <w:pPr>
        <w:sectPr>
          <w:pgSz w:w="11900" w:h="16838" w:orient="portrait"/>
          <w:cols w:equalWidth="0" w:num="1">
            <w:col w:w="11420"/>
          </w:cols>
          <w:pgMar w:left="240" w:top="131" w:right="239" w:bottom="1440" w:gutter="0" w:footer="0" w:header="0"/>
        </w:sectPr>
      </w:pPr>
    </w:p>
    <w:p>
      <w:pPr>
        <w:spacing w:after="0" w:line="199"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21" w:name="page122"/>
    <w:bookmarkEnd w:id="12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Investments — (continued)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amortized cost of mortgage loans on non-accrual status was as follows:</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2013</w:t>
            </w: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2012</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6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ind w:right="5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1420" w:type="dxa"/>
            <w:vAlign w:val="bottom"/>
            <w:gridSpan w:val="3"/>
          </w:tcPr>
          <w:p>
            <w:pPr>
              <w:jc w:val="right"/>
              <w:ind w:right="952"/>
              <w:spacing w:after="0"/>
              <w:rPr>
                <w:sz w:val="20"/>
                <w:szCs w:val="20"/>
                <w:color w:val="auto"/>
              </w:rPr>
            </w:pPr>
            <w:r>
              <w:rPr>
                <w:rFonts w:ascii="Arial" w:cs="Arial" w:eastAsia="Arial" w:hAnsi="Arial"/>
                <w:sz w:val="12"/>
                <w:szCs w:val="12"/>
                <w:b w:val="1"/>
                <w:bCs w:val="1"/>
                <w:i w:val="1"/>
                <w:iCs w:val="1"/>
                <w:color w:val="auto"/>
                <w:w w:val="76"/>
              </w:rPr>
              <w:t>millions)</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Commercial:</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60" w:type="dxa"/>
            <w:vAlign w:val="bottom"/>
          </w:tcPr>
          <w:p>
            <w:pPr>
              <w:ind w:left="140"/>
              <w:spacing w:after="0" w:line="149" w:lineRule="exact"/>
              <w:rPr>
                <w:sz w:val="20"/>
                <w:szCs w:val="20"/>
                <w:color w:val="auto"/>
              </w:rPr>
            </w:pPr>
            <w:r>
              <w:rPr>
                <w:rFonts w:ascii="Arial" w:cs="Arial" w:eastAsia="Arial" w:hAnsi="Arial"/>
                <w:sz w:val="14"/>
                <w:szCs w:val="14"/>
                <w:color w:val="auto"/>
              </w:rPr>
              <w:t>Brick and mortar</w:t>
            </w:r>
          </w:p>
        </w:tc>
        <w:tc>
          <w:tcPr>
            <w:tcW w:w="80" w:type="dxa"/>
            <w:vAlign w:val="bottom"/>
            <w:gridSpan w:val="2"/>
          </w:tcPr>
          <w:p>
            <w:pPr>
              <w:jc w:val="right"/>
              <w:spacing w:after="0"/>
              <w:rPr>
                <w:sz w:val="20"/>
                <w:szCs w:val="20"/>
                <w:color w:val="auto"/>
              </w:rPr>
            </w:pPr>
            <w:r>
              <w:rPr>
                <w:rFonts w:ascii="Arial" w:cs="Arial" w:eastAsia="Arial" w:hAnsi="Arial"/>
                <w:sz w:val="10"/>
                <w:szCs w:val="10"/>
                <w:b w:val="1"/>
                <w:bCs w:val="1"/>
                <w:color w:val="auto"/>
                <w:w w:val="71"/>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33.2</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44.5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Residential:</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60" w:type="dxa"/>
            <w:vAlign w:val="bottom"/>
          </w:tcPr>
          <w:p>
            <w:pPr>
              <w:ind w:left="140"/>
              <w:spacing w:after="0" w:line="149" w:lineRule="exact"/>
              <w:rPr>
                <w:sz w:val="20"/>
                <w:szCs w:val="20"/>
                <w:color w:val="auto"/>
              </w:rPr>
            </w:pPr>
            <w:r>
              <w:rPr>
                <w:rFonts w:ascii="Arial" w:cs="Arial" w:eastAsia="Arial" w:hAnsi="Arial"/>
                <w:sz w:val="14"/>
                <w:szCs w:val="14"/>
                <w:color w:val="auto"/>
              </w:rPr>
              <w:t>Home equity</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16.6</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23.1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6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First liens</w:t>
            </w:r>
          </w:p>
        </w:tc>
        <w:tc>
          <w:tcPr>
            <w:tcW w:w="2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11.4</w:t>
            </w:r>
          </w:p>
        </w:tc>
        <w:tc>
          <w:tcPr>
            <w:tcW w:w="16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13.2</w:t>
            </w:r>
          </w:p>
        </w:tc>
        <w:tc>
          <w:tcPr>
            <w:tcW w:w="160" w:type="dxa"/>
            <w:vAlign w:val="bottom"/>
            <w:shd w:val="clear" w:color="auto" w:fill="CCEEFF"/>
          </w:tcPr>
          <w:p>
            <w:pPr>
              <w:spacing w:after="0"/>
              <w:rPr>
                <w:sz w:val="12"/>
                <w:szCs w:val="12"/>
                <w:color w:val="auto"/>
              </w:rPr>
            </w:pPr>
          </w:p>
        </w:tc>
      </w:tr>
      <w:tr>
        <w:trPr>
          <w:trHeight w:val="142"/>
        </w:trPr>
        <w:tc>
          <w:tcPr>
            <w:tcW w:w="6280" w:type="dxa"/>
            <w:vAlign w:val="bottom"/>
            <w:gridSpan w:val="2"/>
          </w:tcPr>
          <w:p>
            <w:pPr>
              <w:spacing w:after="0" w:line="142" w:lineRule="exact"/>
              <w:rPr>
                <w:sz w:val="20"/>
                <w:szCs w:val="20"/>
                <w:color w:val="auto"/>
              </w:rPr>
            </w:pPr>
            <w:r>
              <w:rPr>
                <w:rFonts w:ascii="Arial" w:cs="Arial" w:eastAsia="Arial" w:hAnsi="Arial"/>
                <w:sz w:val="14"/>
                <w:szCs w:val="14"/>
                <w:color w:val="auto"/>
              </w:rPr>
              <w:t>Total</w:t>
            </w:r>
          </w:p>
        </w:tc>
        <w:tc>
          <w:tcPr>
            <w:tcW w:w="2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5"/>
                <w:szCs w:val="5"/>
                <w:b w:val="1"/>
                <w:bCs w:val="1"/>
                <w:color w:val="auto"/>
                <w:w w:val="70"/>
              </w:rPr>
              <w:t>$</w:t>
            </w:r>
          </w:p>
        </w:tc>
        <w:tc>
          <w:tcPr>
            <w:tcW w:w="12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61.2</w:t>
            </w:r>
          </w:p>
        </w:tc>
        <w:tc>
          <w:tcPr>
            <w:tcW w:w="160" w:type="dxa"/>
            <w:vAlign w:val="bottom"/>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12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80.8</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6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aging of our mortgage loans, based on amortized cost, was as follows:</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2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580" w:type="dxa"/>
            <w:vAlign w:val="bottom"/>
            <w:tcBorders>
              <w:bottom w:val="single" w:sz="8" w:color="auto"/>
            </w:tcBorders>
            <w:gridSpan w:val="5"/>
          </w:tcPr>
          <w:p>
            <w:pPr>
              <w:ind w:left="440"/>
              <w:spacing w:after="0"/>
              <w:rPr>
                <w:sz w:val="20"/>
                <w:szCs w:val="20"/>
                <w:color w:val="auto"/>
              </w:rPr>
            </w:pPr>
            <w:r>
              <w:rPr>
                <w:rFonts w:ascii="Arial" w:cs="Arial" w:eastAsia="Arial" w:hAnsi="Arial"/>
                <w:sz w:val="14"/>
                <w:szCs w:val="14"/>
                <w:b w:val="1"/>
                <w:bCs w:val="1"/>
                <w:color w:val="auto"/>
                <w:w w:val="88"/>
              </w:rPr>
              <w:t>December 31, 2013</w:t>
            </w: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2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jc w:val="center"/>
              <w:ind w:right="32"/>
              <w:spacing w:after="0" w:line="129" w:lineRule="exact"/>
              <w:rPr>
                <w:sz w:val="20"/>
                <w:szCs w:val="20"/>
                <w:color w:val="auto"/>
              </w:rPr>
            </w:pPr>
            <w:r>
              <w:rPr>
                <w:rFonts w:ascii="Arial" w:cs="Arial" w:eastAsia="Arial" w:hAnsi="Arial"/>
                <w:sz w:val="14"/>
                <w:szCs w:val="14"/>
                <w:b w:val="1"/>
                <w:bCs w:val="1"/>
                <w:color w:val="auto"/>
                <w:w w:val="86"/>
              </w:rPr>
              <w:t>Recorded</w:t>
            </w: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2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6"/>
              </w:rPr>
              <w:t>investment</w:t>
            </w:r>
          </w:p>
        </w:tc>
      </w:tr>
      <w:tr>
        <w:trPr>
          <w:trHeight w:val="149"/>
        </w:trPr>
        <w:tc>
          <w:tcPr>
            <w:tcW w:w="20" w:type="dxa"/>
            <w:vAlign w:val="bottom"/>
          </w:tcPr>
          <w:p>
            <w:pPr>
              <w:spacing w:after="0"/>
              <w:rPr>
                <w:sz w:val="12"/>
                <w:szCs w:val="12"/>
                <w:color w:val="auto"/>
              </w:rPr>
            </w:pPr>
          </w:p>
        </w:tc>
        <w:tc>
          <w:tcPr>
            <w:tcW w:w="2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6"/>
              </w:rPr>
              <w:t>90 days or</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6"/>
              </w:rPr>
              <w:t>90 days or</w:t>
            </w:r>
          </w:p>
        </w:tc>
      </w:tr>
      <w:tr>
        <w:trPr>
          <w:trHeight w:val="149"/>
        </w:trPr>
        <w:tc>
          <w:tcPr>
            <w:tcW w:w="20" w:type="dxa"/>
            <w:vAlign w:val="bottom"/>
          </w:tcPr>
          <w:p>
            <w:pPr>
              <w:spacing w:after="0"/>
              <w:rPr>
                <w:sz w:val="12"/>
                <w:szCs w:val="12"/>
                <w:color w:val="auto"/>
              </w:rPr>
            </w:pPr>
          </w:p>
        </w:tc>
        <w:tc>
          <w:tcPr>
            <w:tcW w:w="2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5"/>
              </w:rPr>
              <w:t>30 - 59 days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5"/>
              </w:rPr>
              <w:t>60 - 89 days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3"/>
              </w:rPr>
              <w:t>more past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Total</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ind w:right="132"/>
              <w:spacing w:after="0" w:line="149" w:lineRule="exact"/>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more and</w:t>
            </w:r>
          </w:p>
        </w:tc>
      </w:tr>
      <w:tr>
        <w:trPr>
          <w:trHeight w:val="161"/>
        </w:trPr>
        <w:tc>
          <w:tcPr>
            <w:tcW w:w="20" w:type="dxa"/>
            <w:vAlign w:val="bottom"/>
          </w:tcPr>
          <w:p>
            <w:pPr>
              <w:spacing w:after="0"/>
              <w:rPr>
                <w:sz w:val="14"/>
                <w:szCs w:val="14"/>
                <w:color w:val="auto"/>
              </w:rPr>
            </w:pPr>
          </w:p>
        </w:tc>
        <w:tc>
          <w:tcPr>
            <w:tcW w:w="22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jc w:val="center"/>
              <w:ind w:right="32"/>
              <w:spacing w:after="0"/>
              <w:rPr>
                <w:sz w:val="20"/>
                <w:szCs w:val="20"/>
                <w:color w:val="auto"/>
              </w:rPr>
            </w:pPr>
            <w:r>
              <w:rPr>
                <w:rFonts w:ascii="Arial" w:cs="Arial" w:eastAsia="Arial" w:hAnsi="Arial"/>
                <w:sz w:val="14"/>
                <w:szCs w:val="14"/>
                <w:b w:val="1"/>
                <w:bCs w:val="1"/>
                <w:color w:val="auto"/>
                <w:w w:val="83"/>
              </w:rPr>
              <w:t>past due</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jc w:val="center"/>
              <w:ind w:right="32"/>
              <w:spacing w:after="0"/>
              <w:rPr>
                <w:sz w:val="20"/>
                <w:szCs w:val="20"/>
                <w:color w:val="auto"/>
              </w:rPr>
            </w:pPr>
            <w:r>
              <w:rPr>
                <w:rFonts w:ascii="Arial" w:cs="Arial" w:eastAsia="Arial" w:hAnsi="Arial"/>
                <w:sz w:val="14"/>
                <w:szCs w:val="14"/>
                <w:b w:val="1"/>
                <w:bCs w:val="1"/>
                <w:color w:val="auto"/>
                <w:w w:val="83"/>
              </w:rPr>
              <w:t>past due</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jc w:val="center"/>
              <w:ind w:right="12"/>
              <w:spacing w:after="0"/>
              <w:rPr>
                <w:sz w:val="20"/>
                <w:szCs w:val="20"/>
                <w:color w:val="auto"/>
              </w:rPr>
            </w:pPr>
            <w:r>
              <w:rPr>
                <w:rFonts w:ascii="Arial" w:cs="Arial" w:eastAsia="Arial" w:hAnsi="Arial"/>
                <w:sz w:val="14"/>
                <w:szCs w:val="14"/>
                <w:b w:val="1"/>
                <w:bCs w:val="1"/>
                <w:color w:val="auto"/>
                <w:w w:val="80"/>
              </w:rPr>
              <w:t>due</w:t>
            </w:r>
          </w:p>
        </w:tc>
        <w:tc>
          <w:tcPr>
            <w:tcW w:w="160" w:type="dxa"/>
            <w:vAlign w:val="bottom"/>
          </w:tcPr>
          <w:p>
            <w:pPr>
              <w:spacing w:after="0"/>
              <w:rPr>
                <w:sz w:val="14"/>
                <w:szCs w:val="14"/>
                <w:color w:val="auto"/>
              </w:rPr>
            </w:pPr>
          </w:p>
        </w:tc>
        <w:tc>
          <w:tcPr>
            <w:tcW w:w="74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3"/>
              </w:rPr>
              <w:t>past due</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jc w:val="right"/>
              <w:ind w:right="32"/>
              <w:spacing w:after="0"/>
              <w:rPr>
                <w:sz w:val="20"/>
                <w:szCs w:val="20"/>
                <w:color w:val="auto"/>
              </w:rPr>
            </w:pPr>
            <w:r>
              <w:rPr>
                <w:rFonts w:ascii="Arial" w:cs="Arial" w:eastAsia="Arial" w:hAnsi="Arial"/>
                <w:sz w:val="14"/>
                <w:szCs w:val="14"/>
                <w:b w:val="1"/>
                <w:bCs w:val="1"/>
                <w:color w:val="auto"/>
                <w:w w:val="94"/>
              </w:rPr>
              <w:t>Current</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jc w:val="right"/>
              <w:ind w:right="132"/>
              <w:spacing w:after="0"/>
              <w:rPr>
                <w:sz w:val="20"/>
                <w:szCs w:val="20"/>
                <w:color w:val="auto"/>
              </w:rPr>
            </w:pPr>
            <w:r>
              <w:rPr>
                <w:rFonts w:ascii="Arial" w:cs="Arial" w:eastAsia="Arial" w:hAnsi="Arial"/>
                <w:sz w:val="14"/>
                <w:szCs w:val="14"/>
                <w:b w:val="1"/>
                <w:bCs w:val="1"/>
                <w:color w:val="auto"/>
                <w:w w:val="92"/>
              </w:rPr>
              <w:t>loans</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accruing</w:t>
            </w:r>
          </w:p>
        </w:tc>
      </w:tr>
      <w:tr>
        <w:trPr>
          <w:trHeight w:val="142"/>
        </w:trPr>
        <w:tc>
          <w:tcPr>
            <w:tcW w:w="20" w:type="dxa"/>
            <w:vAlign w:val="bottom"/>
          </w:tcPr>
          <w:p>
            <w:pPr>
              <w:spacing w:after="0"/>
              <w:rPr>
                <w:sz w:val="12"/>
                <w:szCs w:val="12"/>
                <w:color w:val="auto"/>
              </w:rPr>
            </w:pPr>
          </w:p>
        </w:tc>
        <w:tc>
          <w:tcPr>
            <w:tcW w:w="2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tcPr>
          <w:p>
            <w:pPr>
              <w:spacing w:after="0"/>
              <w:rPr>
                <w:sz w:val="12"/>
                <w:szCs w:val="12"/>
                <w:color w:val="auto"/>
              </w:rPr>
            </w:pPr>
          </w:p>
        </w:tc>
        <w:tc>
          <w:tcPr>
            <w:tcW w:w="160" w:type="dxa"/>
            <w:vAlign w:val="bottom"/>
          </w:tcPr>
          <w:p>
            <w:pPr>
              <w:spacing w:after="0" w:line="142" w:lineRule="exact"/>
              <w:rPr>
                <w:sz w:val="20"/>
                <w:szCs w:val="20"/>
                <w:color w:val="auto"/>
              </w:rPr>
            </w:pPr>
            <w:r>
              <w:rPr>
                <w:rFonts w:ascii="Arial" w:cs="Arial" w:eastAsia="Arial" w:hAnsi="Arial"/>
                <w:sz w:val="14"/>
                <w:szCs w:val="14"/>
                <w:b w:val="1"/>
                <w:bCs w:val="1"/>
                <w:i w:val="1"/>
                <w:iCs w:val="1"/>
                <w:color w:val="auto"/>
                <w:w w:val="81"/>
              </w:rPr>
              <w:t>(in</w:t>
            </w:r>
          </w:p>
        </w:tc>
        <w:tc>
          <w:tcPr>
            <w:tcW w:w="640" w:type="dxa"/>
            <w:vAlign w:val="bottom"/>
            <w:tcBorders>
              <w:top w:val="single" w:sz="8" w:color="auto"/>
            </w:tcBorders>
            <w:gridSpan w:val="2"/>
          </w:tcPr>
          <w:p>
            <w:pPr>
              <w:spacing w:after="0" w:line="142" w:lineRule="exact"/>
              <w:rPr>
                <w:sz w:val="20"/>
                <w:szCs w:val="20"/>
                <w:color w:val="auto"/>
              </w:rPr>
            </w:pPr>
            <w:r>
              <w:rPr>
                <w:rFonts w:ascii="Arial" w:cs="Arial" w:eastAsia="Arial" w:hAnsi="Arial"/>
                <w:sz w:val="14"/>
                <w:szCs w:val="14"/>
                <w:b w:val="1"/>
                <w:bCs w:val="1"/>
                <w:i w:val="1"/>
                <w:iCs w:val="1"/>
                <w:color w:val="auto"/>
              </w:rPr>
              <w:t>millions)</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22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Commercial-brick and mortar</w:t>
            </w:r>
          </w:p>
        </w:tc>
        <w:tc>
          <w:tcPr>
            <w:tcW w:w="70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24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24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16.7</w:t>
            </w:r>
          </w:p>
        </w:tc>
        <w:tc>
          <w:tcPr>
            <w:tcW w:w="28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b w:val="1"/>
                <w:bCs w:val="1"/>
                <w:color w:val="auto"/>
              </w:rPr>
              <w:t>$</w:t>
            </w: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16.7</w:t>
            </w:r>
          </w:p>
        </w:tc>
        <w:tc>
          <w:tcPr>
            <w:tcW w:w="10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9,864.4</w:t>
            </w:r>
          </w:p>
        </w:tc>
        <w:tc>
          <w:tcPr>
            <w:tcW w:w="3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9,881.1</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r>
      <w:tr>
        <w:trPr>
          <w:trHeight w:val="149"/>
        </w:trPr>
        <w:tc>
          <w:tcPr>
            <w:tcW w:w="20" w:type="dxa"/>
            <w:vAlign w:val="bottom"/>
          </w:tcPr>
          <w:p>
            <w:pPr>
              <w:spacing w:after="0"/>
              <w:rPr>
                <w:sz w:val="12"/>
                <w:szCs w:val="12"/>
                <w:color w:val="auto"/>
              </w:rPr>
            </w:pPr>
          </w:p>
        </w:tc>
        <w:tc>
          <w:tcPr>
            <w:tcW w:w="2220" w:type="dxa"/>
            <w:vAlign w:val="bottom"/>
          </w:tcPr>
          <w:p>
            <w:pPr>
              <w:spacing w:after="0" w:line="149" w:lineRule="exact"/>
              <w:rPr>
                <w:sz w:val="20"/>
                <w:szCs w:val="20"/>
                <w:color w:val="auto"/>
              </w:rPr>
            </w:pPr>
            <w:r>
              <w:rPr>
                <w:rFonts w:ascii="Arial" w:cs="Arial" w:eastAsia="Arial" w:hAnsi="Arial"/>
                <w:sz w:val="14"/>
                <w:szCs w:val="14"/>
                <w:color w:val="auto"/>
              </w:rPr>
              <w:t>Commercial-CTL</w:t>
            </w: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446.6</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446.6</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2"/>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r>
      <w:tr>
        <w:trPr>
          <w:trHeight w:val="149"/>
        </w:trPr>
        <w:tc>
          <w:tcPr>
            <w:tcW w:w="20" w:type="dxa"/>
            <w:vAlign w:val="bottom"/>
          </w:tcPr>
          <w:p>
            <w:pPr>
              <w:spacing w:after="0"/>
              <w:rPr>
                <w:sz w:val="12"/>
                <w:szCs w:val="12"/>
                <w:color w:val="auto"/>
              </w:rPr>
            </w:pPr>
          </w:p>
        </w:tc>
        <w:tc>
          <w:tcPr>
            <w:tcW w:w="22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Residential-home equity</w:t>
            </w:r>
          </w:p>
        </w:tc>
        <w:tc>
          <w:tcPr>
            <w:tcW w:w="6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3.0</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8.4</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386.5</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394.9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r>
      <w:tr>
        <w:trPr>
          <w:trHeight w:val="149"/>
        </w:trPr>
        <w:tc>
          <w:tcPr>
            <w:tcW w:w="20" w:type="dxa"/>
            <w:vAlign w:val="bottom"/>
          </w:tcPr>
          <w:p>
            <w:pPr>
              <w:spacing w:after="0"/>
              <w:rPr>
                <w:sz w:val="12"/>
                <w:szCs w:val="12"/>
                <w:color w:val="auto"/>
              </w:rPr>
            </w:pPr>
          </w:p>
        </w:tc>
        <w:tc>
          <w:tcPr>
            <w:tcW w:w="2220" w:type="dxa"/>
            <w:vAlign w:val="bottom"/>
          </w:tcPr>
          <w:p>
            <w:pPr>
              <w:spacing w:after="0" w:line="149" w:lineRule="exact"/>
              <w:rPr>
                <w:sz w:val="20"/>
                <w:szCs w:val="20"/>
                <w:color w:val="auto"/>
              </w:rPr>
            </w:pPr>
            <w:r>
              <w:rPr>
                <w:rFonts w:ascii="Arial" w:cs="Arial" w:eastAsia="Arial" w:hAnsi="Arial"/>
                <w:sz w:val="14"/>
                <w:szCs w:val="14"/>
                <w:color w:val="auto"/>
              </w:rPr>
              <w:t>Residential-first liens</w:t>
            </w:r>
          </w:p>
        </w:tc>
        <w:tc>
          <w:tcPr>
            <w:tcW w:w="6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32.4</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7.4</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17.1</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56.9</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823.9</w:t>
            </w:r>
          </w:p>
        </w:tc>
        <w:tc>
          <w:tcPr>
            <w:tcW w:w="1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880.8</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7.3</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22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w:t>
            </w:r>
          </w:p>
        </w:tc>
        <w:tc>
          <w:tcPr>
            <w:tcW w:w="70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36.8</w:t>
            </w:r>
          </w:p>
        </w:tc>
        <w:tc>
          <w:tcPr>
            <w:tcW w:w="24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8.4</w:t>
            </w:r>
          </w:p>
        </w:tc>
        <w:tc>
          <w:tcPr>
            <w:tcW w:w="24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6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36.8</w:t>
            </w:r>
          </w:p>
        </w:tc>
        <w:tc>
          <w:tcPr>
            <w:tcW w:w="280" w:type="dxa"/>
            <w:vAlign w:val="bottom"/>
            <w:gridSpan w:val="2"/>
            <w:shd w:val="clear" w:color="auto" w:fill="CCEEFF"/>
          </w:tcPr>
          <w:p>
            <w:pPr>
              <w:ind w:left="160"/>
              <w:spacing w:after="0" w:line="142" w:lineRule="exact"/>
              <w:rPr>
                <w:sz w:val="20"/>
                <w:szCs w:val="20"/>
                <w:color w:val="auto"/>
              </w:rPr>
            </w:pPr>
            <w:r>
              <w:rPr>
                <w:rFonts w:ascii="Arial" w:cs="Arial" w:eastAsia="Arial" w:hAnsi="Arial"/>
                <w:sz w:val="14"/>
                <w:szCs w:val="14"/>
                <w:b w:val="1"/>
                <w:bCs w:val="1"/>
                <w:color w:val="auto"/>
              </w:rPr>
              <w:t>$</w:t>
            </w:r>
          </w:p>
        </w:tc>
        <w:tc>
          <w:tcPr>
            <w:tcW w:w="5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82.0</w:t>
            </w:r>
          </w:p>
        </w:tc>
        <w:tc>
          <w:tcPr>
            <w:tcW w:w="10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6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11,521.4</w:t>
            </w:r>
          </w:p>
        </w:tc>
        <w:tc>
          <w:tcPr>
            <w:tcW w:w="30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99"/>
              </w:rPr>
              <w:t>11,603.4</w:t>
            </w:r>
          </w:p>
        </w:tc>
        <w:tc>
          <w:tcPr>
            <w:tcW w:w="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7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7.3</w:t>
            </w:r>
          </w:p>
        </w:tc>
        <w:tc>
          <w:tcPr>
            <w:tcW w:w="160" w:type="dxa"/>
            <w:vAlign w:val="bottom"/>
            <w:shd w:val="clear" w:color="auto" w:fill="CCEEFF"/>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22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777"/>
        </w:trPr>
        <w:tc>
          <w:tcPr>
            <w:tcW w:w="20" w:type="dxa"/>
            <w:vAlign w:val="bottom"/>
          </w:tcPr>
          <w:p>
            <w:pPr>
              <w:spacing w:after="0"/>
              <w:rPr>
                <w:sz w:val="24"/>
                <w:szCs w:val="24"/>
                <w:color w:val="auto"/>
              </w:rPr>
            </w:pPr>
          </w:p>
        </w:tc>
        <w:tc>
          <w:tcPr>
            <w:tcW w:w="2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gridSpan w:val="5"/>
          </w:tcPr>
          <w:p>
            <w:pPr>
              <w:ind w:left="440"/>
              <w:spacing w:after="0"/>
              <w:rPr>
                <w:sz w:val="20"/>
                <w:szCs w:val="20"/>
                <w:color w:val="auto"/>
              </w:rPr>
            </w:pPr>
            <w:r>
              <w:rPr>
                <w:rFonts w:ascii="Arial" w:cs="Arial" w:eastAsia="Arial" w:hAnsi="Arial"/>
                <w:sz w:val="14"/>
                <w:szCs w:val="14"/>
                <w:b w:val="1"/>
                <w:bCs w:val="1"/>
                <w:color w:val="auto"/>
                <w:w w:val="88"/>
              </w:rPr>
              <w:t>December 31, 2012</w:t>
            </w: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129"/>
        </w:trPr>
        <w:tc>
          <w:tcPr>
            <w:tcW w:w="20" w:type="dxa"/>
            <w:vAlign w:val="bottom"/>
          </w:tcPr>
          <w:p>
            <w:pPr>
              <w:spacing w:after="0"/>
              <w:rPr>
                <w:sz w:val="11"/>
                <w:szCs w:val="11"/>
                <w:color w:val="auto"/>
              </w:rPr>
            </w:pPr>
          </w:p>
        </w:tc>
        <w:tc>
          <w:tcPr>
            <w:tcW w:w="2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jc w:val="center"/>
              <w:ind w:right="32"/>
              <w:spacing w:after="0" w:line="129" w:lineRule="exact"/>
              <w:rPr>
                <w:sz w:val="20"/>
                <w:szCs w:val="20"/>
                <w:color w:val="auto"/>
              </w:rPr>
            </w:pPr>
            <w:r>
              <w:rPr>
                <w:rFonts w:ascii="Arial" w:cs="Arial" w:eastAsia="Arial" w:hAnsi="Arial"/>
                <w:sz w:val="14"/>
                <w:szCs w:val="14"/>
                <w:b w:val="1"/>
                <w:bCs w:val="1"/>
                <w:color w:val="auto"/>
                <w:w w:val="86"/>
              </w:rPr>
              <w:t>Recorded</w:t>
            </w: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2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6"/>
              </w:rPr>
              <w:t>investment</w:t>
            </w:r>
          </w:p>
        </w:tc>
      </w:tr>
      <w:tr>
        <w:trPr>
          <w:trHeight w:val="149"/>
        </w:trPr>
        <w:tc>
          <w:tcPr>
            <w:tcW w:w="20" w:type="dxa"/>
            <w:vAlign w:val="bottom"/>
          </w:tcPr>
          <w:p>
            <w:pPr>
              <w:spacing w:after="0"/>
              <w:rPr>
                <w:sz w:val="12"/>
                <w:szCs w:val="12"/>
                <w:color w:val="auto"/>
              </w:rPr>
            </w:pPr>
          </w:p>
        </w:tc>
        <w:tc>
          <w:tcPr>
            <w:tcW w:w="2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6"/>
              </w:rPr>
              <w:t>90 days or</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6"/>
              </w:rPr>
              <w:t>90 days or</w:t>
            </w:r>
          </w:p>
        </w:tc>
      </w:tr>
      <w:tr>
        <w:trPr>
          <w:trHeight w:val="149"/>
        </w:trPr>
        <w:tc>
          <w:tcPr>
            <w:tcW w:w="20" w:type="dxa"/>
            <w:vAlign w:val="bottom"/>
          </w:tcPr>
          <w:p>
            <w:pPr>
              <w:spacing w:after="0"/>
              <w:rPr>
                <w:sz w:val="12"/>
                <w:szCs w:val="12"/>
                <w:color w:val="auto"/>
              </w:rPr>
            </w:pPr>
          </w:p>
        </w:tc>
        <w:tc>
          <w:tcPr>
            <w:tcW w:w="2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5"/>
              </w:rPr>
              <w:t>30 - 59 days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5"/>
              </w:rPr>
              <w:t>60 - 89 days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3"/>
              </w:rPr>
              <w:t>more past</w:t>
            </w:r>
          </w:p>
        </w:tc>
        <w:tc>
          <w:tcPr>
            <w:tcW w:w="160" w:type="dxa"/>
            <w:vAlign w:val="bottom"/>
          </w:tcPr>
          <w:p>
            <w:pPr>
              <w:spacing w:after="0"/>
              <w:rPr>
                <w:sz w:val="12"/>
                <w:szCs w:val="12"/>
                <w:color w:val="auto"/>
              </w:rPr>
            </w:pPr>
          </w:p>
        </w:tc>
        <w:tc>
          <w:tcPr>
            <w:tcW w:w="74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7"/>
              </w:rPr>
              <w:t>Total past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ind w:right="132"/>
              <w:spacing w:after="0" w:line="149" w:lineRule="exact"/>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more and</w:t>
            </w:r>
          </w:p>
        </w:tc>
      </w:tr>
      <w:tr>
        <w:trPr>
          <w:trHeight w:val="161"/>
        </w:trPr>
        <w:tc>
          <w:tcPr>
            <w:tcW w:w="20" w:type="dxa"/>
            <w:vAlign w:val="bottom"/>
          </w:tcPr>
          <w:p>
            <w:pPr>
              <w:spacing w:after="0"/>
              <w:rPr>
                <w:sz w:val="14"/>
                <w:szCs w:val="14"/>
                <w:color w:val="auto"/>
              </w:rPr>
            </w:pPr>
          </w:p>
        </w:tc>
        <w:tc>
          <w:tcPr>
            <w:tcW w:w="22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jc w:val="center"/>
              <w:ind w:right="32"/>
              <w:spacing w:after="0"/>
              <w:rPr>
                <w:sz w:val="20"/>
                <w:szCs w:val="20"/>
                <w:color w:val="auto"/>
              </w:rPr>
            </w:pPr>
            <w:r>
              <w:rPr>
                <w:rFonts w:ascii="Arial" w:cs="Arial" w:eastAsia="Arial" w:hAnsi="Arial"/>
                <w:sz w:val="14"/>
                <w:szCs w:val="14"/>
                <w:b w:val="1"/>
                <w:bCs w:val="1"/>
                <w:color w:val="auto"/>
                <w:w w:val="83"/>
              </w:rPr>
              <w:t>past due</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jc w:val="center"/>
              <w:ind w:right="32"/>
              <w:spacing w:after="0"/>
              <w:rPr>
                <w:sz w:val="20"/>
                <w:szCs w:val="20"/>
                <w:color w:val="auto"/>
              </w:rPr>
            </w:pPr>
            <w:r>
              <w:rPr>
                <w:rFonts w:ascii="Arial" w:cs="Arial" w:eastAsia="Arial" w:hAnsi="Arial"/>
                <w:sz w:val="14"/>
                <w:szCs w:val="14"/>
                <w:b w:val="1"/>
                <w:bCs w:val="1"/>
                <w:color w:val="auto"/>
                <w:w w:val="83"/>
              </w:rPr>
              <w:t>past due</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jc w:val="center"/>
              <w:ind w:right="12"/>
              <w:spacing w:after="0"/>
              <w:rPr>
                <w:sz w:val="20"/>
                <w:szCs w:val="20"/>
                <w:color w:val="auto"/>
              </w:rPr>
            </w:pPr>
            <w:r>
              <w:rPr>
                <w:rFonts w:ascii="Arial" w:cs="Arial" w:eastAsia="Arial" w:hAnsi="Arial"/>
                <w:sz w:val="14"/>
                <w:szCs w:val="14"/>
                <w:b w:val="1"/>
                <w:bCs w:val="1"/>
                <w:color w:val="auto"/>
                <w:w w:val="80"/>
              </w:rPr>
              <w:t>due</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8"/>
              </w:rPr>
              <w:t>due</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jc w:val="right"/>
              <w:ind w:right="32"/>
              <w:spacing w:after="0"/>
              <w:rPr>
                <w:sz w:val="20"/>
                <w:szCs w:val="20"/>
                <w:color w:val="auto"/>
              </w:rPr>
            </w:pPr>
            <w:r>
              <w:rPr>
                <w:rFonts w:ascii="Arial" w:cs="Arial" w:eastAsia="Arial" w:hAnsi="Arial"/>
                <w:sz w:val="14"/>
                <w:szCs w:val="14"/>
                <w:b w:val="1"/>
                <w:bCs w:val="1"/>
                <w:color w:val="auto"/>
                <w:w w:val="94"/>
              </w:rPr>
              <w:t>Current</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jc w:val="right"/>
              <w:ind w:right="132"/>
              <w:spacing w:after="0"/>
              <w:rPr>
                <w:sz w:val="20"/>
                <w:szCs w:val="20"/>
                <w:color w:val="auto"/>
              </w:rPr>
            </w:pPr>
            <w:r>
              <w:rPr>
                <w:rFonts w:ascii="Arial" w:cs="Arial" w:eastAsia="Arial" w:hAnsi="Arial"/>
                <w:sz w:val="14"/>
                <w:szCs w:val="14"/>
                <w:b w:val="1"/>
                <w:bCs w:val="1"/>
                <w:color w:val="auto"/>
                <w:w w:val="92"/>
              </w:rPr>
              <w:t>loans</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accruing</w:t>
            </w:r>
          </w:p>
        </w:tc>
      </w:tr>
      <w:tr>
        <w:trPr>
          <w:trHeight w:val="142"/>
        </w:trPr>
        <w:tc>
          <w:tcPr>
            <w:tcW w:w="20" w:type="dxa"/>
            <w:vAlign w:val="bottom"/>
          </w:tcPr>
          <w:p>
            <w:pPr>
              <w:spacing w:after="0"/>
              <w:rPr>
                <w:sz w:val="12"/>
                <w:szCs w:val="12"/>
                <w:color w:val="auto"/>
              </w:rPr>
            </w:pPr>
          </w:p>
        </w:tc>
        <w:tc>
          <w:tcPr>
            <w:tcW w:w="2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tcPr>
          <w:p>
            <w:pPr>
              <w:spacing w:after="0"/>
              <w:rPr>
                <w:sz w:val="12"/>
                <w:szCs w:val="12"/>
                <w:color w:val="auto"/>
              </w:rPr>
            </w:pPr>
          </w:p>
        </w:tc>
        <w:tc>
          <w:tcPr>
            <w:tcW w:w="160" w:type="dxa"/>
            <w:vAlign w:val="bottom"/>
          </w:tcPr>
          <w:p>
            <w:pPr>
              <w:spacing w:after="0" w:line="142" w:lineRule="exact"/>
              <w:rPr>
                <w:sz w:val="20"/>
                <w:szCs w:val="20"/>
                <w:color w:val="auto"/>
              </w:rPr>
            </w:pPr>
            <w:r>
              <w:rPr>
                <w:rFonts w:ascii="Arial" w:cs="Arial" w:eastAsia="Arial" w:hAnsi="Arial"/>
                <w:sz w:val="14"/>
                <w:szCs w:val="14"/>
                <w:b w:val="1"/>
                <w:bCs w:val="1"/>
                <w:i w:val="1"/>
                <w:iCs w:val="1"/>
                <w:color w:val="auto"/>
                <w:w w:val="81"/>
              </w:rPr>
              <w:t>(in</w:t>
            </w:r>
          </w:p>
        </w:tc>
        <w:tc>
          <w:tcPr>
            <w:tcW w:w="640" w:type="dxa"/>
            <w:vAlign w:val="bottom"/>
            <w:tcBorders>
              <w:top w:val="single" w:sz="8" w:color="auto"/>
            </w:tcBorders>
            <w:gridSpan w:val="2"/>
          </w:tcPr>
          <w:p>
            <w:pPr>
              <w:spacing w:after="0" w:line="142" w:lineRule="exact"/>
              <w:rPr>
                <w:sz w:val="20"/>
                <w:szCs w:val="20"/>
                <w:color w:val="auto"/>
              </w:rPr>
            </w:pPr>
            <w:r>
              <w:rPr>
                <w:rFonts w:ascii="Arial" w:cs="Arial" w:eastAsia="Arial" w:hAnsi="Arial"/>
                <w:sz w:val="14"/>
                <w:szCs w:val="14"/>
                <w:b w:val="1"/>
                <w:bCs w:val="1"/>
                <w:i w:val="1"/>
                <w:iCs w:val="1"/>
                <w:color w:val="auto"/>
              </w:rPr>
              <w:t>millions)</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22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Commercial-brick and mortar</w:t>
            </w:r>
          </w:p>
        </w:tc>
        <w:tc>
          <w:tcPr>
            <w:tcW w:w="70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32.8</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13.7</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80" w:type="dxa"/>
            <w:vAlign w:val="bottom"/>
            <w:gridSpan w:val="2"/>
            <w:shd w:val="clear" w:color="auto" w:fill="CCEEFF"/>
          </w:tcPr>
          <w:p>
            <w:pPr>
              <w:ind w:left="180"/>
              <w:spacing w:after="0" w:line="149"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46.5</w:t>
            </w:r>
          </w:p>
        </w:tc>
        <w:tc>
          <w:tcPr>
            <w:tcW w:w="10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9,658.5</w:t>
            </w:r>
          </w:p>
        </w:tc>
        <w:tc>
          <w:tcPr>
            <w:tcW w:w="3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9,705.0</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r>
      <w:tr>
        <w:trPr>
          <w:trHeight w:val="149"/>
        </w:trPr>
        <w:tc>
          <w:tcPr>
            <w:tcW w:w="20" w:type="dxa"/>
            <w:vAlign w:val="bottom"/>
          </w:tcPr>
          <w:p>
            <w:pPr>
              <w:spacing w:after="0"/>
              <w:rPr>
                <w:sz w:val="12"/>
                <w:szCs w:val="12"/>
                <w:color w:val="auto"/>
              </w:rPr>
            </w:pPr>
          </w:p>
        </w:tc>
        <w:tc>
          <w:tcPr>
            <w:tcW w:w="2220" w:type="dxa"/>
            <w:vAlign w:val="bottom"/>
          </w:tcPr>
          <w:p>
            <w:pPr>
              <w:spacing w:after="0" w:line="149" w:lineRule="exact"/>
              <w:rPr>
                <w:sz w:val="20"/>
                <w:szCs w:val="20"/>
                <w:color w:val="auto"/>
              </w:rPr>
            </w:pPr>
            <w:r>
              <w:rPr>
                <w:rFonts w:ascii="Arial" w:cs="Arial" w:eastAsia="Arial" w:hAnsi="Arial"/>
                <w:sz w:val="14"/>
                <w:szCs w:val="14"/>
                <w:color w:val="auto"/>
              </w:rPr>
              <w:t>Commercial-CTL</w:t>
            </w: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530.1</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530.1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r>
      <w:tr>
        <w:trPr>
          <w:trHeight w:val="149"/>
        </w:trPr>
        <w:tc>
          <w:tcPr>
            <w:tcW w:w="20" w:type="dxa"/>
            <w:vAlign w:val="bottom"/>
          </w:tcPr>
          <w:p>
            <w:pPr>
              <w:spacing w:after="0"/>
              <w:rPr>
                <w:sz w:val="12"/>
                <w:szCs w:val="12"/>
                <w:color w:val="auto"/>
              </w:rPr>
            </w:pPr>
          </w:p>
        </w:tc>
        <w:tc>
          <w:tcPr>
            <w:tcW w:w="22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Residential-home equity</w:t>
            </w:r>
          </w:p>
        </w:tc>
        <w:tc>
          <w:tcPr>
            <w:tcW w:w="6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3.9</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12.4</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483.3</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495.7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r>
      <w:tr>
        <w:trPr>
          <w:trHeight w:val="149"/>
        </w:trPr>
        <w:tc>
          <w:tcPr>
            <w:tcW w:w="20" w:type="dxa"/>
            <w:vAlign w:val="bottom"/>
          </w:tcPr>
          <w:p>
            <w:pPr>
              <w:spacing w:after="0"/>
              <w:rPr>
                <w:sz w:val="12"/>
                <w:szCs w:val="12"/>
                <w:color w:val="auto"/>
              </w:rPr>
            </w:pPr>
          </w:p>
        </w:tc>
        <w:tc>
          <w:tcPr>
            <w:tcW w:w="2220" w:type="dxa"/>
            <w:vAlign w:val="bottom"/>
          </w:tcPr>
          <w:p>
            <w:pPr>
              <w:spacing w:after="0" w:line="149" w:lineRule="exact"/>
              <w:rPr>
                <w:sz w:val="20"/>
                <w:szCs w:val="20"/>
                <w:color w:val="auto"/>
              </w:rPr>
            </w:pPr>
            <w:r>
              <w:rPr>
                <w:rFonts w:ascii="Arial" w:cs="Arial" w:eastAsia="Arial" w:hAnsi="Arial"/>
                <w:sz w:val="14"/>
                <w:szCs w:val="14"/>
                <w:color w:val="auto"/>
              </w:rPr>
              <w:t>Residential-first liens</w:t>
            </w:r>
          </w:p>
        </w:tc>
        <w:tc>
          <w:tcPr>
            <w:tcW w:w="6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22.3</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5.1</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19.8</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47.2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839.1</w:t>
            </w:r>
          </w:p>
        </w:tc>
        <w:tc>
          <w:tcPr>
            <w:tcW w:w="1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886.3</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8.1</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22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w:t>
            </w:r>
          </w:p>
        </w:tc>
        <w:tc>
          <w:tcPr>
            <w:tcW w:w="70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60.8</w:t>
            </w:r>
          </w:p>
        </w:tc>
        <w:tc>
          <w:tcPr>
            <w:tcW w:w="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21.6</w:t>
            </w:r>
          </w:p>
        </w:tc>
        <w:tc>
          <w:tcPr>
            <w:tcW w:w="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23.7</w:t>
            </w:r>
          </w:p>
        </w:tc>
        <w:tc>
          <w:tcPr>
            <w:tcW w:w="280" w:type="dxa"/>
            <w:vAlign w:val="bottom"/>
            <w:gridSpan w:val="2"/>
            <w:shd w:val="clear" w:color="auto" w:fill="CCEEFF"/>
          </w:tcPr>
          <w:p>
            <w:pPr>
              <w:ind w:left="180"/>
              <w:spacing w:after="0" w:line="142"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106.1</w:t>
            </w:r>
          </w:p>
        </w:tc>
        <w:tc>
          <w:tcPr>
            <w:tcW w:w="10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11,511.0</w:t>
            </w:r>
          </w:p>
        </w:tc>
        <w:tc>
          <w:tcPr>
            <w:tcW w:w="30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9"/>
              </w:rPr>
              <w:t>11,617.1</w:t>
            </w:r>
          </w:p>
        </w:tc>
        <w:tc>
          <w:tcPr>
            <w:tcW w:w="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8.1</w:t>
            </w:r>
          </w:p>
        </w:tc>
        <w:tc>
          <w:tcPr>
            <w:tcW w:w="160" w:type="dxa"/>
            <w:vAlign w:val="bottom"/>
            <w:shd w:val="clear" w:color="auto" w:fill="CCEEFF"/>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22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Mortgage Loan Valuation Allowance</w:t>
      </w:r>
    </w:p>
    <w:p>
      <w:pPr>
        <w:spacing w:after="0" w:line="231" w:lineRule="exact"/>
        <w:rPr>
          <w:sz w:val="20"/>
          <w:szCs w:val="20"/>
          <w:color w:val="auto"/>
        </w:rPr>
      </w:pPr>
    </w:p>
    <w:p>
      <w:pPr>
        <w:jc w:val="both"/>
        <w:ind w:firstLine="397"/>
        <w:spacing w:after="0" w:line="288" w:lineRule="auto"/>
        <w:rPr>
          <w:sz w:val="20"/>
          <w:szCs w:val="20"/>
          <w:color w:val="auto"/>
        </w:rPr>
      </w:pPr>
      <w:r>
        <w:rPr>
          <w:rFonts w:ascii="Arial" w:cs="Arial" w:eastAsia="Arial" w:hAnsi="Arial"/>
          <w:sz w:val="16"/>
          <w:szCs w:val="16"/>
          <w:color w:val="auto"/>
        </w:rPr>
        <w:t>We establish a valuation allowance to provide for the risk of credit losses inherent in our portfolio. The valuation allowance includes loan specific reserves for loans that are deemed to be impaired as well as reserves for pools of loans with similar risk characteristics where a property risk or market specific risk has not been identified but for which we anticipate a loss may occur. Mortgage loans on real estate are considered impaired when, based on current information and events, it is probable that we will be unable to collect all amounts due according to contractual terms of the loan agreement. When we determine that a loan is impaired, a valuation allowance is established equal to the difference between the carrying amount of the mortgage loan and the estimated value reduced by the cost to sell. Estimated value is based on either the present value of the expected future cash flows discounted at the loan's effective interest rate, the loan's observable market price or fair value of the collateral. Subsequent changes in the estimated value are reflected in the valuation allowance. Amounts on loans deemed to be uncollectible are charged off and removed from the valuation allowance. The change in the valuation allowance provision is included in net realized capital gains (losses) on our consolidated statements of operations.</w:t>
      </w:r>
    </w:p>
    <w:p>
      <w:pPr>
        <w:spacing w:after="0" w:line="174" w:lineRule="exact"/>
        <w:rPr>
          <w:sz w:val="20"/>
          <w:szCs w:val="20"/>
          <w:color w:val="auto"/>
        </w:rPr>
      </w:pPr>
    </w:p>
    <w:p>
      <w:pPr>
        <w:jc w:val="both"/>
        <w:ind w:firstLine="496"/>
        <w:spacing w:after="0" w:line="298" w:lineRule="auto"/>
        <w:rPr>
          <w:sz w:val="20"/>
          <w:szCs w:val="20"/>
          <w:color w:val="auto"/>
        </w:rPr>
      </w:pPr>
      <w:r>
        <w:rPr>
          <w:rFonts w:ascii="Arial" w:cs="Arial" w:eastAsia="Arial" w:hAnsi="Arial"/>
          <w:sz w:val="16"/>
          <w:szCs w:val="16"/>
          <w:color w:val="auto"/>
        </w:rPr>
        <w:t>The valuation allowance is maintained at a level believed adequate by management to absorb estimated probable credit losses. Management's periodic evaluation and assessment of the valuation allowance adequacy is based on known and inherent risks in the portfolio, adverse situations that may affect a borrower's ability to repay, the estimated value of the underlying collateral, composition of the loan portfolio, portfolio delinquency information, underwriting standards, peer group information, current economic conditions, loss experience and other relevant factors. The evaluation of our</w:t>
      </w:r>
    </w:p>
    <w:p>
      <w:pPr>
        <w:sectPr>
          <w:pgSz w:w="11900" w:h="16838" w:orient="portrait"/>
          <w:cols w:equalWidth="0" w:num="1">
            <w:col w:w="11420"/>
          </w:cols>
          <w:pgMar w:left="240" w:top="131" w:right="239" w:bottom="1440" w:gutter="0" w:footer="0" w:header="0"/>
        </w:sectPr>
      </w:pP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22" w:name="page123"/>
    <w:bookmarkEnd w:id="12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Investments — (continued)</w:t>
      </w:r>
    </w:p>
    <w:p>
      <w:pPr>
        <w:spacing w:after="0" w:line="231" w:lineRule="exact"/>
        <w:rPr>
          <w:sz w:val="20"/>
          <w:szCs w:val="20"/>
          <w:color w:val="auto"/>
        </w:rPr>
      </w:pPr>
    </w:p>
    <w:p>
      <w:pPr>
        <w:spacing w:after="0"/>
        <w:rPr>
          <w:sz w:val="20"/>
          <w:szCs w:val="20"/>
          <w:color w:val="auto"/>
        </w:rPr>
      </w:pPr>
      <w:r>
        <w:rPr>
          <w:rFonts w:ascii="Arial" w:cs="Arial" w:eastAsia="Arial" w:hAnsi="Arial"/>
          <w:sz w:val="16"/>
          <w:szCs w:val="16"/>
          <w:color w:val="auto"/>
        </w:rPr>
        <w:t>impaired loan component is subjective, as it requires the estimation of timing and amount of future cash flows expected to be received on impaired loans.</w:t>
      </w:r>
    </w:p>
    <w:p>
      <w:pPr>
        <w:spacing w:after="0" w:line="248" w:lineRule="exact"/>
        <w:rPr>
          <w:sz w:val="20"/>
          <w:szCs w:val="20"/>
          <w:color w:val="auto"/>
        </w:rPr>
      </w:pPr>
    </w:p>
    <w:p>
      <w:pPr>
        <w:jc w:val="both"/>
        <w:ind w:firstLine="421"/>
        <w:spacing w:after="0" w:line="291" w:lineRule="auto"/>
        <w:rPr>
          <w:sz w:val="20"/>
          <w:szCs w:val="20"/>
          <w:color w:val="auto"/>
        </w:rPr>
      </w:pPr>
      <w:r>
        <w:rPr>
          <w:rFonts w:ascii="Arial" w:cs="Arial" w:eastAsia="Arial" w:hAnsi="Arial"/>
          <w:sz w:val="16"/>
          <w:szCs w:val="16"/>
          <w:color w:val="auto"/>
        </w:rPr>
        <w:t>We review our commercial mortgage loan portfolio and analyze the need for a valuation allowance for any loan that is delinquent for 60 days or more, in process of foreclosure, restructured, on the internal "watch list" or that currently has a valuation allowance. In addition to establishing allowance levels for specifically identified impaired commercial mortgage loans, management determines an allowance for all other loans in the portfolio for which historical experience and current economic conditions indicate certain losses exist. These loans are segregated by major product type and/or risk level with an estimated loss ratio applied against each product type and/or risk level. The loss ratio is generally based upon historic loss experience for each loan type as adjusted for certain current environmental factors management believes to be relevant.</w:t>
      </w:r>
    </w:p>
    <w:p>
      <w:pPr>
        <w:spacing w:after="0" w:line="174" w:lineRule="exact"/>
        <w:rPr>
          <w:sz w:val="20"/>
          <w:szCs w:val="20"/>
          <w:color w:val="auto"/>
        </w:rPr>
      </w:pPr>
    </w:p>
    <w:p>
      <w:pPr>
        <w:jc w:val="both"/>
        <w:ind w:firstLine="511"/>
        <w:spacing w:after="0" w:line="294" w:lineRule="auto"/>
        <w:rPr>
          <w:sz w:val="20"/>
          <w:szCs w:val="20"/>
          <w:color w:val="auto"/>
        </w:rPr>
      </w:pPr>
      <w:r>
        <w:rPr>
          <w:rFonts w:ascii="Arial" w:cs="Arial" w:eastAsia="Arial" w:hAnsi="Arial"/>
          <w:sz w:val="16"/>
          <w:szCs w:val="16"/>
          <w:color w:val="auto"/>
        </w:rPr>
        <w:t>For our residential mortgage loan portfolio, we separate the loans into several homogeneous pools, each of which consist of loans of a similar nature including but not limited to loans similar in collateral, term and structure and loan purpose or type. We evaluate loan pools based on aggregated risk ratings, estimated specific loss potential in the different classes of credits, and historical loss experience by pool type. We adjust these quantitative factors for qualitative factors of present conditions. Qualitative factors include items such as economic and business conditions, changes in the portfolio, value of underlying collateral, and concentrations. Residential mortgage loan pools exclude loans that have been restructured or impaired, as those loans are evaluated individually.</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3" w:name="page124"/>
    <w:bookmarkEnd w:id="12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Investments — (continued)</w:t>
      </w:r>
    </w:p>
    <w:p>
      <w:pPr>
        <w:spacing w:after="0" w:line="231"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 rollforward of our valuation allowance and ending balances of the allowance and loan balance by basis of impairment method was as follows:</w:t>
      </w:r>
    </w:p>
    <w:p>
      <w:pPr>
        <w:spacing w:after="0" w:line="24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72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88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14"/>
                <w:szCs w:val="14"/>
                <w:b w:val="1"/>
                <w:bCs w:val="1"/>
                <w:color w:val="auto"/>
                <w:w w:val="97"/>
              </w:rPr>
              <w:t>Commercial</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14"/>
                <w:szCs w:val="14"/>
                <w:b w:val="1"/>
                <w:bCs w:val="1"/>
                <w:color w:val="auto"/>
                <w:w w:val="93"/>
              </w:rPr>
              <w:t>Residential</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720" w:type="dxa"/>
            <w:vAlign w:val="bottom"/>
          </w:tcPr>
          <w:p>
            <w:pPr>
              <w:spacing w:after="0"/>
              <w:rPr>
                <w:sz w:val="12"/>
                <w:szCs w:val="12"/>
                <w:color w:val="auto"/>
              </w:rPr>
            </w:pPr>
          </w:p>
        </w:tc>
        <w:tc>
          <w:tcPr>
            <w:tcW w:w="15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gridSpan w:val="3"/>
          </w:tcPr>
          <w:p>
            <w:pPr>
              <w:jc w:val="right"/>
              <w:ind w:right="92"/>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For the year ended December 31, 2013</w:t>
            </w:r>
          </w:p>
        </w:tc>
        <w:tc>
          <w:tcPr>
            <w:tcW w:w="15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tcPr>
          <w:p>
            <w:pPr>
              <w:spacing w:after="0" w:line="149" w:lineRule="exact"/>
              <w:rPr>
                <w:sz w:val="20"/>
                <w:szCs w:val="20"/>
                <w:color w:val="auto"/>
              </w:rPr>
            </w:pPr>
            <w:r>
              <w:rPr>
                <w:rFonts w:ascii="Arial" w:cs="Arial" w:eastAsia="Arial" w:hAnsi="Arial"/>
                <w:sz w:val="14"/>
                <w:szCs w:val="14"/>
                <w:color w:val="auto"/>
              </w:rPr>
              <w:t>Beginning balance</w:t>
            </w:r>
          </w:p>
        </w:tc>
        <w:tc>
          <w:tcPr>
            <w:tcW w:w="1800" w:type="dxa"/>
            <w:vAlign w:val="bottom"/>
            <w:gridSpan w:val="2"/>
          </w:tcPr>
          <w:p>
            <w:pPr>
              <w:jc w:val="right"/>
              <w:ind w:right="92"/>
              <w:spacing w:after="0" w:line="149" w:lineRule="exact"/>
              <w:rPr>
                <w:sz w:val="20"/>
                <w:szCs w:val="20"/>
                <w:color w:val="auto"/>
              </w:rPr>
            </w:pPr>
            <w:r>
              <w:rPr>
                <w:rFonts w:ascii="Arial" w:cs="Arial" w:eastAsia="Arial" w:hAnsi="Arial"/>
                <w:sz w:val="14"/>
                <w:szCs w:val="14"/>
                <w:b w:val="1"/>
                <w:bCs w:val="1"/>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51.8</w:t>
            </w:r>
          </w:p>
        </w:tc>
        <w:tc>
          <w:tcPr>
            <w:tcW w:w="80" w:type="dxa"/>
            <w:vAlign w:val="bottom"/>
          </w:tcPr>
          <w:p>
            <w:pPr>
              <w:spacing w:after="0"/>
              <w:rPr>
                <w:sz w:val="12"/>
                <w:szCs w:val="12"/>
                <w:color w:val="auto"/>
              </w:rPr>
            </w:pPr>
          </w:p>
        </w:tc>
        <w:tc>
          <w:tcPr>
            <w:tcW w:w="300" w:type="dxa"/>
            <w:vAlign w:val="bottom"/>
            <w:gridSpan w:val="2"/>
          </w:tcPr>
          <w:p>
            <w:pPr>
              <w:jc w:val="right"/>
              <w:ind w:right="72"/>
              <w:spacing w:after="0" w:line="149" w:lineRule="exact"/>
              <w:rPr>
                <w:sz w:val="20"/>
                <w:szCs w:val="20"/>
                <w:color w:val="auto"/>
              </w:rPr>
            </w:pPr>
            <w:r>
              <w:rPr>
                <w:rFonts w:ascii="Arial" w:cs="Arial" w:eastAsia="Arial" w:hAnsi="Arial"/>
                <w:sz w:val="14"/>
                <w:szCs w:val="14"/>
                <w:b w:val="1"/>
                <w:bCs w:val="1"/>
                <w:color w:val="auto"/>
              </w:rPr>
              <w:t>$</w:t>
            </w: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45.6</w:t>
            </w:r>
          </w:p>
        </w:tc>
        <w:tc>
          <w:tcPr>
            <w:tcW w:w="160" w:type="dxa"/>
            <w:vAlign w:val="bottom"/>
          </w:tcPr>
          <w:p>
            <w:pPr>
              <w:spacing w:after="0"/>
              <w:rPr>
                <w:sz w:val="12"/>
                <w:szCs w:val="12"/>
                <w:color w:val="auto"/>
              </w:rPr>
            </w:pPr>
          </w:p>
        </w:tc>
        <w:tc>
          <w:tcPr>
            <w:tcW w:w="120" w:type="dxa"/>
            <w:vAlign w:val="bottom"/>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97.4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Provision</w:t>
            </w:r>
          </w:p>
        </w:tc>
        <w:tc>
          <w:tcPr>
            <w:tcW w:w="15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4.1</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10.8</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tcPr>
          <w:p>
            <w:pPr>
              <w:ind w:left="140"/>
              <w:spacing w:after="0" w:line="149" w:lineRule="exact"/>
              <w:rPr>
                <w:sz w:val="20"/>
                <w:szCs w:val="20"/>
                <w:color w:val="auto"/>
              </w:rPr>
            </w:pPr>
            <w:r>
              <w:rPr>
                <w:rFonts w:ascii="Arial" w:cs="Arial" w:eastAsia="Arial" w:hAnsi="Arial"/>
                <w:sz w:val="14"/>
                <w:szCs w:val="14"/>
                <w:color w:val="auto"/>
              </w:rPr>
              <w:t>Charge-offs</w:t>
            </w:r>
          </w:p>
        </w:tc>
        <w:tc>
          <w:tcPr>
            <w:tcW w:w="15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20" w:type="dxa"/>
            <w:vAlign w:val="bottom"/>
            <w:gridSpan w:val="2"/>
          </w:tcPr>
          <w:p>
            <w:pPr>
              <w:jc w:val="right"/>
              <w:ind w:right="40"/>
              <w:spacing w:after="0" w:line="149" w:lineRule="exact"/>
              <w:rPr>
                <w:sz w:val="20"/>
                <w:szCs w:val="20"/>
                <w:color w:val="auto"/>
              </w:rPr>
            </w:pPr>
            <w:r>
              <w:rPr>
                <w:rFonts w:ascii="Arial" w:cs="Arial" w:eastAsia="Arial" w:hAnsi="Arial"/>
                <w:sz w:val="14"/>
                <w:szCs w:val="14"/>
                <w:b w:val="1"/>
                <w:bCs w:val="1"/>
                <w:color w:val="auto"/>
              </w:rPr>
              <w:t>(28.0)</w:t>
            </w: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(18.3)</w:t>
            </w:r>
          </w:p>
        </w:tc>
        <w:tc>
          <w:tcPr>
            <w:tcW w:w="120" w:type="dxa"/>
            <w:vAlign w:val="bottom"/>
          </w:tcPr>
          <w:p>
            <w:pPr>
              <w:spacing w:after="0"/>
              <w:rPr>
                <w:sz w:val="12"/>
                <w:szCs w:val="12"/>
                <w:color w:val="auto"/>
              </w:rPr>
            </w:pPr>
          </w:p>
        </w:tc>
        <w:tc>
          <w:tcPr>
            <w:tcW w:w="72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(46.3)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Recoveries</w:t>
            </w:r>
          </w:p>
        </w:tc>
        <w:tc>
          <w:tcPr>
            <w:tcW w:w="15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0.8</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3.1</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tcPr>
          <w:p>
            <w:pPr>
              <w:ind w:left="140"/>
              <w:spacing w:after="0" w:line="149" w:lineRule="exact"/>
              <w:rPr>
                <w:sz w:val="20"/>
                <w:szCs w:val="20"/>
                <w:color w:val="auto"/>
              </w:rPr>
            </w:pPr>
            <w:r>
              <w:rPr>
                <w:rFonts w:ascii="Arial" w:cs="Arial" w:eastAsia="Arial" w:hAnsi="Arial"/>
                <w:sz w:val="14"/>
                <w:szCs w:val="14"/>
                <w:color w:val="auto"/>
              </w:rPr>
              <w:t>Effect of exchange rates</w:t>
            </w:r>
          </w:p>
        </w:tc>
        <w:tc>
          <w:tcPr>
            <w:tcW w:w="15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(0.1)</w:t>
            </w:r>
          </w:p>
        </w:tc>
        <w:tc>
          <w:tcPr>
            <w:tcW w:w="120" w:type="dxa"/>
            <w:vAlign w:val="bottom"/>
          </w:tcPr>
          <w:p>
            <w:pPr>
              <w:spacing w:after="0"/>
              <w:rPr>
                <w:sz w:val="12"/>
                <w:szCs w:val="12"/>
                <w:color w:val="auto"/>
              </w:rPr>
            </w:pPr>
          </w:p>
        </w:tc>
        <w:tc>
          <w:tcPr>
            <w:tcW w:w="72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(0.1)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7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Ending balance</w:t>
            </w:r>
          </w:p>
        </w:tc>
        <w:tc>
          <w:tcPr>
            <w:tcW w:w="1560" w:type="dxa"/>
            <w:vAlign w:val="bottom"/>
            <w:shd w:val="clear" w:color="auto" w:fill="CCEEFF"/>
          </w:tcPr>
          <w:p>
            <w:pPr>
              <w:spacing w:after="0"/>
              <w:rPr>
                <w:sz w:val="12"/>
                <w:szCs w:val="12"/>
                <w:color w:val="auto"/>
              </w:rPr>
            </w:pPr>
          </w:p>
        </w:tc>
        <w:tc>
          <w:tcPr>
            <w:tcW w:w="240" w:type="dxa"/>
            <w:vAlign w:val="bottom"/>
            <w:tcBorders>
              <w:top w:val="single" w:sz="8" w:color="auto"/>
              <w:bottom w:val="single" w:sz="8" w:color="auto"/>
            </w:tcBorders>
            <w:shd w:val="clear" w:color="auto" w:fill="CCEEFF"/>
          </w:tcPr>
          <w:p>
            <w:pPr>
              <w:jc w:val="right"/>
              <w:ind w:right="92"/>
              <w:spacing w:after="0" w:line="142" w:lineRule="exact"/>
              <w:rPr>
                <w:sz w:val="20"/>
                <w:szCs w:val="20"/>
                <w:color w:val="auto"/>
              </w:rPr>
            </w:pPr>
            <w:r>
              <w:rPr>
                <w:rFonts w:ascii="Arial" w:cs="Arial" w:eastAsia="Arial" w:hAnsi="Arial"/>
                <w:sz w:val="14"/>
                <w:szCs w:val="14"/>
                <w:b w:val="1"/>
                <w:bCs w:val="1"/>
                <w:color w:val="auto"/>
                <w:w w:val="76"/>
              </w:rPr>
              <w:t>$</w:t>
            </w:r>
          </w:p>
        </w:tc>
        <w:tc>
          <w:tcPr>
            <w:tcW w:w="64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28.7</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tcBorders>
              <w:top w:val="single" w:sz="8" w:color="auto"/>
              <w:bottom w:val="single" w:sz="8" w:color="auto"/>
            </w:tcBorders>
            <w:shd w:val="clear" w:color="auto" w:fill="CCEEFF"/>
          </w:tcPr>
          <w:p>
            <w:pPr>
              <w:jc w:val="right"/>
              <w:ind w:right="72"/>
              <w:spacing w:after="0" w:line="142"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41.1</w:t>
            </w:r>
          </w:p>
        </w:tc>
        <w:tc>
          <w:tcPr>
            <w:tcW w:w="160" w:type="dxa"/>
            <w:vAlign w:val="bottom"/>
            <w:shd w:val="clear" w:color="auto" w:fill="CCEEFF"/>
          </w:tcPr>
          <w:p>
            <w:pPr>
              <w:spacing w:after="0"/>
              <w:rPr>
                <w:sz w:val="12"/>
                <w:szCs w:val="12"/>
                <w:color w:val="auto"/>
              </w:rPr>
            </w:pPr>
          </w:p>
        </w:tc>
        <w:tc>
          <w:tcPr>
            <w:tcW w:w="120" w:type="dxa"/>
            <w:vAlign w:val="bottom"/>
            <w:tcBorders>
              <w:top w:val="single" w:sz="8" w:color="auto"/>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56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69.8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740" w:type="dxa"/>
            <w:vAlign w:val="bottom"/>
            <w:gridSpan w:val="2"/>
            <w:vMerge w:val="restart"/>
          </w:tcPr>
          <w:p>
            <w:pPr>
              <w:spacing w:after="0"/>
              <w:rPr>
                <w:sz w:val="20"/>
                <w:szCs w:val="20"/>
                <w:color w:val="auto"/>
              </w:rPr>
            </w:pPr>
            <w:r>
              <w:rPr>
                <w:rFonts w:ascii="Arial" w:cs="Arial" w:eastAsia="Arial" w:hAnsi="Arial"/>
                <w:sz w:val="14"/>
                <w:szCs w:val="14"/>
                <w:color w:val="auto"/>
              </w:rPr>
              <w:t>Allowance ending balance by basis of impairment method:</w:t>
            </w:r>
          </w:p>
        </w:tc>
        <w:tc>
          <w:tcPr>
            <w:tcW w:w="15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4740" w:type="dxa"/>
            <w:vAlign w:val="bottom"/>
            <w:gridSpan w:val="2"/>
            <w:vMerge w:val="continue"/>
          </w:tcPr>
          <w:p>
            <w:pPr>
              <w:spacing w:after="0"/>
              <w:rPr>
                <w:sz w:val="11"/>
                <w:szCs w:val="11"/>
                <w:color w:val="auto"/>
              </w:rPr>
            </w:pPr>
          </w:p>
        </w:tc>
        <w:tc>
          <w:tcPr>
            <w:tcW w:w="1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Individually evaluated for impairment</w:t>
            </w:r>
          </w:p>
        </w:tc>
        <w:tc>
          <w:tcPr>
            <w:tcW w:w="1800" w:type="dxa"/>
            <w:vAlign w:val="bottom"/>
            <w:gridSpan w:val="2"/>
            <w:shd w:val="clear" w:color="auto" w:fill="CCEEFF"/>
          </w:tcPr>
          <w:p>
            <w:pPr>
              <w:jc w:val="right"/>
              <w:ind w:right="92"/>
              <w:spacing w:after="0" w:line="149" w:lineRule="exact"/>
              <w:rPr>
                <w:sz w:val="20"/>
                <w:szCs w:val="20"/>
                <w:color w:val="auto"/>
              </w:rPr>
            </w:pPr>
            <w:r>
              <w:rPr>
                <w:rFonts w:ascii="Arial" w:cs="Arial" w:eastAsia="Arial" w:hAnsi="Arial"/>
                <w:sz w:val="14"/>
                <w:szCs w:val="14"/>
                <w:b w:val="1"/>
                <w:bCs w:val="1"/>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2.4</w:t>
            </w:r>
          </w:p>
        </w:tc>
        <w:tc>
          <w:tcPr>
            <w:tcW w:w="80" w:type="dxa"/>
            <w:vAlign w:val="bottom"/>
            <w:shd w:val="clear" w:color="auto" w:fill="CCEEFF"/>
          </w:tcPr>
          <w:p>
            <w:pPr>
              <w:spacing w:after="0"/>
              <w:rPr>
                <w:sz w:val="12"/>
                <w:szCs w:val="12"/>
                <w:color w:val="auto"/>
              </w:rPr>
            </w:pPr>
          </w:p>
        </w:tc>
        <w:tc>
          <w:tcPr>
            <w:tcW w:w="300" w:type="dxa"/>
            <w:vAlign w:val="bottom"/>
            <w:gridSpan w:val="2"/>
            <w:shd w:val="clear" w:color="auto" w:fill="CCEEFF"/>
          </w:tcPr>
          <w:p>
            <w:pPr>
              <w:jc w:val="right"/>
              <w:ind w:right="72"/>
              <w:spacing w:after="0" w:line="149" w:lineRule="exact"/>
              <w:rPr>
                <w:sz w:val="20"/>
                <w:szCs w:val="20"/>
                <w:color w:val="auto"/>
              </w:rPr>
            </w:pPr>
            <w:r>
              <w:rPr>
                <w:rFonts w:ascii="Arial" w:cs="Arial" w:eastAsia="Arial" w:hAnsi="Arial"/>
                <w:sz w:val="14"/>
                <w:szCs w:val="14"/>
                <w:b w:val="1"/>
                <w:bCs w:val="1"/>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10.2</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tcPr>
          <w:p>
            <w:pPr>
              <w:ind w:left="140"/>
              <w:spacing w:after="0" w:line="149" w:lineRule="exact"/>
              <w:rPr>
                <w:sz w:val="20"/>
                <w:szCs w:val="20"/>
                <w:color w:val="auto"/>
              </w:rPr>
            </w:pPr>
            <w:r>
              <w:rPr>
                <w:rFonts w:ascii="Arial" w:cs="Arial" w:eastAsia="Arial" w:hAnsi="Arial"/>
                <w:sz w:val="14"/>
                <w:szCs w:val="14"/>
                <w:color w:val="auto"/>
              </w:rPr>
              <w:t>Collectively evaluated for impairment</w:t>
            </w:r>
          </w:p>
        </w:tc>
        <w:tc>
          <w:tcPr>
            <w:tcW w:w="156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26.3</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30.9</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57.2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7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Allowance ending balance</w:t>
            </w:r>
          </w:p>
        </w:tc>
        <w:tc>
          <w:tcPr>
            <w:tcW w:w="1800" w:type="dxa"/>
            <w:vAlign w:val="bottom"/>
            <w:gridSpan w:val="2"/>
            <w:shd w:val="clear" w:color="auto" w:fill="CCEEFF"/>
          </w:tcPr>
          <w:p>
            <w:pPr>
              <w:jc w:val="right"/>
              <w:ind w:right="92"/>
              <w:spacing w:after="0" w:line="142" w:lineRule="exact"/>
              <w:rPr>
                <w:sz w:val="20"/>
                <w:szCs w:val="20"/>
                <w:color w:val="auto"/>
              </w:rPr>
            </w:pPr>
            <w:r>
              <w:rPr>
                <w:rFonts w:ascii="Arial" w:cs="Arial" w:eastAsia="Arial" w:hAnsi="Arial"/>
                <w:sz w:val="14"/>
                <w:szCs w:val="14"/>
                <w:b w:val="1"/>
                <w:bCs w:val="1"/>
                <w:color w:val="auto"/>
              </w:rPr>
              <w:t>$</w:t>
            </w:r>
          </w:p>
        </w:tc>
        <w:tc>
          <w:tcPr>
            <w:tcW w:w="6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28.7</w:t>
            </w:r>
          </w:p>
        </w:tc>
        <w:tc>
          <w:tcPr>
            <w:tcW w:w="80" w:type="dxa"/>
            <w:vAlign w:val="bottom"/>
            <w:shd w:val="clear" w:color="auto" w:fill="CCEEFF"/>
          </w:tcPr>
          <w:p>
            <w:pPr>
              <w:spacing w:after="0"/>
              <w:rPr>
                <w:sz w:val="12"/>
                <w:szCs w:val="12"/>
                <w:color w:val="auto"/>
              </w:rPr>
            </w:pPr>
          </w:p>
        </w:tc>
        <w:tc>
          <w:tcPr>
            <w:tcW w:w="300" w:type="dxa"/>
            <w:vAlign w:val="bottom"/>
            <w:gridSpan w:val="2"/>
            <w:shd w:val="clear" w:color="auto" w:fill="CCEEFF"/>
          </w:tcPr>
          <w:p>
            <w:pPr>
              <w:jc w:val="right"/>
              <w:ind w:right="72"/>
              <w:spacing w:after="0" w:line="142" w:lineRule="exact"/>
              <w:rPr>
                <w:sz w:val="20"/>
                <w:szCs w:val="20"/>
                <w:color w:val="auto"/>
              </w:rPr>
            </w:pPr>
            <w:r>
              <w:rPr>
                <w:rFonts w:ascii="Arial" w:cs="Arial" w:eastAsia="Arial" w:hAnsi="Arial"/>
                <w:sz w:val="14"/>
                <w:szCs w:val="14"/>
                <w:b w:val="1"/>
                <w:bCs w:val="1"/>
                <w:color w:val="auto"/>
              </w:rPr>
              <w:t>$</w:t>
            </w:r>
          </w:p>
        </w:tc>
        <w:tc>
          <w:tcPr>
            <w:tcW w:w="5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41.1</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69.8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740" w:type="dxa"/>
            <w:vAlign w:val="bottom"/>
            <w:gridSpan w:val="2"/>
            <w:vMerge w:val="restart"/>
          </w:tcPr>
          <w:p>
            <w:pPr>
              <w:spacing w:after="0"/>
              <w:rPr>
                <w:sz w:val="20"/>
                <w:szCs w:val="20"/>
                <w:color w:val="auto"/>
              </w:rPr>
            </w:pPr>
            <w:r>
              <w:rPr>
                <w:rFonts w:ascii="Arial" w:cs="Arial" w:eastAsia="Arial" w:hAnsi="Arial"/>
                <w:sz w:val="14"/>
                <w:szCs w:val="14"/>
                <w:color w:val="auto"/>
              </w:rPr>
              <w:t>Loan balance by basis of impairment method:</w:t>
            </w:r>
          </w:p>
        </w:tc>
        <w:tc>
          <w:tcPr>
            <w:tcW w:w="15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4740" w:type="dxa"/>
            <w:vAlign w:val="bottom"/>
            <w:gridSpan w:val="2"/>
            <w:vMerge w:val="continue"/>
          </w:tcPr>
          <w:p>
            <w:pPr>
              <w:spacing w:after="0"/>
              <w:rPr>
                <w:sz w:val="11"/>
                <w:szCs w:val="11"/>
                <w:color w:val="auto"/>
              </w:rPr>
            </w:pPr>
          </w:p>
        </w:tc>
        <w:tc>
          <w:tcPr>
            <w:tcW w:w="1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Individually evaluated for impairment</w:t>
            </w:r>
          </w:p>
        </w:tc>
        <w:tc>
          <w:tcPr>
            <w:tcW w:w="1800" w:type="dxa"/>
            <w:vAlign w:val="bottom"/>
            <w:gridSpan w:val="2"/>
            <w:shd w:val="clear" w:color="auto" w:fill="CCEEFF"/>
          </w:tcPr>
          <w:p>
            <w:pPr>
              <w:jc w:val="right"/>
              <w:ind w:right="92"/>
              <w:spacing w:after="0" w:line="149" w:lineRule="exact"/>
              <w:rPr>
                <w:sz w:val="20"/>
                <w:szCs w:val="20"/>
                <w:color w:val="auto"/>
              </w:rPr>
            </w:pPr>
            <w:r>
              <w:rPr>
                <w:rFonts w:ascii="Arial" w:cs="Arial" w:eastAsia="Arial" w:hAnsi="Arial"/>
                <w:sz w:val="14"/>
                <w:szCs w:val="14"/>
                <w:b w:val="1"/>
                <w:bCs w:val="1"/>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4.4</w:t>
            </w:r>
          </w:p>
        </w:tc>
        <w:tc>
          <w:tcPr>
            <w:tcW w:w="80" w:type="dxa"/>
            <w:vAlign w:val="bottom"/>
            <w:shd w:val="clear" w:color="auto" w:fill="CCEEFF"/>
          </w:tcPr>
          <w:p>
            <w:pPr>
              <w:spacing w:after="0"/>
              <w:rPr>
                <w:sz w:val="12"/>
                <w:szCs w:val="12"/>
                <w:color w:val="auto"/>
              </w:rPr>
            </w:pPr>
          </w:p>
        </w:tc>
        <w:tc>
          <w:tcPr>
            <w:tcW w:w="300" w:type="dxa"/>
            <w:vAlign w:val="bottom"/>
            <w:gridSpan w:val="2"/>
            <w:shd w:val="clear" w:color="auto" w:fill="CCEEFF"/>
          </w:tcPr>
          <w:p>
            <w:pPr>
              <w:jc w:val="right"/>
              <w:ind w:right="72"/>
              <w:spacing w:after="0" w:line="149" w:lineRule="exact"/>
              <w:rPr>
                <w:sz w:val="20"/>
                <w:szCs w:val="20"/>
                <w:color w:val="auto"/>
              </w:rPr>
            </w:pPr>
            <w:r>
              <w:rPr>
                <w:rFonts w:ascii="Arial" w:cs="Arial" w:eastAsia="Arial" w:hAnsi="Arial"/>
                <w:sz w:val="14"/>
                <w:szCs w:val="14"/>
                <w:b w:val="1"/>
                <w:bCs w:val="1"/>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33.0</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37.4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tcPr>
          <w:p>
            <w:pPr>
              <w:ind w:left="140"/>
              <w:spacing w:after="0" w:line="149" w:lineRule="exact"/>
              <w:rPr>
                <w:sz w:val="20"/>
                <w:szCs w:val="20"/>
                <w:color w:val="auto"/>
              </w:rPr>
            </w:pPr>
            <w:r>
              <w:rPr>
                <w:rFonts w:ascii="Arial" w:cs="Arial" w:eastAsia="Arial" w:hAnsi="Arial"/>
                <w:sz w:val="14"/>
                <w:szCs w:val="14"/>
                <w:color w:val="auto"/>
              </w:rPr>
              <w:t>Collectively evaluated for impairment</w:t>
            </w:r>
          </w:p>
        </w:tc>
        <w:tc>
          <w:tcPr>
            <w:tcW w:w="156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10,323.3</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1,242.7</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w w:val="99"/>
              </w:rPr>
              <w:t>11,566.0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7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Loan ending balance</w:t>
            </w:r>
          </w:p>
        </w:tc>
        <w:tc>
          <w:tcPr>
            <w:tcW w:w="1800" w:type="dxa"/>
            <w:vAlign w:val="bottom"/>
            <w:gridSpan w:val="2"/>
            <w:shd w:val="clear" w:color="auto" w:fill="CCEEFF"/>
          </w:tcPr>
          <w:p>
            <w:pPr>
              <w:jc w:val="right"/>
              <w:ind w:right="92"/>
              <w:spacing w:after="0" w:line="142" w:lineRule="exact"/>
              <w:rPr>
                <w:sz w:val="20"/>
                <w:szCs w:val="20"/>
                <w:color w:val="auto"/>
              </w:rPr>
            </w:pPr>
            <w:r>
              <w:rPr>
                <w:rFonts w:ascii="Arial" w:cs="Arial" w:eastAsia="Arial" w:hAnsi="Arial"/>
                <w:sz w:val="14"/>
                <w:szCs w:val="14"/>
                <w:b w:val="1"/>
                <w:bCs w:val="1"/>
                <w:color w:val="auto"/>
              </w:rPr>
              <w:t>$</w:t>
            </w:r>
          </w:p>
        </w:tc>
        <w:tc>
          <w:tcPr>
            <w:tcW w:w="6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10,327.7</w:t>
            </w:r>
          </w:p>
        </w:tc>
        <w:tc>
          <w:tcPr>
            <w:tcW w:w="80" w:type="dxa"/>
            <w:vAlign w:val="bottom"/>
            <w:shd w:val="clear" w:color="auto" w:fill="CCEEFF"/>
          </w:tcPr>
          <w:p>
            <w:pPr>
              <w:spacing w:after="0"/>
              <w:rPr>
                <w:sz w:val="12"/>
                <w:szCs w:val="12"/>
                <w:color w:val="auto"/>
              </w:rPr>
            </w:pPr>
          </w:p>
        </w:tc>
        <w:tc>
          <w:tcPr>
            <w:tcW w:w="300" w:type="dxa"/>
            <w:vAlign w:val="bottom"/>
            <w:gridSpan w:val="2"/>
            <w:shd w:val="clear" w:color="auto" w:fill="CCEEFF"/>
          </w:tcPr>
          <w:p>
            <w:pPr>
              <w:jc w:val="right"/>
              <w:ind w:right="72"/>
              <w:spacing w:after="0" w:line="142" w:lineRule="exact"/>
              <w:rPr>
                <w:sz w:val="20"/>
                <w:szCs w:val="20"/>
                <w:color w:val="auto"/>
              </w:rPr>
            </w:pPr>
            <w:r>
              <w:rPr>
                <w:rFonts w:ascii="Arial" w:cs="Arial" w:eastAsia="Arial" w:hAnsi="Arial"/>
                <w:sz w:val="14"/>
                <w:szCs w:val="14"/>
                <w:b w:val="1"/>
                <w:bCs w:val="1"/>
                <w:color w:val="auto"/>
              </w:rPr>
              <w:t>$</w:t>
            </w:r>
          </w:p>
        </w:tc>
        <w:tc>
          <w:tcPr>
            <w:tcW w:w="5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1,275.7</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99"/>
              </w:rPr>
              <w:t>11,603.4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7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For the year ended December 31, 2012</w:t>
            </w:r>
          </w:p>
        </w:tc>
        <w:tc>
          <w:tcPr>
            <w:tcW w:w="15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4740" w:type="dxa"/>
            <w:vAlign w:val="bottom"/>
            <w:gridSpan w:val="2"/>
            <w:vMerge w:val="continue"/>
          </w:tcPr>
          <w:p>
            <w:pPr>
              <w:spacing w:after="0"/>
              <w:rPr>
                <w:sz w:val="11"/>
                <w:szCs w:val="11"/>
                <w:color w:val="auto"/>
              </w:rPr>
            </w:pPr>
          </w:p>
        </w:tc>
        <w:tc>
          <w:tcPr>
            <w:tcW w:w="1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Beginning balance</w:t>
            </w:r>
          </w:p>
        </w:tc>
        <w:tc>
          <w:tcPr>
            <w:tcW w:w="1800" w:type="dxa"/>
            <w:vAlign w:val="bottom"/>
            <w:gridSpan w:val="2"/>
            <w:shd w:val="clear" w:color="auto" w:fill="CCEEFF"/>
          </w:tcPr>
          <w:p>
            <w:pPr>
              <w:jc w:val="right"/>
              <w:ind w:right="92"/>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64.8</w:t>
            </w:r>
          </w:p>
        </w:tc>
        <w:tc>
          <w:tcPr>
            <w:tcW w:w="80" w:type="dxa"/>
            <w:vAlign w:val="bottom"/>
            <w:shd w:val="clear" w:color="auto" w:fill="CCEEFF"/>
          </w:tcPr>
          <w:p>
            <w:pPr>
              <w:spacing w:after="0"/>
              <w:rPr>
                <w:sz w:val="12"/>
                <w:szCs w:val="12"/>
                <w:color w:val="auto"/>
              </w:rPr>
            </w:pPr>
          </w:p>
        </w:tc>
        <w:tc>
          <w:tcPr>
            <w:tcW w:w="300" w:type="dxa"/>
            <w:vAlign w:val="bottom"/>
            <w:gridSpan w:val="2"/>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37.3</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102.1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tcPr>
          <w:p>
            <w:pPr>
              <w:ind w:left="140"/>
              <w:spacing w:after="0" w:line="149" w:lineRule="exact"/>
              <w:rPr>
                <w:sz w:val="20"/>
                <w:szCs w:val="20"/>
                <w:color w:val="auto"/>
              </w:rPr>
            </w:pPr>
            <w:r>
              <w:rPr>
                <w:rFonts w:ascii="Arial" w:cs="Arial" w:eastAsia="Arial" w:hAnsi="Arial"/>
                <w:sz w:val="14"/>
                <w:szCs w:val="14"/>
                <w:color w:val="auto"/>
              </w:rPr>
              <w:t>Provision</w:t>
            </w:r>
          </w:p>
        </w:tc>
        <w:tc>
          <w:tcPr>
            <w:tcW w:w="15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13.5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39.7</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53.2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Charge-offs</w:t>
            </w:r>
          </w:p>
        </w:tc>
        <w:tc>
          <w:tcPr>
            <w:tcW w:w="15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(26.7)</w:t>
            </w: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(35.1)</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(61.8)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tcPr>
          <w:p>
            <w:pPr>
              <w:ind w:left="140"/>
              <w:spacing w:after="0" w:line="149" w:lineRule="exact"/>
              <w:rPr>
                <w:sz w:val="20"/>
                <w:szCs w:val="20"/>
                <w:color w:val="auto"/>
              </w:rPr>
            </w:pPr>
            <w:r>
              <w:rPr>
                <w:rFonts w:ascii="Arial" w:cs="Arial" w:eastAsia="Arial" w:hAnsi="Arial"/>
                <w:sz w:val="14"/>
                <w:szCs w:val="14"/>
                <w:color w:val="auto"/>
              </w:rPr>
              <w:t>Recoveries</w:t>
            </w:r>
          </w:p>
        </w:tc>
        <w:tc>
          <w:tcPr>
            <w:tcW w:w="15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0.2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3.6</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3.8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Effect of exchange rates</w:t>
            </w:r>
          </w:p>
        </w:tc>
        <w:tc>
          <w:tcPr>
            <w:tcW w:w="15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0.1</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740" w:type="dxa"/>
            <w:vAlign w:val="bottom"/>
            <w:gridSpan w:val="2"/>
          </w:tcPr>
          <w:p>
            <w:pPr>
              <w:spacing w:after="0" w:line="142" w:lineRule="exact"/>
              <w:rPr>
                <w:sz w:val="20"/>
                <w:szCs w:val="20"/>
                <w:color w:val="auto"/>
              </w:rPr>
            </w:pPr>
            <w:r>
              <w:rPr>
                <w:rFonts w:ascii="Arial" w:cs="Arial" w:eastAsia="Arial" w:hAnsi="Arial"/>
                <w:sz w:val="14"/>
                <w:szCs w:val="14"/>
                <w:color w:val="auto"/>
              </w:rPr>
              <w:t>Ending balance</w:t>
            </w:r>
          </w:p>
        </w:tc>
        <w:tc>
          <w:tcPr>
            <w:tcW w:w="1560" w:type="dxa"/>
            <w:vAlign w:val="bottom"/>
          </w:tcPr>
          <w:p>
            <w:pPr>
              <w:spacing w:after="0"/>
              <w:rPr>
                <w:sz w:val="12"/>
                <w:szCs w:val="12"/>
                <w:color w:val="auto"/>
              </w:rPr>
            </w:pPr>
          </w:p>
        </w:tc>
        <w:tc>
          <w:tcPr>
            <w:tcW w:w="240" w:type="dxa"/>
            <w:vAlign w:val="bottom"/>
            <w:tcBorders>
              <w:top w:val="single" w:sz="8" w:color="auto"/>
              <w:bottom w:val="single" w:sz="8" w:color="auto"/>
            </w:tcBorders>
          </w:tcPr>
          <w:p>
            <w:pPr>
              <w:jc w:val="right"/>
              <w:ind w:right="92"/>
              <w:spacing w:after="0" w:line="142" w:lineRule="exact"/>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51.8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Borders>
              <w:top w:val="single" w:sz="8" w:color="auto"/>
              <w:bottom w:val="single" w:sz="8" w:color="auto"/>
            </w:tcBorders>
          </w:tcPr>
          <w:p>
            <w:pPr>
              <w:jc w:val="right"/>
              <w:ind w:right="72"/>
              <w:spacing w:after="0" w:line="142" w:lineRule="exact"/>
              <w:rPr>
                <w:sz w:val="20"/>
                <w:szCs w:val="20"/>
                <w:color w:val="auto"/>
              </w:rPr>
            </w:pPr>
            <w:r>
              <w:rPr>
                <w:rFonts w:ascii="Arial" w:cs="Arial" w:eastAsia="Arial" w:hAnsi="Arial"/>
                <w:sz w:val="14"/>
                <w:szCs w:val="14"/>
                <w:color w:val="auto"/>
                <w:w w:val="76"/>
              </w:rPr>
              <w:t>$</w:t>
            </w:r>
          </w:p>
        </w:tc>
        <w:tc>
          <w:tcPr>
            <w:tcW w:w="5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45.6</w:t>
            </w:r>
          </w:p>
        </w:tc>
        <w:tc>
          <w:tcPr>
            <w:tcW w:w="16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5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97.4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7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4720" w:type="dxa"/>
            <w:vAlign w:val="bottom"/>
            <w:shd w:val="clear" w:color="auto" w:fill="CCEEFF"/>
          </w:tcPr>
          <w:p>
            <w:pPr>
              <w:spacing w:after="0" w:line="129" w:lineRule="exact"/>
              <w:rPr>
                <w:sz w:val="20"/>
                <w:szCs w:val="20"/>
                <w:color w:val="auto"/>
              </w:rPr>
            </w:pPr>
            <w:r>
              <w:rPr>
                <w:rFonts w:ascii="Arial" w:cs="Arial" w:eastAsia="Arial" w:hAnsi="Arial"/>
                <w:sz w:val="14"/>
                <w:szCs w:val="14"/>
                <w:color w:val="auto"/>
              </w:rPr>
              <w:t>Allowance ending balance by basis of impairment method:</w:t>
            </w:r>
          </w:p>
        </w:tc>
        <w:tc>
          <w:tcPr>
            <w:tcW w:w="1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tcPr>
          <w:p>
            <w:pPr>
              <w:ind w:left="140"/>
              <w:spacing w:after="0" w:line="149" w:lineRule="exact"/>
              <w:rPr>
                <w:sz w:val="20"/>
                <w:szCs w:val="20"/>
                <w:color w:val="auto"/>
              </w:rPr>
            </w:pPr>
            <w:r>
              <w:rPr>
                <w:rFonts w:ascii="Arial" w:cs="Arial" w:eastAsia="Arial" w:hAnsi="Arial"/>
                <w:sz w:val="14"/>
                <w:szCs w:val="14"/>
                <w:color w:val="auto"/>
              </w:rPr>
              <w:t>Individually evaluated for impairment</w:t>
            </w:r>
          </w:p>
        </w:tc>
        <w:tc>
          <w:tcPr>
            <w:tcW w:w="1800" w:type="dxa"/>
            <w:vAlign w:val="bottom"/>
            <w:gridSpan w:val="2"/>
          </w:tcPr>
          <w:p>
            <w:pPr>
              <w:jc w:val="right"/>
              <w:ind w:right="92"/>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2.4</w:t>
            </w:r>
          </w:p>
        </w:tc>
        <w:tc>
          <w:tcPr>
            <w:tcW w:w="80" w:type="dxa"/>
            <w:vAlign w:val="bottom"/>
          </w:tcPr>
          <w:p>
            <w:pPr>
              <w:spacing w:after="0"/>
              <w:rPr>
                <w:sz w:val="12"/>
                <w:szCs w:val="12"/>
                <w:color w:val="auto"/>
              </w:rPr>
            </w:pPr>
          </w:p>
        </w:tc>
        <w:tc>
          <w:tcPr>
            <w:tcW w:w="300" w:type="dxa"/>
            <w:vAlign w:val="bottom"/>
            <w:gridSpan w:val="2"/>
          </w:tcPr>
          <w:p>
            <w:pPr>
              <w:jc w:val="right"/>
              <w:ind w:right="72"/>
              <w:spacing w:after="0" w:line="149" w:lineRule="exact"/>
              <w:rPr>
                <w:sz w:val="20"/>
                <w:szCs w:val="20"/>
                <w:color w:val="auto"/>
              </w:rPr>
            </w:pPr>
            <w:r>
              <w:rPr>
                <w:rFonts w:ascii="Arial" w:cs="Arial" w:eastAsia="Arial" w:hAnsi="Arial"/>
                <w:sz w:val="14"/>
                <w:szCs w:val="14"/>
                <w:color w:val="auto"/>
              </w:rPr>
              <w:t>$</w:t>
            </w: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10.4</w:t>
            </w:r>
          </w:p>
        </w:tc>
        <w:tc>
          <w:tcPr>
            <w:tcW w:w="160" w:type="dxa"/>
            <w:vAlign w:val="bottom"/>
          </w:tcPr>
          <w:p>
            <w:pPr>
              <w:spacing w:after="0"/>
              <w:rPr>
                <w:sz w:val="12"/>
                <w:szCs w:val="12"/>
                <w:color w:val="auto"/>
              </w:rPr>
            </w:pP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12.8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Collectively evaluated for impairment</w:t>
            </w:r>
          </w:p>
        </w:tc>
        <w:tc>
          <w:tcPr>
            <w:tcW w:w="1560" w:type="dxa"/>
            <w:vAlign w:val="bottom"/>
            <w:shd w:val="clear" w:color="auto" w:fill="CCEEFF"/>
          </w:tcPr>
          <w:p>
            <w:pPr>
              <w:spacing w:after="0"/>
              <w:rPr>
                <w:sz w:val="12"/>
                <w:szCs w:val="12"/>
                <w:color w:val="auto"/>
              </w:rPr>
            </w:pPr>
          </w:p>
        </w:tc>
        <w:tc>
          <w:tcPr>
            <w:tcW w:w="24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49.4</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35.2</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84.6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740" w:type="dxa"/>
            <w:vAlign w:val="bottom"/>
            <w:gridSpan w:val="2"/>
          </w:tcPr>
          <w:p>
            <w:pPr>
              <w:spacing w:after="0" w:line="142" w:lineRule="exact"/>
              <w:rPr>
                <w:sz w:val="20"/>
                <w:szCs w:val="20"/>
                <w:color w:val="auto"/>
              </w:rPr>
            </w:pPr>
            <w:r>
              <w:rPr>
                <w:rFonts w:ascii="Arial" w:cs="Arial" w:eastAsia="Arial" w:hAnsi="Arial"/>
                <w:sz w:val="14"/>
                <w:szCs w:val="14"/>
                <w:color w:val="auto"/>
              </w:rPr>
              <w:t>Allowance ending balance</w:t>
            </w:r>
          </w:p>
        </w:tc>
        <w:tc>
          <w:tcPr>
            <w:tcW w:w="1560" w:type="dxa"/>
            <w:vAlign w:val="bottom"/>
          </w:tcPr>
          <w:p>
            <w:pPr>
              <w:spacing w:after="0"/>
              <w:rPr>
                <w:sz w:val="12"/>
                <w:szCs w:val="12"/>
                <w:color w:val="auto"/>
              </w:rPr>
            </w:pPr>
          </w:p>
        </w:tc>
        <w:tc>
          <w:tcPr>
            <w:tcW w:w="24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color w:val="auto"/>
                <w:w w:val="76"/>
              </w:rPr>
              <w:t>$</w:t>
            </w:r>
          </w:p>
        </w:tc>
        <w:tc>
          <w:tcPr>
            <w:tcW w:w="6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51.8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Borders>
              <w:bottom w:val="single" w:sz="8" w:color="auto"/>
            </w:tcBorders>
          </w:tcPr>
          <w:p>
            <w:pPr>
              <w:jc w:val="right"/>
              <w:ind w:right="72"/>
              <w:spacing w:after="0" w:line="142" w:lineRule="exact"/>
              <w:rPr>
                <w:sz w:val="20"/>
                <w:szCs w:val="20"/>
                <w:color w:val="auto"/>
              </w:rPr>
            </w:pPr>
            <w:r>
              <w:rPr>
                <w:rFonts w:ascii="Arial" w:cs="Arial" w:eastAsia="Arial" w:hAnsi="Arial"/>
                <w:sz w:val="14"/>
                <w:szCs w:val="14"/>
                <w:color w:val="auto"/>
                <w:w w:val="76"/>
              </w:rPr>
              <w:t>$</w:t>
            </w:r>
          </w:p>
        </w:tc>
        <w:tc>
          <w:tcPr>
            <w:tcW w:w="5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45.6</w:t>
            </w:r>
          </w:p>
        </w:tc>
        <w:tc>
          <w:tcPr>
            <w:tcW w:w="160" w:type="dxa"/>
            <w:vAlign w:val="bottom"/>
          </w:tcPr>
          <w:p>
            <w:pPr>
              <w:spacing w:after="0"/>
              <w:rPr>
                <w:sz w:val="12"/>
                <w:szCs w:val="12"/>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97.4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7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4720" w:type="dxa"/>
            <w:vAlign w:val="bottom"/>
            <w:shd w:val="clear" w:color="auto" w:fill="CCEEFF"/>
          </w:tcPr>
          <w:p>
            <w:pPr>
              <w:spacing w:after="0" w:line="129" w:lineRule="exact"/>
              <w:rPr>
                <w:sz w:val="20"/>
                <w:szCs w:val="20"/>
                <w:color w:val="auto"/>
              </w:rPr>
            </w:pPr>
            <w:r>
              <w:rPr>
                <w:rFonts w:ascii="Arial" w:cs="Arial" w:eastAsia="Arial" w:hAnsi="Arial"/>
                <w:sz w:val="14"/>
                <w:szCs w:val="14"/>
                <w:color w:val="auto"/>
              </w:rPr>
              <w:t>Loan balance by basis of impairment method:</w:t>
            </w:r>
          </w:p>
        </w:tc>
        <w:tc>
          <w:tcPr>
            <w:tcW w:w="1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tcPr>
          <w:p>
            <w:pPr>
              <w:ind w:left="140"/>
              <w:spacing w:after="0" w:line="149" w:lineRule="exact"/>
              <w:rPr>
                <w:sz w:val="20"/>
                <w:szCs w:val="20"/>
                <w:color w:val="auto"/>
              </w:rPr>
            </w:pPr>
            <w:r>
              <w:rPr>
                <w:rFonts w:ascii="Arial" w:cs="Arial" w:eastAsia="Arial" w:hAnsi="Arial"/>
                <w:sz w:val="14"/>
                <w:szCs w:val="14"/>
                <w:color w:val="auto"/>
              </w:rPr>
              <w:t>Individually evaluated for impairment</w:t>
            </w:r>
          </w:p>
        </w:tc>
        <w:tc>
          <w:tcPr>
            <w:tcW w:w="1800" w:type="dxa"/>
            <w:vAlign w:val="bottom"/>
            <w:gridSpan w:val="2"/>
          </w:tcPr>
          <w:p>
            <w:pPr>
              <w:jc w:val="right"/>
              <w:ind w:right="92"/>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13.6</w:t>
            </w:r>
          </w:p>
        </w:tc>
        <w:tc>
          <w:tcPr>
            <w:tcW w:w="80" w:type="dxa"/>
            <w:vAlign w:val="bottom"/>
          </w:tcPr>
          <w:p>
            <w:pPr>
              <w:spacing w:after="0"/>
              <w:rPr>
                <w:sz w:val="12"/>
                <w:szCs w:val="12"/>
                <w:color w:val="auto"/>
              </w:rPr>
            </w:pPr>
          </w:p>
        </w:tc>
        <w:tc>
          <w:tcPr>
            <w:tcW w:w="300" w:type="dxa"/>
            <w:vAlign w:val="bottom"/>
            <w:gridSpan w:val="2"/>
          </w:tcPr>
          <w:p>
            <w:pPr>
              <w:jc w:val="right"/>
              <w:ind w:right="72"/>
              <w:spacing w:after="0" w:line="149" w:lineRule="exact"/>
              <w:rPr>
                <w:sz w:val="20"/>
                <w:szCs w:val="20"/>
                <w:color w:val="auto"/>
              </w:rPr>
            </w:pPr>
            <w:r>
              <w:rPr>
                <w:rFonts w:ascii="Arial" w:cs="Arial" w:eastAsia="Arial" w:hAnsi="Arial"/>
                <w:sz w:val="14"/>
                <w:szCs w:val="14"/>
                <w:color w:val="auto"/>
              </w:rPr>
              <w:t>$</w:t>
            </w: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39.7</w:t>
            </w:r>
          </w:p>
        </w:tc>
        <w:tc>
          <w:tcPr>
            <w:tcW w:w="160" w:type="dxa"/>
            <w:vAlign w:val="bottom"/>
          </w:tcPr>
          <w:p>
            <w:pPr>
              <w:spacing w:after="0"/>
              <w:rPr>
                <w:sz w:val="12"/>
                <w:szCs w:val="12"/>
                <w:color w:val="auto"/>
              </w:rPr>
            </w:pP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53.3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Collectively evaluated for impairment</w:t>
            </w:r>
          </w:p>
        </w:tc>
        <w:tc>
          <w:tcPr>
            <w:tcW w:w="1560" w:type="dxa"/>
            <w:vAlign w:val="bottom"/>
            <w:shd w:val="clear" w:color="auto" w:fill="CCEEFF"/>
          </w:tcPr>
          <w:p>
            <w:pPr>
              <w:spacing w:after="0"/>
              <w:rPr>
                <w:sz w:val="12"/>
                <w:szCs w:val="12"/>
                <w:color w:val="auto"/>
              </w:rPr>
            </w:pPr>
          </w:p>
        </w:tc>
        <w:tc>
          <w:tcPr>
            <w:tcW w:w="24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10,221.5</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1,342.3</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w w:val="99"/>
              </w:rPr>
              <w:t>11,563.8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740" w:type="dxa"/>
            <w:vAlign w:val="bottom"/>
            <w:gridSpan w:val="2"/>
          </w:tcPr>
          <w:p>
            <w:pPr>
              <w:spacing w:after="0" w:line="142" w:lineRule="exact"/>
              <w:rPr>
                <w:sz w:val="20"/>
                <w:szCs w:val="20"/>
                <w:color w:val="auto"/>
              </w:rPr>
            </w:pPr>
            <w:r>
              <w:rPr>
                <w:rFonts w:ascii="Arial" w:cs="Arial" w:eastAsia="Arial" w:hAnsi="Arial"/>
                <w:sz w:val="14"/>
                <w:szCs w:val="14"/>
                <w:color w:val="auto"/>
              </w:rPr>
              <w:t>Loan ending balance</w:t>
            </w:r>
          </w:p>
        </w:tc>
        <w:tc>
          <w:tcPr>
            <w:tcW w:w="1560" w:type="dxa"/>
            <w:vAlign w:val="bottom"/>
          </w:tcPr>
          <w:p>
            <w:pPr>
              <w:spacing w:after="0"/>
              <w:rPr>
                <w:sz w:val="12"/>
                <w:szCs w:val="12"/>
                <w:color w:val="auto"/>
              </w:rPr>
            </w:pPr>
          </w:p>
        </w:tc>
        <w:tc>
          <w:tcPr>
            <w:tcW w:w="24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color w:val="auto"/>
                <w:w w:val="76"/>
              </w:rPr>
              <w:t>$</w:t>
            </w:r>
          </w:p>
        </w:tc>
        <w:tc>
          <w:tcPr>
            <w:tcW w:w="6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10,235.1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Borders>
              <w:bottom w:val="single" w:sz="8" w:color="auto"/>
            </w:tcBorders>
          </w:tcPr>
          <w:p>
            <w:pPr>
              <w:jc w:val="right"/>
              <w:ind w:right="72"/>
              <w:spacing w:after="0" w:line="142" w:lineRule="exact"/>
              <w:rPr>
                <w:sz w:val="20"/>
                <w:szCs w:val="20"/>
                <w:color w:val="auto"/>
              </w:rPr>
            </w:pPr>
            <w:r>
              <w:rPr>
                <w:rFonts w:ascii="Arial" w:cs="Arial" w:eastAsia="Arial" w:hAnsi="Arial"/>
                <w:sz w:val="14"/>
                <w:szCs w:val="14"/>
                <w:color w:val="auto"/>
                <w:w w:val="76"/>
              </w:rPr>
              <w:t>$</w:t>
            </w:r>
          </w:p>
        </w:tc>
        <w:tc>
          <w:tcPr>
            <w:tcW w:w="5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1,382.0</w:t>
            </w:r>
          </w:p>
        </w:tc>
        <w:tc>
          <w:tcPr>
            <w:tcW w:w="160" w:type="dxa"/>
            <w:vAlign w:val="bottom"/>
          </w:tcPr>
          <w:p>
            <w:pPr>
              <w:spacing w:after="0"/>
              <w:rPr>
                <w:sz w:val="12"/>
                <w:szCs w:val="12"/>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99"/>
              </w:rPr>
              <w:t>11,617.1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7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4720" w:type="dxa"/>
            <w:vAlign w:val="bottom"/>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For the year ended December 31, 2011</w:t>
            </w:r>
          </w:p>
        </w:tc>
        <w:tc>
          <w:tcPr>
            <w:tcW w:w="1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tcPr>
          <w:p>
            <w:pPr>
              <w:spacing w:after="0" w:line="149" w:lineRule="exact"/>
              <w:rPr>
                <w:sz w:val="20"/>
                <w:szCs w:val="20"/>
                <w:color w:val="auto"/>
              </w:rPr>
            </w:pPr>
            <w:r>
              <w:rPr>
                <w:rFonts w:ascii="Arial" w:cs="Arial" w:eastAsia="Arial" w:hAnsi="Arial"/>
                <w:sz w:val="14"/>
                <w:szCs w:val="14"/>
                <w:color w:val="auto"/>
              </w:rPr>
              <w:t>Beginning balance</w:t>
            </w:r>
          </w:p>
        </w:tc>
        <w:tc>
          <w:tcPr>
            <w:tcW w:w="1800" w:type="dxa"/>
            <w:vAlign w:val="bottom"/>
            <w:gridSpan w:val="2"/>
          </w:tcPr>
          <w:p>
            <w:pPr>
              <w:jc w:val="right"/>
              <w:ind w:right="92"/>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80.6</w:t>
            </w:r>
          </w:p>
        </w:tc>
        <w:tc>
          <w:tcPr>
            <w:tcW w:w="80" w:type="dxa"/>
            <w:vAlign w:val="bottom"/>
          </w:tcPr>
          <w:p>
            <w:pPr>
              <w:spacing w:after="0"/>
              <w:rPr>
                <w:sz w:val="12"/>
                <w:szCs w:val="12"/>
                <w:color w:val="auto"/>
              </w:rPr>
            </w:pPr>
          </w:p>
        </w:tc>
        <w:tc>
          <w:tcPr>
            <w:tcW w:w="300" w:type="dxa"/>
            <w:vAlign w:val="bottom"/>
            <w:gridSpan w:val="2"/>
          </w:tcPr>
          <w:p>
            <w:pPr>
              <w:jc w:val="right"/>
              <w:ind w:right="72"/>
              <w:spacing w:after="0" w:line="149" w:lineRule="exact"/>
              <w:rPr>
                <w:sz w:val="20"/>
                <w:szCs w:val="20"/>
                <w:color w:val="auto"/>
              </w:rPr>
            </w:pPr>
            <w:r>
              <w:rPr>
                <w:rFonts w:ascii="Arial" w:cs="Arial" w:eastAsia="Arial" w:hAnsi="Arial"/>
                <w:sz w:val="14"/>
                <w:szCs w:val="14"/>
                <w:color w:val="auto"/>
              </w:rPr>
              <w:t>$</w:t>
            </w: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40.5</w:t>
            </w:r>
          </w:p>
        </w:tc>
        <w:tc>
          <w:tcPr>
            <w:tcW w:w="160" w:type="dxa"/>
            <w:vAlign w:val="bottom"/>
          </w:tcPr>
          <w:p>
            <w:pPr>
              <w:spacing w:after="0"/>
              <w:rPr>
                <w:sz w:val="12"/>
                <w:szCs w:val="12"/>
                <w:color w:val="auto"/>
              </w:rPr>
            </w:pP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121.1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Provision</w:t>
            </w:r>
          </w:p>
        </w:tc>
        <w:tc>
          <w:tcPr>
            <w:tcW w:w="15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27.2</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44.2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tcPr>
          <w:p>
            <w:pPr>
              <w:ind w:left="140"/>
              <w:spacing w:after="0" w:line="149" w:lineRule="exact"/>
              <w:rPr>
                <w:sz w:val="20"/>
                <w:szCs w:val="20"/>
                <w:color w:val="auto"/>
              </w:rPr>
            </w:pPr>
            <w:r>
              <w:rPr>
                <w:rFonts w:ascii="Arial" w:cs="Arial" w:eastAsia="Arial" w:hAnsi="Arial"/>
                <w:sz w:val="14"/>
                <w:szCs w:val="14"/>
                <w:color w:val="auto"/>
              </w:rPr>
              <w:t>Charge-offs</w:t>
            </w:r>
          </w:p>
        </w:tc>
        <w:tc>
          <w:tcPr>
            <w:tcW w:w="15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2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(32.9)</w:t>
            </w: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(33.4)</w:t>
            </w:r>
          </w:p>
        </w:tc>
        <w:tc>
          <w:tcPr>
            <w:tcW w:w="120" w:type="dxa"/>
            <w:vAlign w:val="bottom"/>
          </w:tcPr>
          <w:p>
            <w:pPr>
              <w:spacing w:after="0"/>
              <w:rPr>
                <w:sz w:val="12"/>
                <w:szCs w:val="12"/>
                <w:color w:val="auto"/>
              </w:rPr>
            </w:pPr>
          </w:p>
        </w:tc>
        <w:tc>
          <w:tcPr>
            <w:tcW w:w="7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(66.3)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Recoveries</w:t>
            </w:r>
          </w:p>
        </w:tc>
        <w:tc>
          <w:tcPr>
            <w:tcW w:w="15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0.1</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tcPr>
          <w:p>
            <w:pPr>
              <w:ind w:left="140"/>
              <w:spacing w:after="0" w:line="149" w:lineRule="exact"/>
              <w:rPr>
                <w:sz w:val="20"/>
                <w:szCs w:val="20"/>
                <w:color w:val="auto"/>
              </w:rPr>
            </w:pPr>
            <w:r>
              <w:rPr>
                <w:rFonts w:ascii="Arial" w:cs="Arial" w:eastAsia="Arial" w:hAnsi="Arial"/>
                <w:sz w:val="14"/>
                <w:szCs w:val="14"/>
                <w:color w:val="auto"/>
              </w:rPr>
              <w:t>Effect of exchange rates</w:t>
            </w:r>
          </w:p>
        </w:tc>
        <w:tc>
          <w:tcPr>
            <w:tcW w:w="15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(0.2)</w:t>
            </w:r>
          </w:p>
        </w:tc>
        <w:tc>
          <w:tcPr>
            <w:tcW w:w="120" w:type="dxa"/>
            <w:vAlign w:val="bottom"/>
          </w:tcPr>
          <w:p>
            <w:pPr>
              <w:spacing w:after="0"/>
              <w:rPr>
                <w:sz w:val="12"/>
                <w:szCs w:val="12"/>
                <w:color w:val="auto"/>
              </w:rPr>
            </w:pPr>
          </w:p>
        </w:tc>
        <w:tc>
          <w:tcPr>
            <w:tcW w:w="7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(0.2)</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7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Ending balance</w:t>
            </w:r>
          </w:p>
        </w:tc>
        <w:tc>
          <w:tcPr>
            <w:tcW w:w="1560" w:type="dxa"/>
            <w:vAlign w:val="bottom"/>
            <w:shd w:val="clear" w:color="auto" w:fill="CCEEFF"/>
          </w:tcPr>
          <w:p>
            <w:pPr>
              <w:spacing w:after="0"/>
              <w:rPr>
                <w:sz w:val="12"/>
                <w:szCs w:val="12"/>
                <w:color w:val="auto"/>
              </w:rPr>
            </w:pPr>
          </w:p>
        </w:tc>
        <w:tc>
          <w:tcPr>
            <w:tcW w:w="240" w:type="dxa"/>
            <w:vAlign w:val="bottom"/>
            <w:tcBorders>
              <w:top w:val="single" w:sz="8" w:color="auto"/>
              <w:bottom w:val="single" w:sz="8" w:color="auto"/>
            </w:tcBorders>
            <w:shd w:val="clear" w:color="auto" w:fill="CCEEFF"/>
          </w:tcPr>
          <w:p>
            <w:pPr>
              <w:jc w:val="right"/>
              <w:ind w:right="92"/>
              <w:spacing w:after="0" w:line="142" w:lineRule="exact"/>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64.8</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tcBorders>
              <w:top w:val="single" w:sz="8" w:color="auto"/>
              <w:bottom w:val="single" w:sz="8" w:color="auto"/>
            </w:tcBorders>
            <w:shd w:val="clear" w:color="auto" w:fill="CCEEFF"/>
          </w:tcPr>
          <w:p>
            <w:pPr>
              <w:jc w:val="right"/>
              <w:ind w:right="72"/>
              <w:spacing w:after="0" w:line="142" w:lineRule="exact"/>
              <w:rPr>
                <w:sz w:val="20"/>
                <w:szCs w:val="20"/>
                <w:color w:val="auto"/>
              </w:rPr>
            </w:pPr>
            <w:r>
              <w:rPr>
                <w:rFonts w:ascii="Arial" w:cs="Arial" w:eastAsia="Arial" w:hAnsi="Arial"/>
                <w:sz w:val="14"/>
                <w:szCs w:val="14"/>
                <w:color w:val="auto"/>
                <w:w w:val="76"/>
              </w:rPr>
              <w:t>$</w:t>
            </w:r>
          </w:p>
        </w:tc>
        <w:tc>
          <w:tcPr>
            <w:tcW w:w="58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37.3</w:t>
            </w:r>
          </w:p>
        </w:tc>
        <w:tc>
          <w:tcPr>
            <w:tcW w:w="160" w:type="dxa"/>
            <w:vAlign w:val="bottom"/>
            <w:shd w:val="clear" w:color="auto" w:fill="CCEEFF"/>
          </w:tcPr>
          <w:p>
            <w:pPr>
              <w:spacing w:after="0"/>
              <w:rPr>
                <w:sz w:val="12"/>
                <w:szCs w:val="12"/>
                <w:color w:val="auto"/>
              </w:rPr>
            </w:pPr>
          </w:p>
        </w:tc>
        <w:tc>
          <w:tcPr>
            <w:tcW w:w="120" w:type="dxa"/>
            <w:vAlign w:val="bottom"/>
            <w:tcBorders>
              <w:top w:val="single" w:sz="8" w:color="auto"/>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56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102.1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740" w:type="dxa"/>
            <w:vAlign w:val="bottom"/>
            <w:gridSpan w:val="2"/>
            <w:vMerge w:val="restart"/>
          </w:tcPr>
          <w:p>
            <w:pPr>
              <w:spacing w:after="0"/>
              <w:rPr>
                <w:sz w:val="20"/>
                <w:szCs w:val="20"/>
                <w:color w:val="auto"/>
              </w:rPr>
            </w:pPr>
            <w:r>
              <w:rPr>
                <w:rFonts w:ascii="Arial" w:cs="Arial" w:eastAsia="Arial" w:hAnsi="Arial"/>
                <w:sz w:val="14"/>
                <w:szCs w:val="14"/>
                <w:color w:val="auto"/>
              </w:rPr>
              <w:t>Allowance ending balance by basis of impairment method:</w:t>
            </w:r>
          </w:p>
        </w:tc>
        <w:tc>
          <w:tcPr>
            <w:tcW w:w="15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4740" w:type="dxa"/>
            <w:vAlign w:val="bottom"/>
            <w:gridSpan w:val="2"/>
            <w:vMerge w:val="continue"/>
          </w:tcPr>
          <w:p>
            <w:pPr>
              <w:spacing w:after="0"/>
              <w:rPr>
                <w:sz w:val="11"/>
                <w:szCs w:val="11"/>
                <w:color w:val="auto"/>
              </w:rPr>
            </w:pPr>
          </w:p>
        </w:tc>
        <w:tc>
          <w:tcPr>
            <w:tcW w:w="1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Individually evaluated for impairment</w:t>
            </w:r>
          </w:p>
        </w:tc>
        <w:tc>
          <w:tcPr>
            <w:tcW w:w="1800" w:type="dxa"/>
            <w:vAlign w:val="bottom"/>
            <w:gridSpan w:val="2"/>
            <w:shd w:val="clear" w:color="auto" w:fill="CCEEFF"/>
          </w:tcPr>
          <w:p>
            <w:pPr>
              <w:jc w:val="right"/>
              <w:ind w:right="92"/>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16.3</w:t>
            </w:r>
          </w:p>
        </w:tc>
        <w:tc>
          <w:tcPr>
            <w:tcW w:w="80" w:type="dxa"/>
            <w:vAlign w:val="bottom"/>
            <w:shd w:val="clear" w:color="auto" w:fill="CCEEFF"/>
          </w:tcPr>
          <w:p>
            <w:pPr>
              <w:spacing w:after="0"/>
              <w:rPr>
                <w:sz w:val="12"/>
                <w:szCs w:val="12"/>
                <w:color w:val="auto"/>
              </w:rPr>
            </w:pPr>
          </w:p>
        </w:tc>
        <w:tc>
          <w:tcPr>
            <w:tcW w:w="300" w:type="dxa"/>
            <w:vAlign w:val="bottom"/>
            <w:gridSpan w:val="2"/>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tcPr>
          <w:p>
            <w:pPr>
              <w:ind w:left="140"/>
              <w:spacing w:after="0" w:line="149" w:lineRule="exact"/>
              <w:rPr>
                <w:sz w:val="20"/>
                <w:szCs w:val="20"/>
                <w:color w:val="auto"/>
              </w:rPr>
            </w:pPr>
            <w:r>
              <w:rPr>
                <w:rFonts w:ascii="Arial" w:cs="Arial" w:eastAsia="Arial" w:hAnsi="Arial"/>
                <w:sz w:val="14"/>
                <w:szCs w:val="14"/>
                <w:color w:val="auto"/>
              </w:rPr>
              <w:t>Collectively evaluated for impairment</w:t>
            </w:r>
          </w:p>
        </w:tc>
        <w:tc>
          <w:tcPr>
            <w:tcW w:w="156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48.5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34.1</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82.6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7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Allowance ending balance</w:t>
            </w:r>
          </w:p>
        </w:tc>
        <w:tc>
          <w:tcPr>
            <w:tcW w:w="1800" w:type="dxa"/>
            <w:vAlign w:val="bottom"/>
            <w:gridSpan w:val="2"/>
            <w:shd w:val="clear" w:color="auto" w:fill="CCEEFF"/>
          </w:tcPr>
          <w:p>
            <w:pPr>
              <w:jc w:val="right"/>
              <w:ind w:right="92"/>
              <w:spacing w:after="0" w:line="142"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64.8</w:t>
            </w:r>
          </w:p>
        </w:tc>
        <w:tc>
          <w:tcPr>
            <w:tcW w:w="80" w:type="dxa"/>
            <w:vAlign w:val="bottom"/>
            <w:shd w:val="clear" w:color="auto" w:fill="CCEEFF"/>
          </w:tcPr>
          <w:p>
            <w:pPr>
              <w:spacing w:after="0"/>
              <w:rPr>
                <w:sz w:val="12"/>
                <w:szCs w:val="12"/>
                <w:color w:val="auto"/>
              </w:rPr>
            </w:pPr>
          </w:p>
        </w:tc>
        <w:tc>
          <w:tcPr>
            <w:tcW w:w="300" w:type="dxa"/>
            <w:vAlign w:val="bottom"/>
            <w:gridSpan w:val="2"/>
            <w:shd w:val="clear" w:color="auto" w:fill="CCEEFF"/>
          </w:tcPr>
          <w:p>
            <w:pPr>
              <w:jc w:val="right"/>
              <w:ind w:right="72"/>
              <w:spacing w:after="0" w:line="142" w:lineRule="exact"/>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37.3</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102.1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740" w:type="dxa"/>
            <w:vAlign w:val="bottom"/>
            <w:gridSpan w:val="2"/>
            <w:vMerge w:val="restart"/>
          </w:tcPr>
          <w:p>
            <w:pPr>
              <w:spacing w:after="0"/>
              <w:rPr>
                <w:sz w:val="20"/>
                <w:szCs w:val="20"/>
                <w:color w:val="auto"/>
              </w:rPr>
            </w:pPr>
            <w:r>
              <w:rPr>
                <w:rFonts w:ascii="Arial" w:cs="Arial" w:eastAsia="Arial" w:hAnsi="Arial"/>
                <w:sz w:val="14"/>
                <w:szCs w:val="14"/>
                <w:color w:val="auto"/>
              </w:rPr>
              <w:t>Loan balance by basis of impairment method:</w:t>
            </w:r>
          </w:p>
        </w:tc>
        <w:tc>
          <w:tcPr>
            <w:tcW w:w="15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4740" w:type="dxa"/>
            <w:vAlign w:val="bottom"/>
            <w:gridSpan w:val="2"/>
            <w:vMerge w:val="continue"/>
          </w:tcPr>
          <w:p>
            <w:pPr>
              <w:spacing w:after="0"/>
              <w:rPr>
                <w:sz w:val="11"/>
                <w:szCs w:val="11"/>
                <w:color w:val="auto"/>
              </w:rPr>
            </w:pPr>
          </w:p>
        </w:tc>
        <w:tc>
          <w:tcPr>
            <w:tcW w:w="1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Individually evaluated for impairment</w:t>
            </w:r>
          </w:p>
        </w:tc>
        <w:tc>
          <w:tcPr>
            <w:tcW w:w="1800" w:type="dxa"/>
            <w:vAlign w:val="bottom"/>
            <w:gridSpan w:val="2"/>
            <w:shd w:val="clear" w:color="auto" w:fill="CCEEFF"/>
          </w:tcPr>
          <w:p>
            <w:pPr>
              <w:jc w:val="right"/>
              <w:ind w:right="92"/>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114.0</w:t>
            </w:r>
          </w:p>
        </w:tc>
        <w:tc>
          <w:tcPr>
            <w:tcW w:w="80" w:type="dxa"/>
            <w:vAlign w:val="bottom"/>
            <w:shd w:val="clear" w:color="auto" w:fill="CCEEFF"/>
          </w:tcPr>
          <w:p>
            <w:pPr>
              <w:spacing w:after="0"/>
              <w:rPr>
                <w:sz w:val="12"/>
                <w:szCs w:val="12"/>
                <w:color w:val="auto"/>
              </w:rPr>
            </w:pPr>
          </w:p>
        </w:tc>
        <w:tc>
          <w:tcPr>
            <w:tcW w:w="300" w:type="dxa"/>
            <w:vAlign w:val="bottom"/>
            <w:gridSpan w:val="2"/>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27.4</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141.4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tcPr>
          <w:p>
            <w:pPr>
              <w:ind w:left="140"/>
              <w:spacing w:after="0" w:line="149" w:lineRule="exact"/>
              <w:rPr>
                <w:sz w:val="20"/>
                <w:szCs w:val="20"/>
                <w:color w:val="auto"/>
              </w:rPr>
            </w:pPr>
            <w:r>
              <w:rPr>
                <w:rFonts w:ascii="Arial" w:cs="Arial" w:eastAsia="Arial" w:hAnsi="Arial"/>
                <w:sz w:val="14"/>
                <w:szCs w:val="14"/>
                <w:color w:val="auto"/>
              </w:rPr>
              <w:t>Collectively evaluated for impairment</w:t>
            </w:r>
          </w:p>
        </w:tc>
        <w:tc>
          <w:tcPr>
            <w:tcW w:w="156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9,347.4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1,340.5</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w w:val="99"/>
              </w:rPr>
              <w:t>10,687.9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7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Loan ending balance</w:t>
            </w:r>
          </w:p>
        </w:tc>
        <w:tc>
          <w:tcPr>
            <w:tcW w:w="1800" w:type="dxa"/>
            <w:vAlign w:val="bottom"/>
            <w:gridSpan w:val="2"/>
            <w:shd w:val="clear" w:color="auto" w:fill="CCEEFF"/>
          </w:tcPr>
          <w:p>
            <w:pPr>
              <w:jc w:val="right"/>
              <w:ind w:right="92"/>
              <w:spacing w:after="0" w:line="142"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9,461.4</w:t>
            </w:r>
          </w:p>
        </w:tc>
        <w:tc>
          <w:tcPr>
            <w:tcW w:w="80" w:type="dxa"/>
            <w:vAlign w:val="bottom"/>
            <w:shd w:val="clear" w:color="auto" w:fill="CCEEFF"/>
          </w:tcPr>
          <w:p>
            <w:pPr>
              <w:spacing w:after="0"/>
              <w:rPr>
                <w:sz w:val="12"/>
                <w:szCs w:val="12"/>
                <w:color w:val="auto"/>
              </w:rPr>
            </w:pPr>
          </w:p>
        </w:tc>
        <w:tc>
          <w:tcPr>
            <w:tcW w:w="300" w:type="dxa"/>
            <w:vAlign w:val="bottom"/>
            <w:gridSpan w:val="2"/>
            <w:shd w:val="clear" w:color="auto" w:fill="CCEEFF"/>
          </w:tcPr>
          <w:p>
            <w:pPr>
              <w:jc w:val="right"/>
              <w:ind w:right="72"/>
              <w:spacing w:after="0" w:line="142" w:lineRule="exact"/>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1,367.9</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9"/>
              </w:rPr>
              <w:t>10,829.3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7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Impaired Mortgage Loans</w:t>
      </w:r>
    </w:p>
    <w:p>
      <w:pPr>
        <w:spacing w:after="0" w:line="231" w:lineRule="exact"/>
        <w:rPr>
          <w:sz w:val="20"/>
          <w:szCs w:val="20"/>
          <w:color w:val="auto"/>
        </w:rPr>
      </w:pPr>
    </w:p>
    <w:p>
      <w:pPr>
        <w:jc w:val="both"/>
        <w:ind w:firstLine="433"/>
        <w:spacing w:after="0" w:line="259" w:lineRule="auto"/>
        <w:rPr>
          <w:sz w:val="20"/>
          <w:szCs w:val="20"/>
          <w:color w:val="auto"/>
        </w:rPr>
      </w:pPr>
      <w:r>
        <w:rPr>
          <w:rFonts w:ascii="Arial" w:cs="Arial" w:eastAsia="Arial" w:hAnsi="Arial"/>
          <w:sz w:val="18"/>
          <w:szCs w:val="18"/>
          <w:color w:val="auto"/>
        </w:rPr>
        <w:t>Impaired mortgage loans are loans with a related specific valuation allowance, loans whose carrying amount has been reduced to the expected collectible amount because the impairment has been considered other than temporary or a loan modification has been classified as a TDR. Based on an assessment as to the collectability of the principal, a</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4" w:name="page125"/>
    <w:bookmarkEnd w:id="12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Investments — (continued)</w:t>
      </w:r>
    </w:p>
    <w:p>
      <w:pPr>
        <w:spacing w:after="0" w:line="23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determination is made to apply any payments received either against the principal or according to the contractual terms of the loan. Our recorded investment in and unpaid principal balance of impaired loans along with the related loan specific allowance for losses, if any, and the average recorded investment and interest income recognized during the time the loans were impaired were as follows:</w:t>
      </w:r>
    </w:p>
    <w:p>
      <w:pPr>
        <w:spacing w:after="0" w:line="190"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22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780" w:type="dxa"/>
            <w:vAlign w:val="bottom"/>
            <w:tcBorders>
              <w:bottom w:val="single" w:sz="8" w:color="auto"/>
            </w:tcBorders>
            <w:gridSpan w:val="6"/>
          </w:tcPr>
          <w:p>
            <w:pPr>
              <w:jc w:val="center"/>
              <w:ind w:left="432"/>
              <w:spacing w:after="0"/>
              <w:rPr>
                <w:sz w:val="20"/>
                <w:szCs w:val="20"/>
                <w:color w:val="auto"/>
              </w:rPr>
            </w:pPr>
            <w:r>
              <w:rPr>
                <w:rFonts w:ascii="Arial" w:cs="Arial" w:eastAsia="Arial" w:hAnsi="Arial"/>
                <w:sz w:val="14"/>
                <w:szCs w:val="14"/>
                <w:b w:val="1"/>
                <w:bCs w:val="1"/>
                <w:color w:val="auto"/>
                <w:w w:val="85"/>
              </w:rPr>
              <w:t>December 31, 2013</w:t>
            </w:r>
          </w:p>
        </w:tc>
        <w:tc>
          <w:tcPr>
            <w:tcW w:w="6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4220" w:type="dxa"/>
            <w:vAlign w:val="bottom"/>
          </w:tcPr>
          <w:p>
            <w:pPr>
              <w:spacing w:after="0"/>
              <w:rPr>
                <w:sz w:val="11"/>
                <w:szCs w:val="11"/>
                <w:color w:val="auto"/>
              </w:rPr>
            </w:pPr>
          </w:p>
        </w:tc>
        <w:tc>
          <w:tcPr>
            <w:tcW w:w="2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jc w:val="center"/>
              <w:ind w:right="52"/>
              <w:spacing w:after="0" w:line="129" w:lineRule="exact"/>
              <w:rPr>
                <w:sz w:val="20"/>
                <w:szCs w:val="20"/>
                <w:color w:val="auto"/>
              </w:rPr>
            </w:pPr>
            <w:r>
              <w:rPr>
                <w:rFonts w:ascii="Arial" w:cs="Arial" w:eastAsia="Arial" w:hAnsi="Arial"/>
                <w:sz w:val="14"/>
                <w:szCs w:val="14"/>
                <w:b w:val="1"/>
                <w:bCs w:val="1"/>
                <w:color w:val="auto"/>
                <w:w w:val="88"/>
              </w:rPr>
              <w:t>Unpaid</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422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3"/>
              </w:rPr>
              <w:t>Recorded</w:t>
            </w:r>
          </w:p>
        </w:tc>
        <w:tc>
          <w:tcPr>
            <w:tcW w:w="160" w:type="dxa"/>
            <w:vAlign w:val="bottom"/>
          </w:tcPr>
          <w:p>
            <w:pPr>
              <w:spacing w:after="0"/>
              <w:rPr>
                <w:sz w:val="12"/>
                <w:szCs w:val="12"/>
                <w:color w:val="auto"/>
              </w:rPr>
            </w:pPr>
          </w:p>
        </w:tc>
        <w:tc>
          <w:tcPr>
            <w:tcW w:w="6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principal</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6"/>
              </w:rPr>
              <w:t>Related</w:t>
            </w:r>
          </w:p>
        </w:tc>
      </w:tr>
      <w:tr>
        <w:trPr>
          <w:trHeight w:val="161"/>
        </w:trPr>
        <w:tc>
          <w:tcPr>
            <w:tcW w:w="20" w:type="dxa"/>
            <w:vAlign w:val="bottom"/>
          </w:tcPr>
          <w:p>
            <w:pPr>
              <w:spacing w:after="0"/>
              <w:rPr>
                <w:sz w:val="14"/>
                <w:szCs w:val="14"/>
                <w:color w:val="auto"/>
              </w:rPr>
            </w:pPr>
          </w:p>
        </w:tc>
        <w:tc>
          <w:tcPr>
            <w:tcW w:w="422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7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3"/>
              </w:rPr>
              <w:t>investment</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4"/>
              </w:rPr>
              <w:t>balance</w:t>
            </w:r>
          </w:p>
        </w:tc>
        <w:tc>
          <w:tcPr>
            <w:tcW w:w="160" w:type="dxa"/>
            <w:vAlign w:val="bottom"/>
          </w:tcPr>
          <w:p>
            <w:pPr>
              <w:spacing w:after="0"/>
              <w:rPr>
                <w:sz w:val="14"/>
                <w:szCs w:val="14"/>
                <w:color w:val="auto"/>
              </w:rPr>
            </w:pPr>
          </w:p>
        </w:tc>
        <w:tc>
          <w:tcPr>
            <w:tcW w:w="7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6"/>
              </w:rPr>
              <w:t>allowance</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422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40" w:type="dxa"/>
            <w:vAlign w:val="bottom"/>
            <w:gridSpan w:val="3"/>
          </w:tcPr>
          <w:p>
            <w:pPr>
              <w:jc w:val="center"/>
              <w:ind w:left="12"/>
              <w:spacing w:after="0" w:line="142" w:lineRule="exact"/>
              <w:rPr>
                <w:sz w:val="20"/>
                <w:szCs w:val="20"/>
                <w:color w:val="auto"/>
              </w:rPr>
            </w:pPr>
            <w:r>
              <w:rPr>
                <w:rFonts w:ascii="Arial" w:cs="Arial" w:eastAsia="Arial" w:hAnsi="Arial"/>
                <w:sz w:val="14"/>
                <w:szCs w:val="14"/>
                <w:b w:val="1"/>
                <w:bCs w:val="1"/>
                <w:i w:val="1"/>
                <w:iCs w:val="1"/>
                <w:color w:val="auto"/>
                <w:w w:val="86"/>
              </w:rPr>
              <w:t>(in millions)</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2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With no related allowance recorded:</w:t>
            </w:r>
          </w:p>
        </w:tc>
        <w:tc>
          <w:tcPr>
            <w:tcW w:w="22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220" w:type="dxa"/>
            <w:vAlign w:val="bottom"/>
          </w:tcPr>
          <w:p>
            <w:pPr>
              <w:ind w:left="140"/>
              <w:spacing w:after="0" w:line="149" w:lineRule="exact"/>
              <w:rPr>
                <w:sz w:val="20"/>
                <w:szCs w:val="20"/>
                <w:color w:val="auto"/>
              </w:rPr>
            </w:pPr>
            <w:r>
              <w:rPr>
                <w:rFonts w:ascii="Arial" w:cs="Arial" w:eastAsia="Arial" w:hAnsi="Arial"/>
                <w:sz w:val="14"/>
                <w:szCs w:val="14"/>
                <w:color w:val="auto"/>
              </w:rPr>
              <w:t>Commercial-brick and mortar</w:t>
            </w:r>
          </w:p>
        </w:tc>
        <w:tc>
          <w:tcPr>
            <w:tcW w:w="23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21.5</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32.7</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760" w:type="dxa"/>
            <w:vAlign w:val="bottom"/>
            <w:gridSpan w:val="2"/>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r>
      <w:tr>
        <w:trPr>
          <w:trHeight w:val="149"/>
        </w:trPr>
        <w:tc>
          <w:tcPr>
            <w:tcW w:w="20" w:type="dxa"/>
            <w:vAlign w:val="bottom"/>
          </w:tcPr>
          <w:p>
            <w:pPr>
              <w:spacing w:after="0"/>
              <w:rPr>
                <w:sz w:val="12"/>
                <w:szCs w:val="12"/>
                <w:color w:val="auto"/>
              </w:rPr>
            </w:pPr>
          </w:p>
        </w:tc>
        <w:tc>
          <w:tcPr>
            <w:tcW w:w="4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Residential-first liens</w:t>
            </w:r>
          </w:p>
        </w:tc>
        <w:tc>
          <w:tcPr>
            <w:tcW w:w="22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4.6</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4.6</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r>
      <w:tr>
        <w:trPr>
          <w:trHeight w:val="149"/>
        </w:trPr>
        <w:tc>
          <w:tcPr>
            <w:tcW w:w="20" w:type="dxa"/>
            <w:vAlign w:val="bottom"/>
          </w:tcPr>
          <w:p>
            <w:pPr>
              <w:spacing w:after="0"/>
              <w:rPr>
                <w:sz w:val="12"/>
                <w:szCs w:val="12"/>
                <w:color w:val="auto"/>
              </w:rPr>
            </w:pPr>
          </w:p>
        </w:tc>
        <w:tc>
          <w:tcPr>
            <w:tcW w:w="4220" w:type="dxa"/>
            <w:vAlign w:val="bottom"/>
          </w:tcPr>
          <w:p>
            <w:pPr>
              <w:spacing w:after="0" w:line="149" w:lineRule="exact"/>
              <w:rPr>
                <w:sz w:val="20"/>
                <w:szCs w:val="20"/>
                <w:color w:val="auto"/>
              </w:rPr>
            </w:pPr>
            <w:r>
              <w:rPr>
                <w:rFonts w:ascii="Arial" w:cs="Arial" w:eastAsia="Arial" w:hAnsi="Arial"/>
                <w:sz w:val="14"/>
                <w:szCs w:val="14"/>
                <w:color w:val="auto"/>
              </w:rPr>
              <w:t>With an allowance recorded:</w:t>
            </w:r>
          </w:p>
        </w:tc>
        <w:tc>
          <w:tcPr>
            <w:tcW w:w="2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Commercial-brick and mortar</w:t>
            </w:r>
          </w:p>
        </w:tc>
        <w:tc>
          <w:tcPr>
            <w:tcW w:w="22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4.4</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4.4</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220" w:type="dxa"/>
            <w:vAlign w:val="bottom"/>
          </w:tcPr>
          <w:p>
            <w:pPr>
              <w:ind w:left="140"/>
              <w:spacing w:after="0" w:line="149" w:lineRule="exact"/>
              <w:rPr>
                <w:sz w:val="20"/>
                <w:szCs w:val="20"/>
                <w:color w:val="auto"/>
              </w:rPr>
            </w:pPr>
            <w:r>
              <w:rPr>
                <w:rFonts w:ascii="Arial" w:cs="Arial" w:eastAsia="Arial" w:hAnsi="Arial"/>
                <w:sz w:val="14"/>
                <w:szCs w:val="14"/>
                <w:color w:val="auto"/>
              </w:rPr>
              <w:t>Residential-home equity</w:t>
            </w:r>
          </w:p>
        </w:tc>
        <w:tc>
          <w:tcPr>
            <w:tcW w:w="2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19.5</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19.7</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Residential-first liens</w:t>
            </w:r>
          </w:p>
        </w:tc>
        <w:tc>
          <w:tcPr>
            <w:tcW w:w="22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8.9</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7.8</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220" w:type="dxa"/>
            <w:vAlign w:val="bottom"/>
          </w:tcPr>
          <w:p>
            <w:pPr>
              <w:spacing w:after="0" w:line="149" w:lineRule="exact"/>
              <w:rPr>
                <w:sz w:val="20"/>
                <w:szCs w:val="20"/>
                <w:color w:val="auto"/>
              </w:rPr>
            </w:pPr>
            <w:r>
              <w:rPr>
                <w:rFonts w:ascii="Arial" w:cs="Arial" w:eastAsia="Arial" w:hAnsi="Arial"/>
                <w:sz w:val="14"/>
                <w:szCs w:val="14"/>
                <w:color w:val="auto"/>
              </w:rPr>
              <w:t>Total:</w:t>
            </w:r>
          </w:p>
        </w:tc>
        <w:tc>
          <w:tcPr>
            <w:tcW w:w="2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Commercial</w:t>
            </w:r>
          </w:p>
        </w:tc>
        <w:tc>
          <w:tcPr>
            <w:tcW w:w="23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25.9</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37.1</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2.4</w:t>
            </w:r>
          </w:p>
        </w:tc>
        <w:tc>
          <w:tcPr>
            <w:tcW w:w="160" w:type="dxa"/>
            <w:vAlign w:val="bottom"/>
            <w:shd w:val="clear" w:color="auto" w:fill="CCEEFF"/>
          </w:tcPr>
          <w:p>
            <w:pPr>
              <w:spacing w:after="0"/>
              <w:rPr>
                <w:sz w:val="12"/>
                <w:szCs w:val="12"/>
                <w:color w:val="auto"/>
              </w:rPr>
            </w:pPr>
          </w:p>
        </w:tc>
      </w:tr>
      <w:tr>
        <w:trPr>
          <w:trHeight w:val="174"/>
        </w:trPr>
        <w:tc>
          <w:tcPr>
            <w:tcW w:w="20" w:type="dxa"/>
            <w:vAlign w:val="bottom"/>
          </w:tcPr>
          <w:p>
            <w:pPr>
              <w:spacing w:after="0"/>
              <w:rPr>
                <w:sz w:val="15"/>
                <w:szCs w:val="15"/>
                <w:color w:val="auto"/>
              </w:rPr>
            </w:pPr>
          </w:p>
        </w:tc>
        <w:tc>
          <w:tcPr>
            <w:tcW w:w="4220" w:type="dxa"/>
            <w:vAlign w:val="bottom"/>
          </w:tcPr>
          <w:p>
            <w:pPr>
              <w:ind w:left="140"/>
              <w:spacing w:after="0"/>
              <w:rPr>
                <w:sz w:val="20"/>
                <w:szCs w:val="20"/>
                <w:color w:val="auto"/>
              </w:rPr>
            </w:pPr>
            <w:r>
              <w:rPr>
                <w:rFonts w:ascii="Arial" w:cs="Arial" w:eastAsia="Arial" w:hAnsi="Arial"/>
                <w:sz w:val="14"/>
                <w:szCs w:val="14"/>
                <w:color w:val="auto"/>
              </w:rPr>
              <w:t>Residential</w:t>
            </w:r>
          </w:p>
        </w:tc>
        <w:tc>
          <w:tcPr>
            <w:tcW w:w="2360" w:type="dxa"/>
            <w:vAlign w:val="bottom"/>
            <w:gridSpan w:val="2"/>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Pr>
          <w:p>
            <w:pPr>
              <w:jc w:val="right"/>
              <w:spacing w:after="0"/>
              <w:rPr>
                <w:sz w:val="20"/>
                <w:szCs w:val="20"/>
                <w:color w:val="auto"/>
              </w:rPr>
            </w:pPr>
            <w:r>
              <w:rPr>
                <w:rFonts w:ascii="Arial" w:cs="Arial" w:eastAsia="Arial" w:hAnsi="Arial"/>
                <w:sz w:val="14"/>
                <w:szCs w:val="14"/>
                <w:b w:val="1"/>
                <w:bCs w:val="1"/>
                <w:color w:val="auto"/>
              </w:rPr>
              <w:t>33.0</w:t>
            </w:r>
          </w:p>
        </w:tc>
        <w:tc>
          <w:tcPr>
            <w:tcW w:w="260" w:type="dxa"/>
            <w:vAlign w:val="bottom"/>
            <w:gridSpan w:val="2"/>
          </w:tcPr>
          <w:p>
            <w:pPr>
              <w:jc w:val="right"/>
              <w:spacing w:after="0"/>
              <w:rPr>
                <w:sz w:val="20"/>
                <w:szCs w:val="20"/>
                <w:color w:val="auto"/>
              </w:rPr>
            </w:pPr>
            <w:r>
              <w:rPr>
                <w:rFonts w:ascii="Arial" w:cs="Arial" w:eastAsia="Arial" w:hAnsi="Arial"/>
                <w:sz w:val="14"/>
                <w:szCs w:val="14"/>
                <w:b w:val="1"/>
                <w:bCs w:val="1"/>
                <w:color w:val="auto"/>
              </w:rPr>
              <w:t>$</w:t>
            </w:r>
          </w:p>
        </w:tc>
        <w:tc>
          <w:tcPr>
            <w:tcW w:w="580" w:type="dxa"/>
            <w:vAlign w:val="bottom"/>
          </w:tcPr>
          <w:p>
            <w:pPr>
              <w:jc w:val="right"/>
              <w:spacing w:after="0"/>
              <w:rPr>
                <w:sz w:val="20"/>
                <w:szCs w:val="20"/>
                <w:color w:val="auto"/>
              </w:rPr>
            </w:pPr>
            <w:r>
              <w:rPr>
                <w:rFonts w:ascii="Arial" w:cs="Arial" w:eastAsia="Arial" w:hAnsi="Arial"/>
                <w:sz w:val="14"/>
                <w:szCs w:val="14"/>
                <w:b w:val="1"/>
                <w:bCs w:val="1"/>
                <w:color w:val="auto"/>
              </w:rPr>
              <w:t>32.1</w:t>
            </w:r>
          </w:p>
        </w:tc>
        <w:tc>
          <w:tcPr>
            <w:tcW w:w="260" w:type="dxa"/>
            <w:vAlign w:val="bottom"/>
            <w:gridSpan w:val="2"/>
          </w:tcPr>
          <w:p>
            <w:pPr>
              <w:jc w:val="right"/>
              <w:spacing w:after="0"/>
              <w:rPr>
                <w:sz w:val="20"/>
                <w:szCs w:val="20"/>
                <w:color w:val="auto"/>
              </w:rPr>
            </w:pPr>
            <w:r>
              <w:rPr>
                <w:rFonts w:ascii="Arial" w:cs="Arial" w:eastAsia="Arial" w:hAnsi="Arial"/>
                <w:sz w:val="14"/>
                <w:szCs w:val="14"/>
                <w:b w:val="1"/>
                <w:bCs w:val="1"/>
                <w:color w:val="auto"/>
              </w:rPr>
              <w:t>$</w:t>
            </w:r>
          </w:p>
        </w:tc>
        <w:tc>
          <w:tcPr>
            <w:tcW w:w="600" w:type="dxa"/>
            <w:vAlign w:val="bottom"/>
          </w:tcPr>
          <w:p>
            <w:pPr>
              <w:jc w:val="right"/>
              <w:spacing w:after="0"/>
              <w:rPr>
                <w:sz w:val="20"/>
                <w:szCs w:val="20"/>
                <w:color w:val="auto"/>
              </w:rPr>
            </w:pPr>
            <w:r>
              <w:rPr>
                <w:rFonts w:ascii="Arial" w:cs="Arial" w:eastAsia="Arial" w:hAnsi="Arial"/>
                <w:sz w:val="14"/>
                <w:szCs w:val="14"/>
                <w:b w:val="1"/>
                <w:bCs w:val="1"/>
                <w:color w:val="auto"/>
              </w:rPr>
              <w:t>10.2</w:t>
            </w:r>
          </w:p>
        </w:tc>
        <w:tc>
          <w:tcPr>
            <w:tcW w:w="160" w:type="dxa"/>
            <w:vAlign w:val="bottom"/>
          </w:tcPr>
          <w:p>
            <w:pPr>
              <w:spacing w:after="0"/>
              <w:rPr>
                <w:sz w:val="15"/>
                <w:szCs w:val="15"/>
                <w:color w:val="auto"/>
              </w:rPr>
            </w:pPr>
          </w:p>
        </w:tc>
      </w:tr>
      <w:tr>
        <w:trPr>
          <w:trHeight w:val="771"/>
        </w:trPr>
        <w:tc>
          <w:tcPr>
            <w:tcW w:w="20" w:type="dxa"/>
            <w:vAlign w:val="bottom"/>
          </w:tcPr>
          <w:p>
            <w:pPr>
              <w:spacing w:after="0"/>
              <w:rPr>
                <w:sz w:val="24"/>
                <w:szCs w:val="24"/>
                <w:color w:val="auto"/>
              </w:rPr>
            </w:pPr>
          </w:p>
        </w:tc>
        <w:tc>
          <w:tcPr>
            <w:tcW w:w="422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gridSpan w:val="6"/>
          </w:tcPr>
          <w:p>
            <w:pPr>
              <w:jc w:val="center"/>
              <w:ind w:left="432"/>
              <w:spacing w:after="0"/>
              <w:rPr>
                <w:sz w:val="20"/>
                <w:szCs w:val="20"/>
                <w:color w:val="auto"/>
              </w:rPr>
            </w:pPr>
            <w:r>
              <w:rPr>
                <w:rFonts w:ascii="Arial" w:cs="Arial" w:eastAsia="Arial" w:hAnsi="Arial"/>
                <w:sz w:val="14"/>
                <w:szCs w:val="14"/>
                <w:b w:val="1"/>
                <w:bCs w:val="1"/>
                <w:color w:val="auto"/>
                <w:w w:val="85"/>
              </w:rPr>
              <w:t>December 31, 2012</w:t>
            </w:r>
          </w:p>
        </w:tc>
        <w:tc>
          <w:tcPr>
            <w:tcW w:w="60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129"/>
        </w:trPr>
        <w:tc>
          <w:tcPr>
            <w:tcW w:w="20" w:type="dxa"/>
            <w:vAlign w:val="bottom"/>
          </w:tcPr>
          <w:p>
            <w:pPr>
              <w:spacing w:after="0"/>
              <w:rPr>
                <w:sz w:val="11"/>
                <w:szCs w:val="11"/>
                <w:color w:val="auto"/>
              </w:rPr>
            </w:pPr>
          </w:p>
        </w:tc>
        <w:tc>
          <w:tcPr>
            <w:tcW w:w="4220" w:type="dxa"/>
            <w:vAlign w:val="bottom"/>
          </w:tcPr>
          <w:p>
            <w:pPr>
              <w:spacing w:after="0"/>
              <w:rPr>
                <w:sz w:val="11"/>
                <w:szCs w:val="11"/>
                <w:color w:val="auto"/>
              </w:rPr>
            </w:pPr>
          </w:p>
        </w:tc>
        <w:tc>
          <w:tcPr>
            <w:tcW w:w="2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jc w:val="center"/>
              <w:ind w:right="52"/>
              <w:spacing w:after="0" w:line="129" w:lineRule="exact"/>
              <w:rPr>
                <w:sz w:val="20"/>
                <w:szCs w:val="20"/>
                <w:color w:val="auto"/>
              </w:rPr>
            </w:pPr>
            <w:r>
              <w:rPr>
                <w:rFonts w:ascii="Arial" w:cs="Arial" w:eastAsia="Arial" w:hAnsi="Arial"/>
                <w:sz w:val="14"/>
                <w:szCs w:val="14"/>
                <w:b w:val="1"/>
                <w:bCs w:val="1"/>
                <w:color w:val="auto"/>
                <w:w w:val="88"/>
              </w:rPr>
              <w:t>Unpaid</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422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3"/>
              </w:rPr>
              <w:t>Recorded</w:t>
            </w:r>
          </w:p>
        </w:tc>
        <w:tc>
          <w:tcPr>
            <w:tcW w:w="160" w:type="dxa"/>
            <w:vAlign w:val="bottom"/>
          </w:tcPr>
          <w:p>
            <w:pPr>
              <w:spacing w:after="0"/>
              <w:rPr>
                <w:sz w:val="12"/>
                <w:szCs w:val="12"/>
                <w:color w:val="auto"/>
              </w:rPr>
            </w:pPr>
          </w:p>
        </w:tc>
        <w:tc>
          <w:tcPr>
            <w:tcW w:w="6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principal</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6"/>
              </w:rPr>
              <w:t>Related</w:t>
            </w:r>
          </w:p>
        </w:tc>
      </w:tr>
      <w:tr>
        <w:trPr>
          <w:trHeight w:val="161"/>
        </w:trPr>
        <w:tc>
          <w:tcPr>
            <w:tcW w:w="20" w:type="dxa"/>
            <w:vAlign w:val="bottom"/>
          </w:tcPr>
          <w:p>
            <w:pPr>
              <w:spacing w:after="0"/>
              <w:rPr>
                <w:sz w:val="14"/>
                <w:szCs w:val="14"/>
                <w:color w:val="auto"/>
              </w:rPr>
            </w:pPr>
          </w:p>
        </w:tc>
        <w:tc>
          <w:tcPr>
            <w:tcW w:w="422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7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3"/>
              </w:rPr>
              <w:t>investment</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4"/>
              </w:rPr>
              <w:t>balance</w:t>
            </w:r>
          </w:p>
        </w:tc>
        <w:tc>
          <w:tcPr>
            <w:tcW w:w="160" w:type="dxa"/>
            <w:vAlign w:val="bottom"/>
          </w:tcPr>
          <w:p>
            <w:pPr>
              <w:spacing w:after="0"/>
              <w:rPr>
                <w:sz w:val="14"/>
                <w:szCs w:val="14"/>
                <w:color w:val="auto"/>
              </w:rPr>
            </w:pPr>
          </w:p>
        </w:tc>
        <w:tc>
          <w:tcPr>
            <w:tcW w:w="7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6"/>
              </w:rPr>
              <w:t>allowance</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422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40" w:type="dxa"/>
            <w:vAlign w:val="bottom"/>
            <w:gridSpan w:val="3"/>
          </w:tcPr>
          <w:p>
            <w:pPr>
              <w:jc w:val="center"/>
              <w:ind w:left="12"/>
              <w:spacing w:after="0" w:line="142" w:lineRule="exact"/>
              <w:rPr>
                <w:sz w:val="20"/>
                <w:szCs w:val="20"/>
                <w:color w:val="auto"/>
              </w:rPr>
            </w:pPr>
            <w:r>
              <w:rPr>
                <w:rFonts w:ascii="Arial" w:cs="Arial" w:eastAsia="Arial" w:hAnsi="Arial"/>
                <w:sz w:val="14"/>
                <w:szCs w:val="14"/>
                <w:b w:val="1"/>
                <w:bCs w:val="1"/>
                <w:i w:val="1"/>
                <w:iCs w:val="1"/>
                <w:color w:val="auto"/>
                <w:w w:val="86"/>
              </w:rPr>
              <w:t>(in millions)</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2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With no related allowance recorded:</w:t>
            </w:r>
          </w:p>
        </w:tc>
        <w:tc>
          <w:tcPr>
            <w:tcW w:w="22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220" w:type="dxa"/>
            <w:vAlign w:val="bottom"/>
          </w:tcPr>
          <w:p>
            <w:pPr>
              <w:ind w:left="140"/>
              <w:spacing w:after="0" w:line="149" w:lineRule="exact"/>
              <w:rPr>
                <w:sz w:val="20"/>
                <w:szCs w:val="20"/>
                <w:color w:val="auto"/>
              </w:rPr>
            </w:pPr>
            <w:r>
              <w:rPr>
                <w:rFonts w:ascii="Arial" w:cs="Arial" w:eastAsia="Arial" w:hAnsi="Arial"/>
                <w:sz w:val="14"/>
                <w:szCs w:val="14"/>
                <w:color w:val="auto"/>
              </w:rPr>
              <w:t>Commercial-brick and mortar</w:t>
            </w:r>
          </w:p>
        </w:tc>
        <w:tc>
          <w:tcPr>
            <w:tcW w:w="23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22.9</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25.3</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r>
      <w:tr>
        <w:trPr>
          <w:trHeight w:val="149"/>
        </w:trPr>
        <w:tc>
          <w:tcPr>
            <w:tcW w:w="20" w:type="dxa"/>
            <w:vAlign w:val="bottom"/>
          </w:tcPr>
          <w:p>
            <w:pPr>
              <w:spacing w:after="0"/>
              <w:rPr>
                <w:sz w:val="12"/>
                <w:szCs w:val="12"/>
                <w:color w:val="auto"/>
              </w:rPr>
            </w:pPr>
          </w:p>
        </w:tc>
        <w:tc>
          <w:tcPr>
            <w:tcW w:w="4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Residential-first liens</w:t>
            </w:r>
          </w:p>
        </w:tc>
        <w:tc>
          <w:tcPr>
            <w:tcW w:w="22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9.7</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6.6</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r>
      <w:tr>
        <w:trPr>
          <w:trHeight w:val="149"/>
        </w:trPr>
        <w:tc>
          <w:tcPr>
            <w:tcW w:w="20" w:type="dxa"/>
            <w:vAlign w:val="bottom"/>
          </w:tcPr>
          <w:p>
            <w:pPr>
              <w:spacing w:after="0"/>
              <w:rPr>
                <w:sz w:val="12"/>
                <w:szCs w:val="12"/>
                <w:color w:val="auto"/>
              </w:rPr>
            </w:pPr>
          </w:p>
        </w:tc>
        <w:tc>
          <w:tcPr>
            <w:tcW w:w="4220" w:type="dxa"/>
            <w:vAlign w:val="bottom"/>
          </w:tcPr>
          <w:p>
            <w:pPr>
              <w:spacing w:after="0" w:line="149" w:lineRule="exact"/>
              <w:rPr>
                <w:sz w:val="20"/>
                <w:szCs w:val="20"/>
                <w:color w:val="auto"/>
              </w:rPr>
            </w:pPr>
            <w:r>
              <w:rPr>
                <w:rFonts w:ascii="Arial" w:cs="Arial" w:eastAsia="Arial" w:hAnsi="Arial"/>
                <w:sz w:val="14"/>
                <w:szCs w:val="14"/>
                <w:color w:val="auto"/>
              </w:rPr>
              <w:t>With an allowance recorded:</w:t>
            </w:r>
          </w:p>
        </w:tc>
        <w:tc>
          <w:tcPr>
            <w:tcW w:w="2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Commercial-brick and mortar</w:t>
            </w:r>
          </w:p>
        </w:tc>
        <w:tc>
          <w:tcPr>
            <w:tcW w:w="22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4.4</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4.4</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220" w:type="dxa"/>
            <w:vAlign w:val="bottom"/>
          </w:tcPr>
          <w:p>
            <w:pPr>
              <w:ind w:left="140"/>
              <w:spacing w:after="0" w:line="149" w:lineRule="exact"/>
              <w:rPr>
                <w:sz w:val="20"/>
                <w:szCs w:val="20"/>
                <w:color w:val="auto"/>
              </w:rPr>
            </w:pPr>
            <w:r>
              <w:rPr>
                <w:rFonts w:ascii="Arial" w:cs="Arial" w:eastAsia="Arial" w:hAnsi="Arial"/>
                <w:sz w:val="14"/>
                <w:szCs w:val="14"/>
                <w:color w:val="auto"/>
              </w:rPr>
              <w:t>Residential-home equity</w:t>
            </w:r>
          </w:p>
        </w:tc>
        <w:tc>
          <w:tcPr>
            <w:tcW w:w="2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20.8</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20.7</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9.1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Residential-first liens</w:t>
            </w:r>
          </w:p>
        </w:tc>
        <w:tc>
          <w:tcPr>
            <w:tcW w:w="22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9.2</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9.1</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220" w:type="dxa"/>
            <w:vAlign w:val="bottom"/>
          </w:tcPr>
          <w:p>
            <w:pPr>
              <w:spacing w:after="0" w:line="149" w:lineRule="exact"/>
              <w:rPr>
                <w:sz w:val="20"/>
                <w:szCs w:val="20"/>
                <w:color w:val="auto"/>
              </w:rPr>
            </w:pPr>
            <w:r>
              <w:rPr>
                <w:rFonts w:ascii="Arial" w:cs="Arial" w:eastAsia="Arial" w:hAnsi="Arial"/>
                <w:sz w:val="14"/>
                <w:szCs w:val="14"/>
                <w:color w:val="auto"/>
              </w:rPr>
              <w:t>Total:</w:t>
            </w:r>
          </w:p>
        </w:tc>
        <w:tc>
          <w:tcPr>
            <w:tcW w:w="2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Commercial</w:t>
            </w:r>
          </w:p>
        </w:tc>
        <w:tc>
          <w:tcPr>
            <w:tcW w:w="23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27.3</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29.7</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w:t>
            </w:r>
          </w:p>
        </w:tc>
        <w:tc>
          <w:tcPr>
            <w:tcW w:w="160" w:type="dxa"/>
            <w:vAlign w:val="bottom"/>
            <w:shd w:val="clear" w:color="auto" w:fill="CCEEFF"/>
          </w:tcPr>
          <w:p>
            <w:pPr>
              <w:spacing w:after="0"/>
              <w:rPr>
                <w:sz w:val="12"/>
                <w:szCs w:val="12"/>
                <w:color w:val="auto"/>
              </w:rPr>
            </w:pPr>
          </w:p>
        </w:tc>
      </w:tr>
      <w:tr>
        <w:trPr>
          <w:trHeight w:val="172"/>
        </w:trPr>
        <w:tc>
          <w:tcPr>
            <w:tcW w:w="20" w:type="dxa"/>
            <w:vAlign w:val="bottom"/>
          </w:tcPr>
          <w:p>
            <w:pPr>
              <w:spacing w:after="0"/>
              <w:rPr>
                <w:sz w:val="14"/>
                <w:szCs w:val="14"/>
                <w:color w:val="auto"/>
              </w:rPr>
            </w:pPr>
          </w:p>
        </w:tc>
        <w:tc>
          <w:tcPr>
            <w:tcW w:w="4220" w:type="dxa"/>
            <w:vAlign w:val="bottom"/>
          </w:tcPr>
          <w:p>
            <w:pPr>
              <w:ind w:left="140"/>
              <w:spacing w:after="0"/>
              <w:rPr>
                <w:sz w:val="20"/>
                <w:szCs w:val="20"/>
                <w:color w:val="auto"/>
              </w:rPr>
            </w:pPr>
            <w:r>
              <w:rPr>
                <w:rFonts w:ascii="Arial" w:cs="Arial" w:eastAsia="Arial" w:hAnsi="Arial"/>
                <w:sz w:val="14"/>
                <w:szCs w:val="14"/>
                <w:color w:val="auto"/>
              </w:rPr>
              <w:t>Residential</w:t>
            </w:r>
          </w:p>
        </w:tc>
        <w:tc>
          <w:tcPr>
            <w:tcW w:w="23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39.7</w:t>
            </w:r>
          </w:p>
        </w:tc>
        <w:tc>
          <w:tcPr>
            <w:tcW w:w="2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36.4</w:t>
            </w:r>
          </w:p>
        </w:tc>
        <w:tc>
          <w:tcPr>
            <w:tcW w:w="2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10.4</w:t>
            </w:r>
          </w:p>
        </w:tc>
        <w:tc>
          <w:tcPr>
            <w:tcW w:w="160" w:type="dxa"/>
            <w:vAlign w:val="bottom"/>
          </w:tcPr>
          <w:p>
            <w:pPr>
              <w:spacing w:after="0"/>
              <w:rPr>
                <w:sz w:val="14"/>
                <w:szCs w:val="14"/>
                <w:color w:val="auto"/>
              </w:rPr>
            </w:pPr>
          </w:p>
        </w:tc>
      </w:tr>
    </w:tbl>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5" w:name="page126"/>
    <w:bookmarkEnd w:id="12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Investments — (continued)</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58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jc w:val="center"/>
              <w:ind w:right="52"/>
              <w:spacing w:after="0"/>
              <w:rPr>
                <w:sz w:val="20"/>
                <w:szCs w:val="20"/>
                <w:color w:val="auto"/>
              </w:rPr>
            </w:pPr>
            <w:r>
              <w:rPr>
                <w:rFonts w:ascii="Arial" w:cs="Arial" w:eastAsia="Arial" w:hAnsi="Arial"/>
                <w:sz w:val="14"/>
                <w:szCs w:val="14"/>
                <w:b w:val="1"/>
                <w:bCs w:val="1"/>
                <w:color w:val="auto"/>
                <w:w w:val="86"/>
              </w:rPr>
              <w:t>Average</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49"/>
        </w:trPr>
        <w:tc>
          <w:tcPr>
            <w:tcW w:w="20" w:type="dxa"/>
            <w:vAlign w:val="bottom"/>
          </w:tcPr>
          <w:p>
            <w:pPr>
              <w:spacing w:after="0"/>
              <w:rPr>
                <w:sz w:val="12"/>
                <w:szCs w:val="12"/>
                <w:color w:val="auto"/>
              </w:rPr>
            </w:pPr>
          </w:p>
        </w:tc>
        <w:tc>
          <w:tcPr>
            <w:tcW w:w="458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center"/>
              <w:ind w:right="52"/>
              <w:spacing w:after="0" w:line="149" w:lineRule="exact"/>
              <w:rPr>
                <w:sz w:val="20"/>
                <w:szCs w:val="20"/>
                <w:color w:val="auto"/>
              </w:rPr>
            </w:pPr>
            <w:r>
              <w:rPr>
                <w:rFonts w:ascii="Arial" w:cs="Arial" w:eastAsia="Arial" w:hAnsi="Arial"/>
                <w:sz w:val="14"/>
                <w:szCs w:val="14"/>
                <w:b w:val="1"/>
                <w:bCs w:val="1"/>
                <w:color w:val="auto"/>
                <w:w w:val="86"/>
              </w:rPr>
              <w:t>recorded</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6"/>
              </w:rPr>
              <w:t>Interest income</w:t>
            </w:r>
          </w:p>
        </w:tc>
      </w:tr>
      <w:tr>
        <w:trPr>
          <w:trHeight w:val="161"/>
        </w:trPr>
        <w:tc>
          <w:tcPr>
            <w:tcW w:w="20" w:type="dxa"/>
            <w:vAlign w:val="bottom"/>
          </w:tcPr>
          <w:p>
            <w:pPr>
              <w:spacing w:after="0"/>
              <w:rPr>
                <w:sz w:val="14"/>
                <w:szCs w:val="14"/>
                <w:color w:val="auto"/>
              </w:rPr>
            </w:pPr>
          </w:p>
        </w:tc>
        <w:tc>
          <w:tcPr>
            <w:tcW w:w="458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780" w:type="dxa"/>
            <w:vAlign w:val="bottom"/>
            <w:gridSpan w:val="2"/>
          </w:tcPr>
          <w:p>
            <w:pPr>
              <w:jc w:val="center"/>
              <w:spacing w:after="0"/>
              <w:rPr>
                <w:sz w:val="20"/>
                <w:szCs w:val="20"/>
                <w:color w:val="auto"/>
              </w:rPr>
            </w:pPr>
            <w:r>
              <w:rPr>
                <w:rFonts w:ascii="Arial" w:cs="Arial" w:eastAsia="Arial" w:hAnsi="Arial"/>
                <w:sz w:val="14"/>
                <w:szCs w:val="14"/>
                <w:b w:val="1"/>
                <w:bCs w:val="1"/>
                <w:color w:val="auto"/>
                <w:w w:val="86"/>
              </w:rPr>
              <w:t>investment</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3"/>
              </w:rPr>
              <w:t>recognized</w:t>
            </w:r>
          </w:p>
        </w:tc>
      </w:tr>
      <w:tr>
        <w:trPr>
          <w:trHeight w:val="142"/>
        </w:trPr>
        <w:tc>
          <w:tcPr>
            <w:tcW w:w="20" w:type="dxa"/>
            <w:vAlign w:val="bottom"/>
          </w:tcPr>
          <w:p>
            <w:pPr>
              <w:spacing w:after="0"/>
              <w:rPr>
                <w:sz w:val="12"/>
                <w:szCs w:val="12"/>
                <w:color w:val="auto"/>
              </w:rPr>
            </w:pPr>
          </w:p>
        </w:tc>
        <w:tc>
          <w:tcPr>
            <w:tcW w:w="458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160" w:type="dxa"/>
            <w:vAlign w:val="bottom"/>
          </w:tcPr>
          <w:p>
            <w:pPr>
              <w:spacing w:after="0"/>
              <w:rPr>
                <w:sz w:val="12"/>
                <w:szCs w:val="12"/>
                <w:color w:val="auto"/>
              </w:rPr>
            </w:pPr>
          </w:p>
        </w:tc>
        <w:tc>
          <w:tcPr>
            <w:tcW w:w="1060" w:type="dxa"/>
            <w:vAlign w:val="bottom"/>
            <w:tcBorders>
              <w:top w:val="single" w:sz="8" w:color="auto"/>
            </w:tcBorders>
            <w:gridSpan w:val="2"/>
          </w:tcPr>
          <w:p>
            <w:pPr>
              <w:spacing w:after="0" w:line="142" w:lineRule="exact"/>
              <w:rPr>
                <w:sz w:val="20"/>
                <w:szCs w:val="20"/>
                <w:color w:val="auto"/>
              </w:rPr>
            </w:pPr>
            <w:r>
              <w:rPr>
                <w:rFonts w:ascii="Arial" w:cs="Arial" w:eastAsia="Arial" w:hAnsi="Arial"/>
                <w:sz w:val="14"/>
                <w:szCs w:val="14"/>
                <w:b w:val="1"/>
                <w:bCs w:val="1"/>
                <w:i w:val="1"/>
                <w:iCs w:val="1"/>
                <w:color w:val="auto"/>
              </w:rPr>
              <w:t>millions)</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For the year ended December 31, 2013</w:t>
            </w:r>
          </w:p>
        </w:tc>
        <w:tc>
          <w:tcPr>
            <w:tcW w:w="23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tcPr>
          <w:p>
            <w:pPr>
              <w:spacing w:after="0" w:line="149" w:lineRule="exact"/>
              <w:rPr>
                <w:sz w:val="20"/>
                <w:szCs w:val="20"/>
                <w:color w:val="auto"/>
              </w:rPr>
            </w:pPr>
            <w:r>
              <w:rPr>
                <w:rFonts w:ascii="Arial" w:cs="Arial" w:eastAsia="Arial" w:hAnsi="Arial"/>
                <w:sz w:val="14"/>
                <w:szCs w:val="14"/>
                <w:color w:val="auto"/>
              </w:rPr>
              <w:t>With no related allowance recorded:</w:t>
            </w:r>
          </w:p>
        </w:tc>
        <w:tc>
          <w:tcPr>
            <w:tcW w:w="2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Commercial-brick and mortar</w:t>
            </w:r>
          </w:p>
        </w:tc>
        <w:tc>
          <w:tcPr>
            <w:tcW w:w="24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22.2</w:t>
            </w:r>
          </w:p>
        </w:tc>
        <w:tc>
          <w:tcPr>
            <w:tcW w:w="24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b w:val="1"/>
                <w:bCs w:val="1"/>
                <w:color w:val="auto"/>
                <w:w w:val="76"/>
              </w:rPr>
              <w:t>$</w:t>
            </w: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tcPr>
          <w:p>
            <w:pPr>
              <w:ind w:left="140"/>
              <w:spacing w:after="0" w:line="149" w:lineRule="exact"/>
              <w:rPr>
                <w:sz w:val="20"/>
                <w:szCs w:val="20"/>
                <w:color w:val="auto"/>
              </w:rPr>
            </w:pPr>
            <w:r>
              <w:rPr>
                <w:rFonts w:ascii="Arial" w:cs="Arial" w:eastAsia="Arial" w:hAnsi="Arial"/>
                <w:sz w:val="14"/>
                <w:szCs w:val="14"/>
                <w:color w:val="auto"/>
              </w:rPr>
              <w:t>Residential-first liens</w:t>
            </w:r>
          </w:p>
        </w:tc>
        <w:tc>
          <w:tcPr>
            <w:tcW w:w="2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40" w:type="dxa"/>
            <w:vAlign w:val="bottom"/>
            <w:gridSpan w:val="2"/>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With an allowance recorded:</w:t>
            </w:r>
          </w:p>
        </w:tc>
        <w:tc>
          <w:tcPr>
            <w:tcW w:w="23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tcPr>
          <w:p>
            <w:pPr>
              <w:ind w:left="140"/>
              <w:spacing w:after="0" w:line="149" w:lineRule="exact"/>
              <w:rPr>
                <w:sz w:val="20"/>
                <w:szCs w:val="20"/>
                <w:color w:val="auto"/>
              </w:rPr>
            </w:pPr>
            <w:r>
              <w:rPr>
                <w:rFonts w:ascii="Arial" w:cs="Arial" w:eastAsia="Arial" w:hAnsi="Arial"/>
                <w:sz w:val="14"/>
                <w:szCs w:val="14"/>
                <w:color w:val="auto"/>
              </w:rPr>
              <w:t>Commercial-brick and mortar</w:t>
            </w:r>
          </w:p>
        </w:tc>
        <w:tc>
          <w:tcPr>
            <w:tcW w:w="2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Residential-home equity</w:t>
            </w:r>
          </w:p>
        </w:tc>
        <w:tc>
          <w:tcPr>
            <w:tcW w:w="23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20.2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tcPr>
          <w:p>
            <w:pPr>
              <w:ind w:left="140"/>
              <w:spacing w:after="0" w:line="149" w:lineRule="exact"/>
              <w:rPr>
                <w:sz w:val="20"/>
                <w:szCs w:val="20"/>
                <w:color w:val="auto"/>
              </w:rPr>
            </w:pPr>
            <w:r>
              <w:rPr>
                <w:rFonts w:ascii="Arial" w:cs="Arial" w:eastAsia="Arial" w:hAnsi="Arial"/>
                <w:sz w:val="14"/>
                <w:szCs w:val="14"/>
                <w:color w:val="auto"/>
              </w:rPr>
              <w:t>Residential-first liens</w:t>
            </w:r>
          </w:p>
        </w:tc>
        <w:tc>
          <w:tcPr>
            <w:tcW w:w="2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8.9</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Total:</w:t>
            </w:r>
          </w:p>
        </w:tc>
        <w:tc>
          <w:tcPr>
            <w:tcW w:w="23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tcPr>
          <w:p>
            <w:pPr>
              <w:ind w:left="140"/>
              <w:spacing w:after="0" w:line="149" w:lineRule="exact"/>
              <w:rPr>
                <w:sz w:val="20"/>
                <w:szCs w:val="20"/>
                <w:color w:val="auto"/>
              </w:rPr>
            </w:pPr>
            <w:r>
              <w:rPr>
                <w:rFonts w:ascii="Arial" w:cs="Arial" w:eastAsia="Arial" w:hAnsi="Arial"/>
                <w:sz w:val="14"/>
                <w:szCs w:val="14"/>
                <w:color w:val="auto"/>
              </w:rPr>
              <w:t>Commercial</w:t>
            </w:r>
          </w:p>
        </w:tc>
        <w:tc>
          <w:tcPr>
            <w:tcW w:w="24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26.6</w:t>
            </w:r>
          </w:p>
        </w:tc>
        <w:tc>
          <w:tcPr>
            <w:tcW w:w="240" w:type="dxa"/>
            <w:vAlign w:val="bottom"/>
            <w:gridSpan w:val="2"/>
          </w:tcPr>
          <w:p>
            <w:pPr>
              <w:ind w:left="160"/>
              <w:spacing w:after="0" w:line="149" w:lineRule="exact"/>
              <w:rPr>
                <w:sz w:val="20"/>
                <w:szCs w:val="20"/>
                <w:color w:val="auto"/>
              </w:rPr>
            </w:pPr>
            <w:r>
              <w:rPr>
                <w:rFonts w:ascii="Arial" w:cs="Arial" w:eastAsia="Arial" w:hAnsi="Arial"/>
                <w:sz w:val="14"/>
                <w:szCs w:val="14"/>
                <w:b w:val="1"/>
                <w:bCs w:val="1"/>
                <w:color w:val="auto"/>
                <w:w w:val="76"/>
              </w:rPr>
              <w:t>$</w:t>
            </w:r>
          </w:p>
        </w:tc>
        <w:tc>
          <w:tcPr>
            <w:tcW w:w="9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Residential</w:t>
            </w:r>
          </w:p>
        </w:tc>
        <w:tc>
          <w:tcPr>
            <w:tcW w:w="24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36.3</w:t>
            </w:r>
          </w:p>
        </w:tc>
        <w:tc>
          <w:tcPr>
            <w:tcW w:w="24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b w:val="1"/>
                <w:bCs w:val="1"/>
                <w:color w:val="auto"/>
                <w:w w:val="76"/>
              </w:rPr>
              <w:t>$</w:t>
            </w: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w:t>
            </w:r>
          </w:p>
        </w:tc>
        <w:tc>
          <w:tcPr>
            <w:tcW w:w="160" w:type="dxa"/>
            <w:vAlign w:val="bottom"/>
            <w:shd w:val="clear" w:color="auto" w:fill="CCEEFF"/>
          </w:tcPr>
          <w:p>
            <w:pPr>
              <w:spacing w:after="0"/>
              <w:rPr>
                <w:sz w:val="12"/>
                <w:szCs w:val="12"/>
                <w:color w:val="auto"/>
              </w:rPr>
            </w:pPr>
          </w:p>
        </w:tc>
      </w:tr>
      <w:tr>
        <w:trPr>
          <w:trHeight w:val="311"/>
        </w:trPr>
        <w:tc>
          <w:tcPr>
            <w:tcW w:w="4600" w:type="dxa"/>
            <w:vAlign w:val="bottom"/>
            <w:gridSpan w:val="2"/>
          </w:tcPr>
          <w:p>
            <w:pPr>
              <w:spacing w:after="0"/>
              <w:rPr>
                <w:sz w:val="20"/>
                <w:szCs w:val="20"/>
                <w:color w:val="auto"/>
              </w:rPr>
            </w:pPr>
            <w:r>
              <w:rPr>
                <w:rFonts w:ascii="Arial" w:cs="Arial" w:eastAsia="Arial" w:hAnsi="Arial"/>
                <w:sz w:val="14"/>
                <w:szCs w:val="14"/>
                <w:b w:val="1"/>
                <w:bCs w:val="1"/>
                <w:color w:val="auto"/>
              </w:rPr>
              <w:t>For the year ended December 31, 2012</w:t>
            </w:r>
          </w:p>
        </w:tc>
        <w:tc>
          <w:tcPr>
            <w:tcW w:w="2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With no related allowance recorded:</w:t>
            </w:r>
          </w:p>
        </w:tc>
        <w:tc>
          <w:tcPr>
            <w:tcW w:w="23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tcPr>
          <w:p>
            <w:pPr>
              <w:ind w:left="140"/>
              <w:spacing w:after="0" w:line="149" w:lineRule="exact"/>
              <w:rPr>
                <w:sz w:val="20"/>
                <w:szCs w:val="20"/>
                <w:color w:val="auto"/>
              </w:rPr>
            </w:pPr>
            <w:r>
              <w:rPr>
                <w:rFonts w:ascii="Arial" w:cs="Arial" w:eastAsia="Arial" w:hAnsi="Arial"/>
                <w:sz w:val="14"/>
                <w:szCs w:val="14"/>
                <w:color w:val="auto"/>
              </w:rPr>
              <w:t>Commercial-brick and mortar</w:t>
            </w:r>
          </w:p>
        </w:tc>
        <w:tc>
          <w:tcPr>
            <w:tcW w:w="24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11.4</w:t>
            </w:r>
          </w:p>
        </w:tc>
        <w:tc>
          <w:tcPr>
            <w:tcW w:w="240" w:type="dxa"/>
            <w:vAlign w:val="bottom"/>
            <w:gridSpan w:val="2"/>
          </w:tcPr>
          <w:p>
            <w:pPr>
              <w:ind w:left="160"/>
              <w:spacing w:after="0" w:line="149" w:lineRule="exact"/>
              <w:rPr>
                <w:sz w:val="20"/>
                <w:szCs w:val="20"/>
                <w:color w:val="auto"/>
              </w:rPr>
            </w:pPr>
            <w:r>
              <w:rPr>
                <w:rFonts w:ascii="Arial" w:cs="Arial" w:eastAsia="Arial" w:hAnsi="Arial"/>
                <w:sz w:val="14"/>
                <w:szCs w:val="14"/>
                <w:color w:val="auto"/>
                <w:w w:val="76"/>
              </w:rPr>
              <w:t>$</w:t>
            </w:r>
          </w:p>
        </w:tc>
        <w:tc>
          <w:tcPr>
            <w:tcW w:w="980" w:type="dxa"/>
            <w:vAlign w:val="bottom"/>
          </w:tcPr>
          <w:p>
            <w:pPr>
              <w:jc w:val="right"/>
              <w:spacing w:after="0" w:line="149" w:lineRule="exact"/>
              <w:rPr>
                <w:sz w:val="20"/>
                <w:szCs w:val="20"/>
                <w:color w:val="auto"/>
              </w:rPr>
            </w:pPr>
            <w:r>
              <w:rPr>
                <w:rFonts w:ascii="Arial" w:cs="Arial" w:eastAsia="Arial" w:hAnsi="Arial"/>
                <w:sz w:val="14"/>
                <w:szCs w:val="14"/>
                <w:color w:val="auto"/>
              </w:rPr>
              <w:t>2.6</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Residential-first liens</w:t>
            </w:r>
          </w:p>
        </w:tc>
        <w:tc>
          <w:tcPr>
            <w:tcW w:w="23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r>
      <w:tr>
        <w:trPr>
          <w:trHeight w:val="149"/>
        </w:trPr>
        <w:tc>
          <w:tcPr>
            <w:tcW w:w="20" w:type="dxa"/>
            <w:vAlign w:val="bottom"/>
          </w:tcPr>
          <w:p>
            <w:pPr>
              <w:spacing w:after="0"/>
              <w:rPr>
                <w:sz w:val="12"/>
                <w:szCs w:val="12"/>
                <w:color w:val="auto"/>
              </w:rPr>
            </w:pPr>
          </w:p>
        </w:tc>
        <w:tc>
          <w:tcPr>
            <w:tcW w:w="4580" w:type="dxa"/>
            <w:vAlign w:val="bottom"/>
          </w:tcPr>
          <w:p>
            <w:pPr>
              <w:spacing w:after="0" w:line="149" w:lineRule="exact"/>
              <w:rPr>
                <w:sz w:val="20"/>
                <w:szCs w:val="20"/>
                <w:color w:val="auto"/>
              </w:rPr>
            </w:pPr>
            <w:r>
              <w:rPr>
                <w:rFonts w:ascii="Arial" w:cs="Arial" w:eastAsia="Arial" w:hAnsi="Arial"/>
                <w:sz w:val="14"/>
                <w:szCs w:val="14"/>
                <w:color w:val="auto"/>
              </w:rPr>
              <w:t>With an allowance recorded:</w:t>
            </w:r>
          </w:p>
        </w:tc>
        <w:tc>
          <w:tcPr>
            <w:tcW w:w="2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Commercial-brick and mortar</w:t>
            </w:r>
          </w:p>
        </w:tc>
        <w:tc>
          <w:tcPr>
            <w:tcW w:w="23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59.2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tcPr>
          <w:p>
            <w:pPr>
              <w:ind w:left="140"/>
              <w:spacing w:after="0" w:line="149" w:lineRule="exact"/>
              <w:rPr>
                <w:sz w:val="20"/>
                <w:szCs w:val="20"/>
                <w:color w:val="auto"/>
              </w:rPr>
            </w:pPr>
            <w:r>
              <w:rPr>
                <w:rFonts w:ascii="Arial" w:cs="Arial" w:eastAsia="Arial" w:hAnsi="Arial"/>
                <w:sz w:val="14"/>
                <w:szCs w:val="14"/>
                <w:color w:val="auto"/>
              </w:rPr>
              <w:t>Residential-home equity</w:t>
            </w:r>
          </w:p>
        </w:tc>
        <w:tc>
          <w:tcPr>
            <w:tcW w:w="2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17.7</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right"/>
              <w:spacing w:after="0" w:line="149" w:lineRule="exact"/>
              <w:rPr>
                <w:sz w:val="20"/>
                <w:szCs w:val="20"/>
                <w:color w:val="auto"/>
              </w:rPr>
            </w:pPr>
            <w:r>
              <w:rPr>
                <w:rFonts w:ascii="Arial" w:cs="Arial" w:eastAsia="Arial" w:hAnsi="Arial"/>
                <w:sz w:val="14"/>
                <w:szCs w:val="14"/>
                <w:color w:val="auto"/>
              </w:rPr>
              <w:t>0.9</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Residential-first liens</w:t>
            </w:r>
          </w:p>
        </w:tc>
        <w:tc>
          <w:tcPr>
            <w:tcW w:w="23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tcPr>
          <w:p>
            <w:pPr>
              <w:spacing w:after="0" w:line="149" w:lineRule="exact"/>
              <w:rPr>
                <w:sz w:val="20"/>
                <w:szCs w:val="20"/>
                <w:color w:val="auto"/>
              </w:rPr>
            </w:pPr>
            <w:r>
              <w:rPr>
                <w:rFonts w:ascii="Arial" w:cs="Arial" w:eastAsia="Arial" w:hAnsi="Arial"/>
                <w:sz w:val="14"/>
                <w:szCs w:val="14"/>
                <w:color w:val="auto"/>
              </w:rPr>
              <w:t>Total:</w:t>
            </w:r>
          </w:p>
        </w:tc>
        <w:tc>
          <w:tcPr>
            <w:tcW w:w="2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Commercial</w:t>
            </w:r>
          </w:p>
        </w:tc>
        <w:tc>
          <w:tcPr>
            <w:tcW w:w="24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70.6</w:t>
            </w:r>
          </w:p>
        </w:tc>
        <w:tc>
          <w:tcPr>
            <w:tcW w:w="24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w w:val="76"/>
              </w:rPr>
              <w:t>$</w:t>
            </w: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tcPr>
          <w:p>
            <w:pPr>
              <w:ind w:left="140"/>
              <w:spacing w:after="0" w:line="149" w:lineRule="exact"/>
              <w:rPr>
                <w:sz w:val="20"/>
                <w:szCs w:val="20"/>
                <w:color w:val="auto"/>
              </w:rPr>
            </w:pPr>
            <w:r>
              <w:rPr>
                <w:rFonts w:ascii="Arial" w:cs="Arial" w:eastAsia="Arial" w:hAnsi="Arial"/>
                <w:sz w:val="14"/>
                <w:szCs w:val="14"/>
                <w:color w:val="auto"/>
              </w:rPr>
              <w:t>Residential</w:t>
            </w:r>
          </w:p>
        </w:tc>
        <w:tc>
          <w:tcPr>
            <w:tcW w:w="24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33.7</w:t>
            </w:r>
          </w:p>
        </w:tc>
        <w:tc>
          <w:tcPr>
            <w:tcW w:w="240" w:type="dxa"/>
            <w:vAlign w:val="bottom"/>
            <w:gridSpan w:val="2"/>
          </w:tcPr>
          <w:p>
            <w:pPr>
              <w:ind w:left="160"/>
              <w:spacing w:after="0" w:line="149" w:lineRule="exact"/>
              <w:rPr>
                <w:sz w:val="20"/>
                <w:szCs w:val="20"/>
                <w:color w:val="auto"/>
              </w:rPr>
            </w:pPr>
            <w:r>
              <w:rPr>
                <w:rFonts w:ascii="Arial" w:cs="Arial" w:eastAsia="Arial" w:hAnsi="Arial"/>
                <w:sz w:val="14"/>
                <w:szCs w:val="14"/>
                <w:color w:val="auto"/>
                <w:w w:val="76"/>
              </w:rPr>
              <w:t>$</w:t>
            </w:r>
          </w:p>
        </w:tc>
        <w:tc>
          <w:tcPr>
            <w:tcW w:w="980" w:type="dxa"/>
            <w:vAlign w:val="bottom"/>
          </w:tcPr>
          <w:p>
            <w:pPr>
              <w:jc w:val="right"/>
              <w:spacing w:after="0" w:line="149" w:lineRule="exact"/>
              <w:rPr>
                <w:sz w:val="20"/>
                <w:szCs w:val="20"/>
                <w:color w:val="auto"/>
              </w:rPr>
            </w:pPr>
            <w:r>
              <w:rPr>
                <w:rFonts w:ascii="Arial" w:cs="Arial" w:eastAsia="Arial" w:hAnsi="Arial"/>
                <w:sz w:val="14"/>
                <w:szCs w:val="14"/>
                <w:color w:val="auto"/>
              </w:rPr>
              <w:t>1.0</w:t>
            </w:r>
          </w:p>
        </w:tc>
        <w:tc>
          <w:tcPr>
            <w:tcW w:w="160" w:type="dxa"/>
            <w:vAlign w:val="bottom"/>
          </w:tcPr>
          <w:p>
            <w:pPr>
              <w:spacing w:after="0"/>
              <w:rPr>
                <w:sz w:val="12"/>
                <w:szCs w:val="12"/>
                <w:color w:val="auto"/>
              </w:rPr>
            </w:pPr>
          </w:p>
        </w:tc>
      </w:tr>
      <w:tr>
        <w:trPr>
          <w:trHeight w:val="311"/>
        </w:trPr>
        <w:tc>
          <w:tcPr>
            <w:tcW w:w="20" w:type="dxa"/>
            <w:vAlign w:val="bottom"/>
          </w:tcPr>
          <w:p>
            <w:pPr>
              <w:spacing w:after="0"/>
              <w:rPr>
                <w:sz w:val="24"/>
                <w:szCs w:val="24"/>
                <w:color w:val="auto"/>
              </w:rPr>
            </w:pPr>
          </w:p>
        </w:tc>
        <w:tc>
          <w:tcPr>
            <w:tcW w:w="458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For the year ended December 31, 2011</w:t>
            </w:r>
          </w:p>
        </w:tc>
        <w:tc>
          <w:tcPr>
            <w:tcW w:w="23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r>
      <w:tr>
        <w:trPr>
          <w:trHeight w:val="149"/>
        </w:trPr>
        <w:tc>
          <w:tcPr>
            <w:tcW w:w="20" w:type="dxa"/>
            <w:vAlign w:val="bottom"/>
          </w:tcPr>
          <w:p>
            <w:pPr>
              <w:spacing w:after="0"/>
              <w:rPr>
                <w:sz w:val="12"/>
                <w:szCs w:val="12"/>
                <w:color w:val="auto"/>
              </w:rPr>
            </w:pPr>
          </w:p>
        </w:tc>
        <w:tc>
          <w:tcPr>
            <w:tcW w:w="4580" w:type="dxa"/>
            <w:vAlign w:val="bottom"/>
          </w:tcPr>
          <w:p>
            <w:pPr>
              <w:spacing w:after="0" w:line="149" w:lineRule="exact"/>
              <w:rPr>
                <w:sz w:val="20"/>
                <w:szCs w:val="20"/>
                <w:color w:val="auto"/>
              </w:rPr>
            </w:pPr>
            <w:r>
              <w:rPr>
                <w:rFonts w:ascii="Arial" w:cs="Arial" w:eastAsia="Arial" w:hAnsi="Arial"/>
                <w:sz w:val="14"/>
                <w:szCs w:val="14"/>
                <w:color w:val="auto"/>
              </w:rPr>
              <w:t>With no related allowance recorded:</w:t>
            </w:r>
          </w:p>
        </w:tc>
        <w:tc>
          <w:tcPr>
            <w:tcW w:w="2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Commercial-brick and mortar</w:t>
            </w:r>
          </w:p>
        </w:tc>
        <w:tc>
          <w:tcPr>
            <w:tcW w:w="24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11.3</w:t>
            </w:r>
          </w:p>
        </w:tc>
        <w:tc>
          <w:tcPr>
            <w:tcW w:w="24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w w:val="76"/>
              </w:rPr>
              <w:t>$</w:t>
            </w: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tcPr>
          <w:p>
            <w:pPr>
              <w:ind w:left="140"/>
              <w:spacing w:after="0" w:line="149" w:lineRule="exact"/>
              <w:rPr>
                <w:sz w:val="20"/>
                <w:szCs w:val="20"/>
                <w:color w:val="auto"/>
              </w:rPr>
            </w:pPr>
            <w:r>
              <w:rPr>
                <w:rFonts w:ascii="Arial" w:cs="Arial" w:eastAsia="Arial" w:hAnsi="Arial"/>
                <w:sz w:val="14"/>
                <w:szCs w:val="14"/>
                <w:color w:val="auto"/>
              </w:rPr>
              <w:t>Residential-first liens</w:t>
            </w:r>
          </w:p>
        </w:tc>
        <w:tc>
          <w:tcPr>
            <w:tcW w:w="2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4.4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With an allowance recorded:</w:t>
            </w:r>
          </w:p>
        </w:tc>
        <w:tc>
          <w:tcPr>
            <w:tcW w:w="23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tcPr>
          <w:p>
            <w:pPr>
              <w:ind w:left="140"/>
              <w:spacing w:after="0" w:line="149" w:lineRule="exact"/>
              <w:rPr>
                <w:sz w:val="20"/>
                <w:szCs w:val="20"/>
                <w:color w:val="auto"/>
              </w:rPr>
            </w:pPr>
            <w:r>
              <w:rPr>
                <w:rFonts w:ascii="Arial" w:cs="Arial" w:eastAsia="Arial" w:hAnsi="Arial"/>
                <w:sz w:val="14"/>
                <w:szCs w:val="14"/>
                <w:color w:val="auto"/>
              </w:rPr>
              <w:t>Commercial-brick and mortar</w:t>
            </w:r>
          </w:p>
        </w:tc>
        <w:tc>
          <w:tcPr>
            <w:tcW w:w="2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79.0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right"/>
              <w:spacing w:after="0" w:line="149" w:lineRule="exact"/>
              <w:rPr>
                <w:sz w:val="20"/>
                <w:szCs w:val="20"/>
                <w:color w:val="auto"/>
              </w:rPr>
            </w:pPr>
            <w:r>
              <w:rPr>
                <w:rFonts w:ascii="Arial" w:cs="Arial" w:eastAsia="Arial" w:hAnsi="Arial"/>
                <w:sz w:val="14"/>
                <w:szCs w:val="14"/>
                <w:color w:val="auto"/>
              </w:rPr>
              <w:t>1.0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Residential-home equity</w:t>
            </w:r>
          </w:p>
        </w:tc>
        <w:tc>
          <w:tcPr>
            <w:tcW w:w="23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tcPr>
          <w:p>
            <w:pPr>
              <w:ind w:left="140"/>
              <w:spacing w:after="0" w:line="149" w:lineRule="exact"/>
              <w:rPr>
                <w:sz w:val="20"/>
                <w:szCs w:val="20"/>
                <w:color w:val="auto"/>
              </w:rPr>
            </w:pPr>
            <w:r>
              <w:rPr>
                <w:rFonts w:ascii="Arial" w:cs="Arial" w:eastAsia="Arial" w:hAnsi="Arial"/>
                <w:sz w:val="14"/>
                <w:szCs w:val="14"/>
                <w:color w:val="auto"/>
              </w:rPr>
              <w:t>Residential-first liens</w:t>
            </w:r>
          </w:p>
        </w:tc>
        <w:tc>
          <w:tcPr>
            <w:tcW w:w="2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9.6</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right"/>
              <w:spacing w:after="0" w:line="149" w:lineRule="exact"/>
              <w:rPr>
                <w:sz w:val="20"/>
                <w:szCs w:val="20"/>
                <w:color w:val="auto"/>
              </w:rPr>
            </w:pPr>
            <w:r>
              <w:rPr>
                <w:rFonts w:ascii="Arial" w:cs="Arial" w:eastAsia="Arial" w:hAnsi="Arial"/>
                <w:sz w:val="14"/>
                <w:szCs w:val="14"/>
                <w:color w:val="auto"/>
              </w:rPr>
              <w:t>0.2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Total:</w:t>
            </w:r>
          </w:p>
        </w:tc>
        <w:tc>
          <w:tcPr>
            <w:tcW w:w="23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tcPr>
          <w:p>
            <w:pPr>
              <w:ind w:left="140"/>
              <w:spacing w:after="0" w:line="149" w:lineRule="exact"/>
              <w:rPr>
                <w:sz w:val="20"/>
                <w:szCs w:val="20"/>
                <w:color w:val="auto"/>
              </w:rPr>
            </w:pPr>
            <w:r>
              <w:rPr>
                <w:rFonts w:ascii="Arial" w:cs="Arial" w:eastAsia="Arial" w:hAnsi="Arial"/>
                <w:sz w:val="14"/>
                <w:szCs w:val="14"/>
                <w:color w:val="auto"/>
              </w:rPr>
              <w:t>Commercial</w:t>
            </w:r>
          </w:p>
        </w:tc>
        <w:tc>
          <w:tcPr>
            <w:tcW w:w="24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90.3</w:t>
            </w:r>
          </w:p>
        </w:tc>
        <w:tc>
          <w:tcPr>
            <w:tcW w:w="240" w:type="dxa"/>
            <w:vAlign w:val="bottom"/>
            <w:gridSpan w:val="2"/>
          </w:tcPr>
          <w:p>
            <w:pPr>
              <w:ind w:left="160"/>
              <w:spacing w:after="0" w:line="149" w:lineRule="exact"/>
              <w:rPr>
                <w:sz w:val="20"/>
                <w:szCs w:val="20"/>
                <w:color w:val="auto"/>
              </w:rPr>
            </w:pPr>
            <w:r>
              <w:rPr>
                <w:rFonts w:ascii="Arial" w:cs="Arial" w:eastAsia="Arial" w:hAnsi="Arial"/>
                <w:sz w:val="14"/>
                <w:szCs w:val="14"/>
                <w:color w:val="auto"/>
                <w:w w:val="76"/>
              </w:rPr>
              <w:t>$</w:t>
            </w:r>
          </w:p>
        </w:tc>
        <w:tc>
          <w:tcPr>
            <w:tcW w:w="980" w:type="dxa"/>
            <w:vAlign w:val="bottom"/>
          </w:tcPr>
          <w:p>
            <w:pPr>
              <w:jc w:val="right"/>
              <w:spacing w:after="0" w:line="149" w:lineRule="exact"/>
              <w:rPr>
                <w:sz w:val="20"/>
                <w:szCs w:val="20"/>
                <w:color w:val="auto"/>
              </w:rPr>
            </w:pPr>
            <w:r>
              <w:rPr>
                <w:rFonts w:ascii="Arial" w:cs="Arial" w:eastAsia="Arial" w:hAnsi="Arial"/>
                <w:sz w:val="14"/>
                <w:szCs w:val="14"/>
                <w:color w:val="auto"/>
              </w:rPr>
              <w:t>1.9</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Residential</w:t>
            </w:r>
          </w:p>
        </w:tc>
        <w:tc>
          <w:tcPr>
            <w:tcW w:w="24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26.6</w:t>
            </w:r>
          </w:p>
        </w:tc>
        <w:tc>
          <w:tcPr>
            <w:tcW w:w="24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w w:val="76"/>
              </w:rPr>
              <w:t>$</w:t>
            </w: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w:t>
            </w:r>
          </w:p>
        </w:tc>
        <w:tc>
          <w:tcPr>
            <w:tcW w:w="160" w:type="dxa"/>
            <w:vAlign w:val="bottom"/>
            <w:shd w:val="clear" w:color="auto" w:fill="CCEEFF"/>
          </w:tcPr>
          <w:p>
            <w:pPr>
              <w:spacing w:after="0"/>
              <w:rPr>
                <w:sz w:val="12"/>
                <w:szCs w:val="12"/>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Mortgage Loan Modifications</w:t>
      </w:r>
    </w:p>
    <w:p>
      <w:pPr>
        <w:spacing w:after="0" w:line="231" w:lineRule="exact"/>
        <w:rPr>
          <w:sz w:val="20"/>
          <w:szCs w:val="20"/>
          <w:color w:val="auto"/>
        </w:rPr>
      </w:pPr>
    </w:p>
    <w:p>
      <w:pPr>
        <w:jc w:val="both"/>
        <w:ind w:firstLine="444"/>
        <w:spacing w:after="0" w:line="291" w:lineRule="auto"/>
        <w:rPr>
          <w:sz w:val="20"/>
          <w:szCs w:val="20"/>
          <w:color w:val="auto"/>
        </w:rPr>
      </w:pPr>
      <w:r>
        <w:rPr>
          <w:rFonts w:ascii="Arial" w:cs="Arial" w:eastAsia="Arial" w:hAnsi="Arial"/>
          <w:sz w:val="16"/>
          <w:szCs w:val="16"/>
          <w:color w:val="auto"/>
        </w:rPr>
        <w:t>Our commercial and residential mortgage loan portfolios include loans that have been modified. We assess loan modifications on a case-by-case basis to evaluate whether a TDR has occurred. The commercial mortgage loan TDRs were modified to delay or reduce principal payments and to increase, reduce or delay interest payments. For these TDR assessments, we have determined the loan rates are now considered below market based on current circumstances. The commercial mortgage loan modifications resulted in delayed cash receipts and a decrease in interest income. The residential mortgage loan TDRs include modifications of interest-only payment periods, delays in principal balloon payments, and interest rate reductions. Residential mortgage loan modifications resulted in delayed or decreased cash receipts and a decrease in interest income.</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6" w:name="page127"/>
    <w:bookmarkEnd w:id="12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Investments — (continued)</w:t>
      </w:r>
    </w:p>
    <w:p>
      <w:pPr>
        <w:spacing w:after="0" w:line="231" w:lineRule="exact"/>
        <w:rPr>
          <w:sz w:val="20"/>
          <w:szCs w:val="20"/>
          <w:color w:val="auto"/>
        </w:rPr>
      </w:pPr>
    </w:p>
    <w:p>
      <w:pPr>
        <w:jc w:val="both"/>
        <w:ind w:firstLine="365"/>
        <w:spacing w:after="0" w:line="259" w:lineRule="auto"/>
        <w:rPr>
          <w:sz w:val="20"/>
          <w:szCs w:val="20"/>
          <w:color w:val="auto"/>
        </w:rPr>
      </w:pPr>
      <w:r>
        <w:rPr>
          <w:rFonts w:ascii="Arial" w:cs="Arial" w:eastAsia="Arial" w:hAnsi="Arial"/>
          <w:sz w:val="18"/>
          <w:szCs w:val="18"/>
          <w:color w:val="auto"/>
        </w:rPr>
        <w:t>The following table includes information about outstanding loans that were modified and met the criteria of a TDR during the periods indicated. In addition, the table includes information for loans that were modified and met the criteria of a TDR within the past twelve months that were in payment default during the periods indicated:</w:t>
      </w:r>
    </w:p>
    <w:p>
      <w:pPr>
        <w:sectPr>
          <w:pgSz w:w="11900" w:h="16838" w:orient="portrait"/>
          <w:cols w:equalWidth="0" w:num="1">
            <w:col w:w="11420"/>
          </w:cols>
          <w:pgMar w:left="240" w:top="131"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ind w:left="1140"/>
        <w:spacing w:after="0"/>
        <w:rPr>
          <w:sz w:val="20"/>
          <w:szCs w:val="20"/>
          <w:color w:val="auto"/>
        </w:rPr>
      </w:pPr>
      <w:r>
        <w:rPr>
          <w:rFonts w:ascii="Arial" w:cs="Arial" w:eastAsia="Arial" w:hAnsi="Arial"/>
          <w:sz w:val="12"/>
          <w:szCs w:val="12"/>
          <w:color w:val="auto"/>
        </w:rPr>
        <w:t>Commercial-brick and mortar</w:t>
      </w:r>
    </w:p>
    <w:p>
      <w:pPr>
        <w:spacing w:after="0" w:line="10" w:lineRule="exact"/>
        <w:rPr>
          <w:sz w:val="20"/>
          <w:szCs w:val="20"/>
          <w:color w:val="auto"/>
        </w:rPr>
      </w:pPr>
    </w:p>
    <w:p>
      <w:pPr>
        <w:ind w:left="1140"/>
        <w:spacing w:after="0"/>
        <w:rPr>
          <w:sz w:val="20"/>
          <w:szCs w:val="20"/>
          <w:color w:val="auto"/>
        </w:rPr>
      </w:pPr>
      <w:r>
        <w:rPr>
          <w:rFonts w:ascii="Arial" w:cs="Arial" w:eastAsia="Arial" w:hAnsi="Arial"/>
          <w:sz w:val="14"/>
          <w:szCs w:val="14"/>
          <w:color w:val="auto"/>
        </w:rPr>
        <w:t>Residential-home equity</w:t>
      </w:r>
    </w:p>
    <w:p>
      <w:pPr>
        <w:ind w:left="1140"/>
        <w:spacing w:after="0"/>
        <w:rPr>
          <w:sz w:val="20"/>
          <w:szCs w:val="20"/>
          <w:color w:val="auto"/>
        </w:rPr>
      </w:pPr>
      <w:r>
        <w:rPr>
          <w:rFonts w:ascii="Arial" w:cs="Arial" w:eastAsia="Arial" w:hAnsi="Arial"/>
          <w:sz w:val="14"/>
          <w:szCs w:val="14"/>
          <w:color w:val="auto"/>
        </w:rPr>
        <w:t>Residential-first liens</w:t>
      </w:r>
    </w:p>
    <w:p>
      <w:pPr>
        <w:ind w:left="1140"/>
        <w:spacing w:after="0"/>
        <w:rPr>
          <w:sz w:val="20"/>
          <w:szCs w:val="20"/>
          <w:color w:val="auto"/>
        </w:rPr>
      </w:pPr>
      <w:r>
        <w:rPr>
          <w:rFonts w:ascii="Arial" w:cs="Arial" w:eastAsia="Arial" w:hAnsi="Arial"/>
          <w:sz w:val="14"/>
          <w:szCs w:val="14"/>
          <w:color w:val="auto"/>
        </w:rPr>
        <w:t>Total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ind w:left="1140"/>
        <w:spacing w:after="0"/>
        <w:rPr>
          <w:sz w:val="20"/>
          <w:szCs w:val="20"/>
          <w:color w:val="auto"/>
        </w:rPr>
      </w:pPr>
      <w:r>
        <w:rPr>
          <w:rFonts w:ascii="Arial" w:cs="Arial" w:eastAsia="Arial" w:hAnsi="Arial"/>
          <w:sz w:val="12"/>
          <w:szCs w:val="12"/>
          <w:color w:val="auto"/>
        </w:rPr>
        <w:t>Commercial-brick and mortar</w:t>
      </w:r>
    </w:p>
    <w:p>
      <w:pPr>
        <w:spacing w:after="0" w:line="10" w:lineRule="exact"/>
        <w:rPr>
          <w:sz w:val="20"/>
          <w:szCs w:val="20"/>
          <w:color w:val="auto"/>
        </w:rPr>
      </w:pPr>
    </w:p>
    <w:p>
      <w:pPr>
        <w:ind w:left="1140"/>
        <w:spacing w:after="0"/>
        <w:rPr>
          <w:sz w:val="20"/>
          <w:szCs w:val="20"/>
          <w:color w:val="auto"/>
        </w:rPr>
      </w:pPr>
      <w:r>
        <w:rPr>
          <w:rFonts w:ascii="Arial" w:cs="Arial" w:eastAsia="Arial" w:hAnsi="Arial"/>
          <w:sz w:val="14"/>
          <w:szCs w:val="14"/>
          <w:color w:val="auto"/>
        </w:rPr>
        <w:t>Residential-home equity</w:t>
      </w:r>
    </w:p>
    <w:p>
      <w:pPr>
        <w:ind w:left="1140"/>
        <w:spacing w:after="0"/>
        <w:rPr>
          <w:sz w:val="20"/>
          <w:szCs w:val="20"/>
          <w:color w:val="auto"/>
        </w:rPr>
      </w:pPr>
      <w:r>
        <w:rPr>
          <w:rFonts w:ascii="Arial" w:cs="Arial" w:eastAsia="Arial" w:hAnsi="Arial"/>
          <w:sz w:val="14"/>
          <w:szCs w:val="14"/>
          <w:color w:val="auto"/>
        </w:rPr>
        <w:t>Residential-first liens</w:t>
      </w:r>
    </w:p>
    <w:p>
      <w:pPr>
        <w:ind w:left="1140"/>
        <w:spacing w:after="0"/>
        <w:rPr>
          <w:sz w:val="20"/>
          <w:szCs w:val="20"/>
          <w:color w:val="auto"/>
        </w:rPr>
      </w:pPr>
      <w:r>
        <w:rPr>
          <w:rFonts w:ascii="Arial" w:cs="Arial" w:eastAsia="Arial" w:hAnsi="Arial"/>
          <w:sz w:val="14"/>
          <w:szCs w:val="14"/>
          <w:color w:val="auto"/>
        </w:rPr>
        <w:t>Total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ind w:left="1140"/>
        <w:spacing w:after="0"/>
        <w:rPr>
          <w:sz w:val="20"/>
          <w:szCs w:val="20"/>
          <w:color w:val="auto"/>
        </w:rPr>
      </w:pPr>
      <w:r>
        <w:rPr>
          <w:rFonts w:ascii="Arial" w:cs="Arial" w:eastAsia="Arial" w:hAnsi="Arial"/>
          <w:sz w:val="12"/>
          <w:szCs w:val="12"/>
          <w:color w:val="auto"/>
        </w:rPr>
        <w:t>Commercial-brick and mortar</w:t>
      </w:r>
    </w:p>
    <w:p>
      <w:pPr>
        <w:spacing w:after="0" w:line="10" w:lineRule="exact"/>
        <w:rPr>
          <w:sz w:val="20"/>
          <w:szCs w:val="20"/>
          <w:color w:val="auto"/>
        </w:rPr>
      </w:pPr>
    </w:p>
    <w:p>
      <w:pPr>
        <w:ind w:left="1140"/>
        <w:spacing w:after="0"/>
        <w:rPr>
          <w:sz w:val="20"/>
          <w:szCs w:val="20"/>
          <w:color w:val="auto"/>
        </w:rPr>
      </w:pPr>
      <w:r>
        <w:rPr>
          <w:rFonts w:ascii="Arial" w:cs="Arial" w:eastAsia="Arial" w:hAnsi="Arial"/>
          <w:sz w:val="14"/>
          <w:szCs w:val="14"/>
          <w:color w:val="auto"/>
        </w:rPr>
        <w:t>Residential-home equity</w:t>
      </w:r>
    </w:p>
    <w:p>
      <w:pPr>
        <w:ind w:left="1140"/>
        <w:spacing w:after="0"/>
        <w:rPr>
          <w:sz w:val="20"/>
          <w:szCs w:val="20"/>
          <w:color w:val="auto"/>
        </w:rPr>
      </w:pPr>
      <w:r>
        <w:rPr>
          <w:rFonts w:ascii="Arial" w:cs="Arial" w:eastAsia="Arial" w:hAnsi="Arial"/>
          <w:sz w:val="14"/>
          <w:szCs w:val="14"/>
          <w:color w:val="auto"/>
        </w:rPr>
        <w:t>Residential-first liens</w:t>
      </w:r>
    </w:p>
    <w:p>
      <w:pPr>
        <w:ind w:left="1140"/>
        <w:spacing w:after="0"/>
        <w:rPr>
          <w:sz w:val="20"/>
          <w:szCs w:val="20"/>
          <w:color w:val="auto"/>
        </w:rPr>
      </w:pPr>
      <w:r>
        <w:rPr>
          <w:rFonts w:ascii="Arial" w:cs="Arial" w:eastAsia="Arial" w:hAnsi="Arial"/>
          <w:sz w:val="14"/>
          <w:szCs w:val="14"/>
          <w:color w:val="auto"/>
        </w:rPr>
        <w:t>Total</w:t>
      </w:r>
    </w:p>
    <w:p>
      <w:pPr>
        <w:spacing w:after="0" w:line="20" w:lineRule="exact"/>
        <w:rPr>
          <w:sz w:val="20"/>
          <w:szCs w:val="20"/>
          <w:color w:val="auto"/>
        </w:rPr>
      </w:pPr>
      <w:r>
        <w:rPr>
          <w:sz w:val="20"/>
          <w:szCs w:val="20"/>
          <w:color w:val="auto"/>
        </w:rPr>
        <w:br w:type="column"/>
      </w:r>
    </w:p>
    <w:p>
      <w:pPr>
        <w:spacing w:after="0" w:line="170" w:lineRule="exact"/>
        <w:rPr>
          <w:sz w:val="20"/>
          <w:szCs w:val="20"/>
          <w:color w:val="auto"/>
        </w:rPr>
      </w:pPr>
    </w:p>
    <w:p>
      <w:pPr>
        <w:ind w:left="780"/>
        <w:spacing w:after="0"/>
        <w:rPr>
          <w:sz w:val="20"/>
          <w:szCs w:val="20"/>
          <w:color w:val="auto"/>
        </w:rPr>
      </w:pPr>
      <w:r>
        <w:rPr>
          <w:rFonts w:ascii="Arial" w:cs="Arial" w:eastAsia="Arial" w:hAnsi="Arial"/>
          <w:sz w:val="14"/>
          <w:szCs w:val="14"/>
          <w:b w:val="1"/>
          <w:bCs w:val="1"/>
          <w:color w:val="auto"/>
        </w:rPr>
        <w:t>For the year ended December 31, 2013</w:t>
      </w:r>
    </w:p>
    <w:tbl>
      <w:tblPr>
        <w:tblLayout w:type="fixed"/>
        <w:tblInd w:w="0" w:type="dxa"/>
        <w:tblCellMar>
          <w:top w:w="0" w:type="dxa"/>
          <w:left w:w="0" w:type="dxa"/>
          <w:bottom w:w="0" w:type="dxa"/>
          <w:right w:w="0" w:type="dxa"/>
        </w:tblCellMar>
      </w:tblPr>
      <w:tr>
        <w:trPr>
          <w:trHeight w:val="142"/>
        </w:trPr>
        <w:tc>
          <w:tcPr>
            <w:tcW w:w="1820" w:type="dxa"/>
            <w:vAlign w:val="bottom"/>
            <w:tcBorders>
              <w:top w:val="single" w:sz="8" w:color="auto"/>
              <w:bottom w:val="single" w:sz="8" w:color="auto"/>
            </w:tcBorders>
            <w:gridSpan w:val="4"/>
          </w:tcPr>
          <w:p>
            <w:pPr>
              <w:jc w:val="right"/>
              <w:ind w:right="692"/>
              <w:spacing w:after="0" w:line="142" w:lineRule="exact"/>
              <w:rPr>
                <w:sz w:val="20"/>
                <w:szCs w:val="20"/>
                <w:color w:val="auto"/>
              </w:rPr>
            </w:pPr>
            <w:r>
              <w:rPr>
                <w:rFonts w:ascii="Arial" w:cs="Arial" w:eastAsia="Arial" w:hAnsi="Arial"/>
                <w:sz w:val="14"/>
                <w:szCs w:val="14"/>
                <w:b w:val="1"/>
                <w:bCs w:val="1"/>
                <w:color w:val="auto"/>
              </w:rPr>
              <w:t>TDRs</w:t>
            </w:r>
          </w:p>
        </w:tc>
        <w:tc>
          <w:tcPr>
            <w:tcW w:w="160" w:type="dxa"/>
            <w:vAlign w:val="bottom"/>
            <w:tcBorders>
              <w:top w:val="single" w:sz="8" w:color="auto"/>
            </w:tcBorders>
          </w:tcPr>
          <w:p>
            <w:pPr>
              <w:spacing w:after="0"/>
              <w:rPr>
                <w:sz w:val="12"/>
                <w:szCs w:val="12"/>
                <w:color w:val="auto"/>
              </w:rPr>
            </w:pPr>
          </w:p>
        </w:tc>
        <w:tc>
          <w:tcPr>
            <w:tcW w:w="1800" w:type="dxa"/>
            <w:vAlign w:val="bottom"/>
            <w:tcBorders>
              <w:top w:val="single" w:sz="8" w:color="auto"/>
              <w:bottom w:val="single" w:sz="8" w:color="auto"/>
            </w:tcBorders>
            <w:gridSpan w:val="4"/>
          </w:tcPr>
          <w:p>
            <w:pPr>
              <w:jc w:val="right"/>
              <w:ind w:right="112"/>
              <w:spacing w:after="0" w:line="142" w:lineRule="exact"/>
              <w:rPr>
                <w:sz w:val="20"/>
                <w:szCs w:val="20"/>
                <w:color w:val="auto"/>
              </w:rPr>
            </w:pPr>
            <w:r>
              <w:rPr>
                <w:rFonts w:ascii="Arial" w:cs="Arial" w:eastAsia="Arial" w:hAnsi="Arial"/>
                <w:sz w:val="14"/>
                <w:szCs w:val="14"/>
                <w:b w:val="1"/>
                <w:bCs w:val="1"/>
                <w:color w:val="auto"/>
                <w:w w:val="97"/>
              </w:rPr>
              <w:t>TDRs in payment default</w:t>
            </w:r>
          </w:p>
        </w:tc>
      </w:tr>
      <w:tr>
        <w:trPr>
          <w:trHeight w:val="129"/>
        </w:trPr>
        <w:tc>
          <w:tcPr>
            <w:tcW w:w="7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91"/>
              </w:rPr>
              <w:t>Number of</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tcPr>
          <w:p>
            <w:pPr>
              <w:jc w:val="center"/>
              <w:ind w:right="52"/>
              <w:spacing w:after="0" w:line="129" w:lineRule="exact"/>
              <w:rPr>
                <w:sz w:val="20"/>
                <w:szCs w:val="20"/>
                <w:color w:val="auto"/>
              </w:rPr>
            </w:pPr>
            <w:r>
              <w:rPr>
                <w:rFonts w:ascii="Arial" w:cs="Arial" w:eastAsia="Arial" w:hAnsi="Arial"/>
                <w:sz w:val="14"/>
                <w:szCs w:val="14"/>
                <w:b w:val="1"/>
                <w:bCs w:val="1"/>
                <w:color w:val="auto"/>
                <w:w w:val="86"/>
              </w:rPr>
              <w:t>Recorded</w:t>
            </w:r>
          </w:p>
        </w:tc>
        <w:tc>
          <w:tcPr>
            <w:tcW w:w="160" w:type="dxa"/>
            <w:vAlign w:val="bottom"/>
          </w:tcPr>
          <w:p>
            <w:pPr>
              <w:spacing w:after="0"/>
              <w:rPr>
                <w:sz w:val="11"/>
                <w:szCs w:val="11"/>
                <w:color w:val="auto"/>
              </w:rPr>
            </w:pPr>
          </w:p>
        </w:tc>
        <w:tc>
          <w:tcPr>
            <w:tcW w:w="76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8"/>
              </w:rPr>
              <w:t>Number of</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jc w:val="center"/>
              <w:ind w:right="32"/>
              <w:spacing w:after="0" w:line="129" w:lineRule="exact"/>
              <w:rPr>
                <w:sz w:val="20"/>
                <w:szCs w:val="20"/>
                <w:color w:val="auto"/>
              </w:rPr>
            </w:pPr>
            <w:r>
              <w:rPr>
                <w:rFonts w:ascii="Arial" w:cs="Arial" w:eastAsia="Arial" w:hAnsi="Arial"/>
                <w:sz w:val="14"/>
                <w:szCs w:val="14"/>
                <w:b w:val="1"/>
                <w:bCs w:val="1"/>
                <w:color w:val="auto"/>
                <w:w w:val="86"/>
              </w:rPr>
              <w:t>Recorded</w:t>
            </w:r>
          </w:p>
        </w:tc>
      </w:tr>
      <w:tr>
        <w:trPr>
          <w:trHeight w:val="161"/>
        </w:trPr>
        <w:tc>
          <w:tcPr>
            <w:tcW w:w="7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2"/>
              </w:rPr>
              <w:t>contracts</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3"/>
              </w:rPr>
              <w:t>investment</w:t>
            </w:r>
          </w:p>
        </w:tc>
        <w:tc>
          <w:tcPr>
            <w:tcW w:w="160" w:type="dxa"/>
            <w:vAlign w:val="bottom"/>
          </w:tcPr>
          <w:p>
            <w:pPr>
              <w:spacing w:after="0"/>
              <w:rPr>
                <w:sz w:val="14"/>
                <w:szCs w:val="14"/>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contracts</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6"/>
              </w:rPr>
              <w:t>investment</w:t>
            </w:r>
          </w:p>
        </w:tc>
      </w:tr>
      <w:tr>
        <w:trPr>
          <w:trHeight w:val="129"/>
        </w:trPr>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tcPr>
          <w:p>
            <w:pPr>
              <w:jc w:val="center"/>
              <w:ind w:right="52"/>
              <w:spacing w:after="0" w:line="129" w:lineRule="exact"/>
              <w:rPr>
                <w:sz w:val="20"/>
                <w:szCs w:val="20"/>
                <w:color w:val="auto"/>
              </w:rPr>
            </w:pPr>
            <w:r>
              <w:rPr>
                <w:rFonts w:ascii="Arial" w:cs="Arial" w:eastAsia="Arial" w:hAnsi="Arial"/>
                <w:sz w:val="14"/>
                <w:szCs w:val="14"/>
                <w:b w:val="1"/>
                <w:bCs w:val="1"/>
                <w:i w:val="1"/>
                <w:iCs w:val="1"/>
                <w:color w:val="auto"/>
                <w:w w:val="86"/>
              </w:rPr>
              <w:t>(in millions)</w:t>
            </w: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jc w:val="center"/>
              <w:ind w:right="32"/>
              <w:spacing w:after="0" w:line="129" w:lineRule="exact"/>
              <w:rPr>
                <w:sz w:val="20"/>
                <w:szCs w:val="20"/>
                <w:color w:val="auto"/>
              </w:rPr>
            </w:pPr>
            <w:r>
              <w:rPr>
                <w:rFonts w:ascii="Arial" w:cs="Arial" w:eastAsia="Arial" w:hAnsi="Arial"/>
                <w:sz w:val="14"/>
                <w:szCs w:val="14"/>
                <w:b w:val="1"/>
                <w:bCs w:val="1"/>
                <w:i w:val="1"/>
                <w:iCs w:val="1"/>
                <w:color w:val="auto"/>
                <w:w w:val="86"/>
              </w:rPr>
              <w:t>(in millions)</w:t>
            </w:r>
          </w:p>
        </w:tc>
      </w:tr>
      <w:tr>
        <w:trPr>
          <w:trHeight w:val="149"/>
        </w:trPr>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0.9</w:t>
            </w:r>
          </w:p>
        </w:tc>
        <w:tc>
          <w:tcPr>
            <w:tcW w:w="16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r>
      <w:tr>
        <w:trPr>
          <w:trHeight w:val="149"/>
        </w:trPr>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69</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3.8</w:t>
            </w:r>
          </w:p>
        </w:tc>
        <w:tc>
          <w:tcPr>
            <w:tcW w:w="9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19</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r>
      <w:tr>
        <w:trPr>
          <w:trHeight w:val="161"/>
        </w:trPr>
        <w:tc>
          <w:tcPr>
            <w:tcW w:w="780" w:type="dxa"/>
            <w:vAlign w:val="bottom"/>
          </w:tcPr>
          <w:p>
            <w:pPr>
              <w:jc w:val="right"/>
              <w:spacing w:after="0"/>
              <w:rPr>
                <w:sz w:val="20"/>
                <w:szCs w:val="20"/>
                <w:color w:val="auto"/>
              </w:rPr>
            </w:pPr>
            <w:r>
              <w:rPr>
                <w:rFonts w:ascii="Arial" w:cs="Arial" w:eastAsia="Arial" w:hAnsi="Arial"/>
                <w:sz w:val="14"/>
                <w:szCs w:val="14"/>
                <w:b w:val="1"/>
                <w:bCs w:val="1"/>
                <w:color w:val="auto"/>
              </w:rPr>
              <w:t>3</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b w:val="1"/>
                <w:bCs w:val="1"/>
                <w:color w:val="auto"/>
              </w:rPr>
              <w:t>0.6</w:t>
            </w:r>
          </w:p>
        </w:tc>
        <w:tc>
          <w:tcPr>
            <w:tcW w:w="920" w:type="dxa"/>
            <w:vAlign w:val="bottom"/>
            <w:gridSpan w:val="2"/>
          </w:tcPr>
          <w:p>
            <w:pPr>
              <w:jc w:val="right"/>
              <w:spacing w:after="0"/>
              <w:rPr>
                <w:sz w:val="20"/>
                <w:szCs w:val="20"/>
                <w:color w:val="auto"/>
              </w:rPr>
            </w:pPr>
            <w:r>
              <w:rPr>
                <w:rFonts w:ascii="Arial" w:cs="Arial" w:eastAsia="Arial" w:hAnsi="Arial"/>
                <w:sz w:val="14"/>
                <w:szCs w:val="14"/>
                <w:b w:val="1"/>
                <w:bCs w:val="1"/>
                <w:color w:val="auto"/>
              </w:rPr>
              <w:t>1</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b w:val="1"/>
                <w:bCs w:val="1"/>
                <w:color w:val="auto"/>
              </w:rPr>
              <w:t>0.3</w:t>
            </w:r>
          </w:p>
        </w:tc>
      </w:tr>
      <w:tr>
        <w:trPr>
          <w:trHeight w:val="142"/>
        </w:trPr>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74</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76"/>
              </w:rPr>
              <w:t>$</w:t>
            </w:r>
          </w:p>
        </w:tc>
        <w:tc>
          <w:tcPr>
            <w:tcW w:w="8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5.3</w:t>
            </w:r>
          </w:p>
        </w:tc>
        <w:tc>
          <w:tcPr>
            <w:tcW w:w="160" w:type="dxa"/>
            <w:vAlign w:val="bottom"/>
          </w:tcPr>
          <w:p>
            <w:pPr>
              <w:spacing w:after="0"/>
              <w:rPr>
                <w:sz w:val="12"/>
                <w:szCs w:val="12"/>
                <w:color w:val="auto"/>
              </w:rPr>
            </w:pPr>
          </w:p>
        </w:tc>
        <w:tc>
          <w:tcPr>
            <w:tcW w:w="7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0.3</w:t>
            </w:r>
          </w:p>
        </w:tc>
      </w:tr>
      <w:tr>
        <w:trPr>
          <w:trHeight w:val="20"/>
        </w:trPr>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r>
        <w:trPr>
          <w:trHeight w:val="777"/>
        </w:trPr>
        <w:tc>
          <w:tcPr>
            <w:tcW w:w="780" w:type="dxa"/>
            <w:vAlign w:val="bottom"/>
            <w:tcBorders>
              <w:bottom w:val="single" w:sz="8" w:color="auto"/>
            </w:tcBorders>
          </w:tcPr>
          <w:p>
            <w:pPr>
              <w:spacing w:after="0"/>
              <w:rPr>
                <w:sz w:val="24"/>
                <w:szCs w:val="24"/>
                <w:color w:val="auto"/>
              </w:rPr>
            </w:pPr>
          </w:p>
        </w:tc>
        <w:tc>
          <w:tcPr>
            <w:tcW w:w="2220" w:type="dxa"/>
            <w:vAlign w:val="bottom"/>
            <w:tcBorders>
              <w:bottom w:val="single" w:sz="8" w:color="auto"/>
            </w:tcBorders>
            <w:gridSpan w:val="7"/>
          </w:tcPr>
          <w:p>
            <w:pPr>
              <w:jc w:val="right"/>
              <w:spacing w:after="0"/>
              <w:rPr>
                <w:sz w:val="20"/>
                <w:szCs w:val="20"/>
                <w:color w:val="auto"/>
              </w:rPr>
            </w:pPr>
            <w:r>
              <w:rPr>
                <w:rFonts w:ascii="Arial" w:cs="Arial" w:eastAsia="Arial" w:hAnsi="Arial"/>
                <w:sz w:val="14"/>
                <w:szCs w:val="14"/>
                <w:b w:val="1"/>
                <w:bCs w:val="1"/>
                <w:color w:val="auto"/>
                <w:w w:val="86"/>
              </w:rPr>
              <w:t>For the year ended December 31, 2012</w:t>
            </w:r>
          </w:p>
        </w:tc>
        <w:tc>
          <w:tcPr>
            <w:tcW w:w="780" w:type="dxa"/>
            <w:vAlign w:val="bottom"/>
            <w:tcBorders>
              <w:bottom w:val="single" w:sz="8" w:color="auto"/>
            </w:tcBorders>
          </w:tcPr>
          <w:p>
            <w:pPr>
              <w:spacing w:after="0"/>
              <w:rPr>
                <w:sz w:val="24"/>
                <w:szCs w:val="24"/>
                <w:color w:val="auto"/>
              </w:rPr>
            </w:pPr>
          </w:p>
        </w:tc>
      </w:tr>
      <w:tr>
        <w:trPr>
          <w:trHeight w:val="142"/>
        </w:trPr>
        <w:tc>
          <w:tcPr>
            <w:tcW w:w="1820" w:type="dxa"/>
            <w:vAlign w:val="bottom"/>
            <w:tcBorders>
              <w:bottom w:val="single" w:sz="8" w:color="auto"/>
            </w:tcBorders>
            <w:gridSpan w:val="4"/>
          </w:tcPr>
          <w:p>
            <w:pPr>
              <w:jc w:val="right"/>
              <w:ind w:right="692"/>
              <w:spacing w:after="0" w:line="142" w:lineRule="exact"/>
              <w:rPr>
                <w:sz w:val="20"/>
                <w:szCs w:val="20"/>
                <w:color w:val="auto"/>
              </w:rPr>
            </w:pPr>
            <w:r>
              <w:rPr>
                <w:rFonts w:ascii="Arial" w:cs="Arial" w:eastAsia="Arial" w:hAnsi="Arial"/>
                <w:sz w:val="14"/>
                <w:szCs w:val="14"/>
                <w:b w:val="1"/>
                <w:bCs w:val="1"/>
                <w:color w:val="auto"/>
              </w:rPr>
              <w:t>TDRs</w:t>
            </w:r>
          </w:p>
        </w:tc>
        <w:tc>
          <w:tcPr>
            <w:tcW w:w="160" w:type="dxa"/>
            <w:vAlign w:val="bottom"/>
          </w:tcPr>
          <w:p>
            <w:pPr>
              <w:spacing w:after="0"/>
              <w:rPr>
                <w:sz w:val="12"/>
                <w:szCs w:val="12"/>
                <w:color w:val="auto"/>
              </w:rPr>
            </w:pPr>
          </w:p>
        </w:tc>
        <w:tc>
          <w:tcPr>
            <w:tcW w:w="1800" w:type="dxa"/>
            <w:vAlign w:val="bottom"/>
            <w:tcBorders>
              <w:bottom w:val="single" w:sz="8" w:color="auto"/>
            </w:tcBorders>
            <w:gridSpan w:val="4"/>
          </w:tcPr>
          <w:p>
            <w:pPr>
              <w:jc w:val="right"/>
              <w:ind w:right="112"/>
              <w:spacing w:after="0" w:line="142" w:lineRule="exact"/>
              <w:rPr>
                <w:sz w:val="20"/>
                <w:szCs w:val="20"/>
                <w:color w:val="auto"/>
              </w:rPr>
            </w:pPr>
            <w:r>
              <w:rPr>
                <w:rFonts w:ascii="Arial" w:cs="Arial" w:eastAsia="Arial" w:hAnsi="Arial"/>
                <w:sz w:val="14"/>
                <w:szCs w:val="14"/>
                <w:b w:val="1"/>
                <w:bCs w:val="1"/>
                <w:color w:val="auto"/>
                <w:w w:val="97"/>
              </w:rPr>
              <w:t>TDRs in payment default</w:t>
            </w:r>
          </w:p>
        </w:tc>
      </w:tr>
      <w:tr>
        <w:trPr>
          <w:trHeight w:val="129"/>
        </w:trPr>
        <w:tc>
          <w:tcPr>
            <w:tcW w:w="7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91"/>
              </w:rPr>
              <w:t>Number of</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tcPr>
          <w:p>
            <w:pPr>
              <w:jc w:val="center"/>
              <w:ind w:right="52"/>
              <w:spacing w:after="0" w:line="129" w:lineRule="exact"/>
              <w:rPr>
                <w:sz w:val="20"/>
                <w:szCs w:val="20"/>
                <w:color w:val="auto"/>
              </w:rPr>
            </w:pPr>
            <w:r>
              <w:rPr>
                <w:rFonts w:ascii="Arial" w:cs="Arial" w:eastAsia="Arial" w:hAnsi="Arial"/>
                <w:sz w:val="14"/>
                <w:szCs w:val="14"/>
                <w:b w:val="1"/>
                <w:bCs w:val="1"/>
                <w:color w:val="auto"/>
                <w:w w:val="86"/>
              </w:rPr>
              <w:t>Recorded</w:t>
            </w:r>
          </w:p>
        </w:tc>
        <w:tc>
          <w:tcPr>
            <w:tcW w:w="160" w:type="dxa"/>
            <w:vAlign w:val="bottom"/>
          </w:tcPr>
          <w:p>
            <w:pPr>
              <w:spacing w:after="0"/>
              <w:rPr>
                <w:sz w:val="11"/>
                <w:szCs w:val="11"/>
                <w:color w:val="auto"/>
              </w:rPr>
            </w:pPr>
          </w:p>
        </w:tc>
        <w:tc>
          <w:tcPr>
            <w:tcW w:w="76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8"/>
              </w:rPr>
              <w:t>Number of</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jc w:val="center"/>
              <w:ind w:right="32"/>
              <w:spacing w:after="0" w:line="129" w:lineRule="exact"/>
              <w:rPr>
                <w:sz w:val="20"/>
                <w:szCs w:val="20"/>
                <w:color w:val="auto"/>
              </w:rPr>
            </w:pPr>
            <w:r>
              <w:rPr>
                <w:rFonts w:ascii="Arial" w:cs="Arial" w:eastAsia="Arial" w:hAnsi="Arial"/>
                <w:sz w:val="14"/>
                <w:szCs w:val="14"/>
                <w:b w:val="1"/>
                <w:bCs w:val="1"/>
                <w:color w:val="auto"/>
                <w:w w:val="86"/>
              </w:rPr>
              <w:t>Recorded</w:t>
            </w:r>
          </w:p>
        </w:tc>
      </w:tr>
      <w:tr>
        <w:trPr>
          <w:trHeight w:val="161"/>
        </w:trPr>
        <w:tc>
          <w:tcPr>
            <w:tcW w:w="7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2"/>
              </w:rPr>
              <w:t>contracts</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3"/>
              </w:rPr>
              <w:t>investment</w:t>
            </w:r>
          </w:p>
        </w:tc>
        <w:tc>
          <w:tcPr>
            <w:tcW w:w="160" w:type="dxa"/>
            <w:vAlign w:val="bottom"/>
          </w:tcPr>
          <w:p>
            <w:pPr>
              <w:spacing w:after="0"/>
              <w:rPr>
                <w:sz w:val="14"/>
                <w:szCs w:val="14"/>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contracts</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6"/>
              </w:rPr>
              <w:t>investment</w:t>
            </w:r>
          </w:p>
        </w:tc>
      </w:tr>
      <w:tr>
        <w:trPr>
          <w:trHeight w:val="131"/>
        </w:trPr>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tcPr>
          <w:p>
            <w:pPr>
              <w:jc w:val="center"/>
              <w:ind w:right="52"/>
              <w:spacing w:after="0" w:line="131" w:lineRule="exact"/>
              <w:rPr>
                <w:sz w:val="20"/>
                <w:szCs w:val="20"/>
                <w:color w:val="auto"/>
              </w:rPr>
            </w:pPr>
            <w:r>
              <w:rPr>
                <w:rFonts w:ascii="Arial" w:cs="Arial" w:eastAsia="Arial" w:hAnsi="Arial"/>
                <w:sz w:val="14"/>
                <w:szCs w:val="14"/>
                <w:b w:val="1"/>
                <w:bCs w:val="1"/>
                <w:i w:val="1"/>
                <w:iCs w:val="1"/>
                <w:color w:val="auto"/>
                <w:w w:val="86"/>
              </w:rPr>
              <w:t>(in millions)</w:t>
            </w: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jc w:val="center"/>
              <w:ind w:right="32"/>
              <w:spacing w:after="0" w:line="131" w:lineRule="exact"/>
              <w:rPr>
                <w:sz w:val="20"/>
                <w:szCs w:val="20"/>
                <w:color w:val="auto"/>
              </w:rPr>
            </w:pPr>
            <w:r>
              <w:rPr>
                <w:rFonts w:ascii="Arial" w:cs="Arial" w:eastAsia="Arial" w:hAnsi="Arial"/>
                <w:sz w:val="14"/>
                <w:szCs w:val="14"/>
                <w:b w:val="1"/>
                <w:bCs w:val="1"/>
                <w:i w:val="1"/>
                <w:iCs w:val="1"/>
                <w:color w:val="auto"/>
                <w:w w:val="86"/>
              </w:rPr>
              <w:t>(in millions)</w:t>
            </w:r>
          </w:p>
        </w:tc>
      </w:tr>
      <w:tr>
        <w:trPr>
          <w:trHeight w:val="149"/>
        </w:trPr>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2</w:t>
            </w:r>
          </w:p>
        </w:tc>
        <w:tc>
          <w:tcPr>
            <w:tcW w:w="240" w:type="dxa"/>
            <w:vAlign w:val="bottom"/>
            <w:gridSpan w:val="2"/>
          </w:tcPr>
          <w:p>
            <w:pPr>
              <w:ind w:left="160"/>
              <w:spacing w:after="0" w:line="149" w:lineRule="exact"/>
              <w:rPr>
                <w:sz w:val="20"/>
                <w:szCs w:val="20"/>
                <w:color w:val="auto"/>
              </w:rPr>
            </w:pPr>
            <w:r>
              <w:rPr>
                <w:rFonts w:ascii="Arial" w:cs="Arial" w:eastAsia="Arial" w:hAnsi="Arial"/>
                <w:sz w:val="14"/>
                <w:szCs w:val="14"/>
                <w:color w:val="auto"/>
                <w:w w:val="76"/>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18.0</w:t>
            </w:r>
          </w:p>
        </w:tc>
        <w:tc>
          <w:tcPr>
            <w:tcW w:w="9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13.7</w:t>
            </w:r>
          </w:p>
        </w:tc>
      </w:tr>
      <w:tr>
        <w:trPr>
          <w:trHeight w:val="149"/>
        </w:trPr>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324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15.0</w:t>
            </w:r>
          </w:p>
        </w:tc>
        <w:tc>
          <w:tcPr>
            <w:tcW w:w="9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12</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r>
      <w:tr>
        <w:trPr>
          <w:trHeight w:val="159"/>
        </w:trPr>
        <w:tc>
          <w:tcPr>
            <w:tcW w:w="780" w:type="dxa"/>
            <w:vAlign w:val="bottom"/>
            <w:tcBorders>
              <w:bottom w:val="single" w:sz="8" w:color="auto"/>
            </w:tcBorders>
          </w:tcPr>
          <w:p>
            <w:pPr>
              <w:jc w:val="right"/>
              <w:spacing w:after="0" w:line="159" w:lineRule="exact"/>
              <w:rPr>
                <w:sz w:val="20"/>
                <w:szCs w:val="20"/>
                <w:color w:val="auto"/>
              </w:rPr>
            </w:pPr>
            <w:r>
              <w:rPr>
                <w:rFonts w:ascii="Arial" w:cs="Arial" w:eastAsia="Arial" w:hAnsi="Arial"/>
                <w:sz w:val="14"/>
                <w:szCs w:val="14"/>
                <w:color w:val="auto"/>
              </w:rPr>
              <w:t>12</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00" w:type="dxa"/>
            <w:vAlign w:val="bottom"/>
            <w:tcBorders>
              <w:bottom w:val="single" w:sz="8" w:color="auto"/>
            </w:tcBorders>
          </w:tcPr>
          <w:p>
            <w:pPr>
              <w:jc w:val="right"/>
              <w:spacing w:after="0" w:line="159" w:lineRule="exact"/>
              <w:rPr>
                <w:sz w:val="20"/>
                <w:szCs w:val="20"/>
                <w:color w:val="auto"/>
              </w:rPr>
            </w:pPr>
            <w:r>
              <w:rPr>
                <w:rFonts w:ascii="Arial" w:cs="Arial" w:eastAsia="Arial" w:hAnsi="Arial"/>
                <w:sz w:val="14"/>
                <w:szCs w:val="14"/>
                <w:color w:val="auto"/>
              </w:rPr>
              <w:t>2.1</w:t>
            </w:r>
          </w:p>
        </w:tc>
        <w:tc>
          <w:tcPr>
            <w:tcW w:w="160" w:type="dxa"/>
            <w:vAlign w:val="bottom"/>
          </w:tcPr>
          <w:p>
            <w:pPr>
              <w:spacing w:after="0"/>
              <w:rPr>
                <w:sz w:val="13"/>
                <w:szCs w:val="13"/>
                <w:color w:val="auto"/>
              </w:rPr>
            </w:pPr>
          </w:p>
        </w:tc>
        <w:tc>
          <w:tcPr>
            <w:tcW w:w="760" w:type="dxa"/>
            <w:vAlign w:val="bottom"/>
            <w:tcBorders>
              <w:bottom w:val="single" w:sz="8" w:color="auto"/>
            </w:tcBorders>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jc w:val="right"/>
              <w:spacing w:after="0" w:line="159" w:lineRule="exact"/>
              <w:rPr>
                <w:sz w:val="20"/>
                <w:szCs w:val="20"/>
                <w:color w:val="auto"/>
              </w:rPr>
            </w:pPr>
            <w:r>
              <w:rPr>
                <w:rFonts w:ascii="Arial" w:cs="Arial" w:eastAsia="Arial" w:hAnsi="Arial"/>
                <w:sz w:val="14"/>
                <w:szCs w:val="14"/>
                <w:color w:val="auto"/>
              </w:rPr>
              <w:t>—</w:t>
            </w:r>
          </w:p>
        </w:tc>
      </w:tr>
      <w:tr>
        <w:trPr>
          <w:trHeight w:val="142"/>
        </w:trPr>
        <w:tc>
          <w:tcPr>
            <w:tcW w:w="7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338</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35.1</w:t>
            </w:r>
          </w:p>
        </w:tc>
        <w:tc>
          <w:tcPr>
            <w:tcW w:w="160" w:type="dxa"/>
            <w:vAlign w:val="bottom"/>
          </w:tcPr>
          <w:p>
            <w:pPr>
              <w:spacing w:after="0"/>
              <w:rPr>
                <w:sz w:val="12"/>
                <w:szCs w:val="12"/>
                <w:color w:val="auto"/>
              </w:rPr>
            </w:pPr>
          </w:p>
        </w:tc>
        <w:tc>
          <w:tcPr>
            <w:tcW w:w="7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13</w:t>
            </w:r>
          </w:p>
        </w:tc>
        <w:tc>
          <w:tcPr>
            <w:tcW w:w="160" w:type="dxa"/>
            <w:vAlign w:val="bottom"/>
          </w:tcPr>
          <w:p>
            <w:pPr>
              <w:spacing w:after="0"/>
              <w:rPr>
                <w:sz w:val="12"/>
                <w:szCs w:val="12"/>
                <w:color w:val="auto"/>
              </w:rPr>
            </w:pPr>
          </w:p>
        </w:tc>
        <w:tc>
          <w:tcPr>
            <w:tcW w:w="1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7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13.7</w:t>
            </w:r>
          </w:p>
        </w:tc>
      </w:tr>
      <w:tr>
        <w:trPr>
          <w:trHeight w:val="20"/>
        </w:trPr>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r>
        <w:trPr>
          <w:trHeight w:val="777"/>
        </w:trPr>
        <w:tc>
          <w:tcPr>
            <w:tcW w:w="780" w:type="dxa"/>
            <w:vAlign w:val="bottom"/>
            <w:tcBorders>
              <w:bottom w:val="single" w:sz="8" w:color="auto"/>
            </w:tcBorders>
          </w:tcPr>
          <w:p>
            <w:pPr>
              <w:spacing w:after="0"/>
              <w:rPr>
                <w:sz w:val="24"/>
                <w:szCs w:val="24"/>
                <w:color w:val="auto"/>
              </w:rPr>
            </w:pPr>
          </w:p>
        </w:tc>
        <w:tc>
          <w:tcPr>
            <w:tcW w:w="2220" w:type="dxa"/>
            <w:vAlign w:val="bottom"/>
            <w:tcBorders>
              <w:bottom w:val="single" w:sz="8" w:color="auto"/>
            </w:tcBorders>
            <w:gridSpan w:val="7"/>
          </w:tcPr>
          <w:p>
            <w:pPr>
              <w:jc w:val="right"/>
              <w:spacing w:after="0"/>
              <w:rPr>
                <w:sz w:val="20"/>
                <w:szCs w:val="20"/>
                <w:color w:val="auto"/>
              </w:rPr>
            </w:pPr>
            <w:r>
              <w:rPr>
                <w:rFonts w:ascii="Arial" w:cs="Arial" w:eastAsia="Arial" w:hAnsi="Arial"/>
                <w:sz w:val="14"/>
                <w:szCs w:val="14"/>
                <w:b w:val="1"/>
                <w:bCs w:val="1"/>
                <w:color w:val="auto"/>
                <w:w w:val="85"/>
              </w:rPr>
              <w:t>For the year ended December 31, 2011</w:t>
            </w:r>
          </w:p>
        </w:tc>
        <w:tc>
          <w:tcPr>
            <w:tcW w:w="780" w:type="dxa"/>
            <w:vAlign w:val="bottom"/>
            <w:tcBorders>
              <w:bottom w:val="single" w:sz="8" w:color="auto"/>
            </w:tcBorders>
          </w:tcPr>
          <w:p>
            <w:pPr>
              <w:spacing w:after="0"/>
              <w:rPr>
                <w:sz w:val="24"/>
                <w:szCs w:val="24"/>
                <w:color w:val="auto"/>
              </w:rPr>
            </w:pPr>
          </w:p>
        </w:tc>
      </w:tr>
      <w:tr>
        <w:trPr>
          <w:trHeight w:val="142"/>
        </w:trPr>
        <w:tc>
          <w:tcPr>
            <w:tcW w:w="1820" w:type="dxa"/>
            <w:vAlign w:val="bottom"/>
            <w:tcBorders>
              <w:bottom w:val="single" w:sz="8" w:color="auto"/>
            </w:tcBorders>
            <w:gridSpan w:val="4"/>
          </w:tcPr>
          <w:p>
            <w:pPr>
              <w:jc w:val="right"/>
              <w:ind w:right="692"/>
              <w:spacing w:after="0" w:line="142" w:lineRule="exact"/>
              <w:rPr>
                <w:sz w:val="20"/>
                <w:szCs w:val="20"/>
                <w:color w:val="auto"/>
              </w:rPr>
            </w:pPr>
            <w:r>
              <w:rPr>
                <w:rFonts w:ascii="Arial" w:cs="Arial" w:eastAsia="Arial" w:hAnsi="Arial"/>
                <w:sz w:val="14"/>
                <w:szCs w:val="14"/>
                <w:b w:val="1"/>
                <w:bCs w:val="1"/>
                <w:color w:val="auto"/>
              </w:rPr>
              <w:t>TDRs</w:t>
            </w:r>
          </w:p>
        </w:tc>
        <w:tc>
          <w:tcPr>
            <w:tcW w:w="160" w:type="dxa"/>
            <w:vAlign w:val="bottom"/>
          </w:tcPr>
          <w:p>
            <w:pPr>
              <w:spacing w:after="0"/>
              <w:rPr>
                <w:sz w:val="12"/>
                <w:szCs w:val="12"/>
                <w:color w:val="auto"/>
              </w:rPr>
            </w:pPr>
          </w:p>
        </w:tc>
        <w:tc>
          <w:tcPr>
            <w:tcW w:w="1800" w:type="dxa"/>
            <w:vAlign w:val="bottom"/>
            <w:tcBorders>
              <w:bottom w:val="single" w:sz="8" w:color="auto"/>
            </w:tcBorders>
            <w:gridSpan w:val="4"/>
          </w:tcPr>
          <w:p>
            <w:pPr>
              <w:jc w:val="right"/>
              <w:ind w:right="112"/>
              <w:spacing w:after="0" w:line="142" w:lineRule="exact"/>
              <w:rPr>
                <w:sz w:val="20"/>
                <w:szCs w:val="20"/>
                <w:color w:val="auto"/>
              </w:rPr>
            </w:pPr>
            <w:r>
              <w:rPr>
                <w:rFonts w:ascii="Arial" w:cs="Arial" w:eastAsia="Arial" w:hAnsi="Arial"/>
                <w:sz w:val="14"/>
                <w:szCs w:val="14"/>
                <w:b w:val="1"/>
                <w:bCs w:val="1"/>
                <w:color w:val="auto"/>
                <w:w w:val="97"/>
              </w:rPr>
              <w:t>TDRs in payment default</w:t>
            </w:r>
          </w:p>
        </w:tc>
      </w:tr>
      <w:tr>
        <w:trPr>
          <w:trHeight w:val="129"/>
        </w:trPr>
        <w:tc>
          <w:tcPr>
            <w:tcW w:w="7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91"/>
              </w:rPr>
              <w:t>Number of</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tcPr>
          <w:p>
            <w:pPr>
              <w:jc w:val="center"/>
              <w:ind w:right="52"/>
              <w:spacing w:after="0" w:line="129" w:lineRule="exact"/>
              <w:rPr>
                <w:sz w:val="20"/>
                <w:szCs w:val="20"/>
                <w:color w:val="auto"/>
              </w:rPr>
            </w:pPr>
            <w:r>
              <w:rPr>
                <w:rFonts w:ascii="Arial" w:cs="Arial" w:eastAsia="Arial" w:hAnsi="Arial"/>
                <w:sz w:val="14"/>
                <w:szCs w:val="14"/>
                <w:b w:val="1"/>
                <w:bCs w:val="1"/>
                <w:color w:val="auto"/>
                <w:w w:val="86"/>
              </w:rPr>
              <w:t>Recorded</w:t>
            </w:r>
          </w:p>
        </w:tc>
        <w:tc>
          <w:tcPr>
            <w:tcW w:w="160" w:type="dxa"/>
            <w:vAlign w:val="bottom"/>
          </w:tcPr>
          <w:p>
            <w:pPr>
              <w:spacing w:after="0"/>
              <w:rPr>
                <w:sz w:val="11"/>
                <w:szCs w:val="11"/>
                <w:color w:val="auto"/>
              </w:rPr>
            </w:pPr>
          </w:p>
        </w:tc>
        <w:tc>
          <w:tcPr>
            <w:tcW w:w="76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8"/>
              </w:rPr>
              <w:t>Number of</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jc w:val="center"/>
              <w:ind w:right="32"/>
              <w:spacing w:after="0" w:line="129" w:lineRule="exact"/>
              <w:rPr>
                <w:sz w:val="20"/>
                <w:szCs w:val="20"/>
                <w:color w:val="auto"/>
              </w:rPr>
            </w:pPr>
            <w:r>
              <w:rPr>
                <w:rFonts w:ascii="Arial" w:cs="Arial" w:eastAsia="Arial" w:hAnsi="Arial"/>
                <w:sz w:val="14"/>
                <w:szCs w:val="14"/>
                <w:b w:val="1"/>
                <w:bCs w:val="1"/>
                <w:color w:val="auto"/>
                <w:w w:val="86"/>
              </w:rPr>
              <w:t>Recorded</w:t>
            </w:r>
          </w:p>
        </w:tc>
      </w:tr>
      <w:tr>
        <w:trPr>
          <w:trHeight w:val="161"/>
        </w:trPr>
        <w:tc>
          <w:tcPr>
            <w:tcW w:w="7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2"/>
              </w:rPr>
              <w:t>contracts</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3"/>
              </w:rPr>
              <w:t>investment</w:t>
            </w:r>
          </w:p>
        </w:tc>
        <w:tc>
          <w:tcPr>
            <w:tcW w:w="160" w:type="dxa"/>
            <w:vAlign w:val="bottom"/>
          </w:tcPr>
          <w:p>
            <w:pPr>
              <w:spacing w:after="0"/>
              <w:rPr>
                <w:sz w:val="14"/>
                <w:szCs w:val="14"/>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contracts</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6"/>
              </w:rPr>
              <w:t>investment</w:t>
            </w:r>
          </w:p>
        </w:tc>
      </w:tr>
      <w:tr>
        <w:trPr>
          <w:trHeight w:val="131"/>
        </w:trPr>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tcPr>
          <w:p>
            <w:pPr>
              <w:jc w:val="center"/>
              <w:ind w:right="52"/>
              <w:spacing w:after="0" w:line="131" w:lineRule="exact"/>
              <w:rPr>
                <w:sz w:val="20"/>
                <w:szCs w:val="20"/>
                <w:color w:val="auto"/>
              </w:rPr>
            </w:pPr>
            <w:r>
              <w:rPr>
                <w:rFonts w:ascii="Arial" w:cs="Arial" w:eastAsia="Arial" w:hAnsi="Arial"/>
                <w:sz w:val="14"/>
                <w:szCs w:val="14"/>
                <w:b w:val="1"/>
                <w:bCs w:val="1"/>
                <w:i w:val="1"/>
                <w:iCs w:val="1"/>
                <w:color w:val="auto"/>
                <w:w w:val="86"/>
              </w:rPr>
              <w:t>(in millions)</w:t>
            </w: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jc w:val="center"/>
              <w:ind w:right="32"/>
              <w:spacing w:after="0" w:line="131" w:lineRule="exact"/>
              <w:rPr>
                <w:sz w:val="20"/>
                <w:szCs w:val="20"/>
                <w:color w:val="auto"/>
              </w:rPr>
            </w:pPr>
            <w:r>
              <w:rPr>
                <w:rFonts w:ascii="Arial" w:cs="Arial" w:eastAsia="Arial" w:hAnsi="Arial"/>
                <w:sz w:val="14"/>
                <w:szCs w:val="14"/>
                <w:b w:val="1"/>
                <w:bCs w:val="1"/>
                <w:i w:val="1"/>
                <w:iCs w:val="1"/>
                <w:color w:val="auto"/>
                <w:w w:val="86"/>
              </w:rPr>
              <w:t>(in millions)</w:t>
            </w:r>
          </w:p>
        </w:tc>
      </w:tr>
      <w:tr>
        <w:trPr>
          <w:trHeight w:val="149"/>
        </w:trPr>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w:t>
            </w:r>
          </w:p>
        </w:tc>
        <w:tc>
          <w:tcPr>
            <w:tcW w:w="240" w:type="dxa"/>
            <w:vAlign w:val="bottom"/>
            <w:gridSpan w:val="2"/>
          </w:tcPr>
          <w:p>
            <w:pPr>
              <w:ind w:left="160"/>
              <w:spacing w:after="0" w:line="149" w:lineRule="exact"/>
              <w:rPr>
                <w:sz w:val="20"/>
                <w:szCs w:val="20"/>
                <w:color w:val="auto"/>
              </w:rPr>
            </w:pPr>
            <w:r>
              <w:rPr>
                <w:rFonts w:ascii="Arial" w:cs="Arial" w:eastAsia="Arial" w:hAnsi="Arial"/>
                <w:sz w:val="14"/>
                <w:szCs w:val="14"/>
                <w:color w:val="auto"/>
                <w:w w:val="76"/>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4.4</w:t>
            </w:r>
          </w:p>
        </w:tc>
        <w:tc>
          <w:tcPr>
            <w:tcW w:w="9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4.4</w:t>
            </w:r>
          </w:p>
        </w:tc>
      </w:tr>
      <w:tr>
        <w:trPr>
          <w:trHeight w:val="149"/>
        </w:trPr>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151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7.9</w:t>
            </w:r>
          </w:p>
        </w:tc>
        <w:tc>
          <w:tcPr>
            <w:tcW w:w="9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6</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r>
      <w:tr>
        <w:trPr>
          <w:trHeight w:val="159"/>
        </w:trPr>
        <w:tc>
          <w:tcPr>
            <w:tcW w:w="780" w:type="dxa"/>
            <w:vAlign w:val="bottom"/>
          </w:tcPr>
          <w:p>
            <w:pPr>
              <w:jc w:val="right"/>
              <w:spacing w:after="0" w:line="159" w:lineRule="exact"/>
              <w:rPr>
                <w:sz w:val="20"/>
                <w:szCs w:val="20"/>
                <w:color w:val="auto"/>
              </w:rPr>
            </w:pPr>
            <w:r>
              <w:rPr>
                <w:rFonts w:ascii="Arial" w:cs="Arial" w:eastAsia="Arial" w:hAnsi="Arial"/>
                <w:sz w:val="14"/>
                <w:szCs w:val="14"/>
                <w:color w:val="auto"/>
              </w:rPr>
              <w:t>7</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0" w:type="dxa"/>
            <w:vAlign w:val="bottom"/>
          </w:tcPr>
          <w:p>
            <w:pPr>
              <w:jc w:val="right"/>
              <w:spacing w:after="0" w:line="159" w:lineRule="exact"/>
              <w:rPr>
                <w:sz w:val="20"/>
                <w:szCs w:val="20"/>
                <w:color w:val="auto"/>
              </w:rPr>
            </w:pPr>
            <w:r>
              <w:rPr>
                <w:rFonts w:ascii="Arial" w:cs="Arial" w:eastAsia="Arial" w:hAnsi="Arial"/>
                <w:sz w:val="14"/>
                <w:szCs w:val="14"/>
                <w:color w:val="auto"/>
              </w:rPr>
              <w:t>1.6</w:t>
            </w:r>
          </w:p>
        </w:tc>
        <w:tc>
          <w:tcPr>
            <w:tcW w:w="92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1</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jc w:val="right"/>
              <w:spacing w:after="0" w:line="159" w:lineRule="exact"/>
              <w:rPr>
                <w:sz w:val="20"/>
                <w:szCs w:val="20"/>
                <w:color w:val="auto"/>
              </w:rPr>
            </w:pPr>
            <w:r>
              <w:rPr>
                <w:rFonts w:ascii="Arial" w:cs="Arial" w:eastAsia="Arial" w:hAnsi="Arial"/>
                <w:sz w:val="14"/>
                <w:szCs w:val="14"/>
                <w:color w:val="auto"/>
              </w:rPr>
              <w:t>0.3</w:t>
            </w:r>
          </w:p>
        </w:tc>
      </w:tr>
      <w:tr>
        <w:trPr>
          <w:trHeight w:val="142"/>
        </w:trPr>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159</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13.9</w:t>
            </w:r>
          </w:p>
        </w:tc>
        <w:tc>
          <w:tcPr>
            <w:tcW w:w="160" w:type="dxa"/>
            <w:vAlign w:val="bottom"/>
          </w:tcPr>
          <w:p>
            <w:pPr>
              <w:spacing w:after="0"/>
              <w:rPr>
                <w:sz w:val="12"/>
                <w:szCs w:val="12"/>
                <w:color w:val="auto"/>
              </w:rPr>
            </w:pPr>
          </w:p>
        </w:tc>
        <w:tc>
          <w:tcPr>
            <w:tcW w:w="7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8</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4.7</w:t>
            </w:r>
          </w:p>
        </w:tc>
      </w:tr>
      <w:tr>
        <w:trPr>
          <w:trHeight w:val="20"/>
        </w:trPr>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-3291205</wp:posOffset>
            </wp:positionH>
            <wp:positionV relativeFrom="paragraph">
              <wp:posOffset>-3052445</wp:posOffset>
            </wp:positionV>
            <wp:extent cx="5797550" cy="9461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5797550" cy="94615"/>
                    </a:xfrm>
                    <a:prstGeom prst="rect">
                      <a:avLst/>
                    </a:prstGeom>
                    <a:noFill/>
                  </pic:spPr>
                </pic:pic>
              </a:graphicData>
            </a:graphic>
          </wp:anchor>
        </w:drawing>
        <w:drawing>
          <wp:anchor simplePos="0" relativeHeight="251657728" behindDoc="1" locked="0" layoutInCell="0" allowOverlap="1">
            <wp:simplePos x="0" y="0"/>
            <wp:positionH relativeFrom="column">
              <wp:posOffset>-3291205</wp:posOffset>
            </wp:positionH>
            <wp:positionV relativeFrom="paragraph">
              <wp:posOffset>-2863850</wp:posOffset>
            </wp:positionV>
            <wp:extent cx="5797550" cy="9461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5797550" cy="94615"/>
                    </a:xfrm>
                    <a:prstGeom prst="rect">
                      <a:avLst/>
                    </a:prstGeom>
                    <a:noFill/>
                  </pic:spPr>
                </pic:pic>
              </a:graphicData>
            </a:graphic>
          </wp:anchor>
        </w:drawing>
        <w:drawing>
          <wp:anchor simplePos="0" relativeHeight="251657728" behindDoc="1" locked="0" layoutInCell="0" allowOverlap="1">
            <wp:simplePos x="0" y="0"/>
            <wp:positionH relativeFrom="column">
              <wp:posOffset>-3291205</wp:posOffset>
            </wp:positionH>
            <wp:positionV relativeFrom="paragraph">
              <wp:posOffset>-1731645</wp:posOffset>
            </wp:positionV>
            <wp:extent cx="5797550" cy="9461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5797550" cy="94615"/>
                    </a:xfrm>
                    <a:prstGeom prst="rect">
                      <a:avLst/>
                    </a:prstGeom>
                    <a:noFill/>
                  </pic:spPr>
                </pic:pic>
              </a:graphicData>
            </a:graphic>
          </wp:anchor>
        </w:drawing>
        <w:drawing>
          <wp:anchor simplePos="0" relativeHeight="251657728" behindDoc="1" locked="0" layoutInCell="0" allowOverlap="1">
            <wp:simplePos x="0" y="0"/>
            <wp:positionH relativeFrom="column">
              <wp:posOffset>-3291205</wp:posOffset>
            </wp:positionH>
            <wp:positionV relativeFrom="paragraph">
              <wp:posOffset>-1543050</wp:posOffset>
            </wp:positionV>
            <wp:extent cx="5797550" cy="9461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5797550" cy="94615"/>
                    </a:xfrm>
                    <a:prstGeom prst="rect">
                      <a:avLst/>
                    </a:prstGeom>
                    <a:noFill/>
                  </pic:spPr>
                </pic:pic>
              </a:graphicData>
            </a:graphic>
          </wp:anchor>
        </w:drawing>
        <w:drawing>
          <wp:anchor simplePos="0" relativeHeight="251657728" behindDoc="1" locked="0" layoutInCell="0" allowOverlap="1">
            <wp:simplePos x="0" y="0"/>
            <wp:positionH relativeFrom="column">
              <wp:posOffset>-3291205</wp:posOffset>
            </wp:positionH>
            <wp:positionV relativeFrom="paragraph">
              <wp:posOffset>-410845</wp:posOffset>
            </wp:positionV>
            <wp:extent cx="5797550" cy="9461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5797550" cy="94615"/>
                    </a:xfrm>
                    <a:prstGeom prst="rect">
                      <a:avLst/>
                    </a:prstGeom>
                    <a:noFill/>
                  </pic:spPr>
                </pic:pic>
              </a:graphicData>
            </a:graphic>
          </wp:anchor>
        </w:drawing>
        <w:drawing>
          <wp:anchor simplePos="0" relativeHeight="251657728" behindDoc="1" locked="0" layoutInCell="0" allowOverlap="1">
            <wp:simplePos x="0" y="0"/>
            <wp:positionH relativeFrom="column">
              <wp:posOffset>-3291205</wp:posOffset>
            </wp:positionH>
            <wp:positionV relativeFrom="paragraph">
              <wp:posOffset>-222250</wp:posOffset>
            </wp:positionV>
            <wp:extent cx="5797550" cy="9461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5797550" cy="9461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5620" w:space="720"/>
            <w:col w:w="5080"/>
          </w:cols>
          <w:pgMar w:left="240" w:top="131" w:right="239" w:bottom="1440" w:gutter="0" w:footer="0" w:header="0"/>
          <w:type w:val="continuous"/>
        </w:sectPr>
      </w:pPr>
    </w:p>
    <w:p>
      <w:pPr>
        <w:spacing w:after="0" w:line="8" w:lineRule="exact"/>
        <w:rPr>
          <w:sz w:val="20"/>
          <w:szCs w:val="20"/>
          <w:color w:val="auto"/>
        </w:rPr>
      </w:pPr>
    </w:p>
    <w:p>
      <w:pPr>
        <w:jc w:val="both"/>
        <w:ind w:firstLine="412"/>
        <w:spacing w:after="0" w:line="268" w:lineRule="auto"/>
        <w:rPr>
          <w:sz w:val="20"/>
          <w:szCs w:val="20"/>
          <w:color w:val="auto"/>
        </w:rPr>
      </w:pPr>
      <w:r>
        <w:rPr>
          <w:rFonts w:ascii="Arial" w:cs="Arial" w:eastAsia="Arial" w:hAnsi="Arial"/>
          <w:sz w:val="18"/>
          <w:szCs w:val="18"/>
          <w:color w:val="auto"/>
        </w:rPr>
        <w:t>Commercial mortgage loans that have been designated as a TDR have been previously reserved in the mortgage loan valuation allowance to the estimated fair value of the underlying collateral reduced by the cost to sell.</w:t>
      </w:r>
    </w:p>
    <w:p>
      <w:pPr>
        <w:spacing w:after="0" w:line="186" w:lineRule="exact"/>
        <w:rPr>
          <w:sz w:val="20"/>
          <w:szCs w:val="20"/>
          <w:color w:val="auto"/>
        </w:rPr>
      </w:pPr>
    </w:p>
    <w:p>
      <w:pPr>
        <w:jc w:val="both"/>
        <w:ind w:right="20" w:firstLine="403"/>
        <w:spacing w:after="0" w:line="332" w:lineRule="auto"/>
        <w:rPr>
          <w:sz w:val="20"/>
          <w:szCs w:val="20"/>
          <w:color w:val="auto"/>
        </w:rPr>
      </w:pPr>
      <w:r>
        <w:rPr>
          <w:rFonts w:ascii="Arial" w:cs="Arial" w:eastAsia="Arial" w:hAnsi="Arial"/>
          <w:sz w:val="16"/>
          <w:szCs w:val="16"/>
          <w:color w:val="auto"/>
        </w:rPr>
        <w:t>Residential mortgage loans that have been designated as a TDR are specifically reserved for in the mortgage loan valuation allowance if losses result from the modification. Residential mortgage loans that have defaulted or have been discharged through bankruptcy are reduced to the expected collectible amount.</w:t>
      </w: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Real Estate</w:t>
      </w:r>
    </w:p>
    <w:p>
      <w:pPr>
        <w:spacing w:after="0" w:line="231" w:lineRule="exact"/>
        <w:rPr>
          <w:sz w:val="20"/>
          <w:szCs w:val="20"/>
          <w:color w:val="auto"/>
        </w:rPr>
      </w:pPr>
    </w:p>
    <w:p>
      <w:pPr>
        <w:jc w:val="both"/>
        <w:ind w:firstLine="540"/>
        <w:spacing w:after="0" w:line="268" w:lineRule="auto"/>
        <w:rPr>
          <w:sz w:val="20"/>
          <w:szCs w:val="20"/>
          <w:color w:val="auto"/>
        </w:rPr>
      </w:pPr>
      <w:r>
        <w:rPr>
          <w:rFonts w:ascii="Arial" w:cs="Arial" w:eastAsia="Arial" w:hAnsi="Arial"/>
          <w:sz w:val="18"/>
          <w:szCs w:val="18"/>
          <w:color w:val="auto"/>
        </w:rPr>
        <w:t>Depreciation expense on invested real estate was $44.4 million, $45.1 million and $41.4 million in 2013, 2012 and 2011, respectively. Accumulated depreciation was $364.9 million and $332.8 million as of December 31, 2013 and 2012, respectively.</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Investments</w:t>
      </w:r>
    </w:p>
    <w:p>
      <w:pPr>
        <w:spacing w:after="0" w:line="231" w:lineRule="exact"/>
        <w:rPr>
          <w:sz w:val="20"/>
          <w:szCs w:val="20"/>
          <w:color w:val="auto"/>
        </w:rPr>
      </w:pPr>
    </w:p>
    <w:p>
      <w:pPr>
        <w:jc w:val="both"/>
        <w:ind w:firstLine="477"/>
        <w:spacing w:after="0" w:line="259" w:lineRule="auto"/>
        <w:rPr>
          <w:sz w:val="20"/>
          <w:szCs w:val="20"/>
          <w:color w:val="auto"/>
        </w:rPr>
      </w:pPr>
      <w:r>
        <w:rPr>
          <w:rFonts w:ascii="Arial" w:cs="Arial" w:eastAsia="Arial" w:hAnsi="Arial"/>
          <w:sz w:val="18"/>
          <w:szCs w:val="18"/>
          <w:color w:val="auto"/>
        </w:rPr>
        <w:t>Other investments include minority interests in unconsolidated entities, domestic and international joint ventures and partnerships and properties owned jointly with venture partners and operated by the partners. Such investments are generally accounted for using the equity method. In applying the equity method, we record our share of income or loss</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27" w:name="page128"/>
    <w:bookmarkEnd w:id="12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Investments —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reported by the equity investees in net investment income. Summarized financial information for these unconsolidated entities was as follows:</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920" w:type="dxa"/>
            <w:vAlign w:val="bottom"/>
          </w:tcPr>
          <w:p>
            <w:pPr>
              <w:spacing w:after="0"/>
              <w:rPr>
                <w:sz w:val="14"/>
                <w:szCs w:val="14"/>
                <w:color w:val="auto"/>
              </w:rPr>
            </w:pPr>
          </w:p>
        </w:tc>
        <w:tc>
          <w:tcPr>
            <w:tcW w:w="25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560" w:type="dxa"/>
            <w:vAlign w:val="bottom"/>
            <w:gridSpan w:val="5"/>
          </w:tcPr>
          <w:p>
            <w:pPr>
              <w:ind w:left="24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920" w:type="dxa"/>
            <w:vAlign w:val="bottom"/>
          </w:tcPr>
          <w:p>
            <w:pPr>
              <w:spacing w:after="0"/>
              <w:rPr>
                <w:sz w:val="12"/>
                <w:szCs w:val="12"/>
                <w:color w:val="auto"/>
              </w:rPr>
            </w:pPr>
          </w:p>
        </w:tc>
        <w:tc>
          <w:tcPr>
            <w:tcW w:w="250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52"/>
              <w:spacing w:after="0" w:line="142" w:lineRule="exact"/>
              <w:rPr>
                <w:sz w:val="20"/>
                <w:szCs w:val="20"/>
                <w:color w:val="auto"/>
              </w:rPr>
            </w:pPr>
            <w:r>
              <w:rPr>
                <w:rFonts w:ascii="Arial" w:cs="Arial" w:eastAsia="Arial" w:hAnsi="Arial"/>
                <w:sz w:val="14"/>
                <w:szCs w:val="14"/>
                <w:b w:val="1"/>
                <w:bCs w:val="1"/>
                <w:color w:val="auto"/>
              </w:rPr>
              <w:t>2013</w:t>
            </w:r>
          </w:p>
        </w:tc>
        <w:tc>
          <w:tcPr>
            <w:tcW w:w="160" w:type="dxa"/>
            <w:vAlign w:val="bottom"/>
            <w:tcBorders>
              <w:top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52"/>
              <w:spacing w:after="0" w:line="142" w:lineRule="exact"/>
              <w:rPr>
                <w:sz w:val="20"/>
                <w:szCs w:val="20"/>
                <w:color w:val="auto"/>
              </w:rPr>
            </w:pPr>
            <w:r>
              <w:rPr>
                <w:rFonts w:ascii="Arial" w:cs="Arial" w:eastAsia="Arial" w:hAnsi="Arial"/>
                <w:sz w:val="14"/>
                <w:szCs w:val="14"/>
                <w:b w:val="1"/>
                <w:bCs w:val="1"/>
                <w:color w:val="auto"/>
              </w:rPr>
              <w:t>2012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920" w:type="dxa"/>
            <w:vAlign w:val="bottom"/>
          </w:tcPr>
          <w:p>
            <w:pPr>
              <w:spacing w:after="0"/>
              <w:rPr>
                <w:sz w:val="12"/>
                <w:szCs w:val="12"/>
                <w:color w:val="auto"/>
              </w:rPr>
            </w:pPr>
          </w:p>
        </w:tc>
        <w:tc>
          <w:tcPr>
            <w:tcW w:w="2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ind w:right="5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840" w:type="dxa"/>
            <w:vAlign w:val="bottom"/>
            <w:gridSpan w:val="3"/>
          </w:tcPr>
          <w:p>
            <w:pPr>
              <w:jc w:val="right"/>
              <w:ind w:right="352"/>
              <w:spacing w:after="0"/>
              <w:rPr>
                <w:sz w:val="20"/>
                <w:szCs w:val="20"/>
                <w:color w:val="auto"/>
              </w:rPr>
            </w:pPr>
            <w:r>
              <w:rPr>
                <w:rFonts w:ascii="Arial" w:cs="Arial" w:eastAsia="Arial" w:hAnsi="Arial"/>
                <w:sz w:val="12"/>
                <w:szCs w:val="12"/>
                <w:b w:val="1"/>
                <w:bCs w:val="1"/>
                <w:i w:val="1"/>
                <w:iCs w:val="1"/>
                <w:color w:val="auto"/>
                <w:w w:val="80"/>
              </w:rPr>
              <w:t>millions)</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9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Total assets</w:t>
            </w:r>
          </w:p>
        </w:tc>
        <w:tc>
          <w:tcPr>
            <w:tcW w:w="2640" w:type="dxa"/>
            <w:vAlign w:val="bottom"/>
            <w:gridSpan w:val="2"/>
            <w:shd w:val="clear" w:color="auto" w:fill="CCEEFF"/>
          </w:tcPr>
          <w:p>
            <w:pPr>
              <w:jc w:val="right"/>
              <w:ind w:right="29"/>
              <w:spacing w:after="0" w:line="149"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95"/>
              </w:rPr>
              <w:t>47,401.9</w:t>
            </w:r>
          </w:p>
        </w:tc>
        <w:tc>
          <w:tcPr>
            <w:tcW w:w="28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9"/>
              </w:rPr>
              <w:t>46,036.2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920" w:type="dxa"/>
            <w:vAlign w:val="bottom"/>
          </w:tcPr>
          <w:p>
            <w:pPr>
              <w:spacing w:after="0" w:line="149" w:lineRule="exact"/>
              <w:rPr>
                <w:sz w:val="20"/>
                <w:szCs w:val="20"/>
                <w:color w:val="auto"/>
              </w:rPr>
            </w:pPr>
            <w:r>
              <w:rPr>
                <w:rFonts w:ascii="Arial" w:cs="Arial" w:eastAsia="Arial" w:hAnsi="Arial"/>
                <w:sz w:val="14"/>
                <w:szCs w:val="14"/>
                <w:color w:val="auto"/>
              </w:rPr>
              <w:t>Total liabilities</w:t>
            </w:r>
          </w:p>
        </w:tc>
        <w:tc>
          <w:tcPr>
            <w:tcW w:w="250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w w:val="95"/>
              </w:rPr>
              <w:t>39,588.0</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w w:val="99"/>
              </w:rPr>
              <w:t>38,080.9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9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 equity</w:t>
            </w:r>
          </w:p>
        </w:tc>
        <w:tc>
          <w:tcPr>
            <w:tcW w:w="2640" w:type="dxa"/>
            <w:vAlign w:val="bottom"/>
            <w:gridSpan w:val="2"/>
            <w:shd w:val="clear" w:color="auto" w:fill="CCEEFF"/>
          </w:tcPr>
          <w:p>
            <w:pPr>
              <w:jc w:val="right"/>
              <w:ind w:right="29"/>
              <w:spacing w:after="0" w:line="142"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7,813.9</w:t>
            </w:r>
          </w:p>
        </w:tc>
        <w:tc>
          <w:tcPr>
            <w:tcW w:w="280" w:type="dxa"/>
            <w:vAlign w:val="bottom"/>
            <w:gridSpan w:val="2"/>
            <w:shd w:val="clear" w:color="auto" w:fill="CCEEFF"/>
          </w:tcPr>
          <w:p>
            <w:pPr>
              <w:jc w:val="right"/>
              <w:ind w:right="9"/>
              <w:spacing w:after="0" w:line="142"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7,955.3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940" w:type="dxa"/>
            <w:vAlign w:val="bottom"/>
            <w:gridSpan w:val="2"/>
            <w:vMerge w:val="restart"/>
          </w:tcPr>
          <w:p>
            <w:pPr>
              <w:spacing w:after="0"/>
              <w:rPr>
                <w:sz w:val="20"/>
                <w:szCs w:val="20"/>
                <w:color w:val="auto"/>
              </w:rPr>
            </w:pPr>
            <w:r>
              <w:rPr>
                <w:rFonts w:ascii="Arial" w:cs="Arial" w:eastAsia="Arial" w:hAnsi="Arial"/>
                <w:sz w:val="14"/>
                <w:szCs w:val="14"/>
                <w:color w:val="auto"/>
              </w:rPr>
              <w:t>Net investment in unconsolidated entities (1)</w:t>
            </w:r>
          </w:p>
        </w:tc>
        <w:tc>
          <w:tcPr>
            <w:tcW w:w="25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4940" w:type="dxa"/>
            <w:vAlign w:val="bottom"/>
            <w:gridSpan w:val="2"/>
            <w:vMerge w:val="continue"/>
          </w:tcPr>
          <w:p>
            <w:pPr>
              <w:spacing w:after="0"/>
              <w:rPr>
                <w:sz w:val="13"/>
                <w:szCs w:val="13"/>
                <w:color w:val="auto"/>
              </w:rPr>
            </w:pPr>
          </w:p>
        </w:tc>
        <w:tc>
          <w:tcPr>
            <w:tcW w:w="2500" w:type="dxa"/>
            <w:vAlign w:val="bottom"/>
          </w:tcPr>
          <w:p>
            <w:pPr>
              <w:spacing w:after="0"/>
              <w:rPr>
                <w:sz w:val="13"/>
                <w:szCs w:val="13"/>
                <w:color w:val="auto"/>
              </w:rPr>
            </w:pPr>
          </w:p>
        </w:tc>
        <w:tc>
          <w:tcPr>
            <w:tcW w:w="140" w:type="dxa"/>
            <w:vAlign w:val="bottom"/>
          </w:tcPr>
          <w:p>
            <w:pPr>
              <w:jc w:val="right"/>
              <w:ind w:right="29"/>
              <w:spacing w:after="0"/>
              <w:rPr>
                <w:sz w:val="20"/>
                <w:szCs w:val="20"/>
                <w:color w:val="auto"/>
              </w:rPr>
            </w:pPr>
            <w:r>
              <w:rPr>
                <w:rFonts w:ascii="Arial" w:cs="Arial" w:eastAsia="Arial" w:hAnsi="Arial"/>
                <w:sz w:val="10"/>
                <w:szCs w:val="10"/>
                <w:b w:val="1"/>
                <w:bCs w:val="1"/>
                <w:color w:val="auto"/>
                <w:w w:val="71"/>
              </w:rPr>
              <w:t>$</w:t>
            </w:r>
          </w:p>
        </w:tc>
        <w:tc>
          <w:tcPr>
            <w:tcW w:w="560" w:type="dxa"/>
            <w:vAlign w:val="bottom"/>
          </w:tcPr>
          <w:p>
            <w:pPr>
              <w:jc w:val="right"/>
              <w:spacing w:after="0" w:line="155" w:lineRule="exact"/>
              <w:rPr>
                <w:sz w:val="20"/>
                <w:szCs w:val="20"/>
                <w:color w:val="auto"/>
              </w:rPr>
            </w:pPr>
            <w:r>
              <w:rPr>
                <w:rFonts w:ascii="Arial" w:cs="Arial" w:eastAsia="Arial" w:hAnsi="Arial"/>
                <w:sz w:val="14"/>
                <w:szCs w:val="14"/>
                <w:b w:val="1"/>
                <w:bCs w:val="1"/>
                <w:color w:val="auto"/>
              </w:rPr>
              <w:t>1,098.6</w:t>
            </w:r>
          </w:p>
        </w:tc>
        <w:tc>
          <w:tcPr>
            <w:tcW w:w="160" w:type="dxa"/>
            <w:vAlign w:val="bottom"/>
          </w:tcPr>
          <w:p>
            <w:pPr>
              <w:spacing w:after="0"/>
              <w:rPr>
                <w:sz w:val="13"/>
                <w:szCs w:val="13"/>
                <w:color w:val="auto"/>
              </w:rPr>
            </w:pP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560" w:type="dxa"/>
            <w:vAlign w:val="bottom"/>
          </w:tcPr>
          <w:p>
            <w:pPr>
              <w:jc w:val="right"/>
              <w:spacing w:after="0" w:line="155" w:lineRule="exact"/>
              <w:rPr>
                <w:sz w:val="20"/>
                <w:szCs w:val="20"/>
                <w:color w:val="auto"/>
              </w:rPr>
            </w:pPr>
            <w:r>
              <w:rPr>
                <w:rFonts w:ascii="Arial" w:cs="Arial" w:eastAsia="Arial" w:hAnsi="Arial"/>
                <w:sz w:val="14"/>
                <w:szCs w:val="14"/>
                <w:color w:val="auto"/>
              </w:rPr>
              <w:t>1,100.6</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97"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72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1680" w:type="dxa"/>
            <w:vAlign w:val="bottom"/>
            <w:gridSpan w:val="6"/>
          </w:tcPr>
          <w:p>
            <w:pPr>
              <w:jc w:val="center"/>
              <w:ind w:left="412"/>
              <w:spacing w:after="0"/>
              <w:rPr>
                <w:sz w:val="20"/>
                <w:szCs w:val="20"/>
                <w:color w:val="auto"/>
              </w:rPr>
            </w:pPr>
            <w:r>
              <w:rPr>
                <w:rFonts w:ascii="Arial" w:cs="Arial" w:eastAsia="Arial" w:hAnsi="Arial"/>
                <w:sz w:val="14"/>
                <w:szCs w:val="14"/>
                <w:b w:val="1"/>
                <w:bCs w:val="1"/>
                <w:color w:val="auto"/>
                <w:w w:val="86"/>
              </w:rPr>
              <w:t>For the year ended</w:t>
            </w:r>
          </w:p>
        </w:tc>
        <w:tc>
          <w:tcPr>
            <w:tcW w:w="50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72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5"/>
              </w:rPr>
              <w:t>December 31,</w:t>
            </w:r>
          </w:p>
        </w:tc>
        <w:tc>
          <w:tcPr>
            <w:tcW w:w="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720" w:type="dxa"/>
            <w:vAlign w:val="bottom"/>
          </w:tcPr>
          <w:p>
            <w:pPr>
              <w:spacing w:after="0"/>
              <w:rPr>
                <w:sz w:val="12"/>
                <w:szCs w:val="12"/>
                <w:color w:val="auto"/>
              </w:rPr>
            </w:pPr>
          </w:p>
        </w:tc>
        <w:tc>
          <w:tcPr>
            <w:tcW w:w="1940" w:type="dxa"/>
            <w:vAlign w:val="bottom"/>
          </w:tcPr>
          <w:p>
            <w:pPr>
              <w:spacing w:after="0"/>
              <w:rPr>
                <w:sz w:val="12"/>
                <w:szCs w:val="12"/>
                <w:color w:val="auto"/>
              </w:rPr>
            </w:pPr>
          </w:p>
        </w:tc>
        <w:tc>
          <w:tcPr>
            <w:tcW w:w="62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rPr>
              <w:t>2013</w:t>
            </w:r>
          </w:p>
        </w:tc>
        <w:tc>
          <w:tcPr>
            <w:tcW w:w="160" w:type="dxa"/>
            <w:vAlign w:val="bottom"/>
          </w:tcPr>
          <w:p>
            <w:pPr>
              <w:spacing w:after="0"/>
              <w:rPr>
                <w:sz w:val="12"/>
                <w:szCs w:val="12"/>
                <w:color w:val="auto"/>
              </w:rPr>
            </w:pPr>
          </w:p>
        </w:tc>
        <w:tc>
          <w:tcPr>
            <w:tcW w:w="62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89"/>
              </w:rPr>
              <w:t>2012</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w w:val="96"/>
              </w:rPr>
              <w:t>2011</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720" w:type="dxa"/>
            <w:vAlign w:val="bottom"/>
          </w:tcPr>
          <w:p>
            <w:pPr>
              <w:spacing w:after="0"/>
              <w:rPr>
                <w:sz w:val="12"/>
                <w:szCs w:val="12"/>
                <w:color w:val="auto"/>
              </w:rPr>
            </w:pPr>
          </w:p>
        </w:tc>
        <w:tc>
          <w:tcPr>
            <w:tcW w:w="19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780" w:type="dxa"/>
            <w:vAlign w:val="bottom"/>
            <w:gridSpan w:val="2"/>
          </w:tcPr>
          <w:p>
            <w:pPr>
              <w:jc w:val="center"/>
              <w:ind w:left="52"/>
              <w:spacing w:after="0" w:line="142" w:lineRule="exact"/>
              <w:rPr>
                <w:sz w:val="20"/>
                <w:szCs w:val="20"/>
                <w:color w:val="auto"/>
              </w:rPr>
            </w:pPr>
            <w:r>
              <w:rPr>
                <w:rFonts w:ascii="Arial" w:cs="Arial" w:eastAsia="Arial" w:hAnsi="Arial"/>
                <w:sz w:val="14"/>
                <w:szCs w:val="14"/>
                <w:b w:val="1"/>
                <w:bCs w:val="1"/>
                <w:i w:val="1"/>
                <w:iCs w:val="1"/>
                <w:color w:val="auto"/>
                <w:w w:val="83"/>
              </w:rPr>
              <w:t>(in millions)</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8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Total revenues</w:t>
            </w:r>
          </w:p>
        </w:tc>
        <w:tc>
          <w:tcPr>
            <w:tcW w:w="25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  3,002.9</w:t>
            </w:r>
          </w:p>
        </w:tc>
        <w:tc>
          <w:tcPr>
            <w:tcW w:w="7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  4,555.9</w:t>
            </w:r>
          </w:p>
        </w:tc>
        <w:tc>
          <w:tcPr>
            <w:tcW w:w="12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5,574.6</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840" w:type="dxa"/>
            <w:vAlign w:val="bottom"/>
            <w:gridSpan w:val="2"/>
          </w:tcPr>
          <w:p>
            <w:pPr>
              <w:spacing w:after="0" w:line="149" w:lineRule="exact"/>
              <w:rPr>
                <w:sz w:val="20"/>
                <w:szCs w:val="20"/>
                <w:color w:val="auto"/>
              </w:rPr>
            </w:pPr>
            <w:r>
              <w:rPr>
                <w:rFonts w:ascii="Arial" w:cs="Arial" w:eastAsia="Arial" w:hAnsi="Arial"/>
                <w:sz w:val="14"/>
                <w:szCs w:val="14"/>
                <w:color w:val="auto"/>
              </w:rPr>
              <w:t>Total expenses</w:t>
            </w:r>
          </w:p>
        </w:tc>
        <w:tc>
          <w:tcPr>
            <w:tcW w:w="25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2,253.2</w:t>
            </w:r>
          </w:p>
        </w:tc>
        <w:tc>
          <w:tcPr>
            <w:tcW w:w="7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3,774.5</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4,849.8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8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Net income</w:t>
            </w:r>
          </w:p>
        </w:tc>
        <w:tc>
          <w:tcPr>
            <w:tcW w:w="25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738.6</w:t>
            </w:r>
          </w:p>
        </w:tc>
        <w:tc>
          <w:tcPr>
            <w:tcW w:w="7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750.1</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719.3</w:t>
            </w:r>
          </w:p>
        </w:tc>
        <w:tc>
          <w:tcPr>
            <w:tcW w:w="160" w:type="dxa"/>
            <w:vAlign w:val="bottom"/>
            <w:shd w:val="clear" w:color="auto" w:fill="CCEEFF"/>
          </w:tcPr>
          <w:p>
            <w:pPr>
              <w:spacing w:after="0"/>
              <w:rPr>
                <w:sz w:val="12"/>
                <w:szCs w:val="12"/>
                <w:color w:val="auto"/>
              </w:rPr>
            </w:pPr>
          </w:p>
        </w:tc>
      </w:tr>
      <w:tr>
        <w:trPr>
          <w:trHeight w:val="174"/>
        </w:trPr>
        <w:tc>
          <w:tcPr>
            <w:tcW w:w="20" w:type="dxa"/>
            <w:vAlign w:val="bottom"/>
          </w:tcPr>
          <w:p>
            <w:pPr>
              <w:spacing w:after="0"/>
              <w:rPr>
                <w:sz w:val="15"/>
                <w:szCs w:val="15"/>
                <w:color w:val="auto"/>
              </w:rPr>
            </w:pPr>
          </w:p>
        </w:tc>
        <w:tc>
          <w:tcPr>
            <w:tcW w:w="4840" w:type="dxa"/>
            <w:vAlign w:val="bottom"/>
            <w:gridSpan w:val="2"/>
          </w:tcPr>
          <w:p>
            <w:pPr>
              <w:spacing w:after="0"/>
              <w:rPr>
                <w:sz w:val="20"/>
                <w:szCs w:val="20"/>
                <w:color w:val="auto"/>
              </w:rPr>
            </w:pPr>
            <w:r>
              <w:rPr>
                <w:rFonts w:ascii="Arial" w:cs="Arial" w:eastAsia="Arial" w:hAnsi="Arial"/>
                <w:sz w:val="14"/>
                <w:szCs w:val="14"/>
                <w:color w:val="auto"/>
              </w:rPr>
              <w:t>Our share of net income of unconsolidated entities (1)</w:t>
            </w:r>
          </w:p>
        </w:tc>
        <w:tc>
          <w:tcPr>
            <w:tcW w:w="2560" w:type="dxa"/>
            <w:vAlign w:val="bottom"/>
            <w:gridSpan w:val="2"/>
          </w:tcPr>
          <w:p>
            <w:pPr>
              <w:jc w:val="right"/>
              <w:spacing w:after="0"/>
              <w:rPr>
                <w:sz w:val="20"/>
                <w:szCs w:val="20"/>
                <w:color w:val="auto"/>
              </w:rPr>
            </w:pPr>
            <w:r>
              <w:rPr>
                <w:rFonts w:ascii="Arial" w:cs="Arial" w:eastAsia="Arial" w:hAnsi="Arial"/>
                <w:sz w:val="14"/>
                <w:szCs w:val="14"/>
                <w:b w:val="1"/>
                <w:bCs w:val="1"/>
                <w:color w:val="auto"/>
              </w:rPr>
              <w:t>133.4</w:t>
            </w:r>
          </w:p>
        </w:tc>
        <w:tc>
          <w:tcPr>
            <w:tcW w:w="780" w:type="dxa"/>
            <w:vAlign w:val="bottom"/>
            <w:gridSpan w:val="2"/>
          </w:tcPr>
          <w:p>
            <w:pPr>
              <w:jc w:val="right"/>
              <w:spacing w:after="0"/>
              <w:rPr>
                <w:sz w:val="20"/>
                <w:szCs w:val="20"/>
                <w:color w:val="auto"/>
              </w:rPr>
            </w:pPr>
            <w:r>
              <w:rPr>
                <w:rFonts w:ascii="Arial" w:cs="Arial" w:eastAsia="Arial" w:hAnsi="Arial"/>
                <w:sz w:val="14"/>
                <w:szCs w:val="14"/>
                <w:color w:val="auto"/>
              </w:rPr>
              <w:t>120.1</w:t>
            </w:r>
          </w:p>
        </w:tc>
        <w:tc>
          <w:tcPr>
            <w:tcW w:w="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116.5</w:t>
            </w:r>
          </w:p>
        </w:tc>
        <w:tc>
          <w:tcPr>
            <w:tcW w:w="160" w:type="dxa"/>
            <w:vAlign w:val="bottom"/>
          </w:tcPr>
          <w:p>
            <w:pPr>
              <w:spacing w:after="0"/>
              <w:rPr>
                <w:sz w:val="15"/>
                <w:szCs w:val="15"/>
                <w:color w:val="auto"/>
              </w:rPr>
            </w:pPr>
          </w:p>
        </w:tc>
      </w:tr>
      <w:tr>
        <w:trPr>
          <w:trHeight w:val="82"/>
        </w:trPr>
        <w:tc>
          <w:tcPr>
            <w:tcW w:w="20" w:type="dxa"/>
            <w:vAlign w:val="bottom"/>
            <w:tcBorders>
              <w:bottom w:val="single" w:sz="8" w:color="auto"/>
            </w:tcBorders>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3720" w:type="dxa"/>
            <w:vAlign w:val="bottom"/>
          </w:tcPr>
          <w:p>
            <w:pPr>
              <w:spacing w:after="0"/>
              <w:rPr>
                <w:sz w:val="7"/>
                <w:szCs w:val="7"/>
                <w:color w:val="auto"/>
              </w:rPr>
            </w:pPr>
          </w:p>
        </w:tc>
        <w:tc>
          <w:tcPr>
            <w:tcW w:w="1940" w:type="dxa"/>
            <w:vAlign w:val="bottom"/>
          </w:tcPr>
          <w:p>
            <w:pPr>
              <w:spacing w:after="0"/>
              <w:rPr>
                <w:sz w:val="7"/>
                <w:szCs w:val="7"/>
                <w:color w:val="auto"/>
              </w:rPr>
            </w:pPr>
          </w:p>
        </w:tc>
        <w:tc>
          <w:tcPr>
            <w:tcW w:w="620" w:type="dxa"/>
            <w:vAlign w:val="bottom"/>
          </w:tcPr>
          <w:p>
            <w:pPr>
              <w:spacing w:after="0"/>
              <w:rPr>
                <w:sz w:val="7"/>
                <w:szCs w:val="7"/>
                <w:color w:val="auto"/>
              </w:rPr>
            </w:pPr>
          </w:p>
        </w:tc>
        <w:tc>
          <w:tcPr>
            <w:tcW w:w="160" w:type="dxa"/>
            <w:vAlign w:val="bottom"/>
          </w:tcPr>
          <w:p>
            <w:pPr>
              <w:spacing w:after="0"/>
              <w:rPr>
                <w:sz w:val="7"/>
                <w:szCs w:val="7"/>
                <w:color w:val="auto"/>
              </w:rPr>
            </w:pPr>
          </w:p>
        </w:tc>
        <w:tc>
          <w:tcPr>
            <w:tcW w:w="62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500" w:type="dxa"/>
            <w:vAlign w:val="bottom"/>
          </w:tcPr>
          <w:p>
            <w:pPr>
              <w:spacing w:after="0"/>
              <w:rPr>
                <w:sz w:val="7"/>
                <w:szCs w:val="7"/>
                <w:color w:val="auto"/>
              </w:rPr>
            </w:pPr>
          </w:p>
        </w:tc>
        <w:tc>
          <w:tcPr>
            <w:tcW w:w="160" w:type="dxa"/>
            <w:vAlign w:val="bottom"/>
          </w:tcPr>
          <w:p>
            <w:pPr>
              <w:spacing w:after="0"/>
              <w:rPr>
                <w:sz w:val="7"/>
                <w:szCs w:val="7"/>
                <w:color w:val="auto"/>
              </w:rPr>
            </w:pPr>
          </w:p>
        </w:tc>
      </w:tr>
    </w:tbl>
    <w:p>
      <w:pPr>
        <w:spacing w:after="0" w:line="192" w:lineRule="exact"/>
        <w:rPr>
          <w:sz w:val="20"/>
          <w:szCs w:val="20"/>
          <w:color w:val="auto"/>
        </w:rPr>
      </w:pPr>
    </w:p>
    <w:p>
      <w:pPr>
        <w:ind w:left="1680" w:hanging="531"/>
        <w:spacing w:after="0"/>
        <w:tabs>
          <w:tab w:leader="none" w:pos="1680" w:val="left"/>
        </w:tabs>
        <w:numPr>
          <w:ilvl w:val="0"/>
          <w:numId w:val="55"/>
        </w:numPr>
        <w:rPr>
          <w:rFonts w:ascii="Arial" w:cs="Arial" w:eastAsia="Arial" w:hAnsi="Arial"/>
          <w:sz w:val="12"/>
          <w:szCs w:val="12"/>
          <w:color w:val="auto"/>
        </w:rPr>
      </w:pPr>
      <w:r>
        <w:rPr>
          <w:rFonts w:ascii="Arial" w:cs="Arial" w:eastAsia="Arial" w:hAnsi="Arial"/>
          <w:sz w:val="12"/>
          <w:szCs w:val="12"/>
          <w:color w:val="auto"/>
        </w:rPr>
        <w:t>Primarily relates to Brasilprev Seguros e Previdencia, a co-managed joint venture in Brazil, which is reported in the results of our Principal International segment.</w:t>
      </w:r>
    </w:p>
    <w:p>
      <w:pPr>
        <w:spacing w:after="0" w:line="229" w:lineRule="exact"/>
        <w:rPr>
          <w:sz w:val="20"/>
          <w:szCs w:val="20"/>
          <w:color w:val="auto"/>
        </w:rPr>
      </w:pPr>
    </w:p>
    <w:p>
      <w:pPr>
        <w:jc w:val="both"/>
        <w:ind w:firstLine="448"/>
        <w:spacing w:after="0" w:line="294" w:lineRule="auto"/>
        <w:rPr>
          <w:sz w:val="20"/>
          <w:szCs w:val="20"/>
          <w:color w:val="auto"/>
        </w:rPr>
      </w:pPr>
      <w:r>
        <w:rPr>
          <w:rFonts w:ascii="Arial" w:cs="Arial" w:eastAsia="Arial" w:hAnsi="Arial"/>
          <w:sz w:val="16"/>
          <w:szCs w:val="16"/>
          <w:color w:val="auto"/>
        </w:rPr>
        <w:t>In addition, other investments include $720.2 million and $655.1 million of direct financing leases as of December 31, 2013 and 2012, respectively. Our Chilean operations enter into private placement contracts for commercial, industrial and office space properties whereby our Chilean operations purchase the real estate and/or building from the seller-lessee but then lease the property back to the seller-lessee. Ownership of the property is transferred to the lessee by the end of the lease term. The direct financing lease receivables are carried at amortized cost. We actively monitor and manage our direct financing leases. All leases within the portfolio are analyzed regularly and internally rated, based on financial condition, payment history and loan-to-value.</w:t>
      </w:r>
    </w:p>
    <w:p>
      <w:pPr>
        <w:spacing w:after="0" w:line="170" w:lineRule="exact"/>
        <w:rPr>
          <w:sz w:val="20"/>
          <w:szCs w:val="20"/>
          <w:color w:val="auto"/>
        </w:rPr>
      </w:pPr>
    </w:p>
    <w:p>
      <w:pPr>
        <w:jc w:val="both"/>
        <w:ind w:firstLine="422"/>
        <w:spacing w:after="0" w:line="259" w:lineRule="auto"/>
        <w:rPr>
          <w:sz w:val="20"/>
          <w:szCs w:val="20"/>
          <w:color w:val="auto"/>
        </w:rPr>
      </w:pPr>
      <w:r>
        <w:rPr>
          <w:rFonts w:ascii="Arial" w:cs="Arial" w:eastAsia="Arial" w:hAnsi="Arial"/>
          <w:sz w:val="18"/>
          <w:szCs w:val="18"/>
          <w:color w:val="auto"/>
        </w:rPr>
        <w:t>Derivative assets are carried at fair value and reported as a component of other investments. Certain seed money investments are also carried at fair value and reported as a component of other investments, with changes in fair value included in net realized capital gains (losses) on our consolidated statements of operations.</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Securities Posted as Collateral</w:t>
      </w:r>
    </w:p>
    <w:p>
      <w:pPr>
        <w:spacing w:after="0" w:line="231" w:lineRule="exact"/>
        <w:rPr>
          <w:sz w:val="20"/>
          <w:szCs w:val="20"/>
          <w:color w:val="auto"/>
        </w:rPr>
      </w:pPr>
    </w:p>
    <w:p>
      <w:pPr>
        <w:jc w:val="both"/>
        <w:ind w:firstLine="448"/>
        <w:spacing w:after="0" w:line="291" w:lineRule="auto"/>
        <w:rPr>
          <w:sz w:val="20"/>
          <w:szCs w:val="20"/>
          <w:color w:val="auto"/>
        </w:rPr>
      </w:pPr>
      <w:r>
        <w:rPr>
          <w:rFonts w:ascii="Arial" w:cs="Arial" w:eastAsia="Arial" w:hAnsi="Arial"/>
          <w:sz w:val="16"/>
          <w:szCs w:val="16"/>
          <w:color w:val="auto"/>
        </w:rPr>
        <w:t>We posted $1,057.4 million in fixed maturities, available-for-sale securities at December 31, 2013, to satisfy collateral requirements primarily associated with a reinsurance arrangement, our derivative credit support annex (collateral) agreements, Futures Commission Merchant ("FCM") agreements and our obligation under funding agreements with the Federal Home Loan Bank of Des Moines ("FHLB Des Moines"). In addition, we posted $2,435.4 million in commercial mortgage loans and home equity mortgages as of December 31, 2013, to satisfy collateral requirements associated with our obligation under funding agreements with the FHLB Des Moines. Since we did not relinquish ownership rights on these instruments, they are reported as fixed maturities, available-for-sale and mortgage loans, respectively, on our consolidated statements of financial position.</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8" w:name="page129"/>
    <w:bookmarkEnd w:id="12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Investments — (continued)</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Balance Sheet Offsetting</w:t>
      </w:r>
    </w:p>
    <w:p>
      <w:pPr>
        <w:spacing w:after="0" w:line="231" w:lineRule="exact"/>
        <w:rPr>
          <w:sz w:val="20"/>
          <w:szCs w:val="20"/>
          <w:color w:val="auto"/>
        </w:rPr>
      </w:pPr>
    </w:p>
    <w:p>
      <w:pPr>
        <w:ind w:firstLine="404"/>
        <w:spacing w:after="0" w:line="268" w:lineRule="auto"/>
        <w:rPr>
          <w:sz w:val="20"/>
          <w:szCs w:val="20"/>
          <w:color w:val="auto"/>
        </w:rPr>
      </w:pPr>
      <w:r>
        <w:rPr>
          <w:rFonts w:ascii="Arial" w:cs="Arial" w:eastAsia="Arial" w:hAnsi="Arial"/>
          <w:sz w:val="18"/>
          <w:szCs w:val="18"/>
          <w:color w:val="auto"/>
        </w:rPr>
        <w:t>We have financial instruments that are subject to master netting agreements or similar agreements. Financial assets subject to master netting agreements or similar agreements were as follows:</w:t>
      </w:r>
    </w:p>
    <w:p>
      <w:pPr>
        <w:spacing w:after="0" w:line="169"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16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20" w:type="dxa"/>
            <w:vAlign w:val="bottom"/>
            <w:gridSpan w:val="5"/>
          </w:tcPr>
          <w:p>
            <w:pPr>
              <w:jc w:val="center"/>
              <w:ind w:right="240"/>
              <w:spacing w:after="0"/>
              <w:rPr>
                <w:sz w:val="20"/>
                <w:szCs w:val="20"/>
                <w:color w:val="auto"/>
              </w:rPr>
            </w:pPr>
            <w:r>
              <w:rPr>
                <w:rFonts w:ascii="Arial" w:cs="Arial" w:eastAsia="Arial" w:hAnsi="Arial"/>
                <w:sz w:val="14"/>
                <w:szCs w:val="14"/>
                <w:b w:val="1"/>
                <w:bCs w:val="1"/>
                <w:color w:val="auto"/>
                <w:w w:val="84"/>
              </w:rPr>
              <w:t>Gross amounts not offset in</w:t>
            </w:r>
          </w:p>
        </w:tc>
        <w:tc>
          <w:tcPr>
            <w:tcW w:w="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16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20" w:type="dxa"/>
            <w:vAlign w:val="bottom"/>
            <w:gridSpan w:val="5"/>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the Statement of Financial</w:t>
            </w: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16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8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84"/>
              </w:rPr>
              <w:t>Gross amount</w:t>
            </w:r>
          </w:p>
        </w:tc>
        <w:tc>
          <w:tcPr>
            <w:tcW w:w="8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gridSpan w:val="2"/>
          </w:tcPr>
          <w:p>
            <w:pPr>
              <w:jc w:val="center"/>
              <w:ind w:left="552"/>
              <w:spacing w:after="0"/>
              <w:rPr>
                <w:sz w:val="20"/>
                <w:szCs w:val="20"/>
                <w:color w:val="auto"/>
              </w:rPr>
            </w:pPr>
            <w:r>
              <w:rPr>
                <w:rFonts w:ascii="Arial" w:cs="Arial" w:eastAsia="Arial" w:hAnsi="Arial"/>
                <w:sz w:val="14"/>
                <w:szCs w:val="14"/>
                <w:b w:val="1"/>
                <w:bCs w:val="1"/>
                <w:color w:val="auto"/>
                <w:w w:val="83"/>
              </w:rPr>
              <w:t>Position</w:t>
            </w:r>
          </w:p>
        </w:tc>
        <w:tc>
          <w:tcPr>
            <w:tcW w:w="8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160" w:type="dxa"/>
            <w:vAlign w:val="bottom"/>
          </w:tcPr>
          <w:p>
            <w:pPr>
              <w:spacing w:after="0"/>
              <w:rPr>
                <w:sz w:val="11"/>
                <w:szCs w:val="11"/>
                <w:color w:val="auto"/>
              </w:rPr>
            </w:pPr>
          </w:p>
        </w:tc>
        <w:tc>
          <w:tcPr>
            <w:tcW w:w="1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8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16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3"/>
              </w:rPr>
              <w:t>of recognized</w:t>
            </w:r>
          </w:p>
        </w:tc>
        <w:tc>
          <w:tcPr>
            <w:tcW w:w="80" w:type="dxa"/>
            <w:vAlign w:val="bottom"/>
          </w:tcPr>
          <w:p>
            <w:pPr>
              <w:spacing w:after="0"/>
              <w:rPr>
                <w:sz w:val="12"/>
                <w:szCs w:val="12"/>
                <w:color w:val="auto"/>
              </w:rPr>
            </w:pPr>
          </w:p>
        </w:tc>
        <w:tc>
          <w:tcPr>
            <w:tcW w:w="1160" w:type="dxa"/>
            <w:vAlign w:val="bottom"/>
            <w:gridSpan w:val="2"/>
          </w:tcPr>
          <w:p>
            <w:pPr>
              <w:jc w:val="right"/>
              <w:ind w:right="440"/>
              <w:spacing w:after="0" w:line="149" w:lineRule="exact"/>
              <w:rPr>
                <w:sz w:val="20"/>
                <w:szCs w:val="20"/>
                <w:color w:val="auto"/>
              </w:rPr>
            </w:pPr>
            <w:r>
              <w:rPr>
                <w:rFonts w:ascii="Arial" w:cs="Arial" w:eastAsia="Arial" w:hAnsi="Arial"/>
                <w:sz w:val="14"/>
                <w:szCs w:val="14"/>
                <w:b w:val="1"/>
                <w:bCs w:val="1"/>
                <w:color w:val="auto"/>
              </w:rPr>
              <w:t>Financial</w:t>
            </w:r>
          </w:p>
        </w:tc>
        <w:tc>
          <w:tcPr>
            <w:tcW w:w="860" w:type="dxa"/>
            <w:vAlign w:val="bottom"/>
            <w:gridSpan w:val="3"/>
          </w:tcPr>
          <w:p>
            <w:pPr>
              <w:jc w:val="right"/>
              <w:ind w:right="240"/>
              <w:spacing w:after="0" w:line="149" w:lineRule="exact"/>
              <w:rPr>
                <w:sz w:val="20"/>
                <w:szCs w:val="20"/>
                <w:color w:val="auto"/>
              </w:rPr>
            </w:pPr>
            <w:r>
              <w:rPr>
                <w:rFonts w:ascii="Arial" w:cs="Arial" w:eastAsia="Arial" w:hAnsi="Arial"/>
                <w:sz w:val="14"/>
                <w:szCs w:val="14"/>
                <w:b w:val="1"/>
                <w:bCs w:val="1"/>
                <w:color w:val="auto"/>
                <w:w w:val="93"/>
              </w:rPr>
              <w:t>Collateral</w:t>
            </w: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16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0"/>
              </w:rPr>
              <w:t>assets (1)</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4"/>
              </w:rPr>
              <w:t>instruments (2)</w:t>
            </w:r>
          </w:p>
        </w:tc>
        <w:tc>
          <w:tcPr>
            <w:tcW w:w="1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b w:val="1"/>
                <w:bCs w:val="1"/>
                <w:color w:val="auto"/>
                <w:w w:val="84"/>
              </w:rPr>
              <w:t>received</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5"/>
              </w:rPr>
              <w:t>Net amount</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16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tcPr>
          <w:p>
            <w:pPr>
              <w:jc w:val="right"/>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2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December 31, 2013</w:t>
            </w:r>
          </w:p>
        </w:tc>
        <w:tc>
          <w:tcPr>
            <w:tcW w:w="16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18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280" w:type="dxa"/>
            <w:vAlign w:val="bottom"/>
            <w:gridSpan w:val="2"/>
          </w:tcPr>
          <w:p>
            <w:pPr>
              <w:spacing w:after="0" w:line="149" w:lineRule="exact"/>
              <w:rPr>
                <w:sz w:val="20"/>
                <w:szCs w:val="20"/>
                <w:color w:val="auto"/>
              </w:rPr>
            </w:pPr>
            <w:r>
              <w:rPr>
                <w:rFonts w:ascii="Arial" w:cs="Arial" w:eastAsia="Arial" w:hAnsi="Arial"/>
                <w:sz w:val="14"/>
                <w:szCs w:val="14"/>
                <w:color w:val="auto"/>
              </w:rPr>
              <w:t>Derivative assets</w:t>
            </w:r>
          </w:p>
        </w:tc>
        <w:tc>
          <w:tcPr>
            <w:tcW w:w="16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664.9</w:t>
            </w:r>
          </w:p>
        </w:tc>
        <w:tc>
          <w:tcPr>
            <w:tcW w:w="160" w:type="dxa"/>
            <w:vAlign w:val="bottom"/>
          </w:tcPr>
          <w:p>
            <w:pPr>
              <w:spacing w:after="0"/>
              <w:rPr>
                <w:sz w:val="12"/>
                <w:szCs w:val="12"/>
                <w:color w:val="auto"/>
              </w:rPr>
            </w:pPr>
          </w:p>
        </w:tc>
        <w:tc>
          <w:tcPr>
            <w:tcW w:w="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116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(581.5)</w:t>
            </w:r>
          </w:p>
        </w:tc>
        <w:tc>
          <w:tcPr>
            <w:tcW w:w="80" w:type="dxa"/>
            <w:vAlign w:val="bottom"/>
          </w:tcPr>
          <w:p>
            <w:pPr>
              <w:jc w:val="right"/>
              <w:spacing w:after="0"/>
              <w:rPr>
                <w:sz w:val="20"/>
                <w:szCs w:val="20"/>
                <w:color w:val="auto"/>
              </w:rPr>
            </w:pPr>
            <w:r>
              <w:rPr>
                <w:rFonts w:ascii="Arial" w:cs="Arial" w:eastAsia="Arial" w:hAnsi="Arial"/>
                <w:sz w:val="10"/>
                <w:szCs w:val="10"/>
                <w:b w:val="1"/>
                <w:bCs w:val="1"/>
                <w:color w:val="auto"/>
                <w:w w:val="71"/>
              </w:rPr>
              <w:t>$</w:t>
            </w:r>
          </w:p>
        </w:tc>
        <w:tc>
          <w:tcPr>
            <w:tcW w:w="78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(82.1)</w:t>
            </w:r>
          </w:p>
        </w:tc>
        <w:tc>
          <w:tcPr>
            <w:tcW w:w="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2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Reverse repurchase agreements</w:t>
            </w:r>
          </w:p>
        </w:tc>
        <w:tc>
          <w:tcPr>
            <w:tcW w:w="16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51.8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8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(51.8)</w:t>
            </w:r>
          </w:p>
        </w:tc>
        <w:tc>
          <w:tcPr>
            <w:tcW w:w="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280" w:type="dxa"/>
            <w:vAlign w:val="bottom"/>
            <w:gridSpan w:val="2"/>
            <w:vMerge w:val="restart"/>
          </w:tcPr>
          <w:p>
            <w:pPr>
              <w:ind w:left="140"/>
              <w:spacing w:after="0"/>
              <w:rPr>
                <w:sz w:val="20"/>
                <w:szCs w:val="20"/>
                <w:color w:val="auto"/>
              </w:rPr>
            </w:pPr>
            <w:r>
              <w:rPr>
                <w:rFonts w:ascii="Arial" w:cs="Arial" w:eastAsia="Arial" w:hAnsi="Arial"/>
                <w:sz w:val="14"/>
                <w:szCs w:val="14"/>
                <w:color w:val="auto"/>
              </w:rPr>
              <w:t>Total</w:t>
            </w:r>
          </w:p>
        </w:tc>
        <w:tc>
          <w:tcPr>
            <w:tcW w:w="1600" w:type="dxa"/>
            <w:vAlign w:val="bottom"/>
            <w:vMerge w:val="restart"/>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280" w:type="dxa"/>
            <w:vAlign w:val="bottom"/>
            <w:gridSpan w:val="2"/>
            <w:vMerge w:val="continue"/>
          </w:tcPr>
          <w:p>
            <w:pPr>
              <w:spacing w:after="0"/>
              <w:rPr>
                <w:sz w:val="12"/>
                <w:szCs w:val="12"/>
                <w:color w:val="auto"/>
              </w:rPr>
            </w:pPr>
          </w:p>
        </w:tc>
        <w:tc>
          <w:tcPr>
            <w:tcW w:w="1600" w:type="dxa"/>
            <w:vAlign w:val="bottom"/>
            <w:vMerge w:val="continue"/>
          </w:tcPr>
          <w:p>
            <w:pPr>
              <w:spacing w:after="0"/>
              <w:rPr>
                <w:sz w:val="12"/>
                <w:szCs w:val="12"/>
                <w:color w:val="auto"/>
              </w:rPr>
            </w:pPr>
          </w:p>
        </w:tc>
        <w:tc>
          <w:tcPr>
            <w:tcW w:w="60" w:type="dxa"/>
            <w:vAlign w:val="bottom"/>
          </w:tcPr>
          <w:p>
            <w:pPr>
              <w:spacing w:after="0"/>
              <w:rPr>
                <w:sz w:val="20"/>
                <w:szCs w:val="20"/>
                <w:color w:val="auto"/>
              </w:rPr>
            </w:pPr>
            <w:r>
              <w:rPr>
                <w:rFonts w:ascii="Arial" w:cs="Arial" w:eastAsia="Arial" w:hAnsi="Arial"/>
                <w:sz w:val="10"/>
                <w:szCs w:val="10"/>
                <w:b w:val="1"/>
                <w:bCs w:val="1"/>
                <w:color w:val="auto"/>
                <w:w w:val="71"/>
              </w:rPr>
              <w:t>$</w:t>
            </w:r>
          </w:p>
        </w:tc>
        <w:tc>
          <w:tcPr>
            <w:tcW w:w="92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716.7</w:t>
            </w:r>
          </w:p>
        </w:tc>
        <w:tc>
          <w:tcPr>
            <w:tcW w:w="160" w:type="dxa"/>
            <w:vAlign w:val="bottom"/>
          </w:tcPr>
          <w:p>
            <w:pPr>
              <w:spacing w:after="0"/>
              <w:rPr>
                <w:sz w:val="12"/>
                <w:szCs w:val="12"/>
                <w:color w:val="auto"/>
              </w:rPr>
            </w:pPr>
          </w:p>
        </w:tc>
        <w:tc>
          <w:tcPr>
            <w:tcW w:w="80" w:type="dxa"/>
            <w:vAlign w:val="bottom"/>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1160" w:type="dxa"/>
            <w:vAlign w:val="bottom"/>
            <w:gridSpan w:val="2"/>
          </w:tcPr>
          <w:p>
            <w:pPr>
              <w:jc w:val="right"/>
              <w:ind w:right="140"/>
              <w:spacing w:after="0" w:line="142" w:lineRule="exact"/>
              <w:rPr>
                <w:sz w:val="20"/>
                <w:szCs w:val="20"/>
                <w:color w:val="auto"/>
              </w:rPr>
            </w:pPr>
            <w:r>
              <w:rPr>
                <w:rFonts w:ascii="Arial" w:cs="Arial" w:eastAsia="Arial" w:hAnsi="Arial"/>
                <w:sz w:val="14"/>
                <w:szCs w:val="14"/>
                <w:b w:val="1"/>
                <w:bCs w:val="1"/>
                <w:color w:val="auto"/>
              </w:rPr>
              <w:t>(581.5)</w:t>
            </w:r>
          </w:p>
        </w:tc>
        <w:tc>
          <w:tcPr>
            <w:tcW w:w="80" w:type="dxa"/>
            <w:vAlign w:val="bottom"/>
          </w:tcPr>
          <w:p>
            <w:pPr>
              <w:jc w:val="right"/>
              <w:spacing w:after="0"/>
              <w:rPr>
                <w:sz w:val="20"/>
                <w:szCs w:val="20"/>
                <w:color w:val="auto"/>
              </w:rPr>
            </w:pPr>
            <w:r>
              <w:rPr>
                <w:rFonts w:ascii="Arial" w:cs="Arial" w:eastAsia="Arial" w:hAnsi="Arial"/>
                <w:sz w:val="10"/>
                <w:szCs w:val="10"/>
                <w:b w:val="1"/>
                <w:bCs w:val="1"/>
                <w:color w:val="auto"/>
                <w:w w:val="71"/>
              </w:rPr>
              <w:t>$</w:t>
            </w:r>
          </w:p>
        </w:tc>
        <w:tc>
          <w:tcPr>
            <w:tcW w:w="62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(133.9)</w:t>
            </w:r>
          </w:p>
        </w:tc>
        <w:tc>
          <w:tcPr>
            <w:tcW w:w="160" w:type="dxa"/>
            <w:vAlign w:val="bottom"/>
            <w:vMerge w:val="continue"/>
          </w:tcPr>
          <w:p>
            <w:pPr>
              <w:spacing w:after="0"/>
              <w:rPr>
                <w:sz w:val="12"/>
                <w:szCs w:val="12"/>
                <w:color w:val="auto"/>
              </w:rPr>
            </w:pPr>
          </w:p>
        </w:tc>
        <w:tc>
          <w:tcPr>
            <w:tcW w:w="80" w:type="dxa"/>
            <w:vAlign w:val="bottom"/>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76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1.3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3280" w:type="dxa"/>
            <w:vAlign w:val="bottom"/>
            <w:gridSpan w:val="2"/>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December 31, 2012</w:t>
            </w:r>
          </w:p>
        </w:tc>
        <w:tc>
          <w:tcPr>
            <w:tcW w:w="16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180" w:type="dxa"/>
            <w:vAlign w:val="bottom"/>
            <w:tcBorders>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280" w:type="dxa"/>
            <w:vAlign w:val="bottom"/>
            <w:gridSpan w:val="2"/>
          </w:tcPr>
          <w:p>
            <w:pPr>
              <w:spacing w:after="0" w:line="149" w:lineRule="exact"/>
              <w:rPr>
                <w:sz w:val="20"/>
                <w:szCs w:val="20"/>
                <w:color w:val="auto"/>
              </w:rPr>
            </w:pPr>
            <w:r>
              <w:rPr>
                <w:rFonts w:ascii="Arial" w:cs="Arial" w:eastAsia="Arial" w:hAnsi="Arial"/>
                <w:sz w:val="14"/>
                <w:szCs w:val="14"/>
                <w:color w:val="auto"/>
              </w:rPr>
              <w:t>Derivative assets</w:t>
            </w:r>
          </w:p>
        </w:tc>
        <w:tc>
          <w:tcPr>
            <w:tcW w:w="1660" w:type="dxa"/>
            <w:vAlign w:val="bottom"/>
            <w:gridSpan w:val="2"/>
          </w:tcPr>
          <w:p>
            <w:pPr>
              <w:ind w:left="1600"/>
              <w:spacing w:after="0"/>
              <w:rPr>
                <w:sz w:val="20"/>
                <w:szCs w:val="20"/>
                <w:color w:val="auto"/>
              </w:rPr>
            </w:pPr>
            <w:r>
              <w:rPr>
                <w:rFonts w:ascii="Arial" w:cs="Arial" w:eastAsia="Arial" w:hAnsi="Arial"/>
                <w:sz w:val="10"/>
                <w:szCs w:val="10"/>
                <w:color w:val="auto"/>
                <w:w w:val="71"/>
              </w:rPr>
              <w:t>$</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1,016.3</w:t>
            </w:r>
          </w:p>
        </w:tc>
        <w:tc>
          <w:tcPr>
            <w:tcW w:w="160" w:type="dxa"/>
            <w:vAlign w:val="bottom"/>
          </w:tcPr>
          <w:p>
            <w:pPr>
              <w:spacing w:after="0"/>
              <w:rPr>
                <w:sz w:val="12"/>
                <w:szCs w:val="12"/>
                <w:color w:val="auto"/>
              </w:rPr>
            </w:pP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11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(779.3)</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(225.5)</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11.5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2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Reverse repurchase agreements</w:t>
            </w:r>
          </w:p>
        </w:tc>
        <w:tc>
          <w:tcPr>
            <w:tcW w:w="16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148.2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(148.2)</w:t>
            </w:r>
          </w:p>
        </w:tc>
        <w:tc>
          <w:tcPr>
            <w:tcW w:w="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280" w:type="dxa"/>
            <w:vAlign w:val="bottom"/>
            <w:gridSpan w:val="2"/>
            <w:vMerge w:val="restart"/>
          </w:tcPr>
          <w:p>
            <w:pPr>
              <w:ind w:left="140"/>
              <w:spacing w:after="0"/>
              <w:rPr>
                <w:sz w:val="20"/>
                <w:szCs w:val="20"/>
                <w:color w:val="auto"/>
              </w:rPr>
            </w:pPr>
            <w:r>
              <w:rPr>
                <w:rFonts w:ascii="Arial" w:cs="Arial" w:eastAsia="Arial" w:hAnsi="Arial"/>
                <w:sz w:val="14"/>
                <w:szCs w:val="14"/>
                <w:color w:val="auto"/>
              </w:rPr>
              <w:t>Total</w:t>
            </w:r>
          </w:p>
        </w:tc>
        <w:tc>
          <w:tcPr>
            <w:tcW w:w="1600" w:type="dxa"/>
            <w:vAlign w:val="bottom"/>
            <w:vMerge w:val="restart"/>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280" w:type="dxa"/>
            <w:vAlign w:val="bottom"/>
            <w:gridSpan w:val="2"/>
            <w:vMerge w:val="continue"/>
          </w:tcPr>
          <w:p>
            <w:pPr>
              <w:spacing w:after="0"/>
              <w:rPr>
                <w:sz w:val="12"/>
                <w:szCs w:val="12"/>
                <w:color w:val="auto"/>
              </w:rPr>
            </w:pPr>
          </w:p>
        </w:tc>
        <w:tc>
          <w:tcPr>
            <w:tcW w:w="1600" w:type="dxa"/>
            <w:vAlign w:val="bottom"/>
            <w:vMerge w:val="continue"/>
          </w:tcPr>
          <w:p>
            <w:pPr>
              <w:spacing w:after="0"/>
              <w:rPr>
                <w:sz w:val="12"/>
                <w:szCs w:val="12"/>
                <w:color w:val="auto"/>
              </w:rPr>
            </w:pPr>
          </w:p>
        </w:tc>
        <w:tc>
          <w:tcPr>
            <w:tcW w:w="60" w:type="dxa"/>
            <w:vAlign w:val="bottom"/>
          </w:tcPr>
          <w:p>
            <w:pPr>
              <w:spacing w:after="0"/>
              <w:rPr>
                <w:sz w:val="20"/>
                <w:szCs w:val="20"/>
                <w:color w:val="auto"/>
              </w:rPr>
            </w:pPr>
            <w:r>
              <w:rPr>
                <w:rFonts w:ascii="Arial" w:cs="Arial" w:eastAsia="Arial" w:hAnsi="Arial"/>
                <w:sz w:val="10"/>
                <w:szCs w:val="10"/>
                <w:color w:val="auto"/>
                <w:w w:val="71"/>
              </w:rPr>
              <w:t>$</w:t>
            </w:r>
          </w:p>
        </w:tc>
        <w:tc>
          <w:tcPr>
            <w:tcW w:w="920" w:type="dxa"/>
            <w:vAlign w:val="bottom"/>
          </w:tcPr>
          <w:p>
            <w:pPr>
              <w:jc w:val="right"/>
              <w:spacing w:after="0" w:line="142" w:lineRule="exact"/>
              <w:rPr>
                <w:sz w:val="20"/>
                <w:szCs w:val="20"/>
                <w:color w:val="auto"/>
              </w:rPr>
            </w:pPr>
            <w:r>
              <w:rPr>
                <w:rFonts w:ascii="Arial" w:cs="Arial" w:eastAsia="Arial" w:hAnsi="Arial"/>
                <w:sz w:val="14"/>
                <w:szCs w:val="14"/>
                <w:color w:val="auto"/>
              </w:rPr>
              <w:t>1,164.5</w:t>
            </w:r>
          </w:p>
        </w:tc>
        <w:tc>
          <w:tcPr>
            <w:tcW w:w="160" w:type="dxa"/>
            <w:vAlign w:val="bottom"/>
          </w:tcPr>
          <w:p>
            <w:pPr>
              <w:spacing w:after="0"/>
              <w:rPr>
                <w:sz w:val="12"/>
                <w:szCs w:val="12"/>
                <w:color w:val="auto"/>
              </w:rPr>
            </w:pPr>
          </w:p>
        </w:tc>
        <w:tc>
          <w:tcPr>
            <w:tcW w:w="80" w:type="dxa"/>
            <w:vAlign w:val="bottom"/>
          </w:tcPr>
          <w:p>
            <w:pPr>
              <w:jc w:val="right"/>
              <w:spacing w:after="0" w:line="142" w:lineRule="exact"/>
              <w:rPr>
                <w:sz w:val="20"/>
                <w:szCs w:val="20"/>
                <w:color w:val="auto"/>
              </w:rPr>
            </w:pPr>
            <w:r>
              <w:rPr>
                <w:rFonts w:ascii="Arial" w:cs="Arial" w:eastAsia="Arial" w:hAnsi="Arial"/>
                <w:sz w:val="14"/>
                <w:szCs w:val="14"/>
                <w:color w:val="auto"/>
                <w:w w:val="76"/>
              </w:rPr>
              <w:t>$</w:t>
            </w:r>
          </w:p>
        </w:tc>
        <w:tc>
          <w:tcPr>
            <w:tcW w:w="1160" w:type="dxa"/>
            <w:vAlign w:val="bottom"/>
            <w:gridSpan w:val="2"/>
          </w:tcPr>
          <w:p>
            <w:pPr>
              <w:jc w:val="right"/>
              <w:ind w:right="140"/>
              <w:spacing w:after="0" w:line="142" w:lineRule="exact"/>
              <w:rPr>
                <w:sz w:val="20"/>
                <w:szCs w:val="20"/>
                <w:color w:val="auto"/>
              </w:rPr>
            </w:pPr>
            <w:r>
              <w:rPr>
                <w:rFonts w:ascii="Arial" w:cs="Arial" w:eastAsia="Arial" w:hAnsi="Arial"/>
                <w:sz w:val="14"/>
                <w:szCs w:val="14"/>
                <w:color w:val="auto"/>
              </w:rPr>
              <w:t>(779.3)</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(373.7)</w:t>
            </w:r>
          </w:p>
        </w:tc>
        <w:tc>
          <w:tcPr>
            <w:tcW w:w="80" w:type="dxa"/>
            <w:vAlign w:val="bottom"/>
          </w:tcPr>
          <w:p>
            <w:pPr>
              <w:jc w:val="right"/>
              <w:spacing w:after="0" w:line="142" w:lineRule="exact"/>
              <w:rPr>
                <w:sz w:val="20"/>
                <w:szCs w:val="20"/>
                <w:color w:val="auto"/>
              </w:rPr>
            </w:pPr>
            <w:r>
              <w:rPr>
                <w:rFonts w:ascii="Arial" w:cs="Arial" w:eastAsia="Arial" w:hAnsi="Arial"/>
                <w:sz w:val="14"/>
                <w:szCs w:val="14"/>
                <w:color w:val="auto"/>
                <w:w w:val="76"/>
              </w:rPr>
              <w:t>$</w:t>
            </w:r>
          </w:p>
        </w:tc>
        <w:tc>
          <w:tcPr>
            <w:tcW w:w="760" w:type="dxa"/>
            <w:vAlign w:val="bottom"/>
          </w:tcPr>
          <w:p>
            <w:pPr>
              <w:jc w:val="right"/>
              <w:spacing w:after="0" w:line="142" w:lineRule="exact"/>
              <w:rPr>
                <w:sz w:val="20"/>
                <w:szCs w:val="20"/>
                <w:color w:val="auto"/>
              </w:rPr>
            </w:pPr>
            <w:r>
              <w:rPr>
                <w:rFonts w:ascii="Arial" w:cs="Arial" w:eastAsia="Arial" w:hAnsi="Arial"/>
                <w:sz w:val="14"/>
                <w:szCs w:val="14"/>
                <w:color w:val="auto"/>
              </w:rPr>
              <w:t>11.5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2160" w:type="dxa"/>
            <w:vAlign w:val="bottom"/>
          </w:tcPr>
          <w:p>
            <w:pPr>
              <w:spacing w:after="0"/>
              <w:rPr>
                <w:sz w:val="7"/>
                <w:szCs w:val="7"/>
                <w:color w:val="auto"/>
              </w:rPr>
            </w:pPr>
          </w:p>
        </w:tc>
        <w:tc>
          <w:tcPr>
            <w:tcW w:w="1600" w:type="dxa"/>
            <w:vAlign w:val="bottom"/>
          </w:tcPr>
          <w:p>
            <w:pPr>
              <w:spacing w:after="0"/>
              <w:rPr>
                <w:sz w:val="7"/>
                <w:szCs w:val="7"/>
                <w:color w:val="auto"/>
              </w:rPr>
            </w:pPr>
          </w:p>
        </w:tc>
        <w:tc>
          <w:tcPr>
            <w:tcW w:w="60" w:type="dxa"/>
            <w:vAlign w:val="bottom"/>
          </w:tcPr>
          <w:p>
            <w:pPr>
              <w:spacing w:after="0"/>
              <w:rPr>
                <w:sz w:val="7"/>
                <w:szCs w:val="7"/>
                <w:color w:val="auto"/>
              </w:rPr>
            </w:pPr>
          </w:p>
        </w:tc>
        <w:tc>
          <w:tcPr>
            <w:tcW w:w="92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980" w:type="dxa"/>
            <w:vAlign w:val="bottom"/>
          </w:tcPr>
          <w:p>
            <w:pPr>
              <w:spacing w:after="0"/>
              <w:rPr>
                <w:sz w:val="7"/>
                <w:szCs w:val="7"/>
                <w:color w:val="auto"/>
              </w:rPr>
            </w:pPr>
          </w:p>
        </w:tc>
        <w:tc>
          <w:tcPr>
            <w:tcW w:w="180" w:type="dxa"/>
            <w:vAlign w:val="bottom"/>
          </w:tcPr>
          <w:p>
            <w:pPr>
              <w:spacing w:after="0"/>
              <w:rPr>
                <w:sz w:val="7"/>
                <w:szCs w:val="7"/>
                <w:color w:val="auto"/>
              </w:rPr>
            </w:pPr>
          </w:p>
        </w:tc>
        <w:tc>
          <w:tcPr>
            <w:tcW w:w="80" w:type="dxa"/>
            <w:vAlign w:val="bottom"/>
          </w:tcPr>
          <w:p>
            <w:pPr>
              <w:spacing w:after="0"/>
              <w:rPr>
                <w:sz w:val="7"/>
                <w:szCs w:val="7"/>
                <w:color w:val="auto"/>
              </w:rPr>
            </w:pPr>
          </w:p>
        </w:tc>
        <w:tc>
          <w:tcPr>
            <w:tcW w:w="62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76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jc w:val="both"/>
        <w:ind w:left="1680" w:hanging="531"/>
        <w:spacing w:after="0" w:line="230" w:lineRule="auto"/>
        <w:tabs>
          <w:tab w:leader="none" w:pos="1680" w:val="left"/>
        </w:tabs>
        <w:numPr>
          <w:ilvl w:val="0"/>
          <w:numId w:val="56"/>
        </w:numPr>
        <w:rPr>
          <w:rFonts w:ascii="Arial" w:cs="Arial" w:eastAsia="Arial" w:hAnsi="Arial"/>
          <w:sz w:val="14"/>
          <w:szCs w:val="14"/>
          <w:color w:val="auto"/>
        </w:rPr>
      </w:pPr>
      <w:r>
        <w:rPr>
          <w:rFonts w:ascii="Arial" w:cs="Arial" w:eastAsia="Arial" w:hAnsi="Arial"/>
          <w:sz w:val="14"/>
          <w:szCs w:val="14"/>
          <w:color w:val="auto"/>
        </w:rPr>
        <w:t>The gross amount of recognized derivative and reverse repurchase agreement assets are reported with other investments on the consolidated statements of financial position. The above excludes $0.2 million and $0.4 million of derivative assets as of December 31, 2013 and December 31, 2012, respectively, that are not subject to master netting agreements or similar agreements. The gross amounts of derivative and reverse repurchase agreement assets are not netted against offsetting liabilities for presentation on the consolidated statements of financial position.</w:t>
      </w:r>
    </w:p>
    <w:p>
      <w:pPr>
        <w:spacing w:after="0" w:line="112" w:lineRule="exact"/>
        <w:rPr>
          <w:rFonts w:ascii="Arial" w:cs="Arial" w:eastAsia="Arial" w:hAnsi="Arial"/>
          <w:sz w:val="14"/>
          <w:szCs w:val="14"/>
          <w:color w:val="auto"/>
        </w:rPr>
      </w:pPr>
    </w:p>
    <w:p>
      <w:pPr>
        <w:ind w:left="1680" w:hanging="531"/>
        <w:spacing w:after="0" w:line="239" w:lineRule="auto"/>
        <w:tabs>
          <w:tab w:leader="none" w:pos="1680" w:val="left"/>
        </w:tabs>
        <w:numPr>
          <w:ilvl w:val="0"/>
          <w:numId w:val="56"/>
        </w:numPr>
        <w:rPr>
          <w:rFonts w:ascii="Arial" w:cs="Arial" w:eastAsia="Arial" w:hAnsi="Arial"/>
          <w:sz w:val="14"/>
          <w:szCs w:val="14"/>
          <w:color w:val="auto"/>
        </w:rPr>
      </w:pPr>
      <w:r>
        <w:rPr>
          <w:rFonts w:ascii="Arial" w:cs="Arial" w:eastAsia="Arial" w:hAnsi="Arial"/>
          <w:sz w:val="14"/>
          <w:szCs w:val="14"/>
          <w:color w:val="auto"/>
        </w:rPr>
        <w:t>Represents amount of offsetting derivative liabilities that are subject to an enforceable master netting agreement or similar agreement that are not netted against the gross derivative assets for presentation on the consolidated statements of financial position.</w:t>
      </w:r>
    </w:p>
    <w:p>
      <w:pPr>
        <w:spacing w:after="0" w:line="19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Financial liabilities subject to master netting agreements or similar agreements were as follows:</w:t>
      </w:r>
    </w:p>
    <w:p>
      <w:pPr>
        <w:spacing w:after="0" w:line="20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7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20" w:type="dxa"/>
            <w:vAlign w:val="bottom"/>
            <w:gridSpan w:val="6"/>
          </w:tcPr>
          <w:p>
            <w:pPr>
              <w:jc w:val="center"/>
              <w:ind w:right="240"/>
              <w:spacing w:after="0"/>
              <w:rPr>
                <w:sz w:val="20"/>
                <w:szCs w:val="20"/>
                <w:color w:val="auto"/>
              </w:rPr>
            </w:pPr>
            <w:r>
              <w:rPr>
                <w:rFonts w:ascii="Arial" w:cs="Arial" w:eastAsia="Arial" w:hAnsi="Arial"/>
                <w:sz w:val="14"/>
                <w:szCs w:val="14"/>
                <w:b w:val="1"/>
                <w:bCs w:val="1"/>
                <w:color w:val="auto"/>
                <w:w w:val="84"/>
              </w:rPr>
              <w:t>Gross amounts not offset in</w:t>
            </w:r>
          </w:p>
        </w:tc>
        <w:tc>
          <w:tcPr>
            <w:tcW w:w="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20" w:type="dxa"/>
            <w:vAlign w:val="bottom"/>
            <w:gridSpan w:val="6"/>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the Statement of Financial</w:t>
            </w: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7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8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84"/>
              </w:rPr>
              <w:t>Gross amount</w:t>
            </w:r>
          </w:p>
        </w:tc>
        <w:tc>
          <w:tcPr>
            <w:tcW w:w="8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gridSpan w:val="3"/>
          </w:tcPr>
          <w:p>
            <w:pPr>
              <w:jc w:val="center"/>
              <w:ind w:left="552"/>
              <w:spacing w:after="0"/>
              <w:rPr>
                <w:sz w:val="20"/>
                <w:szCs w:val="20"/>
                <w:color w:val="auto"/>
              </w:rPr>
            </w:pPr>
            <w:r>
              <w:rPr>
                <w:rFonts w:ascii="Arial" w:cs="Arial" w:eastAsia="Arial" w:hAnsi="Arial"/>
                <w:sz w:val="14"/>
                <w:szCs w:val="14"/>
                <w:b w:val="1"/>
                <w:bCs w:val="1"/>
                <w:color w:val="auto"/>
                <w:w w:val="83"/>
              </w:rPr>
              <w:t>Position</w:t>
            </w:r>
          </w:p>
        </w:tc>
        <w:tc>
          <w:tcPr>
            <w:tcW w:w="8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7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8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3"/>
              </w:rPr>
              <w:t>of recognized</w:t>
            </w:r>
          </w:p>
        </w:tc>
        <w:tc>
          <w:tcPr>
            <w:tcW w:w="80" w:type="dxa"/>
            <w:vAlign w:val="bottom"/>
          </w:tcPr>
          <w:p>
            <w:pPr>
              <w:spacing w:after="0"/>
              <w:rPr>
                <w:sz w:val="12"/>
                <w:szCs w:val="12"/>
                <w:color w:val="auto"/>
              </w:rPr>
            </w:pPr>
          </w:p>
        </w:tc>
        <w:tc>
          <w:tcPr>
            <w:tcW w:w="1160" w:type="dxa"/>
            <w:vAlign w:val="bottom"/>
            <w:gridSpan w:val="3"/>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Financial</w:t>
            </w:r>
          </w:p>
        </w:tc>
        <w:tc>
          <w:tcPr>
            <w:tcW w:w="86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7"/>
              </w:rPr>
              <w:t>Collateral</w:t>
            </w: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7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8"/>
              </w:rPr>
              <w:t>liabilities (1)</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6"/>
              </w:rPr>
              <w:t>instruments (2)</w:t>
            </w:r>
          </w:p>
        </w:tc>
        <w:tc>
          <w:tcPr>
            <w:tcW w:w="16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1"/>
              </w:rPr>
              <w:t>pledged</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5"/>
              </w:rPr>
              <w:t>Net amount</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3"/>
          </w:tcPr>
          <w:p>
            <w:pPr>
              <w:jc w:val="center"/>
              <w:ind w:left="392"/>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w w:val="87"/>
              </w:rPr>
              <w:t>December 31, 2013</w:t>
            </w:r>
          </w:p>
        </w:tc>
        <w:tc>
          <w:tcPr>
            <w:tcW w:w="37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20" w:type="dxa"/>
            <w:vAlign w:val="bottom"/>
          </w:tcPr>
          <w:p>
            <w:pPr>
              <w:spacing w:after="0" w:line="149" w:lineRule="exact"/>
              <w:rPr>
                <w:sz w:val="20"/>
                <w:szCs w:val="20"/>
                <w:color w:val="auto"/>
              </w:rPr>
            </w:pPr>
            <w:r>
              <w:rPr>
                <w:rFonts w:ascii="Arial" w:cs="Arial" w:eastAsia="Arial" w:hAnsi="Arial"/>
                <w:sz w:val="14"/>
                <w:szCs w:val="14"/>
                <w:color w:val="auto"/>
                <w:w w:val="92"/>
              </w:rPr>
              <w:t>Derivative liabilities</w:t>
            </w:r>
          </w:p>
        </w:tc>
        <w:tc>
          <w:tcPr>
            <w:tcW w:w="38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1,022.0</w:t>
            </w:r>
          </w:p>
        </w:tc>
        <w:tc>
          <w:tcPr>
            <w:tcW w:w="160" w:type="dxa"/>
            <w:vAlign w:val="bottom"/>
          </w:tcPr>
          <w:p>
            <w:pPr>
              <w:spacing w:after="0"/>
              <w:rPr>
                <w:sz w:val="12"/>
                <w:szCs w:val="12"/>
                <w:color w:val="auto"/>
              </w:rPr>
            </w:pPr>
          </w:p>
        </w:tc>
        <w:tc>
          <w:tcPr>
            <w:tcW w:w="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1140" w:type="dxa"/>
            <w:vAlign w:val="bottom"/>
            <w:gridSpan w:val="2"/>
          </w:tcPr>
          <w:p>
            <w:pPr>
              <w:jc w:val="center"/>
              <w:ind w:left="452"/>
              <w:spacing w:after="0" w:line="149" w:lineRule="exact"/>
              <w:rPr>
                <w:sz w:val="20"/>
                <w:szCs w:val="20"/>
                <w:color w:val="auto"/>
              </w:rPr>
            </w:pPr>
            <w:r>
              <w:rPr>
                <w:rFonts w:ascii="Arial" w:cs="Arial" w:eastAsia="Arial" w:hAnsi="Arial"/>
                <w:sz w:val="14"/>
                <w:szCs w:val="14"/>
                <w:b w:val="1"/>
                <w:bCs w:val="1"/>
                <w:color w:val="auto"/>
                <w:w w:val="85"/>
              </w:rPr>
              <w:t>(581.5)</w:t>
            </w:r>
          </w:p>
        </w:tc>
        <w:tc>
          <w:tcPr>
            <w:tcW w:w="2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Arial" w:cs="Arial" w:eastAsia="Arial" w:hAnsi="Arial"/>
                <w:sz w:val="10"/>
                <w:szCs w:val="10"/>
                <w:b w:val="1"/>
                <w:bCs w:val="1"/>
                <w:color w:val="auto"/>
                <w:w w:val="71"/>
              </w:rPr>
              <w:t>$</w:t>
            </w:r>
          </w:p>
        </w:tc>
        <w:tc>
          <w:tcPr>
            <w:tcW w:w="78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(362.1)</w:t>
            </w:r>
          </w:p>
        </w:tc>
        <w:tc>
          <w:tcPr>
            <w:tcW w:w="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78.4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1120" w:type="dxa"/>
            <w:vAlign w:val="bottom"/>
            <w:shd w:val="clear" w:color="auto" w:fill="CCEEFF"/>
          </w:tcPr>
          <w:p>
            <w:pPr>
              <w:spacing w:after="0" w:line="129" w:lineRule="exact"/>
              <w:rPr>
                <w:sz w:val="20"/>
                <w:szCs w:val="20"/>
                <w:color w:val="auto"/>
              </w:rPr>
            </w:pPr>
            <w:r>
              <w:rPr>
                <w:rFonts w:ascii="Arial" w:cs="Arial" w:eastAsia="Arial" w:hAnsi="Arial"/>
                <w:sz w:val="14"/>
                <w:szCs w:val="14"/>
                <w:b w:val="1"/>
                <w:bCs w:val="1"/>
                <w:color w:val="auto"/>
                <w:w w:val="87"/>
              </w:rPr>
              <w:t>December 31, 2012</w:t>
            </w:r>
          </w:p>
        </w:tc>
        <w:tc>
          <w:tcPr>
            <w:tcW w:w="37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20" w:type="dxa"/>
            <w:vAlign w:val="bottom"/>
          </w:tcPr>
          <w:p>
            <w:pPr>
              <w:spacing w:after="0" w:line="149" w:lineRule="exact"/>
              <w:rPr>
                <w:sz w:val="20"/>
                <w:szCs w:val="20"/>
                <w:color w:val="auto"/>
              </w:rPr>
            </w:pPr>
            <w:r>
              <w:rPr>
                <w:rFonts w:ascii="Arial" w:cs="Arial" w:eastAsia="Arial" w:hAnsi="Arial"/>
                <w:sz w:val="14"/>
                <w:szCs w:val="14"/>
                <w:color w:val="auto"/>
                <w:w w:val="92"/>
              </w:rPr>
              <w:t>Derivative liabilities</w:t>
            </w:r>
          </w:p>
        </w:tc>
        <w:tc>
          <w:tcPr>
            <w:tcW w:w="38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1,198.2</w:t>
            </w:r>
          </w:p>
        </w:tc>
        <w:tc>
          <w:tcPr>
            <w:tcW w:w="160" w:type="dxa"/>
            <w:vAlign w:val="bottom"/>
          </w:tcPr>
          <w:p>
            <w:pPr>
              <w:spacing w:after="0"/>
              <w:rPr>
                <w:sz w:val="12"/>
                <w:szCs w:val="12"/>
                <w:color w:val="auto"/>
              </w:rPr>
            </w:pP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1140" w:type="dxa"/>
            <w:vAlign w:val="bottom"/>
            <w:gridSpan w:val="2"/>
          </w:tcPr>
          <w:p>
            <w:pPr>
              <w:jc w:val="center"/>
              <w:ind w:left="452"/>
              <w:spacing w:after="0" w:line="149" w:lineRule="exact"/>
              <w:rPr>
                <w:sz w:val="20"/>
                <w:szCs w:val="20"/>
                <w:color w:val="auto"/>
              </w:rPr>
            </w:pPr>
            <w:r>
              <w:rPr>
                <w:rFonts w:ascii="Arial" w:cs="Arial" w:eastAsia="Arial" w:hAnsi="Arial"/>
                <w:sz w:val="14"/>
                <w:szCs w:val="14"/>
                <w:color w:val="auto"/>
                <w:w w:val="85"/>
              </w:rPr>
              <w:t>(779.3)</w:t>
            </w:r>
          </w:p>
        </w:tc>
        <w:tc>
          <w:tcPr>
            <w:tcW w:w="2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(279.1)</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139.8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3760" w:type="dxa"/>
            <w:vAlign w:val="bottom"/>
          </w:tcPr>
          <w:p>
            <w:pPr>
              <w:spacing w:after="0"/>
              <w:rPr>
                <w:sz w:val="7"/>
                <w:szCs w:val="7"/>
                <w:color w:val="auto"/>
              </w:rPr>
            </w:pPr>
          </w:p>
        </w:tc>
        <w:tc>
          <w:tcPr>
            <w:tcW w:w="60" w:type="dxa"/>
            <w:vAlign w:val="bottom"/>
          </w:tcPr>
          <w:p>
            <w:pPr>
              <w:spacing w:after="0"/>
              <w:rPr>
                <w:sz w:val="7"/>
                <w:szCs w:val="7"/>
                <w:color w:val="auto"/>
              </w:rPr>
            </w:pPr>
          </w:p>
        </w:tc>
        <w:tc>
          <w:tcPr>
            <w:tcW w:w="92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980" w:type="dxa"/>
            <w:vAlign w:val="bottom"/>
          </w:tcPr>
          <w:p>
            <w:pPr>
              <w:spacing w:after="0"/>
              <w:rPr>
                <w:sz w:val="7"/>
                <w:szCs w:val="7"/>
                <w:color w:val="auto"/>
              </w:rPr>
            </w:pPr>
          </w:p>
        </w:tc>
        <w:tc>
          <w:tcPr>
            <w:tcW w:w="16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2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76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jc w:val="both"/>
        <w:ind w:left="1680" w:hanging="531"/>
        <w:spacing w:after="0" w:line="228" w:lineRule="auto"/>
        <w:tabs>
          <w:tab w:leader="none" w:pos="1680" w:val="left"/>
        </w:tabs>
        <w:numPr>
          <w:ilvl w:val="0"/>
          <w:numId w:val="57"/>
        </w:numPr>
        <w:rPr>
          <w:rFonts w:ascii="Arial" w:cs="Arial" w:eastAsia="Arial" w:hAnsi="Arial"/>
          <w:sz w:val="14"/>
          <w:szCs w:val="14"/>
          <w:color w:val="auto"/>
        </w:rPr>
      </w:pPr>
      <w:r>
        <w:rPr>
          <w:rFonts w:ascii="Arial" w:cs="Arial" w:eastAsia="Arial" w:hAnsi="Arial"/>
          <w:sz w:val="14"/>
          <w:szCs w:val="14"/>
          <w:color w:val="auto"/>
        </w:rPr>
        <w:t>The gross amount of recognized derivative liabilities are reported with other liabilities and contractholder funds on the consolidated statements of financial position. The above excludes $226.7 million and $329.8 million of derivative liabilities as of December 31, 2013 and December 31, 2012, respectively, which are primarily embedded derivatives that are not subject to master netting agreements or similar agreements. The gross amount of recognized repurchase agreement liabilities are reported with short-term debt on the consolidated statements of financial position. The gross amounts of derivative and repurchase agreement liabilities are not netted against offsetting assets for presentation on the consolidated statements of financial position.</w:t>
      </w:r>
    </w:p>
    <w:p>
      <w:pPr>
        <w:spacing w:after="0" w:line="113" w:lineRule="exact"/>
        <w:rPr>
          <w:rFonts w:ascii="Arial" w:cs="Arial" w:eastAsia="Arial" w:hAnsi="Arial"/>
          <w:sz w:val="14"/>
          <w:szCs w:val="14"/>
          <w:color w:val="auto"/>
        </w:rPr>
      </w:pPr>
    </w:p>
    <w:p>
      <w:pPr>
        <w:ind w:left="1680" w:hanging="531"/>
        <w:spacing w:after="0" w:line="239" w:lineRule="auto"/>
        <w:tabs>
          <w:tab w:leader="none" w:pos="1680" w:val="left"/>
        </w:tabs>
        <w:numPr>
          <w:ilvl w:val="0"/>
          <w:numId w:val="57"/>
        </w:numPr>
        <w:rPr>
          <w:rFonts w:ascii="Arial" w:cs="Arial" w:eastAsia="Arial" w:hAnsi="Arial"/>
          <w:sz w:val="14"/>
          <w:szCs w:val="14"/>
          <w:color w:val="auto"/>
        </w:rPr>
      </w:pPr>
      <w:r>
        <w:rPr>
          <w:rFonts w:ascii="Arial" w:cs="Arial" w:eastAsia="Arial" w:hAnsi="Arial"/>
          <w:sz w:val="14"/>
          <w:szCs w:val="14"/>
          <w:color w:val="auto"/>
        </w:rPr>
        <w:t>Represents amount of offsetting derivative assets that are subject to an enforceable master netting agreement or similar agreement that are not netted against the gross derivative liabilities for presentation on the consolidated statements of financial position.</w:t>
      </w:r>
    </w:p>
    <w:p>
      <w:pPr>
        <w:spacing w:after="0" w:line="195" w:lineRule="exact"/>
        <w:rPr>
          <w:sz w:val="20"/>
          <w:szCs w:val="20"/>
          <w:color w:val="auto"/>
        </w:rPr>
      </w:pPr>
    </w:p>
    <w:p>
      <w:pPr>
        <w:jc w:val="both"/>
        <w:ind w:firstLine="492"/>
        <w:spacing w:after="0" w:line="298" w:lineRule="auto"/>
        <w:rPr>
          <w:sz w:val="20"/>
          <w:szCs w:val="20"/>
          <w:color w:val="auto"/>
        </w:rPr>
      </w:pPr>
      <w:r>
        <w:rPr>
          <w:rFonts w:ascii="Arial" w:cs="Arial" w:eastAsia="Arial" w:hAnsi="Arial"/>
          <w:sz w:val="16"/>
          <w:szCs w:val="16"/>
          <w:color w:val="auto"/>
        </w:rPr>
        <w:t>The financial instruments that are subject to master netting agreements or similar agreements include right of setoff provisions. Derivative instruments include provisions to setoff positions covered under the agreements with the same counterparties and provisions to setoff positions outside of the agreements with the same counterparties in the event of default by one of the parties. Derivative instruments also include collateral provisions. Collateral received and pledged is generally settled daily with each counterparty. See Note 6, Derivative Financial Instruments, for further details.</w:t>
      </w:r>
    </w:p>
    <w:p>
      <w:pPr>
        <w:spacing w:after="0" w:line="167" w:lineRule="exact"/>
        <w:rPr>
          <w:sz w:val="20"/>
          <w:szCs w:val="20"/>
          <w:color w:val="auto"/>
        </w:rPr>
      </w:pPr>
    </w:p>
    <w:p>
      <w:pPr>
        <w:jc w:val="both"/>
        <w:ind w:firstLine="443"/>
        <w:spacing w:after="0" w:line="268" w:lineRule="auto"/>
        <w:rPr>
          <w:sz w:val="20"/>
          <w:szCs w:val="20"/>
          <w:color w:val="auto"/>
        </w:rPr>
      </w:pPr>
      <w:r>
        <w:rPr>
          <w:rFonts w:ascii="Arial" w:cs="Arial" w:eastAsia="Arial" w:hAnsi="Arial"/>
          <w:sz w:val="18"/>
          <w:szCs w:val="18"/>
          <w:color w:val="auto"/>
        </w:rPr>
        <w:t>Repurchase and reverse repurchase agreements include provisions to setoff other repurchase and reverse repurchase balances with the same counterparty. Repurchase and reverse repurchase agreements also include collateral provisions</w:t>
      </w:r>
    </w:p>
    <w:p>
      <w:pPr>
        <w:sectPr>
          <w:pgSz w:w="11900" w:h="16838" w:orient="portrait"/>
          <w:cols w:equalWidth="0" w:num="1">
            <w:col w:w="11420"/>
          </w:cols>
          <w:pgMar w:left="240" w:top="131" w:right="239" w:bottom="1440" w:gutter="0" w:footer="0" w:header="0"/>
        </w:sectPr>
      </w:pP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29" w:name="page130"/>
    <w:bookmarkEnd w:id="12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Investments — (continued)</w:t>
      </w:r>
    </w:p>
    <w:p>
      <w:pPr>
        <w:spacing w:after="0" w:line="231"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with the counterparties. For reverse repurchase agreements we require the counterparties to pledge collateral with a value greater than the amount of cash transferred. We have the right but do not sell or repledge collateral received in reverse repurchase agreements. Repurchase agreements are structured as secured borrowings for all counterparties. We pledge fixed maturities available-for-sale, which the counterparties have the right to sell or repledge. Interest incurred on repurchase agreements is reported as part of operating expense on the consolidated statements of operations. Net proceeds related to repurchase agreements are reported as a component of financing activities on the consolidated statements of cash flows. We did not have any outstanding repurchase agreements as of December 31, 2013 and December 31, 2012.</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Derivative Financial Instruments</w:t>
      </w:r>
    </w:p>
    <w:p>
      <w:pPr>
        <w:spacing w:after="0" w:line="231" w:lineRule="exact"/>
        <w:rPr>
          <w:sz w:val="20"/>
          <w:szCs w:val="20"/>
          <w:color w:val="auto"/>
        </w:rPr>
      </w:pPr>
    </w:p>
    <w:p>
      <w:pPr>
        <w:jc w:val="both"/>
        <w:ind w:firstLine="442"/>
        <w:spacing w:after="0" w:line="259" w:lineRule="auto"/>
        <w:rPr>
          <w:sz w:val="20"/>
          <w:szCs w:val="20"/>
          <w:color w:val="auto"/>
        </w:rPr>
      </w:pPr>
      <w:r>
        <w:rPr>
          <w:rFonts w:ascii="Arial" w:cs="Arial" w:eastAsia="Arial" w:hAnsi="Arial"/>
          <w:sz w:val="18"/>
          <w:szCs w:val="18"/>
          <w:color w:val="auto"/>
        </w:rPr>
        <w:t>Derivatives are generally used to hedge or reduce exposure to market risks associated with assets held or expected to be purchased or sold and liabilities incurred or expected to be incurred. Derivatives are used to change the characteristics of our asset/liability mix consistent with our risk management activities. Derivatives are also used in asset replication strategies.</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Types of Derivative Instruments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Contracts</w:t>
      </w:r>
    </w:p>
    <w:p>
      <w:pPr>
        <w:spacing w:after="0" w:line="225" w:lineRule="exact"/>
        <w:rPr>
          <w:sz w:val="20"/>
          <w:szCs w:val="20"/>
          <w:color w:val="auto"/>
        </w:rPr>
      </w:pPr>
    </w:p>
    <w:p>
      <w:pPr>
        <w:jc w:val="both"/>
        <w:ind w:firstLine="361"/>
        <w:spacing w:after="0" w:line="256" w:lineRule="auto"/>
        <w:rPr>
          <w:sz w:val="20"/>
          <w:szCs w:val="20"/>
          <w:color w:val="auto"/>
        </w:rPr>
      </w:pPr>
      <w:r>
        <w:rPr>
          <w:rFonts w:ascii="Arial" w:cs="Arial" w:eastAsia="Arial" w:hAnsi="Arial"/>
          <w:sz w:val="18"/>
          <w:szCs w:val="18"/>
          <w:color w:val="auto"/>
        </w:rPr>
        <w:t>Interest rate risk is the risk we will incur economic losses due to adverse changes in interest rates. Sources of interest rate risk include the difference between the maturity and interest rate changes of assets with the liabilities they support, timing differences between the pricing of liabilities and the purchase or procurement of assets and changing cash flow profiles from original projections due to prepayment options embedded within asset and liability contracts. We use various derivatives to manage our exposure to fluctuations in interest rates.</w:t>
      </w:r>
    </w:p>
    <w:p>
      <w:pPr>
        <w:spacing w:after="0" w:line="197" w:lineRule="exact"/>
        <w:rPr>
          <w:sz w:val="20"/>
          <w:szCs w:val="20"/>
          <w:color w:val="auto"/>
        </w:rPr>
      </w:pPr>
    </w:p>
    <w:p>
      <w:pPr>
        <w:jc w:val="both"/>
        <w:ind w:firstLine="402"/>
        <w:spacing w:after="0" w:line="289" w:lineRule="auto"/>
        <w:rPr>
          <w:sz w:val="20"/>
          <w:szCs w:val="20"/>
          <w:color w:val="auto"/>
        </w:rPr>
      </w:pPr>
      <w:r>
        <w:rPr>
          <w:rFonts w:ascii="Arial" w:cs="Arial" w:eastAsia="Arial" w:hAnsi="Arial"/>
          <w:sz w:val="16"/>
          <w:szCs w:val="16"/>
          <w:color w:val="auto"/>
        </w:rPr>
        <w:t>Interest rate swaps are contracts in which we agree with other parties to exchange, at specified intervals, the difference between fixed rate and floating rate interest amounts based upon designated market rates or rate indices and an agreed upon notional principal amount. Generally, no cash is exchanged at the outset of the contract and no principal payments are made by any party. Cash is paid or received based on the terms of the swap. We use interest rate swaps primarily to more closely match the interest rate characteristics of assets and liabilities and to mitigate the risks arising from timing mismatches between assets and liabilities (including duration mismatches). We also use interest rate swaps to hedge against changes in the value of assets we anticipate acquiring and other anticipated transactions and commitments. Interest rate swaps are used to hedge against changes in the value of the guaranteed minimum withdrawal benefit ("GMWB") liability. The GMWB rider on our variable annuity products provides for guaranteed minimum withdrawal benefits regardless of the actual performance of various equity and/or fixed income funds available with the product.</w:t>
      </w:r>
    </w:p>
    <w:p>
      <w:pPr>
        <w:spacing w:after="0" w:line="172" w:lineRule="exact"/>
        <w:rPr>
          <w:sz w:val="20"/>
          <w:szCs w:val="20"/>
          <w:color w:val="auto"/>
        </w:rPr>
      </w:pPr>
    </w:p>
    <w:p>
      <w:pPr>
        <w:jc w:val="both"/>
        <w:ind w:firstLine="436"/>
        <w:spacing w:after="0" w:line="256" w:lineRule="auto"/>
        <w:rPr>
          <w:sz w:val="20"/>
          <w:szCs w:val="20"/>
          <w:color w:val="auto"/>
        </w:rPr>
      </w:pPr>
      <w:r>
        <w:rPr>
          <w:rFonts w:ascii="Arial" w:cs="Arial" w:eastAsia="Arial" w:hAnsi="Arial"/>
          <w:sz w:val="18"/>
          <w:szCs w:val="18"/>
          <w:color w:val="auto"/>
        </w:rPr>
        <w:t>Interest rate options, including interest rate caps and interest rate floors, which can be combined to form interest rate collars, are contracts that entitle the purchaser to pay or receive the amounts, if any, by which a specified market rate exceeds a cap strike interest rate, or falls below a floor strike interest rate, respectively, at specified dates. We use interest rate collars to manage interest rate risk related to guaranteed minimum interest rate liabilities in our individual annuities contracts and lapse risk associated with higher interest rates.</w:t>
      </w:r>
    </w:p>
    <w:p>
      <w:pPr>
        <w:spacing w:after="0" w:line="197" w:lineRule="exact"/>
        <w:rPr>
          <w:sz w:val="20"/>
          <w:szCs w:val="20"/>
          <w:color w:val="auto"/>
        </w:rPr>
      </w:pPr>
    </w:p>
    <w:p>
      <w:pPr>
        <w:jc w:val="both"/>
        <w:ind w:right="20" w:firstLine="364"/>
        <w:spacing w:after="0" w:line="306" w:lineRule="auto"/>
        <w:rPr>
          <w:sz w:val="20"/>
          <w:szCs w:val="20"/>
          <w:color w:val="auto"/>
        </w:rPr>
      </w:pPr>
      <w:r>
        <w:rPr>
          <w:rFonts w:ascii="Arial" w:cs="Arial" w:eastAsia="Arial" w:hAnsi="Arial"/>
          <w:sz w:val="16"/>
          <w:szCs w:val="16"/>
          <w:color w:val="auto"/>
        </w:rPr>
        <w:t>A swaption is an option to enter into an interest rate swap at a future date. We purchase swaptions to offset or modify existing exposures. Swaptions provide us the benefit of the agreed-upon strike rate if the market rates for liabilities are higher, with the flexibility to enter into the current market rate swap if the market rates for liabilities are lower. Swaptions not only hedge against the downside risk, but also allow us to take advantage of any upside benefits.</w:t>
      </w:r>
    </w:p>
    <w:p>
      <w:pPr>
        <w:spacing w:after="0" w:line="161" w:lineRule="exact"/>
        <w:rPr>
          <w:sz w:val="20"/>
          <w:szCs w:val="20"/>
          <w:color w:val="auto"/>
        </w:rPr>
      </w:pPr>
    </w:p>
    <w:p>
      <w:pPr>
        <w:jc w:val="both"/>
        <w:ind w:firstLine="425"/>
        <w:spacing w:after="0" w:line="323" w:lineRule="auto"/>
        <w:rPr>
          <w:sz w:val="20"/>
          <w:szCs w:val="20"/>
          <w:color w:val="auto"/>
        </w:rPr>
      </w:pPr>
      <w:r>
        <w:rPr>
          <w:rFonts w:ascii="Arial" w:cs="Arial" w:eastAsia="Arial" w:hAnsi="Arial"/>
          <w:sz w:val="15"/>
          <w:szCs w:val="15"/>
          <w:color w:val="auto"/>
        </w:rPr>
        <w:t>In exchange-traded futures transactions, we agree to purchase or sell a specified number of contracts, the values of which are determined by the values of designated classes of securities, and to post variation margin on a daily basis in an amount equal to the difference in the daily market values of those contracts. We enter into exchange-traded futures with regulated futures commissions merchants who are members of a trading exchange. We have used exchange-traded futures to reduce market risks from changes in interest rates and to alter mismatches between the assets in a portfolio and the liabilities supported by those assets.</w:t>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Exchange Contracts</w:t>
      </w:r>
    </w:p>
    <w:p>
      <w:pPr>
        <w:spacing w:after="0" w:line="225" w:lineRule="exact"/>
        <w:rPr>
          <w:sz w:val="20"/>
          <w:szCs w:val="20"/>
          <w:color w:val="auto"/>
        </w:rPr>
      </w:pPr>
    </w:p>
    <w:p>
      <w:pPr>
        <w:jc w:val="both"/>
        <w:ind w:firstLine="392"/>
        <w:spacing w:after="0" w:line="259" w:lineRule="auto"/>
        <w:rPr>
          <w:sz w:val="20"/>
          <w:szCs w:val="20"/>
          <w:color w:val="auto"/>
        </w:rPr>
      </w:pPr>
      <w:r>
        <w:rPr>
          <w:rFonts w:ascii="Arial" w:cs="Arial" w:eastAsia="Arial" w:hAnsi="Arial"/>
          <w:sz w:val="18"/>
          <w:szCs w:val="18"/>
          <w:color w:val="auto"/>
        </w:rPr>
        <w:t>Foreign currency risk is the risk we will incur economic losses due to adverse fluctuations in foreign currency exchange rates. This risk arises from foreign currency-denominated funding agreements we issue, foreign currency-denominated fixed maturities we invest in and the financial results of our international operations, including acquisition</w:t>
      </w:r>
    </w:p>
    <w:p>
      <w:pPr>
        <w:sectPr>
          <w:pgSz w:w="11900" w:h="16838" w:orient="portrait"/>
          <w:cols w:equalWidth="0" w:num="1">
            <w:col w:w="11420"/>
          </w:cols>
          <w:pgMar w:left="240" w:top="131" w:right="239" w:bottom="1440" w:gutter="0" w:footer="0" w:header="0"/>
        </w:sectPr>
      </w:pP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30" w:name="page131"/>
    <w:bookmarkEnd w:id="13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Derivative Financial Instruments —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and divestiture activity. We use various derivatives to manage our exposure to fluctuations in foreign currency exchange rates.</w:t>
      </w:r>
    </w:p>
    <w:p>
      <w:pPr>
        <w:spacing w:after="0" w:line="225" w:lineRule="exact"/>
        <w:rPr>
          <w:sz w:val="20"/>
          <w:szCs w:val="20"/>
          <w:color w:val="auto"/>
        </w:rPr>
      </w:pPr>
    </w:p>
    <w:p>
      <w:pPr>
        <w:jc w:val="both"/>
        <w:ind w:firstLine="463"/>
        <w:spacing w:after="0" w:line="291" w:lineRule="auto"/>
        <w:rPr>
          <w:sz w:val="20"/>
          <w:szCs w:val="20"/>
          <w:color w:val="auto"/>
        </w:rPr>
      </w:pPr>
      <w:r>
        <w:rPr>
          <w:rFonts w:ascii="Arial" w:cs="Arial" w:eastAsia="Arial" w:hAnsi="Arial"/>
          <w:sz w:val="16"/>
          <w:szCs w:val="16"/>
          <w:color w:val="auto"/>
        </w:rPr>
        <w:t>Currency swaps are contracts in which we agree with other parties to exchange, at specified intervals, a series of principal and interest payments in one currency for that of another currency. Generally, the principal amount of each currency is exchanged at the beginning and termination of the currency swap by each party. The interest payments are primarily fixed-to-fixed rate; however, they may also be fixed-to-floating rate or floating-to-fixed rate. These transactions are entered into pursuant to master agreements that provide for a single net payment to be made by one counterparty for payments made in the same currency at each due date. We use currency swaps to reduce market risks from changes in currency exchange rates with respect to investments or liabilities denominated in foreign currencies that we either hold or intend to acquire or sell.</w:t>
      </w:r>
    </w:p>
    <w:p>
      <w:pPr>
        <w:spacing w:after="0" w:line="174" w:lineRule="exact"/>
        <w:rPr>
          <w:sz w:val="20"/>
          <w:szCs w:val="20"/>
          <w:color w:val="auto"/>
        </w:rPr>
      </w:pPr>
    </w:p>
    <w:p>
      <w:pPr>
        <w:jc w:val="both"/>
        <w:ind w:firstLine="394"/>
        <w:spacing w:after="0" w:line="254" w:lineRule="auto"/>
        <w:rPr>
          <w:sz w:val="20"/>
          <w:szCs w:val="20"/>
          <w:color w:val="auto"/>
        </w:rPr>
      </w:pPr>
      <w:r>
        <w:rPr>
          <w:rFonts w:ascii="Arial" w:cs="Arial" w:eastAsia="Arial" w:hAnsi="Arial"/>
          <w:sz w:val="18"/>
          <w:szCs w:val="18"/>
          <w:color w:val="auto"/>
        </w:rPr>
        <w:t>Currency forwards are contracts in which we agree with other parties to deliver or receive a specified amount of an identified currency at a specified future date. Typically, the price is agreed upon at the time of the contract and payment for such a contract is made at the specified future date. We use currency forwards to reduce market risks from changes in currency exchange rates with respect to investments or liabilities denominated in foreign currencies that we either hold or intend to acquire or sell and to hedge the currency risk associated with a business combination. We have also used currency forwards to hedge the currency risk associated with net investments in foreign operations. We did not use any currency forwards during 2013 or 2012 to hedge our net investment in foreign operations.</w:t>
      </w:r>
    </w:p>
    <w:p>
      <w:pPr>
        <w:spacing w:after="0" w:line="198" w:lineRule="exact"/>
        <w:rPr>
          <w:sz w:val="20"/>
          <w:szCs w:val="20"/>
          <w:color w:val="auto"/>
        </w:rPr>
      </w:pPr>
    </w:p>
    <w:p>
      <w:pPr>
        <w:jc w:val="both"/>
        <w:ind w:firstLine="469"/>
        <w:spacing w:after="0" w:line="255" w:lineRule="auto"/>
        <w:rPr>
          <w:sz w:val="20"/>
          <w:szCs w:val="20"/>
          <w:color w:val="auto"/>
        </w:rPr>
      </w:pPr>
      <w:r>
        <w:rPr>
          <w:rFonts w:ascii="Arial" w:cs="Arial" w:eastAsia="Arial" w:hAnsi="Arial"/>
          <w:sz w:val="18"/>
          <w:szCs w:val="18"/>
          <w:color w:val="auto"/>
        </w:rPr>
        <w:t>Currency options are contracts that give the holder the right, but not the obligation to buy or sell a specified amount of the identified currency within a limited period of time at a contracted price. The contracts are net settled in cash, based on the differential in the current foreign exchange rate and the strike price. Purchased and sold options can be combined to form a foreign currency collar where we receive a payment if the foreign exchange rate is below the purchased option strike price and make a payment if the foreign exchange rate is above the sold option strike price. We have used currency options to manage the foreign currency risk associated with a business combination.</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Contracts</w:t>
      </w:r>
    </w:p>
    <w:p>
      <w:pPr>
        <w:spacing w:after="0" w:line="225" w:lineRule="exact"/>
        <w:rPr>
          <w:sz w:val="20"/>
          <w:szCs w:val="20"/>
          <w:color w:val="auto"/>
        </w:rPr>
      </w:pPr>
    </w:p>
    <w:p>
      <w:pPr>
        <w:jc w:val="both"/>
        <w:ind w:firstLine="358"/>
        <w:spacing w:after="0" w:line="259" w:lineRule="auto"/>
        <w:rPr>
          <w:sz w:val="20"/>
          <w:szCs w:val="20"/>
          <w:color w:val="auto"/>
        </w:rPr>
      </w:pPr>
      <w:r>
        <w:rPr>
          <w:rFonts w:ascii="Arial" w:cs="Arial" w:eastAsia="Arial" w:hAnsi="Arial"/>
          <w:sz w:val="18"/>
          <w:szCs w:val="18"/>
          <w:color w:val="auto"/>
        </w:rPr>
        <w:t>Equity risk is the risk that we will incur economic losses due to adverse fluctuations in common stock. We use various derivatives to manage our exposure to equity risk, which arises from products in which the interest we credit is tied to an external equity index as well as products subject to minimum contractual guarantees.</w:t>
      </w:r>
    </w:p>
    <w:p>
      <w:pPr>
        <w:spacing w:after="0" w:line="194" w:lineRule="exact"/>
        <w:rPr>
          <w:sz w:val="20"/>
          <w:szCs w:val="20"/>
          <w:color w:val="auto"/>
        </w:rPr>
      </w:pPr>
    </w:p>
    <w:p>
      <w:pPr>
        <w:jc w:val="both"/>
        <w:ind w:firstLine="391"/>
        <w:spacing w:after="0" w:line="254" w:lineRule="auto"/>
        <w:rPr>
          <w:sz w:val="20"/>
          <w:szCs w:val="20"/>
          <w:color w:val="auto"/>
        </w:rPr>
      </w:pPr>
      <w:r>
        <w:rPr>
          <w:rFonts w:ascii="Arial" w:cs="Arial" w:eastAsia="Arial" w:hAnsi="Arial"/>
          <w:sz w:val="18"/>
          <w:szCs w:val="18"/>
          <w:color w:val="auto"/>
        </w:rPr>
        <w:t>We previously sold an investment-type insurance contract with attributes tied to market indices (an embedded derivative as noted below), in which case we wrote an equity call option to convert the overall contract into a fixed-rate liability, essentially eliminating the equity component altogether. We purchase equity call spreads to hedge the equity participation rates promised to contractholders in conjunction with our fixed deferred annuity and universal life products that credit interest based on changes in an external equity index. We use exchange-traded futures and equity put options to hedge against changes in the value of the GMWB liability related to the GMWB rider on our variable annuity product, as previously explained. The premium associated with certain options is paid quarterly over the life of the option contract.</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Contracts</w:t>
      </w:r>
    </w:p>
    <w:p>
      <w:pPr>
        <w:spacing w:after="0" w:line="225" w:lineRule="exact"/>
        <w:rPr>
          <w:sz w:val="20"/>
          <w:szCs w:val="20"/>
          <w:color w:val="auto"/>
        </w:rPr>
      </w:pPr>
    </w:p>
    <w:p>
      <w:pPr>
        <w:jc w:val="both"/>
        <w:ind w:firstLine="364"/>
        <w:spacing w:after="0" w:line="289" w:lineRule="auto"/>
        <w:rPr>
          <w:sz w:val="20"/>
          <w:szCs w:val="20"/>
          <w:color w:val="auto"/>
        </w:rPr>
      </w:pPr>
      <w:r>
        <w:rPr>
          <w:rFonts w:ascii="Arial" w:cs="Arial" w:eastAsia="Arial" w:hAnsi="Arial"/>
          <w:sz w:val="16"/>
          <w:szCs w:val="16"/>
          <w:color w:val="auto"/>
        </w:rPr>
        <w:t>Credit risk relates to the uncertainty associated with the continued ability of a given obligor to make timely payments of principal and interest. We use credit default swaps to enhance the return on our investment portfolio by providing comparable exposure to fixed income securities that might not be available in the primary market. They are also used to hedge credit exposures in our investment portfolio. Credit derivatives are used to sell or buy credit protection on an identified name or names on an unfunded or synthetic basis in return for receiving or paying a quarterly premium. The premium generally corresponds to a referenced name's credit spread at the time the agreement is executed. In cases where we sell protection, we also buy a quality cash bond to match against the credit default swap, thereby entering into a synthetic transaction replicating a cash security. When selling protection, if there is an event of default by the referenced name, as defined by the agreement, we are obligated to pay the counterparty the referenced amount of the contract and receive in return the referenced security in a principal amount equal to the notional value of the credit default swap.</w:t>
      </w:r>
    </w:p>
    <w:p>
      <w:pPr>
        <w:spacing w:after="0" w:line="172" w:lineRule="exact"/>
        <w:rPr>
          <w:sz w:val="20"/>
          <w:szCs w:val="20"/>
          <w:color w:val="auto"/>
        </w:rPr>
      </w:pPr>
    </w:p>
    <w:p>
      <w:pPr>
        <w:jc w:val="both"/>
        <w:ind w:firstLine="355"/>
        <w:spacing w:after="0" w:line="256" w:lineRule="auto"/>
        <w:rPr>
          <w:sz w:val="20"/>
          <w:szCs w:val="20"/>
          <w:color w:val="auto"/>
        </w:rPr>
      </w:pPr>
      <w:r>
        <w:rPr>
          <w:rFonts w:ascii="Arial" w:cs="Arial" w:eastAsia="Arial" w:hAnsi="Arial"/>
          <w:sz w:val="18"/>
          <w:szCs w:val="18"/>
          <w:color w:val="auto"/>
        </w:rPr>
        <w:t>Total return swaps are contracts in which we agree with other parties to exchange, at specified intervals, an amount determined by the difference between the previous price and the current price of a reference asset based upon an agreed upon notional principal amount plus an additional amount determined by the financing spread. We currently use futures traded on an exchange ("exchange-traded") and total return swaps referencing equity indices to hedge our portfolio from potential credit losses related to systemic events.</w:t>
      </w:r>
    </w:p>
    <w:p>
      <w:pPr>
        <w:sectPr>
          <w:pgSz w:w="11900" w:h="16838" w:orient="portrait"/>
          <w:cols w:equalWidth="0" w:num="1">
            <w:col w:w="11420"/>
          </w:cols>
          <w:pgMar w:left="240" w:top="131" w:right="239" w:bottom="1440" w:gutter="0" w:footer="0" w:header="0"/>
        </w:sectPr>
      </w:pP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31" w:name="page132"/>
    <w:bookmarkEnd w:id="13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Derivative Financial Instruments —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Contracts</w:t>
      </w:r>
    </w:p>
    <w:p>
      <w:pPr>
        <w:spacing w:after="0" w:line="225" w:lineRule="exact"/>
        <w:rPr>
          <w:sz w:val="20"/>
          <w:szCs w:val="20"/>
          <w:color w:val="auto"/>
        </w:rPr>
      </w:pPr>
    </w:p>
    <w:p>
      <w:pPr>
        <w:jc w:val="both"/>
        <w:ind w:firstLine="351"/>
        <w:spacing w:after="0" w:line="255" w:lineRule="auto"/>
        <w:rPr>
          <w:sz w:val="20"/>
          <w:szCs w:val="20"/>
          <w:color w:val="auto"/>
        </w:rPr>
      </w:pPr>
      <w:r>
        <w:rPr>
          <w:rFonts w:ascii="Arial" w:cs="Arial" w:eastAsia="Arial" w:hAnsi="Arial"/>
          <w:sz w:val="18"/>
          <w:szCs w:val="18"/>
          <w:b w:val="1"/>
          <w:bCs w:val="1"/>
          <w:i w:val="1"/>
          <w:iCs w:val="1"/>
          <w:color w:val="auto"/>
        </w:rPr>
        <w:t xml:space="preserve">Embedded Derivatives. </w:t>
      </w:r>
      <w:r>
        <w:rPr>
          <w:rFonts w:ascii="Arial" w:cs="Arial" w:eastAsia="Arial" w:hAnsi="Arial"/>
          <w:sz w:val="18"/>
          <w:szCs w:val="18"/>
          <w:color w:val="auto"/>
        </w:rPr>
        <w:t>We purchase or issue certain financial instruments or products that contain a derivative instrument that is embedded in the financial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instrument or product. When it is determined that the embedded derivative possesses economic characteristics that are not clearly or closely related to the economic characteristics of the host contract and a separate instrument with the same terms would qualify as a derivative instrument, the embedded derivative is bifurcated from the host instrument for measurement purposes. The embedded derivative, which is reported with the host instrument in the consolidated statements of financial position, is carried at fair value.</w:t>
      </w:r>
    </w:p>
    <w:p>
      <w:pPr>
        <w:spacing w:after="0" w:line="197" w:lineRule="exact"/>
        <w:rPr>
          <w:sz w:val="20"/>
          <w:szCs w:val="20"/>
          <w:color w:val="auto"/>
        </w:rPr>
      </w:pPr>
    </w:p>
    <w:p>
      <w:pPr>
        <w:jc w:val="both"/>
        <w:ind w:firstLine="449"/>
        <w:spacing w:after="0" w:line="259" w:lineRule="auto"/>
        <w:rPr>
          <w:sz w:val="20"/>
          <w:szCs w:val="20"/>
          <w:color w:val="auto"/>
        </w:rPr>
      </w:pPr>
      <w:r>
        <w:rPr>
          <w:rFonts w:ascii="Arial" w:cs="Arial" w:eastAsia="Arial" w:hAnsi="Arial"/>
          <w:sz w:val="18"/>
          <w:szCs w:val="18"/>
          <w:color w:val="auto"/>
        </w:rPr>
        <w:t>We sell investment-type insurance contracts in which the return is tied to a leveraged inflation index. In addition, we previously sold an investment-type insurance contract in which the return was tied to an external equity index. We economically hedge the risk associated with these investment-type insurance contracts.</w:t>
      </w:r>
    </w:p>
    <w:p>
      <w:pPr>
        <w:spacing w:after="0" w:line="194" w:lineRule="exact"/>
        <w:rPr>
          <w:sz w:val="20"/>
          <w:szCs w:val="20"/>
          <w:color w:val="auto"/>
        </w:rPr>
      </w:pPr>
    </w:p>
    <w:p>
      <w:pPr>
        <w:jc w:val="both"/>
        <w:ind w:firstLine="527"/>
        <w:spacing w:after="0" w:line="268" w:lineRule="auto"/>
        <w:rPr>
          <w:sz w:val="20"/>
          <w:szCs w:val="20"/>
          <w:color w:val="auto"/>
        </w:rPr>
      </w:pPr>
      <w:r>
        <w:rPr>
          <w:rFonts w:ascii="Arial" w:cs="Arial" w:eastAsia="Arial" w:hAnsi="Arial"/>
          <w:sz w:val="18"/>
          <w:szCs w:val="18"/>
          <w:color w:val="auto"/>
        </w:rPr>
        <w:t>We offer group benefit plan contracts that have guaranteed separate accounts as an investment option. We also offer funds with embedded fixed-rate guarantees as investment options in our defined contribution plans in Hong Kong.</w:t>
      </w:r>
    </w:p>
    <w:p>
      <w:pPr>
        <w:spacing w:after="0" w:line="186" w:lineRule="exact"/>
        <w:rPr>
          <w:sz w:val="20"/>
          <w:szCs w:val="20"/>
          <w:color w:val="auto"/>
        </w:rPr>
      </w:pPr>
    </w:p>
    <w:p>
      <w:pPr>
        <w:jc w:val="both"/>
        <w:ind w:firstLine="362"/>
        <w:spacing w:after="0" w:line="259" w:lineRule="auto"/>
        <w:rPr>
          <w:sz w:val="20"/>
          <w:szCs w:val="20"/>
          <w:color w:val="auto"/>
        </w:rPr>
      </w:pPr>
      <w:r>
        <w:rPr>
          <w:rFonts w:ascii="Arial" w:cs="Arial" w:eastAsia="Arial" w:hAnsi="Arial"/>
          <w:sz w:val="18"/>
          <w:szCs w:val="18"/>
          <w:color w:val="auto"/>
        </w:rPr>
        <w:t>We have structured investment relationships with trusts we have determined to be VIEs, which are consolidated in our financial statements. The notes issued by these trusts include obligations to deliver an underlying security to residual interest holders and the obligations contain an embedded derivative of the forecasted transaction to deliver the underlying security.</w:t>
      </w:r>
    </w:p>
    <w:p>
      <w:pPr>
        <w:spacing w:after="0" w:line="194" w:lineRule="exact"/>
        <w:rPr>
          <w:sz w:val="20"/>
          <w:szCs w:val="20"/>
          <w:color w:val="auto"/>
        </w:rPr>
      </w:pPr>
    </w:p>
    <w:p>
      <w:pPr>
        <w:jc w:val="both"/>
        <w:ind w:firstLine="385"/>
        <w:spacing w:after="0" w:line="298" w:lineRule="auto"/>
        <w:rPr>
          <w:sz w:val="20"/>
          <w:szCs w:val="20"/>
          <w:color w:val="auto"/>
        </w:rPr>
      </w:pPr>
      <w:r>
        <w:rPr>
          <w:rFonts w:ascii="Arial" w:cs="Arial" w:eastAsia="Arial" w:hAnsi="Arial"/>
          <w:sz w:val="16"/>
          <w:szCs w:val="16"/>
          <w:color w:val="auto"/>
        </w:rPr>
        <w:t>We have fixed deferred annuities and universal life contracts that credit interest based on changes in an external equity index. We also have certain variable annuity products with a GMWB rider, which allows the customer to make withdrawals of a specified annual amount, either for a fixed number of years or for the lifetime of the customer, even if the account value is reduced to zero. Declines in the equity markets may increase our exposure to benefits under contracts with the GMWB. We economically hedge the exposure in these contracts, as previously explained.</w:t>
      </w:r>
    </w:p>
    <w:p>
      <w:pPr>
        <w:spacing w:after="0" w:line="3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Exposure</w:t>
      </w:r>
    </w:p>
    <w:p>
      <w:pPr>
        <w:spacing w:after="0" w:line="231" w:lineRule="exact"/>
        <w:rPr>
          <w:sz w:val="20"/>
          <w:szCs w:val="20"/>
          <w:color w:val="auto"/>
        </w:rPr>
      </w:pPr>
    </w:p>
    <w:p>
      <w:pPr>
        <w:jc w:val="both"/>
        <w:ind w:firstLine="379"/>
        <w:spacing w:after="0" w:line="255" w:lineRule="auto"/>
        <w:rPr>
          <w:sz w:val="20"/>
          <w:szCs w:val="20"/>
          <w:color w:val="auto"/>
        </w:rPr>
      </w:pPr>
      <w:r>
        <w:rPr>
          <w:rFonts w:ascii="Arial" w:cs="Arial" w:eastAsia="Arial" w:hAnsi="Arial"/>
          <w:sz w:val="18"/>
          <w:szCs w:val="18"/>
          <w:color w:val="auto"/>
        </w:rPr>
        <w:t>Our risk of loss is typically limited to the fair value of our derivative instruments and not to the notional or contractual amounts of these derivatives. We are also exposed to credit losses in the event of nonperformance of the counterparties. Our current credit exposure is limited to the value of derivatives that have become favorable to us. This credit risk is minimized by purchasing such agreements from financial institutions with high credit ratings and by establishing and monitoring exposure limits. We also utilize various credit enhancements, including collateral and credit triggers to reduce the credit exposure to our derivative instruments.</w:t>
      </w:r>
    </w:p>
    <w:p>
      <w:pPr>
        <w:spacing w:after="0" w:line="197" w:lineRule="exact"/>
        <w:rPr>
          <w:sz w:val="20"/>
          <w:szCs w:val="20"/>
          <w:color w:val="auto"/>
        </w:rPr>
      </w:pPr>
    </w:p>
    <w:p>
      <w:pPr>
        <w:jc w:val="both"/>
        <w:ind w:firstLine="427"/>
        <w:spacing w:after="0" w:line="289" w:lineRule="auto"/>
        <w:rPr>
          <w:sz w:val="20"/>
          <w:szCs w:val="20"/>
          <w:color w:val="auto"/>
        </w:rPr>
      </w:pPr>
      <w:r>
        <w:rPr>
          <w:rFonts w:ascii="Arial" w:cs="Arial" w:eastAsia="Arial" w:hAnsi="Arial"/>
          <w:sz w:val="16"/>
          <w:szCs w:val="16"/>
          <w:color w:val="auto"/>
        </w:rPr>
        <w:t>Derivatives may be exchange-traded or they may be privately negotiated contracts, which are usually referred to as over-the-counter ("OTC") derivatives. Certain of our OTC derivatives are cleared and settled through central clearing counterparties ("OTC cleared"), while others are bilateral contracts between two counterparties ("bilateral OTC"). Our derivative transactions are generally documented under International Swaps and Derivatives Association, Inc. ("ISDA") Master Agreements. Management believes that such agreements provide for legally enforceable set-off and close-out netting of exposures to specific counterparties. Under such agreements, in connection with an early termination of a transaction, we are permitted to set off our receivable from a counterparty against our payables to the same counterparty arising out of all included transactions. For reporting purposes, we do not offset fair value amounts recognized for the right to reclaim cash collateral or the obligation to return cash collateral against fair value amounts recognized for derivative instruments executed with the same counterparties under master netting agreements.</w:t>
      </w:r>
    </w:p>
    <w:p>
      <w:pPr>
        <w:spacing w:after="0" w:line="172" w:lineRule="exact"/>
        <w:rPr>
          <w:sz w:val="20"/>
          <w:szCs w:val="20"/>
          <w:color w:val="auto"/>
        </w:rPr>
      </w:pPr>
    </w:p>
    <w:p>
      <w:pPr>
        <w:jc w:val="both"/>
        <w:ind w:firstLine="517"/>
        <w:spacing w:after="0" w:line="259" w:lineRule="auto"/>
        <w:rPr>
          <w:sz w:val="20"/>
          <w:szCs w:val="20"/>
          <w:color w:val="auto"/>
        </w:rPr>
      </w:pPr>
      <w:r>
        <w:rPr>
          <w:rFonts w:ascii="Arial" w:cs="Arial" w:eastAsia="Arial" w:hAnsi="Arial"/>
          <w:sz w:val="18"/>
          <w:szCs w:val="18"/>
          <w:color w:val="auto"/>
        </w:rPr>
        <w:t>We posted $393.1 million and $296.9 million in cash and securities under collateral arrangements as of December 31, 2013 and December 31, 2012, respectively, to satisfy collateral requirements associated with our derivative credit support agreements and FCM agreements. Beginning in the second quarter 2013, these amounts include initial margin requirements.</w:t>
      </w:r>
    </w:p>
    <w:p>
      <w:pPr>
        <w:spacing w:after="0" w:line="194" w:lineRule="exact"/>
        <w:rPr>
          <w:sz w:val="20"/>
          <w:szCs w:val="20"/>
          <w:color w:val="auto"/>
        </w:rPr>
      </w:pPr>
    </w:p>
    <w:p>
      <w:pPr>
        <w:jc w:val="both"/>
        <w:ind w:firstLine="386"/>
        <w:spacing w:after="0" w:line="289" w:lineRule="auto"/>
        <w:rPr>
          <w:sz w:val="20"/>
          <w:szCs w:val="20"/>
          <w:color w:val="auto"/>
        </w:rPr>
      </w:pPr>
      <w:r>
        <w:rPr>
          <w:rFonts w:ascii="Arial" w:cs="Arial" w:eastAsia="Arial" w:hAnsi="Arial"/>
          <w:sz w:val="16"/>
          <w:szCs w:val="16"/>
          <w:color w:val="auto"/>
        </w:rPr>
        <w:t>Certain of our derivative instruments contain provisions that require us to maintain an investment grade rating from each of the major credit rating agencies on our debt. If the ratings on our debt were to fall below investment grade, it would be in violation of these provisions and the counterparties to the derivative instruments could request immediate payment or demand immediate and ongoing full overnight collateralization on derivative instruments in net liability positions. The aggregate fair value, inclusive of accrued interest, of all derivative instruments with credit-risk-related contingent features that were in a liability position without regard to netting under derivative credit support annex agreements as of December 31, 2013 and December 31, 2012, was $1,042.9 million and $1,205.4 million, respectively. Cleared derivatives have contingent features that require us to post excess margin as required by the FCM. The terms surrounding excess margin vary by FCM agreement. With respect to derivatives containing collateral triggers, we posted collateral and initial margin of $393.1 million and $296.9 million as of December 31, 2013 and December 31, 2012,</w:t>
      </w:r>
    </w:p>
    <w:p>
      <w:pPr>
        <w:sectPr>
          <w:pgSz w:w="11900" w:h="16838" w:orient="portrait"/>
          <w:cols w:equalWidth="0" w:num="1">
            <w:col w:w="11420"/>
          </w:cols>
          <w:pgMar w:left="240" w:top="131" w:right="239" w:bottom="1440" w:gutter="0" w:footer="0" w:header="0"/>
        </w:sectPr>
      </w:pPr>
    </w:p>
    <w:p>
      <w:pPr>
        <w:spacing w:after="0" w:line="172"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32" w:name="page133"/>
    <w:bookmarkEnd w:id="13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Derivative Financial Instruments — (continued)</w:t>
      </w:r>
    </w:p>
    <w:p>
      <w:pPr>
        <w:spacing w:after="0" w:line="231" w:lineRule="exact"/>
        <w:rPr>
          <w:sz w:val="20"/>
          <w:szCs w:val="20"/>
          <w:color w:val="auto"/>
        </w:rPr>
      </w:pPr>
    </w:p>
    <w:p>
      <w:pPr>
        <w:jc w:val="both"/>
        <w:spacing w:after="0" w:line="332" w:lineRule="auto"/>
        <w:rPr>
          <w:sz w:val="20"/>
          <w:szCs w:val="20"/>
          <w:color w:val="auto"/>
        </w:rPr>
      </w:pPr>
      <w:r>
        <w:rPr>
          <w:rFonts w:ascii="Arial" w:cs="Arial" w:eastAsia="Arial" w:hAnsi="Arial"/>
          <w:sz w:val="16"/>
          <w:szCs w:val="16"/>
          <w:color w:val="auto"/>
        </w:rPr>
        <w:t>respectively, in the normal course of business, which reflects netting under derivative agreements. If the credit-risk-related contingent features underlying these agreements were triggered on December 31, 2013, we would be required to post an additional $75.9 million of collateral to our counterparties.</w:t>
      </w:r>
    </w:p>
    <w:p>
      <w:pPr>
        <w:spacing w:after="0" w:line="139" w:lineRule="exact"/>
        <w:rPr>
          <w:sz w:val="20"/>
          <w:szCs w:val="20"/>
          <w:color w:val="auto"/>
        </w:rPr>
      </w:pPr>
    </w:p>
    <w:p>
      <w:pPr>
        <w:jc w:val="both"/>
        <w:ind w:firstLine="425"/>
        <w:spacing w:after="0" w:line="332" w:lineRule="auto"/>
        <w:rPr>
          <w:sz w:val="20"/>
          <w:szCs w:val="20"/>
          <w:color w:val="auto"/>
        </w:rPr>
      </w:pPr>
      <w:r>
        <w:rPr>
          <w:rFonts w:ascii="Arial" w:cs="Arial" w:eastAsia="Arial" w:hAnsi="Arial"/>
          <w:sz w:val="16"/>
          <w:szCs w:val="16"/>
          <w:color w:val="auto"/>
        </w:rPr>
        <w:t>As of December 31, 2013 and December 31, 2012, we had received $32.5 million and $207.8 million, respectively, of cash collateral associated with our derivative credit support annex agreements and FCM agreements, for which we recorded a corresponding liability reflecting our obligation to return the collateral.</w:t>
      </w:r>
    </w:p>
    <w:p>
      <w:pPr>
        <w:spacing w:after="0" w:line="139" w:lineRule="exact"/>
        <w:rPr>
          <w:sz w:val="20"/>
          <w:szCs w:val="20"/>
          <w:color w:val="auto"/>
        </w:rPr>
      </w:pPr>
    </w:p>
    <w:p>
      <w:pPr>
        <w:jc w:val="both"/>
        <w:ind w:firstLine="424"/>
        <w:spacing w:after="0" w:line="256" w:lineRule="auto"/>
        <w:rPr>
          <w:sz w:val="20"/>
          <w:szCs w:val="20"/>
          <w:color w:val="auto"/>
        </w:rPr>
      </w:pPr>
      <w:r>
        <w:rPr>
          <w:rFonts w:ascii="Arial" w:cs="Arial" w:eastAsia="Arial" w:hAnsi="Arial"/>
          <w:sz w:val="18"/>
          <w:szCs w:val="18"/>
          <w:color w:val="auto"/>
        </w:rPr>
        <w:t>Notional amounts are used to express the extent of our involvement in derivative transactions and represent a standard measurement of the volume of our derivative activity. Notional amounts represent those amounts used to calculate contractual flows to be exchanged and are not paid or received, except for contracts such as currency swaps. Credit exposure represents the gross amount owed to us under derivative contracts as of the valuation date. The notional amounts and credit exposure of our derivative financial instruments by type were as follows:</w:t>
      </w:r>
    </w:p>
    <w:p>
      <w:pPr>
        <w:spacing w:after="0" w:line="193"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38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2013</w:t>
            </w: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2012</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4380" w:type="dxa"/>
            <w:vAlign w:val="bottom"/>
          </w:tcPr>
          <w:p>
            <w:pPr>
              <w:spacing w:after="0"/>
              <w:rPr>
                <w:sz w:val="12"/>
                <w:szCs w:val="12"/>
                <w:color w:val="auto"/>
              </w:rPr>
            </w:pPr>
          </w:p>
        </w:tc>
        <w:tc>
          <w:tcPr>
            <w:tcW w:w="1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ind w:right="5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1420" w:type="dxa"/>
            <w:vAlign w:val="bottom"/>
            <w:gridSpan w:val="3"/>
          </w:tcPr>
          <w:p>
            <w:pPr>
              <w:jc w:val="right"/>
              <w:ind w:right="952"/>
              <w:spacing w:after="0"/>
              <w:rPr>
                <w:sz w:val="20"/>
                <w:szCs w:val="20"/>
                <w:color w:val="auto"/>
              </w:rPr>
            </w:pPr>
            <w:r>
              <w:rPr>
                <w:rFonts w:ascii="Arial" w:cs="Arial" w:eastAsia="Arial" w:hAnsi="Arial"/>
                <w:sz w:val="12"/>
                <w:szCs w:val="12"/>
                <w:b w:val="1"/>
                <w:bCs w:val="1"/>
                <w:i w:val="1"/>
                <w:iCs w:val="1"/>
                <w:color w:val="auto"/>
                <w:w w:val="76"/>
              </w:rPr>
              <w:t>millions)</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Notional amounts of derivative instruments</w:t>
            </w:r>
          </w:p>
        </w:tc>
        <w:tc>
          <w:tcPr>
            <w:tcW w:w="1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tcPr>
          <w:p>
            <w:pPr>
              <w:spacing w:after="0" w:line="149" w:lineRule="exact"/>
              <w:rPr>
                <w:sz w:val="20"/>
                <w:szCs w:val="20"/>
                <w:color w:val="auto"/>
              </w:rPr>
            </w:pPr>
            <w:r>
              <w:rPr>
                <w:rFonts w:ascii="Arial" w:cs="Arial" w:eastAsia="Arial" w:hAnsi="Arial"/>
                <w:sz w:val="14"/>
                <w:szCs w:val="14"/>
                <w:b w:val="1"/>
                <w:bCs w:val="1"/>
                <w:i w:val="1"/>
                <w:iCs w:val="1"/>
                <w:color w:val="auto"/>
              </w:rPr>
              <w:t>Interest rate contracts:</w:t>
            </w:r>
          </w:p>
        </w:tc>
        <w:tc>
          <w:tcPr>
            <w:tcW w:w="1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Interest rate swaps</w:t>
            </w:r>
          </w:p>
        </w:tc>
        <w:tc>
          <w:tcPr>
            <w:tcW w:w="19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20,570.8</w:t>
            </w:r>
          </w:p>
        </w:tc>
        <w:tc>
          <w:tcPr>
            <w:tcW w:w="2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18,381.2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tcPr>
          <w:p>
            <w:pPr>
              <w:ind w:left="140"/>
              <w:spacing w:after="0" w:line="149" w:lineRule="exact"/>
              <w:rPr>
                <w:sz w:val="20"/>
                <w:szCs w:val="20"/>
                <w:color w:val="auto"/>
              </w:rPr>
            </w:pPr>
            <w:r>
              <w:rPr>
                <w:rFonts w:ascii="Arial" w:cs="Arial" w:eastAsia="Arial" w:hAnsi="Arial"/>
                <w:sz w:val="14"/>
                <w:szCs w:val="14"/>
                <w:color w:val="auto"/>
              </w:rPr>
              <w:t>Interest rate options</w:t>
            </w:r>
          </w:p>
        </w:tc>
        <w:tc>
          <w:tcPr>
            <w:tcW w:w="1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4,100.0</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500.0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Swaptions</w:t>
            </w:r>
          </w:p>
        </w:tc>
        <w:tc>
          <w:tcPr>
            <w:tcW w:w="1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325.0</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325.0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tcPr>
          <w:p>
            <w:pPr>
              <w:ind w:left="140"/>
              <w:spacing w:after="0" w:line="149" w:lineRule="exact"/>
              <w:rPr>
                <w:sz w:val="20"/>
                <w:szCs w:val="20"/>
                <w:color w:val="auto"/>
              </w:rPr>
            </w:pPr>
            <w:r>
              <w:rPr>
                <w:rFonts w:ascii="Arial" w:cs="Arial" w:eastAsia="Arial" w:hAnsi="Arial"/>
                <w:sz w:val="14"/>
                <w:szCs w:val="14"/>
                <w:color w:val="auto"/>
              </w:rPr>
              <w:t>Interest rate futures</w:t>
            </w:r>
          </w:p>
        </w:tc>
        <w:tc>
          <w:tcPr>
            <w:tcW w:w="1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92.5</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82.0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i w:val="1"/>
                <w:iCs w:val="1"/>
                <w:color w:val="auto"/>
              </w:rPr>
              <w:t>Foreign exchange contracts:</w:t>
            </w:r>
          </w:p>
        </w:tc>
        <w:tc>
          <w:tcPr>
            <w:tcW w:w="1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tcPr>
          <w:p>
            <w:pPr>
              <w:ind w:left="140"/>
              <w:spacing w:after="0" w:line="149" w:lineRule="exact"/>
              <w:rPr>
                <w:sz w:val="20"/>
                <w:szCs w:val="20"/>
                <w:color w:val="auto"/>
              </w:rPr>
            </w:pPr>
            <w:r>
              <w:rPr>
                <w:rFonts w:ascii="Arial" w:cs="Arial" w:eastAsia="Arial" w:hAnsi="Arial"/>
                <w:sz w:val="14"/>
                <w:szCs w:val="14"/>
                <w:color w:val="auto"/>
              </w:rPr>
              <w:t>Currency swaps</w:t>
            </w:r>
          </w:p>
        </w:tc>
        <w:tc>
          <w:tcPr>
            <w:tcW w:w="1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2,367.5</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3,454.1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Currency forwards</w:t>
            </w:r>
          </w:p>
        </w:tc>
        <w:tc>
          <w:tcPr>
            <w:tcW w:w="1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247.4</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557.2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tcPr>
          <w:p>
            <w:pPr>
              <w:ind w:left="140"/>
              <w:spacing w:after="0" w:line="149" w:lineRule="exact"/>
              <w:rPr>
                <w:sz w:val="20"/>
                <w:szCs w:val="20"/>
                <w:color w:val="auto"/>
              </w:rPr>
            </w:pPr>
            <w:r>
              <w:rPr>
                <w:rFonts w:ascii="Arial" w:cs="Arial" w:eastAsia="Arial" w:hAnsi="Arial"/>
                <w:sz w:val="14"/>
                <w:szCs w:val="14"/>
                <w:color w:val="auto"/>
              </w:rPr>
              <w:t>Currency options</w:t>
            </w:r>
          </w:p>
        </w:tc>
        <w:tc>
          <w:tcPr>
            <w:tcW w:w="1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1,400.0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i w:val="1"/>
                <w:iCs w:val="1"/>
                <w:color w:val="auto"/>
              </w:rPr>
              <w:t>Equity contracts:</w:t>
            </w:r>
          </w:p>
        </w:tc>
        <w:tc>
          <w:tcPr>
            <w:tcW w:w="1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tcPr>
          <w:p>
            <w:pPr>
              <w:ind w:left="140"/>
              <w:spacing w:after="0" w:line="149" w:lineRule="exact"/>
              <w:rPr>
                <w:sz w:val="20"/>
                <w:szCs w:val="20"/>
                <w:color w:val="auto"/>
              </w:rPr>
            </w:pPr>
            <w:r>
              <w:rPr>
                <w:rFonts w:ascii="Arial" w:cs="Arial" w:eastAsia="Arial" w:hAnsi="Arial"/>
                <w:sz w:val="14"/>
                <w:szCs w:val="14"/>
                <w:color w:val="auto"/>
              </w:rPr>
              <w:t>Equity options</w:t>
            </w:r>
          </w:p>
        </w:tc>
        <w:tc>
          <w:tcPr>
            <w:tcW w:w="1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2,010.4</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1,811.8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Equity futures</w:t>
            </w:r>
          </w:p>
        </w:tc>
        <w:tc>
          <w:tcPr>
            <w:tcW w:w="1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273.3</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373.6</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tcPr>
          <w:p>
            <w:pPr>
              <w:spacing w:after="0" w:line="149" w:lineRule="exact"/>
              <w:rPr>
                <w:sz w:val="20"/>
                <w:szCs w:val="20"/>
                <w:color w:val="auto"/>
              </w:rPr>
            </w:pPr>
            <w:r>
              <w:rPr>
                <w:rFonts w:ascii="Arial" w:cs="Arial" w:eastAsia="Arial" w:hAnsi="Arial"/>
                <w:sz w:val="14"/>
                <w:szCs w:val="14"/>
                <w:b w:val="1"/>
                <w:bCs w:val="1"/>
                <w:i w:val="1"/>
                <w:iCs w:val="1"/>
                <w:color w:val="auto"/>
              </w:rPr>
              <w:t>Credit contracts:</w:t>
            </w:r>
          </w:p>
        </w:tc>
        <w:tc>
          <w:tcPr>
            <w:tcW w:w="1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Credit default swaps</w:t>
            </w:r>
          </w:p>
        </w:tc>
        <w:tc>
          <w:tcPr>
            <w:tcW w:w="1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1,153.2</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1,378.3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tcPr>
          <w:p>
            <w:pPr>
              <w:ind w:left="140"/>
              <w:spacing w:after="0" w:line="149" w:lineRule="exact"/>
              <w:rPr>
                <w:sz w:val="20"/>
                <w:szCs w:val="20"/>
                <w:color w:val="auto"/>
              </w:rPr>
            </w:pPr>
            <w:r>
              <w:rPr>
                <w:rFonts w:ascii="Arial" w:cs="Arial" w:eastAsia="Arial" w:hAnsi="Arial"/>
                <w:sz w:val="14"/>
                <w:szCs w:val="14"/>
                <w:color w:val="auto"/>
              </w:rPr>
              <w:t>Total return swaps</w:t>
            </w:r>
          </w:p>
        </w:tc>
        <w:tc>
          <w:tcPr>
            <w:tcW w:w="1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90.0</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100.0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Futures</w:t>
            </w:r>
          </w:p>
        </w:tc>
        <w:tc>
          <w:tcPr>
            <w:tcW w:w="1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9.1</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r>
      <w:tr>
        <w:trPr>
          <w:trHeight w:val="149"/>
        </w:trPr>
        <w:tc>
          <w:tcPr>
            <w:tcW w:w="20" w:type="dxa"/>
            <w:vAlign w:val="bottom"/>
          </w:tcPr>
          <w:p>
            <w:pPr>
              <w:spacing w:after="0"/>
              <w:rPr>
                <w:sz w:val="12"/>
                <w:szCs w:val="12"/>
                <w:color w:val="auto"/>
              </w:rPr>
            </w:pPr>
          </w:p>
        </w:tc>
        <w:tc>
          <w:tcPr>
            <w:tcW w:w="4380" w:type="dxa"/>
            <w:vAlign w:val="bottom"/>
          </w:tcPr>
          <w:p>
            <w:pPr>
              <w:spacing w:after="0" w:line="149" w:lineRule="exact"/>
              <w:rPr>
                <w:sz w:val="20"/>
                <w:szCs w:val="20"/>
                <w:color w:val="auto"/>
              </w:rPr>
            </w:pPr>
            <w:r>
              <w:rPr>
                <w:rFonts w:ascii="Arial" w:cs="Arial" w:eastAsia="Arial" w:hAnsi="Arial"/>
                <w:sz w:val="14"/>
                <w:szCs w:val="14"/>
                <w:b w:val="1"/>
                <w:bCs w:val="1"/>
                <w:i w:val="1"/>
                <w:iCs w:val="1"/>
                <w:color w:val="auto"/>
              </w:rPr>
              <w:t>Other contracts:</w:t>
            </w:r>
          </w:p>
        </w:tc>
        <w:tc>
          <w:tcPr>
            <w:tcW w:w="1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Embedded derivative financial instruments</w:t>
            </w:r>
          </w:p>
        </w:tc>
        <w:tc>
          <w:tcPr>
            <w:tcW w:w="188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7,601.1</w:t>
            </w:r>
          </w:p>
        </w:tc>
        <w:tc>
          <w:tcPr>
            <w:tcW w:w="16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5,893.2</w:t>
            </w:r>
          </w:p>
        </w:tc>
        <w:tc>
          <w:tcPr>
            <w:tcW w:w="160" w:type="dxa"/>
            <w:vAlign w:val="bottom"/>
            <w:shd w:val="clear" w:color="auto" w:fill="CCEEFF"/>
          </w:tcPr>
          <w:p>
            <w:pPr>
              <w:spacing w:after="0"/>
              <w:rPr>
                <w:sz w:val="12"/>
                <w:szCs w:val="12"/>
                <w:color w:val="auto"/>
              </w:rPr>
            </w:pPr>
          </w:p>
        </w:tc>
      </w:tr>
      <w:tr>
        <w:trPr>
          <w:trHeight w:val="142"/>
        </w:trPr>
        <w:tc>
          <w:tcPr>
            <w:tcW w:w="4400" w:type="dxa"/>
            <w:vAlign w:val="bottom"/>
            <w:gridSpan w:val="2"/>
          </w:tcPr>
          <w:p>
            <w:pPr>
              <w:spacing w:after="0" w:line="142" w:lineRule="exact"/>
              <w:rPr>
                <w:sz w:val="20"/>
                <w:szCs w:val="20"/>
                <w:color w:val="auto"/>
              </w:rPr>
            </w:pPr>
            <w:r>
              <w:rPr>
                <w:rFonts w:ascii="Arial" w:cs="Arial" w:eastAsia="Arial" w:hAnsi="Arial"/>
                <w:sz w:val="14"/>
                <w:szCs w:val="14"/>
                <w:color w:val="auto"/>
              </w:rPr>
              <w:t>Total notional amounts at end of period</w:t>
            </w:r>
          </w:p>
        </w:tc>
        <w:tc>
          <w:tcPr>
            <w:tcW w:w="1880" w:type="dxa"/>
            <w:vAlign w:val="bottom"/>
          </w:tcPr>
          <w:p>
            <w:pPr>
              <w:spacing w:after="0"/>
              <w:rPr>
                <w:sz w:val="12"/>
                <w:szCs w:val="12"/>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12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38,840.3</w:t>
            </w:r>
          </w:p>
        </w:tc>
        <w:tc>
          <w:tcPr>
            <w:tcW w:w="160" w:type="dxa"/>
            <w:vAlign w:val="bottom"/>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12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34,256.4</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4380" w:type="dxa"/>
            <w:vAlign w:val="bottom"/>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Credit exposure of derivative instruments</w:t>
            </w:r>
          </w:p>
        </w:tc>
        <w:tc>
          <w:tcPr>
            <w:tcW w:w="18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4380" w:type="dxa"/>
            <w:vAlign w:val="bottom"/>
          </w:tcPr>
          <w:p>
            <w:pPr>
              <w:spacing w:after="0" w:line="149" w:lineRule="exact"/>
              <w:rPr>
                <w:sz w:val="20"/>
                <w:szCs w:val="20"/>
                <w:color w:val="auto"/>
              </w:rPr>
            </w:pPr>
            <w:r>
              <w:rPr>
                <w:rFonts w:ascii="Arial" w:cs="Arial" w:eastAsia="Arial" w:hAnsi="Arial"/>
                <w:sz w:val="14"/>
                <w:szCs w:val="14"/>
                <w:b w:val="1"/>
                <w:bCs w:val="1"/>
                <w:i w:val="1"/>
                <w:iCs w:val="1"/>
                <w:color w:val="auto"/>
              </w:rPr>
              <w:t>Interest rate contracts:</w:t>
            </w:r>
          </w:p>
        </w:tc>
        <w:tc>
          <w:tcPr>
            <w:tcW w:w="1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Interest rate swaps</w:t>
            </w:r>
          </w:p>
        </w:tc>
        <w:tc>
          <w:tcPr>
            <w:tcW w:w="19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435.5</w:t>
            </w:r>
          </w:p>
        </w:tc>
        <w:tc>
          <w:tcPr>
            <w:tcW w:w="2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683.9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tcPr>
          <w:p>
            <w:pPr>
              <w:ind w:left="140"/>
              <w:spacing w:after="0" w:line="149" w:lineRule="exact"/>
              <w:rPr>
                <w:sz w:val="20"/>
                <w:szCs w:val="20"/>
                <w:color w:val="auto"/>
              </w:rPr>
            </w:pPr>
            <w:r>
              <w:rPr>
                <w:rFonts w:ascii="Arial" w:cs="Arial" w:eastAsia="Arial" w:hAnsi="Arial"/>
                <w:sz w:val="14"/>
                <w:szCs w:val="14"/>
                <w:color w:val="auto"/>
              </w:rPr>
              <w:t>Interest rate options</w:t>
            </w:r>
          </w:p>
        </w:tc>
        <w:tc>
          <w:tcPr>
            <w:tcW w:w="1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42.5</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48.5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Swaptions</w:t>
            </w:r>
          </w:p>
        </w:tc>
        <w:tc>
          <w:tcPr>
            <w:tcW w:w="1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0.7</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tcPr>
          <w:p>
            <w:pPr>
              <w:spacing w:after="0" w:line="149" w:lineRule="exact"/>
              <w:rPr>
                <w:sz w:val="20"/>
                <w:szCs w:val="20"/>
                <w:color w:val="auto"/>
              </w:rPr>
            </w:pPr>
            <w:r>
              <w:rPr>
                <w:rFonts w:ascii="Arial" w:cs="Arial" w:eastAsia="Arial" w:hAnsi="Arial"/>
                <w:sz w:val="14"/>
                <w:szCs w:val="14"/>
                <w:b w:val="1"/>
                <w:bCs w:val="1"/>
                <w:i w:val="1"/>
                <w:iCs w:val="1"/>
                <w:color w:val="auto"/>
              </w:rPr>
              <w:t>Foreign exchange contracts:</w:t>
            </w:r>
          </w:p>
        </w:tc>
        <w:tc>
          <w:tcPr>
            <w:tcW w:w="1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Currency swaps</w:t>
            </w:r>
          </w:p>
        </w:tc>
        <w:tc>
          <w:tcPr>
            <w:tcW w:w="1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200.9</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263.8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tcPr>
          <w:p>
            <w:pPr>
              <w:ind w:left="140"/>
              <w:spacing w:after="0" w:line="149" w:lineRule="exact"/>
              <w:rPr>
                <w:sz w:val="20"/>
                <w:szCs w:val="20"/>
                <w:color w:val="auto"/>
              </w:rPr>
            </w:pPr>
            <w:r>
              <w:rPr>
                <w:rFonts w:ascii="Arial" w:cs="Arial" w:eastAsia="Arial" w:hAnsi="Arial"/>
                <w:sz w:val="14"/>
                <w:szCs w:val="14"/>
                <w:color w:val="auto"/>
              </w:rPr>
              <w:t>Currency forwards</w:t>
            </w:r>
          </w:p>
        </w:tc>
        <w:tc>
          <w:tcPr>
            <w:tcW w:w="1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0.6</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6.8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Currency options</w:t>
            </w:r>
          </w:p>
        </w:tc>
        <w:tc>
          <w:tcPr>
            <w:tcW w:w="1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tcPr>
          <w:p>
            <w:pPr>
              <w:spacing w:after="0" w:line="149" w:lineRule="exact"/>
              <w:rPr>
                <w:sz w:val="20"/>
                <w:szCs w:val="20"/>
                <w:color w:val="auto"/>
              </w:rPr>
            </w:pPr>
            <w:r>
              <w:rPr>
                <w:rFonts w:ascii="Arial" w:cs="Arial" w:eastAsia="Arial" w:hAnsi="Arial"/>
                <w:sz w:val="14"/>
                <w:szCs w:val="14"/>
                <w:b w:val="1"/>
                <w:bCs w:val="1"/>
                <w:i w:val="1"/>
                <w:iCs w:val="1"/>
                <w:color w:val="auto"/>
              </w:rPr>
              <w:t>Equity contracts:</w:t>
            </w:r>
          </w:p>
        </w:tc>
        <w:tc>
          <w:tcPr>
            <w:tcW w:w="1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Equity options</w:t>
            </w:r>
          </w:p>
        </w:tc>
        <w:tc>
          <w:tcPr>
            <w:tcW w:w="1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30.0</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74.3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tcPr>
          <w:p>
            <w:pPr>
              <w:spacing w:after="0" w:line="149" w:lineRule="exact"/>
              <w:rPr>
                <w:sz w:val="20"/>
                <w:szCs w:val="20"/>
                <w:color w:val="auto"/>
              </w:rPr>
            </w:pPr>
            <w:r>
              <w:rPr>
                <w:rFonts w:ascii="Arial" w:cs="Arial" w:eastAsia="Arial" w:hAnsi="Arial"/>
                <w:sz w:val="14"/>
                <w:szCs w:val="14"/>
                <w:b w:val="1"/>
                <w:bCs w:val="1"/>
                <w:i w:val="1"/>
                <w:iCs w:val="1"/>
                <w:color w:val="auto"/>
              </w:rPr>
              <w:t>Credit contracts:</w:t>
            </w:r>
          </w:p>
        </w:tc>
        <w:tc>
          <w:tcPr>
            <w:tcW w:w="1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Credit default swaps</w:t>
            </w:r>
          </w:p>
        </w:tc>
        <w:tc>
          <w:tcPr>
            <w:tcW w:w="1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9.5</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tcPr>
          <w:p>
            <w:pPr>
              <w:ind w:left="140"/>
              <w:spacing w:after="0" w:line="149" w:lineRule="exact"/>
              <w:rPr>
                <w:sz w:val="20"/>
                <w:szCs w:val="20"/>
                <w:color w:val="auto"/>
              </w:rPr>
            </w:pPr>
            <w:r>
              <w:rPr>
                <w:rFonts w:ascii="Arial" w:cs="Arial" w:eastAsia="Arial" w:hAnsi="Arial"/>
                <w:sz w:val="14"/>
                <w:szCs w:val="14"/>
                <w:color w:val="auto"/>
              </w:rPr>
              <w:t>Total return swaps</w:t>
            </w:r>
          </w:p>
        </w:tc>
        <w:tc>
          <w:tcPr>
            <w:tcW w:w="1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3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r>
      <w:tr>
        <w:trPr>
          <w:trHeight w:val="142"/>
        </w:trPr>
        <w:tc>
          <w:tcPr>
            <w:tcW w:w="20" w:type="dxa"/>
            <w:vAlign w:val="bottom"/>
          </w:tcPr>
          <w:p>
            <w:pPr>
              <w:spacing w:after="0"/>
              <w:rPr>
                <w:sz w:val="12"/>
                <w:szCs w:val="12"/>
                <w:color w:val="auto"/>
              </w:rPr>
            </w:pPr>
          </w:p>
        </w:tc>
        <w:tc>
          <w:tcPr>
            <w:tcW w:w="43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 gross credit exposure</w:t>
            </w:r>
          </w:p>
        </w:tc>
        <w:tc>
          <w:tcPr>
            <w:tcW w:w="188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120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720.1</w:t>
            </w:r>
          </w:p>
        </w:tc>
        <w:tc>
          <w:tcPr>
            <w:tcW w:w="160" w:type="dxa"/>
            <w:vAlign w:val="bottom"/>
            <w:shd w:val="clear" w:color="auto" w:fill="CCEEFF"/>
          </w:tcPr>
          <w:p>
            <w:pPr>
              <w:spacing w:after="0"/>
              <w:rPr>
                <w:sz w:val="12"/>
                <w:szCs w:val="12"/>
                <w:color w:val="auto"/>
              </w:rPr>
            </w:pPr>
          </w:p>
        </w:tc>
        <w:tc>
          <w:tcPr>
            <w:tcW w:w="60" w:type="dxa"/>
            <w:vAlign w:val="bottom"/>
            <w:tcBorders>
              <w:top w:val="single" w:sz="8" w:color="auto"/>
            </w:tcBorders>
            <w:shd w:val="clear" w:color="auto" w:fill="CCEEFF"/>
          </w:tcPr>
          <w:p>
            <w:pPr>
              <w:spacing w:after="0"/>
              <w:rPr>
                <w:sz w:val="12"/>
                <w:szCs w:val="12"/>
                <w:color w:val="auto"/>
              </w:rPr>
            </w:pPr>
          </w:p>
        </w:tc>
        <w:tc>
          <w:tcPr>
            <w:tcW w:w="120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1,086.7</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tcPr>
          <w:p>
            <w:pPr>
              <w:spacing w:after="0" w:line="149" w:lineRule="exact"/>
              <w:rPr>
                <w:sz w:val="20"/>
                <w:szCs w:val="20"/>
                <w:color w:val="auto"/>
              </w:rPr>
            </w:pPr>
            <w:r>
              <w:rPr>
                <w:rFonts w:ascii="Arial" w:cs="Arial" w:eastAsia="Arial" w:hAnsi="Arial"/>
                <w:sz w:val="14"/>
                <w:szCs w:val="14"/>
                <w:color w:val="auto"/>
              </w:rPr>
              <w:t>Less: collateral received</w:t>
            </w:r>
          </w:p>
        </w:tc>
        <w:tc>
          <w:tcPr>
            <w:tcW w:w="188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115.9</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248.0</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43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credit exposure</w:t>
            </w:r>
          </w:p>
        </w:tc>
        <w:tc>
          <w:tcPr>
            <w:tcW w:w="19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604.2</w:t>
            </w:r>
          </w:p>
        </w:tc>
        <w:tc>
          <w:tcPr>
            <w:tcW w:w="2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838.7</w:t>
            </w:r>
          </w:p>
        </w:tc>
        <w:tc>
          <w:tcPr>
            <w:tcW w:w="160" w:type="dxa"/>
            <w:vAlign w:val="bottom"/>
            <w:shd w:val="clear" w:color="auto" w:fill="CCEEFF"/>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3" w:name="page134"/>
    <w:bookmarkEnd w:id="13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Derivative Financial Instruments — (continued)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fair value of our derivative instruments classified as assets and liabilities was as follows:</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620" w:type="dxa"/>
            <w:vAlign w:val="bottom"/>
            <w:gridSpan w:val="4"/>
          </w:tcPr>
          <w:p>
            <w:pPr>
              <w:jc w:val="right"/>
              <w:ind w:right="712"/>
              <w:spacing w:after="0"/>
              <w:rPr>
                <w:sz w:val="20"/>
                <w:szCs w:val="20"/>
                <w:color w:val="auto"/>
              </w:rPr>
            </w:pPr>
            <w:r>
              <w:rPr>
                <w:rFonts w:ascii="Arial" w:cs="Arial" w:eastAsia="Arial" w:hAnsi="Arial"/>
                <w:sz w:val="14"/>
                <w:szCs w:val="14"/>
                <w:b w:val="1"/>
                <w:bCs w:val="1"/>
                <w:color w:val="auto"/>
              </w:rPr>
              <w:t>Derivative assets (1)</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00" w:type="dxa"/>
            <w:vAlign w:val="bottom"/>
            <w:gridSpan w:val="5"/>
          </w:tcPr>
          <w:p>
            <w:pPr>
              <w:ind w:left="600"/>
              <w:spacing w:after="0"/>
              <w:rPr>
                <w:sz w:val="20"/>
                <w:szCs w:val="20"/>
                <w:color w:val="auto"/>
              </w:rPr>
            </w:pPr>
            <w:r>
              <w:rPr>
                <w:rFonts w:ascii="Arial" w:cs="Arial" w:eastAsia="Arial" w:hAnsi="Arial"/>
                <w:sz w:val="14"/>
                <w:szCs w:val="14"/>
                <w:b w:val="1"/>
                <w:bCs w:val="1"/>
                <w:color w:val="auto"/>
              </w:rPr>
              <w:t>Derivative liabilities (2)</w:t>
            </w:r>
          </w:p>
        </w:tc>
      </w:tr>
      <w:tr>
        <w:trPr>
          <w:trHeight w:val="142"/>
        </w:trPr>
        <w:tc>
          <w:tcPr>
            <w:tcW w:w="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6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1200" w:type="dxa"/>
            <w:vAlign w:val="bottom"/>
            <w:tcBorders>
              <w:top w:val="single" w:sz="8" w:color="auto"/>
              <w:bottom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w w:val="85"/>
              </w:rPr>
              <w:t>December 31, 2013</w:t>
            </w:r>
          </w:p>
        </w:tc>
        <w:tc>
          <w:tcPr>
            <w:tcW w:w="160" w:type="dxa"/>
            <w:vAlign w:val="bottom"/>
            <w:tcBorders>
              <w:top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118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w w:val="85"/>
              </w:rPr>
              <w:t>December 31, 2012</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1200" w:type="dxa"/>
            <w:vAlign w:val="bottom"/>
            <w:tcBorders>
              <w:top w:val="single" w:sz="8" w:color="auto"/>
              <w:bottom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w w:val="85"/>
              </w:rPr>
              <w:t>December 31, 2013</w:t>
            </w:r>
          </w:p>
        </w:tc>
        <w:tc>
          <w:tcPr>
            <w:tcW w:w="160" w:type="dxa"/>
            <w:vAlign w:val="bottom"/>
            <w:tcBorders>
              <w:top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1200" w:type="dxa"/>
            <w:vAlign w:val="bottom"/>
            <w:tcBorders>
              <w:top w:val="single" w:sz="8" w:color="auto"/>
              <w:bottom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w w:val="85"/>
              </w:rPr>
              <w:t>December 31, 2012</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6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80" w:type="dxa"/>
            <w:vAlign w:val="bottom"/>
          </w:tcPr>
          <w:p>
            <w:pPr>
              <w:jc w:val="right"/>
              <w:ind w:right="3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1440" w:type="dxa"/>
            <w:vAlign w:val="bottom"/>
            <w:gridSpan w:val="3"/>
          </w:tcPr>
          <w:p>
            <w:pPr>
              <w:jc w:val="center"/>
              <w:ind w:right="952"/>
              <w:spacing w:after="0" w:line="142" w:lineRule="exact"/>
              <w:rPr>
                <w:sz w:val="20"/>
                <w:szCs w:val="20"/>
                <w:color w:val="auto"/>
              </w:rPr>
            </w:pPr>
            <w:r>
              <w:rPr>
                <w:rFonts w:ascii="Arial" w:cs="Arial" w:eastAsia="Arial" w:hAnsi="Arial"/>
                <w:sz w:val="14"/>
                <w:szCs w:val="14"/>
                <w:b w:val="1"/>
                <w:bCs w:val="1"/>
                <w:i w:val="1"/>
                <w:iCs w:val="1"/>
                <w:color w:val="auto"/>
                <w:w w:val="72"/>
              </w:rPr>
              <w:t>millions)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Derivatives designated as hedging instruments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gridSpan w:val="2"/>
          </w:tcPr>
          <w:p>
            <w:pPr>
              <w:spacing w:after="0" w:line="149" w:lineRule="exact"/>
              <w:rPr>
                <w:sz w:val="20"/>
                <w:szCs w:val="20"/>
                <w:color w:val="auto"/>
              </w:rPr>
            </w:pPr>
            <w:r>
              <w:rPr>
                <w:rFonts w:ascii="Arial" w:cs="Arial" w:eastAsia="Arial" w:hAnsi="Arial"/>
                <w:sz w:val="14"/>
                <w:szCs w:val="14"/>
                <w:color w:val="auto"/>
              </w:rPr>
              <w:t>Interest rate contracts</w:t>
            </w:r>
          </w:p>
        </w:tc>
        <w:tc>
          <w:tcPr>
            <w:tcW w:w="80" w:type="dxa"/>
            <w:vAlign w:val="bottom"/>
            <w:gridSpan w:val="2"/>
          </w:tcPr>
          <w:p>
            <w:pPr>
              <w:jc w:val="right"/>
              <w:spacing w:after="0"/>
              <w:rPr>
                <w:sz w:val="20"/>
                <w:szCs w:val="20"/>
                <w:color w:val="auto"/>
              </w:rPr>
            </w:pPr>
            <w:r>
              <w:rPr>
                <w:rFonts w:ascii="Arial" w:cs="Arial" w:eastAsia="Arial" w:hAnsi="Arial"/>
                <w:sz w:val="10"/>
                <w:szCs w:val="10"/>
                <w:b w:val="1"/>
                <w:bCs w:val="1"/>
                <w:color w:val="auto"/>
                <w:w w:val="71"/>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10.3</w:t>
            </w:r>
          </w:p>
        </w:tc>
        <w:tc>
          <w:tcPr>
            <w:tcW w:w="240" w:type="dxa"/>
            <w:vAlign w:val="bottom"/>
            <w:gridSpan w:val="2"/>
          </w:tcPr>
          <w:p>
            <w:pPr>
              <w:jc w:val="center"/>
              <w:ind w:left="92"/>
              <w:spacing w:after="0" w:line="149" w:lineRule="exact"/>
              <w:rPr>
                <w:sz w:val="20"/>
                <w:szCs w:val="20"/>
                <w:color w:val="auto"/>
              </w:rPr>
            </w:pPr>
            <w:r>
              <w:rPr>
                <w:rFonts w:ascii="Arial" w:cs="Arial" w:eastAsia="Arial" w:hAnsi="Arial"/>
                <w:sz w:val="14"/>
                <w:szCs w:val="14"/>
                <w:b w:val="1"/>
                <w:bCs w:val="1"/>
                <w:color w:val="auto"/>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285.4</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440.5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Foreign exchange contracts</w:t>
            </w:r>
          </w:p>
        </w:tc>
        <w:tc>
          <w:tcPr>
            <w:tcW w:w="2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121.6</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11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190.0</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51.2</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127.2</w:t>
            </w:r>
          </w:p>
        </w:tc>
        <w:tc>
          <w:tcPr>
            <w:tcW w:w="160" w:type="dxa"/>
            <w:vAlign w:val="bottom"/>
            <w:shd w:val="clear" w:color="auto" w:fill="CCEEFF"/>
          </w:tcPr>
          <w:p>
            <w:pPr>
              <w:spacing w:after="0"/>
              <w:rPr>
                <w:sz w:val="12"/>
                <w:szCs w:val="12"/>
                <w:color w:val="auto"/>
              </w:rPr>
            </w:pPr>
          </w:p>
        </w:tc>
      </w:tr>
      <w:tr>
        <w:trPr>
          <w:trHeight w:val="142"/>
        </w:trPr>
        <w:tc>
          <w:tcPr>
            <w:tcW w:w="3480" w:type="dxa"/>
            <w:vAlign w:val="bottom"/>
            <w:gridSpan w:val="3"/>
          </w:tcPr>
          <w:p>
            <w:pPr>
              <w:spacing w:after="0" w:line="142" w:lineRule="exact"/>
              <w:rPr>
                <w:sz w:val="20"/>
                <w:szCs w:val="20"/>
                <w:color w:val="auto"/>
              </w:rPr>
            </w:pPr>
            <w:r>
              <w:rPr>
                <w:rFonts w:ascii="Arial" w:cs="Arial" w:eastAsia="Arial" w:hAnsi="Arial"/>
                <w:sz w:val="14"/>
                <w:szCs w:val="14"/>
                <w:color w:val="auto"/>
              </w:rPr>
              <w:t>Total derivatives designated as hedging instruments</w:t>
            </w:r>
          </w:p>
        </w:tc>
        <w:tc>
          <w:tcPr>
            <w:tcW w:w="20" w:type="dxa"/>
            <w:vAlign w:val="bottom"/>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5"/>
                <w:szCs w:val="5"/>
                <w:b w:val="1"/>
                <w:bCs w:val="1"/>
                <w:color w:val="auto"/>
                <w:w w:val="70"/>
              </w:rPr>
              <w:t>$</w:t>
            </w:r>
          </w:p>
        </w:tc>
        <w:tc>
          <w:tcPr>
            <w:tcW w:w="12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121.7</w:t>
            </w:r>
          </w:p>
        </w:tc>
        <w:tc>
          <w:tcPr>
            <w:tcW w:w="160" w:type="dxa"/>
            <w:vAlign w:val="bottom"/>
          </w:tcPr>
          <w:p>
            <w:pPr>
              <w:spacing w:after="0"/>
              <w:rPr>
                <w:sz w:val="12"/>
                <w:szCs w:val="12"/>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11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200.3</w:t>
            </w:r>
          </w:p>
        </w:tc>
        <w:tc>
          <w:tcPr>
            <w:tcW w:w="160" w:type="dxa"/>
            <w:vAlign w:val="bottom"/>
          </w:tcPr>
          <w:p>
            <w:pPr>
              <w:spacing w:after="0"/>
              <w:rPr>
                <w:sz w:val="12"/>
                <w:szCs w:val="12"/>
                <w:color w:val="auto"/>
              </w:rPr>
            </w:pPr>
          </w:p>
        </w:tc>
        <w:tc>
          <w:tcPr>
            <w:tcW w:w="8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rPr>
              <w:t>$</w:t>
            </w:r>
          </w:p>
        </w:tc>
        <w:tc>
          <w:tcPr>
            <w:tcW w:w="12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336.6</w:t>
            </w:r>
          </w:p>
        </w:tc>
        <w:tc>
          <w:tcPr>
            <w:tcW w:w="160" w:type="dxa"/>
            <w:vAlign w:val="bottom"/>
          </w:tcPr>
          <w:p>
            <w:pPr>
              <w:spacing w:after="0"/>
              <w:rPr>
                <w:sz w:val="12"/>
                <w:szCs w:val="12"/>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12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567.7</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3460" w:type="dxa"/>
            <w:vAlign w:val="bottom"/>
            <w:gridSpan w:val="2"/>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Derivatives not designated as hedging instruments</w:t>
            </w:r>
          </w:p>
        </w:tc>
        <w:tc>
          <w:tcPr>
            <w:tcW w:w="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1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3460" w:type="dxa"/>
            <w:vAlign w:val="bottom"/>
            <w:gridSpan w:val="2"/>
          </w:tcPr>
          <w:p>
            <w:pPr>
              <w:spacing w:after="0" w:line="149" w:lineRule="exact"/>
              <w:rPr>
                <w:sz w:val="20"/>
                <w:szCs w:val="20"/>
                <w:color w:val="auto"/>
              </w:rPr>
            </w:pPr>
            <w:r>
              <w:rPr>
                <w:rFonts w:ascii="Arial" w:cs="Arial" w:eastAsia="Arial" w:hAnsi="Arial"/>
                <w:sz w:val="14"/>
                <w:szCs w:val="14"/>
                <w:color w:val="auto"/>
              </w:rPr>
              <w:t>Interest rate contracts</w:t>
            </w:r>
          </w:p>
        </w:tc>
        <w:tc>
          <w:tcPr>
            <w:tcW w:w="80" w:type="dxa"/>
            <w:vAlign w:val="bottom"/>
            <w:gridSpan w:val="2"/>
          </w:tcPr>
          <w:p>
            <w:pPr>
              <w:jc w:val="right"/>
              <w:spacing w:after="0"/>
              <w:rPr>
                <w:sz w:val="20"/>
                <w:szCs w:val="20"/>
                <w:color w:val="auto"/>
              </w:rPr>
            </w:pPr>
            <w:r>
              <w:rPr>
                <w:rFonts w:ascii="Arial" w:cs="Arial" w:eastAsia="Arial" w:hAnsi="Arial"/>
                <w:sz w:val="10"/>
                <w:szCs w:val="10"/>
                <w:b w:val="1"/>
                <w:bCs w:val="1"/>
                <w:color w:val="auto"/>
                <w:w w:val="71"/>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452.2</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677.1</w:t>
            </w:r>
          </w:p>
        </w:tc>
        <w:tc>
          <w:tcPr>
            <w:tcW w:w="240" w:type="dxa"/>
            <w:vAlign w:val="bottom"/>
            <w:gridSpan w:val="2"/>
          </w:tcPr>
          <w:p>
            <w:pPr>
              <w:jc w:val="center"/>
              <w:ind w:left="92"/>
              <w:spacing w:after="0" w:line="149" w:lineRule="exact"/>
              <w:rPr>
                <w:sz w:val="20"/>
                <w:szCs w:val="20"/>
                <w:color w:val="auto"/>
              </w:rPr>
            </w:pPr>
            <w:r>
              <w:rPr>
                <w:rFonts w:ascii="Arial" w:cs="Arial" w:eastAsia="Arial" w:hAnsi="Arial"/>
                <w:sz w:val="14"/>
                <w:szCs w:val="14"/>
                <w:b w:val="1"/>
                <w:bCs w:val="1"/>
                <w:color w:val="auto"/>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489.6</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493.9</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Foreign exchange contracts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51.6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58.2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17.9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gridSpan w:val="2"/>
          </w:tcPr>
          <w:p>
            <w:pPr>
              <w:spacing w:after="0" w:line="149" w:lineRule="exact"/>
              <w:rPr>
                <w:sz w:val="20"/>
                <w:szCs w:val="20"/>
                <w:color w:val="auto"/>
              </w:rPr>
            </w:pPr>
            <w:r>
              <w:rPr>
                <w:rFonts w:ascii="Arial" w:cs="Arial" w:eastAsia="Arial" w:hAnsi="Arial"/>
                <w:sz w:val="14"/>
                <w:szCs w:val="14"/>
                <w:color w:val="auto"/>
              </w:rPr>
              <w:t>Equity contracts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30.0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74.3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145.0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27.7</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Credit contracts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35.5</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96.6</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gridSpan w:val="2"/>
          </w:tcPr>
          <w:p>
            <w:pPr>
              <w:spacing w:after="0" w:line="149" w:lineRule="exact"/>
              <w:rPr>
                <w:sz w:val="20"/>
                <w:szCs w:val="20"/>
                <w:color w:val="auto"/>
              </w:rPr>
            </w:pPr>
            <w:r>
              <w:rPr>
                <w:rFonts w:ascii="Arial" w:cs="Arial" w:eastAsia="Arial" w:hAnsi="Arial"/>
                <w:sz w:val="14"/>
                <w:szCs w:val="14"/>
                <w:color w:val="auto"/>
              </w:rPr>
              <w:t>Other contracts</w:t>
            </w:r>
          </w:p>
        </w:tc>
        <w:tc>
          <w:tcPr>
            <w:tcW w:w="2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1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224.1</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327.8</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46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w w:val="99"/>
              </w:rPr>
              <w:t>Total derivatives not designated as hedging instruments</w:t>
            </w:r>
          </w:p>
        </w:tc>
        <w:tc>
          <w:tcPr>
            <w:tcW w:w="2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543.4</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11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816.4</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912.1</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960.3</w:t>
            </w:r>
          </w:p>
        </w:tc>
        <w:tc>
          <w:tcPr>
            <w:tcW w:w="160" w:type="dxa"/>
            <w:vAlign w:val="bottom"/>
            <w:shd w:val="clear" w:color="auto" w:fill="CCEEFF"/>
          </w:tcPr>
          <w:p>
            <w:pPr>
              <w:spacing w:after="0"/>
              <w:rPr>
                <w:sz w:val="12"/>
                <w:szCs w:val="12"/>
                <w:color w:val="auto"/>
              </w:rPr>
            </w:pPr>
          </w:p>
        </w:tc>
      </w:tr>
      <w:tr>
        <w:trPr>
          <w:trHeight w:val="142"/>
        </w:trPr>
        <w:tc>
          <w:tcPr>
            <w:tcW w:w="3480" w:type="dxa"/>
            <w:vAlign w:val="bottom"/>
            <w:gridSpan w:val="3"/>
          </w:tcPr>
          <w:p>
            <w:pPr>
              <w:spacing w:after="0" w:line="142" w:lineRule="exact"/>
              <w:rPr>
                <w:sz w:val="20"/>
                <w:szCs w:val="20"/>
                <w:color w:val="auto"/>
              </w:rPr>
            </w:pPr>
            <w:r>
              <w:rPr>
                <w:rFonts w:ascii="Arial" w:cs="Arial" w:eastAsia="Arial" w:hAnsi="Arial"/>
                <w:sz w:val="14"/>
                <w:szCs w:val="14"/>
                <w:color w:val="auto"/>
              </w:rPr>
              <w:t>Total derivative instruments</w:t>
            </w:r>
          </w:p>
        </w:tc>
        <w:tc>
          <w:tcPr>
            <w:tcW w:w="2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5"/>
                <w:szCs w:val="5"/>
                <w:b w:val="1"/>
                <w:bCs w:val="1"/>
                <w:color w:val="auto"/>
                <w:w w:val="70"/>
              </w:rPr>
              <w:t>$</w:t>
            </w:r>
          </w:p>
        </w:tc>
        <w:tc>
          <w:tcPr>
            <w:tcW w:w="12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665.1</w:t>
            </w:r>
          </w:p>
        </w:tc>
        <w:tc>
          <w:tcPr>
            <w:tcW w:w="160" w:type="dxa"/>
            <w:vAlign w:val="bottom"/>
          </w:tcPr>
          <w:p>
            <w:pPr>
              <w:spacing w:after="0"/>
              <w:rPr>
                <w:sz w:val="12"/>
                <w:szCs w:val="12"/>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11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1,016.7</w:t>
            </w:r>
          </w:p>
        </w:tc>
        <w:tc>
          <w:tcPr>
            <w:tcW w:w="160" w:type="dxa"/>
            <w:vAlign w:val="bottom"/>
          </w:tcPr>
          <w:p>
            <w:pPr>
              <w:spacing w:after="0"/>
              <w:rPr>
                <w:sz w:val="12"/>
                <w:szCs w:val="12"/>
                <w:color w:val="auto"/>
              </w:rPr>
            </w:pPr>
          </w:p>
        </w:tc>
        <w:tc>
          <w:tcPr>
            <w:tcW w:w="8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rPr>
              <w:t>$</w:t>
            </w:r>
          </w:p>
        </w:tc>
        <w:tc>
          <w:tcPr>
            <w:tcW w:w="12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1,248.7</w:t>
            </w:r>
          </w:p>
        </w:tc>
        <w:tc>
          <w:tcPr>
            <w:tcW w:w="160" w:type="dxa"/>
            <w:vAlign w:val="bottom"/>
          </w:tcPr>
          <w:p>
            <w:pPr>
              <w:spacing w:after="0"/>
              <w:rPr>
                <w:sz w:val="12"/>
                <w:szCs w:val="12"/>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12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1,528.0</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860" w:type="dxa"/>
            <w:vAlign w:val="bottom"/>
            <w:tcBorders>
              <w:bottom w:val="single" w:sz="8" w:color="auto"/>
            </w:tcBorders>
          </w:tcPr>
          <w:p>
            <w:pPr>
              <w:spacing w:after="0"/>
              <w:rPr>
                <w:sz w:val="7"/>
                <w:szCs w:val="7"/>
                <w:color w:val="auto"/>
              </w:rPr>
            </w:pPr>
          </w:p>
        </w:tc>
        <w:tc>
          <w:tcPr>
            <w:tcW w:w="260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160" w:type="dxa"/>
            <w:vAlign w:val="bottom"/>
          </w:tcPr>
          <w:p>
            <w:pPr>
              <w:spacing w:after="0"/>
              <w:rPr>
                <w:sz w:val="7"/>
                <w:szCs w:val="7"/>
                <w:color w:val="auto"/>
              </w:rPr>
            </w:pPr>
          </w:p>
        </w:tc>
      </w:tr>
    </w:tbl>
    <w:p>
      <w:pPr>
        <w:spacing w:after="0" w:line="192" w:lineRule="exact"/>
        <w:rPr>
          <w:sz w:val="20"/>
          <w:szCs w:val="20"/>
          <w:color w:val="auto"/>
        </w:rPr>
      </w:pPr>
    </w:p>
    <w:p>
      <w:pPr>
        <w:ind w:left="1680" w:hanging="531"/>
        <w:spacing w:after="0"/>
        <w:tabs>
          <w:tab w:leader="none" w:pos="1680" w:val="left"/>
        </w:tabs>
        <w:numPr>
          <w:ilvl w:val="0"/>
          <w:numId w:val="58"/>
        </w:numPr>
        <w:rPr>
          <w:rFonts w:ascii="Arial" w:cs="Arial" w:eastAsia="Arial" w:hAnsi="Arial"/>
          <w:sz w:val="14"/>
          <w:szCs w:val="14"/>
          <w:color w:val="auto"/>
        </w:rPr>
      </w:pPr>
      <w:r>
        <w:rPr>
          <w:rFonts w:ascii="Arial" w:cs="Arial" w:eastAsia="Arial" w:hAnsi="Arial"/>
          <w:sz w:val="14"/>
          <w:szCs w:val="14"/>
          <w:color w:val="auto"/>
        </w:rPr>
        <w:t>The fair value of derivative assets is reported with other investments on the consolidated statements of financial position.</w:t>
      </w:r>
    </w:p>
    <w:p>
      <w:pPr>
        <w:spacing w:after="0" w:line="122" w:lineRule="exact"/>
        <w:rPr>
          <w:rFonts w:ascii="Arial" w:cs="Arial" w:eastAsia="Arial" w:hAnsi="Arial"/>
          <w:sz w:val="14"/>
          <w:szCs w:val="14"/>
          <w:color w:val="auto"/>
        </w:rPr>
      </w:pPr>
    </w:p>
    <w:p>
      <w:pPr>
        <w:jc w:val="both"/>
        <w:ind w:left="1680" w:hanging="531"/>
        <w:spacing w:after="0" w:line="233" w:lineRule="auto"/>
        <w:tabs>
          <w:tab w:leader="none" w:pos="1680" w:val="left"/>
        </w:tabs>
        <w:numPr>
          <w:ilvl w:val="0"/>
          <w:numId w:val="58"/>
        </w:numPr>
        <w:rPr>
          <w:rFonts w:ascii="Arial" w:cs="Arial" w:eastAsia="Arial" w:hAnsi="Arial"/>
          <w:sz w:val="14"/>
          <w:szCs w:val="14"/>
          <w:color w:val="auto"/>
        </w:rPr>
      </w:pPr>
      <w:r>
        <w:rPr>
          <w:rFonts w:ascii="Arial" w:cs="Arial" w:eastAsia="Arial" w:hAnsi="Arial"/>
          <w:sz w:val="14"/>
          <w:szCs w:val="14"/>
          <w:color w:val="auto"/>
        </w:rPr>
        <w:t>The fair value of derivative liabilities is reported with other liabilities on the consolidated statements of financial position, with the exception of certain embedded derivative liabilities. Embedded derivative liabilities with a fair value of $6.9 million and $170.5 million as of December 31, 2013 and December 31, 2012, respectively, are reported with contractholder funds on the consolidated statements of financial position.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Credit Derivatives Sold</w:t>
      </w:r>
    </w:p>
    <w:p>
      <w:pPr>
        <w:spacing w:after="0" w:line="231" w:lineRule="exact"/>
        <w:rPr>
          <w:sz w:val="20"/>
          <w:szCs w:val="20"/>
          <w:color w:val="auto"/>
        </w:rPr>
      </w:pPr>
    </w:p>
    <w:p>
      <w:pPr>
        <w:jc w:val="both"/>
        <w:ind w:firstLine="395"/>
        <w:spacing w:after="0" w:line="256" w:lineRule="auto"/>
        <w:rPr>
          <w:sz w:val="20"/>
          <w:szCs w:val="20"/>
          <w:color w:val="auto"/>
        </w:rPr>
      </w:pPr>
      <w:r>
        <w:rPr>
          <w:rFonts w:ascii="Arial" w:cs="Arial" w:eastAsia="Arial" w:hAnsi="Arial"/>
          <w:sz w:val="18"/>
          <w:szCs w:val="18"/>
          <w:color w:val="auto"/>
        </w:rPr>
        <w:t>When we sell credit protection, we are exposed to the underlying credit risk similar to purchasing a fixed maturity security instrument. The majority of our credit derivative contracts sold reference a single name or reference security (referred to as "single name credit default swaps"). The remainder of our credit derivatives reference either a basket or index of securities. These instruments are either referenced in an over-the-counter credit derivative transaction, or embedded within an investment structure that has been fully consolidated into our financial statements.</w:t>
      </w:r>
    </w:p>
    <w:p>
      <w:pPr>
        <w:spacing w:after="0" w:line="197" w:lineRule="exact"/>
        <w:rPr>
          <w:sz w:val="20"/>
          <w:szCs w:val="20"/>
          <w:color w:val="auto"/>
        </w:rPr>
      </w:pPr>
    </w:p>
    <w:p>
      <w:pPr>
        <w:jc w:val="both"/>
        <w:ind w:firstLine="372"/>
        <w:spacing w:after="0" w:line="253" w:lineRule="auto"/>
        <w:rPr>
          <w:sz w:val="20"/>
          <w:szCs w:val="20"/>
          <w:color w:val="auto"/>
        </w:rPr>
      </w:pPr>
      <w:r>
        <w:rPr>
          <w:rFonts w:ascii="Arial" w:cs="Arial" w:eastAsia="Arial" w:hAnsi="Arial"/>
          <w:sz w:val="18"/>
          <w:szCs w:val="18"/>
          <w:color w:val="auto"/>
        </w:rPr>
        <w:t>These credit derivative transactions are subject to events of default defined within the terms of the contract, which normally consist of bankruptcy, failure to pay, or modified restructuring of the reference entity and/or issue. If a default event occurs for a reference name or security, we are obligated to pay the counterparty an amount equal to the notional amount of the credit derivative transaction. As a result, our maximum future payment is equal to the notional amount of the credit derivative. In certain cases, we also have purchased credit protection with identical underlyings to certain of our sold protection transactions. The effect of this purchased protection would reduce our total maximum future payments by $44.9 million as of December 31, 2013 and $15.0 million as of December 31, 2012. These purchased credit derivative transactions had a net asset (liability) fair value of $(0.5) million as of December 31, 2013 and $0.2 million as of December 31, 2012. In certain circumstances, our potential loss could also be reduced by any amount recovered in the default proceedings of the underlying credit name.</w:t>
      </w:r>
    </w:p>
    <w:p>
      <w:pPr>
        <w:spacing w:after="0" w:line="199" w:lineRule="exact"/>
        <w:rPr>
          <w:sz w:val="20"/>
          <w:szCs w:val="20"/>
          <w:color w:val="auto"/>
        </w:rPr>
      </w:pPr>
    </w:p>
    <w:p>
      <w:pPr>
        <w:jc w:val="both"/>
        <w:ind w:firstLine="444"/>
        <w:spacing w:after="0" w:line="256" w:lineRule="auto"/>
        <w:rPr>
          <w:sz w:val="20"/>
          <w:szCs w:val="20"/>
          <w:color w:val="auto"/>
        </w:rPr>
      </w:pPr>
      <w:r>
        <w:rPr>
          <w:rFonts w:ascii="Arial" w:cs="Arial" w:eastAsia="Arial" w:hAnsi="Arial"/>
          <w:sz w:val="18"/>
          <w:szCs w:val="18"/>
          <w:color w:val="auto"/>
        </w:rPr>
        <w:t>We purchased an investment structure with embedded credit features that is fully consolidated into our financial statements. This consolidation results in recognition of the underlying credit derivatives and collateral within the structure, typically high quality fixed maturities that are owned by a special purpose vehicle. These credit derivatives reference several names in a basket structure. In the event of default, the collateral within the structure would typically be liquidated to pay the claims of the credit derivative counterparty.</w:t>
      </w:r>
    </w:p>
    <w:p>
      <w:pPr>
        <w:spacing w:after="0" w:line="197" w:lineRule="exact"/>
        <w:rPr>
          <w:sz w:val="20"/>
          <w:szCs w:val="20"/>
          <w:color w:val="auto"/>
        </w:rPr>
      </w:pPr>
    </w:p>
    <w:p>
      <w:pPr>
        <w:jc w:val="both"/>
        <w:ind w:firstLine="373"/>
        <w:spacing w:after="0" w:line="268" w:lineRule="auto"/>
        <w:rPr>
          <w:sz w:val="20"/>
          <w:szCs w:val="20"/>
          <w:color w:val="auto"/>
        </w:rPr>
      </w:pPr>
      <w:r>
        <w:rPr>
          <w:rFonts w:ascii="Arial" w:cs="Arial" w:eastAsia="Arial" w:hAnsi="Arial"/>
          <w:sz w:val="18"/>
          <w:szCs w:val="18"/>
          <w:color w:val="auto"/>
        </w:rPr>
        <w:t>The following tables show our credit default swap protection sold by types of contract, types of referenced/underlying asset class and external agency rating for the underlying reference security. The maximum future payments</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4" w:name="page135"/>
    <w:bookmarkEnd w:id="13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Derivative Financial Instruments —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are undiscounted and have not been reduced by the effect of any offsetting transactions, collateral or recourse features described above.</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90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w w:val="99"/>
              </w:rPr>
              <w:t>December 31, 2013</w:t>
            </w:r>
          </w:p>
        </w:tc>
        <w:tc>
          <w:tcPr>
            <w:tcW w:w="16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900" w:type="dxa"/>
            <w:vAlign w:val="bottom"/>
          </w:tcPr>
          <w:p>
            <w:pPr>
              <w:spacing w:after="0"/>
              <w:rPr>
                <w:sz w:val="11"/>
                <w:szCs w:val="11"/>
                <w:color w:val="auto"/>
              </w:rPr>
            </w:pPr>
          </w:p>
        </w:tc>
        <w:tc>
          <w:tcPr>
            <w:tcW w:w="1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8"/>
              </w:rPr>
              <w:t>Weighted</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90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2"/>
              </w:rPr>
              <w:t>Maximum</w:t>
            </w:r>
          </w:p>
        </w:tc>
        <w:tc>
          <w:tcPr>
            <w:tcW w:w="160" w:type="dxa"/>
            <w:vAlign w:val="bottom"/>
          </w:tcPr>
          <w:p>
            <w:pPr>
              <w:spacing w:after="0"/>
              <w:rPr>
                <w:sz w:val="12"/>
                <w:szCs w:val="12"/>
                <w:color w:val="auto"/>
              </w:rPr>
            </w:pPr>
          </w:p>
        </w:tc>
        <w:tc>
          <w:tcPr>
            <w:tcW w:w="10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3"/>
              </w:rPr>
              <w:t>average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90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6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Notional</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center"/>
              <w:ind w:right="132"/>
              <w:spacing w:after="0" w:line="149" w:lineRule="exact"/>
              <w:rPr>
                <w:sz w:val="20"/>
                <w:szCs w:val="20"/>
                <w:color w:val="auto"/>
              </w:rPr>
            </w:pPr>
            <w:r>
              <w:rPr>
                <w:rFonts w:ascii="Arial" w:cs="Arial" w:eastAsia="Arial" w:hAnsi="Arial"/>
                <w:sz w:val="14"/>
                <w:szCs w:val="14"/>
                <w:b w:val="1"/>
                <w:bCs w:val="1"/>
                <w:color w:val="auto"/>
                <w:w w:val="93"/>
              </w:rPr>
              <w:t>Fair</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90"/>
              </w:rPr>
              <w:t>future</w:t>
            </w:r>
          </w:p>
        </w:tc>
        <w:tc>
          <w:tcPr>
            <w:tcW w:w="160" w:type="dxa"/>
            <w:vAlign w:val="bottom"/>
          </w:tcPr>
          <w:p>
            <w:pPr>
              <w:spacing w:after="0"/>
              <w:rPr>
                <w:sz w:val="12"/>
                <w:szCs w:val="12"/>
                <w:color w:val="auto"/>
              </w:rPr>
            </w:pPr>
          </w:p>
        </w:tc>
        <w:tc>
          <w:tcPr>
            <w:tcW w:w="10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4"/>
              </w:rPr>
              <w:t>expected life</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90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60" w:type="dxa"/>
            <w:vAlign w:val="bottom"/>
          </w:tcPr>
          <w:p>
            <w:pPr>
              <w:jc w:val="center"/>
              <w:ind w:right="12"/>
              <w:spacing w:after="0"/>
              <w:rPr>
                <w:sz w:val="20"/>
                <w:szCs w:val="20"/>
                <w:color w:val="auto"/>
              </w:rPr>
            </w:pPr>
            <w:r>
              <w:rPr>
                <w:rFonts w:ascii="Arial" w:cs="Arial" w:eastAsia="Arial" w:hAnsi="Arial"/>
                <w:sz w:val="14"/>
                <w:szCs w:val="14"/>
                <w:b w:val="1"/>
                <w:bCs w:val="1"/>
                <w:color w:val="auto"/>
                <w:w w:val="86"/>
              </w:rPr>
              <w:t>amount</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20" w:type="dxa"/>
            <w:vAlign w:val="bottom"/>
            <w:gridSpan w:val="2"/>
          </w:tcPr>
          <w:p>
            <w:pPr>
              <w:jc w:val="center"/>
              <w:ind w:right="132"/>
              <w:spacing w:after="0"/>
              <w:rPr>
                <w:sz w:val="20"/>
                <w:szCs w:val="20"/>
                <w:color w:val="auto"/>
              </w:rPr>
            </w:pPr>
            <w:r>
              <w:rPr>
                <w:rFonts w:ascii="Arial" w:cs="Arial" w:eastAsia="Arial" w:hAnsi="Arial"/>
                <w:sz w:val="14"/>
                <w:szCs w:val="14"/>
                <w:b w:val="1"/>
                <w:bCs w:val="1"/>
                <w:color w:val="auto"/>
                <w:w w:val="89"/>
              </w:rPr>
              <w:t>value</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center"/>
              <w:ind w:right="32"/>
              <w:spacing w:after="0"/>
              <w:rPr>
                <w:sz w:val="20"/>
                <w:szCs w:val="20"/>
                <w:color w:val="auto"/>
              </w:rPr>
            </w:pPr>
            <w:r>
              <w:rPr>
                <w:rFonts w:ascii="Arial" w:cs="Arial" w:eastAsia="Arial" w:hAnsi="Arial"/>
                <w:sz w:val="14"/>
                <w:szCs w:val="14"/>
                <w:b w:val="1"/>
                <w:bCs w:val="1"/>
                <w:color w:val="auto"/>
                <w:w w:val="85"/>
              </w:rPr>
              <w:t>payments</w:t>
            </w:r>
          </w:p>
        </w:tc>
        <w:tc>
          <w:tcPr>
            <w:tcW w:w="160" w:type="dxa"/>
            <w:vAlign w:val="bottom"/>
          </w:tcPr>
          <w:p>
            <w:pPr>
              <w:spacing w:after="0"/>
              <w:rPr>
                <w:sz w:val="14"/>
                <w:szCs w:val="14"/>
                <w:color w:val="auto"/>
              </w:rPr>
            </w:pPr>
          </w:p>
        </w:tc>
        <w:tc>
          <w:tcPr>
            <w:tcW w:w="10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6"/>
              </w:rPr>
              <w:t>(in years)</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90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420" w:type="dxa"/>
            <w:vAlign w:val="bottom"/>
            <w:tcBorders>
              <w:top w:val="single" w:sz="8" w:color="auto"/>
            </w:tcBorders>
          </w:tcPr>
          <w:p>
            <w:pPr>
              <w:spacing w:after="0"/>
              <w:rPr>
                <w:sz w:val="12"/>
                <w:szCs w:val="12"/>
                <w:color w:val="auto"/>
              </w:rPr>
            </w:pPr>
          </w:p>
        </w:tc>
        <w:tc>
          <w:tcPr>
            <w:tcW w:w="160" w:type="dxa"/>
            <w:vAlign w:val="bottom"/>
            <w:gridSpan w:val="2"/>
          </w:tcPr>
          <w:p>
            <w:pPr>
              <w:spacing w:after="0" w:line="142" w:lineRule="exact"/>
              <w:rPr>
                <w:sz w:val="20"/>
                <w:szCs w:val="20"/>
                <w:color w:val="auto"/>
              </w:rPr>
            </w:pPr>
            <w:r>
              <w:rPr>
                <w:rFonts w:ascii="Arial" w:cs="Arial" w:eastAsia="Arial" w:hAnsi="Arial"/>
                <w:sz w:val="14"/>
                <w:szCs w:val="14"/>
                <w:b w:val="1"/>
                <w:bCs w:val="1"/>
                <w:i w:val="1"/>
                <w:iCs w:val="1"/>
                <w:color w:val="auto"/>
                <w:w w:val="81"/>
              </w:rPr>
              <w:t>(in</w:t>
            </w:r>
          </w:p>
        </w:tc>
        <w:tc>
          <w:tcPr>
            <w:tcW w:w="740" w:type="dxa"/>
            <w:vAlign w:val="bottom"/>
            <w:tcBorders>
              <w:top w:val="single" w:sz="8" w:color="auto"/>
            </w:tcBorders>
            <w:gridSpan w:val="2"/>
          </w:tcPr>
          <w:p>
            <w:pPr>
              <w:spacing w:after="0" w:line="142" w:lineRule="exact"/>
              <w:rPr>
                <w:sz w:val="20"/>
                <w:szCs w:val="20"/>
                <w:color w:val="auto"/>
              </w:rPr>
            </w:pPr>
            <w:r>
              <w:rPr>
                <w:rFonts w:ascii="Arial" w:cs="Arial" w:eastAsia="Arial" w:hAnsi="Arial"/>
                <w:sz w:val="14"/>
                <w:szCs w:val="14"/>
                <w:b w:val="1"/>
                <w:bCs w:val="1"/>
                <w:i w:val="1"/>
                <w:iCs w:val="1"/>
                <w:color w:val="auto"/>
              </w:rPr>
              <w:t>millions)</w:t>
            </w:r>
          </w:p>
        </w:tc>
        <w:tc>
          <w:tcPr>
            <w:tcW w:w="160" w:type="dxa"/>
            <w:vAlign w:val="bottom"/>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Single name credit default swaps</w:t>
            </w:r>
          </w:p>
        </w:tc>
        <w:tc>
          <w:tcPr>
            <w:tcW w:w="17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Corporate debt</w:t>
            </w:r>
          </w:p>
        </w:tc>
        <w:tc>
          <w:tcPr>
            <w:tcW w:w="1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AAA</w:t>
            </w:r>
          </w:p>
        </w:tc>
        <w:tc>
          <w:tcPr>
            <w:tcW w:w="17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10.0</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0.3</w:t>
            </w:r>
          </w:p>
        </w:tc>
        <w:tc>
          <w:tcPr>
            <w:tcW w:w="100" w:type="dxa"/>
            <w:vAlign w:val="bottom"/>
            <w:shd w:val="clear" w:color="auto" w:fill="CCEEFF"/>
          </w:tcPr>
          <w:p>
            <w:pPr>
              <w:spacing w:after="0"/>
              <w:rPr>
                <w:sz w:val="12"/>
                <w:szCs w:val="12"/>
                <w:color w:val="auto"/>
              </w:rPr>
            </w:pPr>
          </w:p>
        </w:tc>
        <w:tc>
          <w:tcPr>
            <w:tcW w:w="14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b w:val="1"/>
                <w:bCs w:val="1"/>
                <w:color w:val="auto"/>
                <w:w w:val="76"/>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10.0</w:t>
            </w:r>
          </w:p>
        </w:tc>
        <w:tc>
          <w:tcPr>
            <w:tcW w:w="10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AA</w:t>
            </w:r>
          </w:p>
        </w:tc>
        <w:tc>
          <w:tcPr>
            <w:tcW w:w="1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84.0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84.0</w:t>
            </w:r>
          </w:p>
        </w:tc>
        <w:tc>
          <w:tcPr>
            <w:tcW w:w="10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4.0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A</w:t>
            </w:r>
          </w:p>
        </w:tc>
        <w:tc>
          <w:tcPr>
            <w:tcW w:w="17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294.5</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294.5</w:t>
            </w:r>
          </w:p>
        </w:tc>
        <w:tc>
          <w:tcPr>
            <w:tcW w:w="10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BBB</w:t>
            </w:r>
          </w:p>
        </w:tc>
        <w:tc>
          <w:tcPr>
            <w:tcW w:w="1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265.0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265.0</w:t>
            </w:r>
          </w:p>
        </w:tc>
        <w:tc>
          <w:tcPr>
            <w:tcW w:w="10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3.9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02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Total single name credit default swaps</w:t>
            </w:r>
          </w:p>
        </w:tc>
        <w:tc>
          <w:tcPr>
            <w:tcW w:w="170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56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653.5</w:t>
            </w:r>
          </w:p>
        </w:tc>
        <w:tc>
          <w:tcPr>
            <w:tcW w:w="16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42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5.1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66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653.5</w:t>
            </w:r>
          </w:p>
        </w:tc>
        <w:tc>
          <w:tcPr>
            <w:tcW w:w="10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311"/>
        </w:trPr>
        <w:tc>
          <w:tcPr>
            <w:tcW w:w="4040" w:type="dxa"/>
            <w:vAlign w:val="bottom"/>
            <w:gridSpan w:val="3"/>
          </w:tcPr>
          <w:p>
            <w:pPr>
              <w:spacing w:after="0"/>
              <w:rPr>
                <w:sz w:val="20"/>
                <w:szCs w:val="20"/>
                <w:color w:val="auto"/>
              </w:rPr>
            </w:pPr>
            <w:r>
              <w:rPr>
                <w:rFonts w:ascii="Arial" w:cs="Arial" w:eastAsia="Arial" w:hAnsi="Arial"/>
                <w:sz w:val="14"/>
                <w:szCs w:val="14"/>
                <w:b w:val="1"/>
                <w:bCs w:val="1"/>
                <w:color w:val="auto"/>
              </w:rPr>
              <w:t>Basket and index credit default swaps</w:t>
            </w:r>
          </w:p>
        </w:tc>
        <w:tc>
          <w:tcPr>
            <w:tcW w:w="1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Corporate debt</w:t>
            </w:r>
          </w:p>
        </w:tc>
        <w:tc>
          <w:tcPr>
            <w:tcW w:w="17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Near default (1)</w:t>
            </w:r>
          </w:p>
        </w:tc>
        <w:tc>
          <w:tcPr>
            <w:tcW w:w="1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110.4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(19.9)</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110.4</w:t>
            </w:r>
          </w:p>
        </w:tc>
        <w:tc>
          <w:tcPr>
            <w:tcW w:w="10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3.2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Government/municipalities</w:t>
            </w:r>
          </w:p>
        </w:tc>
        <w:tc>
          <w:tcPr>
            <w:tcW w:w="17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AA</w:t>
            </w:r>
          </w:p>
        </w:tc>
        <w:tc>
          <w:tcPr>
            <w:tcW w:w="1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30.0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(3.5)</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30.0</w:t>
            </w:r>
          </w:p>
        </w:tc>
        <w:tc>
          <w:tcPr>
            <w:tcW w:w="10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3.7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Structured finance</w:t>
            </w:r>
          </w:p>
        </w:tc>
        <w:tc>
          <w:tcPr>
            <w:tcW w:w="17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BBB</w:t>
            </w:r>
          </w:p>
        </w:tc>
        <w:tc>
          <w:tcPr>
            <w:tcW w:w="1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25.0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(0.9)</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25.0</w:t>
            </w:r>
          </w:p>
        </w:tc>
        <w:tc>
          <w:tcPr>
            <w:tcW w:w="10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3.5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402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Total basket and index credit default swaps</w:t>
            </w:r>
          </w:p>
        </w:tc>
        <w:tc>
          <w:tcPr>
            <w:tcW w:w="17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165.4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(24.3)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165.4</w:t>
            </w:r>
          </w:p>
        </w:tc>
        <w:tc>
          <w:tcPr>
            <w:tcW w:w="10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040" w:type="dxa"/>
            <w:vAlign w:val="bottom"/>
            <w:gridSpan w:val="3"/>
          </w:tcPr>
          <w:p>
            <w:pPr>
              <w:spacing w:after="0" w:line="142" w:lineRule="exact"/>
              <w:rPr>
                <w:sz w:val="20"/>
                <w:szCs w:val="20"/>
                <w:color w:val="auto"/>
              </w:rPr>
            </w:pPr>
            <w:r>
              <w:rPr>
                <w:rFonts w:ascii="Arial" w:cs="Arial" w:eastAsia="Arial" w:hAnsi="Arial"/>
                <w:sz w:val="14"/>
                <w:szCs w:val="14"/>
                <w:color w:val="auto"/>
              </w:rPr>
              <w:t>Total credit default swap protection sold</w:t>
            </w:r>
          </w:p>
        </w:tc>
        <w:tc>
          <w:tcPr>
            <w:tcW w:w="170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818.9</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76"/>
              </w:rPr>
              <w:t>$</w:t>
            </w:r>
          </w:p>
        </w:tc>
        <w:tc>
          <w:tcPr>
            <w:tcW w:w="4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(19.2</w:t>
            </w:r>
          </w:p>
        </w:tc>
        <w:tc>
          <w:tcPr>
            <w:tcW w:w="100" w:type="dxa"/>
            <w:vAlign w:val="bottom"/>
          </w:tcPr>
          <w:p>
            <w:pPr>
              <w:spacing w:after="0" w:line="142"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818.9</w:t>
            </w:r>
          </w:p>
        </w:tc>
        <w:tc>
          <w:tcPr>
            <w:tcW w:w="104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rPr>
              <w:t>3.9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74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77"/>
        </w:trPr>
        <w:tc>
          <w:tcPr>
            <w:tcW w:w="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w w:val="99"/>
              </w:rPr>
              <w:t>December 31, 2012</w:t>
            </w:r>
          </w:p>
        </w:tc>
        <w:tc>
          <w:tcPr>
            <w:tcW w:w="16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900" w:type="dxa"/>
            <w:vAlign w:val="bottom"/>
          </w:tcPr>
          <w:p>
            <w:pPr>
              <w:spacing w:after="0"/>
              <w:rPr>
                <w:sz w:val="11"/>
                <w:szCs w:val="11"/>
                <w:color w:val="auto"/>
              </w:rPr>
            </w:pPr>
          </w:p>
        </w:tc>
        <w:tc>
          <w:tcPr>
            <w:tcW w:w="1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8"/>
              </w:rPr>
              <w:t>Weighted</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90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2"/>
              </w:rPr>
              <w:t>Maximum</w:t>
            </w:r>
          </w:p>
        </w:tc>
        <w:tc>
          <w:tcPr>
            <w:tcW w:w="160" w:type="dxa"/>
            <w:vAlign w:val="bottom"/>
          </w:tcPr>
          <w:p>
            <w:pPr>
              <w:spacing w:after="0"/>
              <w:rPr>
                <w:sz w:val="12"/>
                <w:szCs w:val="12"/>
                <w:color w:val="auto"/>
              </w:rPr>
            </w:pPr>
          </w:p>
        </w:tc>
        <w:tc>
          <w:tcPr>
            <w:tcW w:w="10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3"/>
              </w:rPr>
              <w:t>average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90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6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Notional</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center"/>
              <w:ind w:right="132"/>
              <w:spacing w:after="0" w:line="149" w:lineRule="exact"/>
              <w:rPr>
                <w:sz w:val="20"/>
                <w:szCs w:val="20"/>
                <w:color w:val="auto"/>
              </w:rPr>
            </w:pPr>
            <w:r>
              <w:rPr>
                <w:rFonts w:ascii="Arial" w:cs="Arial" w:eastAsia="Arial" w:hAnsi="Arial"/>
                <w:sz w:val="14"/>
                <w:szCs w:val="14"/>
                <w:b w:val="1"/>
                <w:bCs w:val="1"/>
                <w:color w:val="auto"/>
                <w:w w:val="93"/>
              </w:rPr>
              <w:t>Fair</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90"/>
              </w:rPr>
              <w:t>future</w:t>
            </w:r>
          </w:p>
        </w:tc>
        <w:tc>
          <w:tcPr>
            <w:tcW w:w="160" w:type="dxa"/>
            <w:vAlign w:val="bottom"/>
          </w:tcPr>
          <w:p>
            <w:pPr>
              <w:spacing w:after="0"/>
              <w:rPr>
                <w:sz w:val="12"/>
                <w:szCs w:val="12"/>
                <w:color w:val="auto"/>
              </w:rPr>
            </w:pPr>
          </w:p>
        </w:tc>
        <w:tc>
          <w:tcPr>
            <w:tcW w:w="10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4"/>
              </w:rPr>
              <w:t>expected life</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90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60" w:type="dxa"/>
            <w:vAlign w:val="bottom"/>
          </w:tcPr>
          <w:p>
            <w:pPr>
              <w:jc w:val="center"/>
              <w:ind w:right="12"/>
              <w:spacing w:after="0"/>
              <w:rPr>
                <w:sz w:val="20"/>
                <w:szCs w:val="20"/>
                <w:color w:val="auto"/>
              </w:rPr>
            </w:pPr>
            <w:r>
              <w:rPr>
                <w:rFonts w:ascii="Arial" w:cs="Arial" w:eastAsia="Arial" w:hAnsi="Arial"/>
                <w:sz w:val="14"/>
                <w:szCs w:val="14"/>
                <w:b w:val="1"/>
                <w:bCs w:val="1"/>
                <w:color w:val="auto"/>
                <w:w w:val="86"/>
              </w:rPr>
              <w:t>amount</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20" w:type="dxa"/>
            <w:vAlign w:val="bottom"/>
            <w:gridSpan w:val="2"/>
          </w:tcPr>
          <w:p>
            <w:pPr>
              <w:jc w:val="center"/>
              <w:ind w:right="132"/>
              <w:spacing w:after="0"/>
              <w:rPr>
                <w:sz w:val="20"/>
                <w:szCs w:val="20"/>
                <w:color w:val="auto"/>
              </w:rPr>
            </w:pPr>
            <w:r>
              <w:rPr>
                <w:rFonts w:ascii="Arial" w:cs="Arial" w:eastAsia="Arial" w:hAnsi="Arial"/>
                <w:sz w:val="14"/>
                <w:szCs w:val="14"/>
                <w:b w:val="1"/>
                <w:bCs w:val="1"/>
                <w:color w:val="auto"/>
                <w:w w:val="89"/>
              </w:rPr>
              <w:t>value</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center"/>
              <w:ind w:right="32"/>
              <w:spacing w:after="0"/>
              <w:rPr>
                <w:sz w:val="20"/>
                <w:szCs w:val="20"/>
                <w:color w:val="auto"/>
              </w:rPr>
            </w:pPr>
            <w:r>
              <w:rPr>
                <w:rFonts w:ascii="Arial" w:cs="Arial" w:eastAsia="Arial" w:hAnsi="Arial"/>
                <w:sz w:val="14"/>
                <w:szCs w:val="14"/>
                <w:b w:val="1"/>
                <w:bCs w:val="1"/>
                <w:color w:val="auto"/>
                <w:w w:val="85"/>
              </w:rPr>
              <w:t>payments</w:t>
            </w:r>
          </w:p>
        </w:tc>
        <w:tc>
          <w:tcPr>
            <w:tcW w:w="160" w:type="dxa"/>
            <w:vAlign w:val="bottom"/>
          </w:tcPr>
          <w:p>
            <w:pPr>
              <w:spacing w:after="0"/>
              <w:rPr>
                <w:sz w:val="14"/>
                <w:szCs w:val="14"/>
                <w:color w:val="auto"/>
              </w:rPr>
            </w:pPr>
          </w:p>
        </w:tc>
        <w:tc>
          <w:tcPr>
            <w:tcW w:w="10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6"/>
              </w:rPr>
              <w:t>(in years)</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90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420" w:type="dxa"/>
            <w:vAlign w:val="bottom"/>
            <w:tcBorders>
              <w:top w:val="single" w:sz="8" w:color="auto"/>
            </w:tcBorders>
          </w:tcPr>
          <w:p>
            <w:pPr>
              <w:spacing w:after="0"/>
              <w:rPr>
                <w:sz w:val="12"/>
                <w:szCs w:val="12"/>
                <w:color w:val="auto"/>
              </w:rPr>
            </w:pPr>
          </w:p>
        </w:tc>
        <w:tc>
          <w:tcPr>
            <w:tcW w:w="160" w:type="dxa"/>
            <w:vAlign w:val="bottom"/>
            <w:gridSpan w:val="2"/>
          </w:tcPr>
          <w:p>
            <w:pPr>
              <w:spacing w:after="0" w:line="142" w:lineRule="exact"/>
              <w:rPr>
                <w:sz w:val="20"/>
                <w:szCs w:val="20"/>
                <w:color w:val="auto"/>
              </w:rPr>
            </w:pPr>
            <w:r>
              <w:rPr>
                <w:rFonts w:ascii="Arial" w:cs="Arial" w:eastAsia="Arial" w:hAnsi="Arial"/>
                <w:sz w:val="14"/>
                <w:szCs w:val="14"/>
                <w:b w:val="1"/>
                <w:bCs w:val="1"/>
                <w:i w:val="1"/>
                <w:iCs w:val="1"/>
                <w:color w:val="auto"/>
                <w:w w:val="81"/>
              </w:rPr>
              <w:t>(in</w:t>
            </w:r>
          </w:p>
        </w:tc>
        <w:tc>
          <w:tcPr>
            <w:tcW w:w="740" w:type="dxa"/>
            <w:vAlign w:val="bottom"/>
            <w:tcBorders>
              <w:top w:val="single" w:sz="8" w:color="auto"/>
            </w:tcBorders>
            <w:gridSpan w:val="2"/>
          </w:tcPr>
          <w:p>
            <w:pPr>
              <w:spacing w:after="0" w:line="142" w:lineRule="exact"/>
              <w:rPr>
                <w:sz w:val="20"/>
                <w:szCs w:val="20"/>
                <w:color w:val="auto"/>
              </w:rPr>
            </w:pPr>
            <w:r>
              <w:rPr>
                <w:rFonts w:ascii="Arial" w:cs="Arial" w:eastAsia="Arial" w:hAnsi="Arial"/>
                <w:sz w:val="14"/>
                <w:szCs w:val="14"/>
                <w:b w:val="1"/>
                <w:bCs w:val="1"/>
                <w:i w:val="1"/>
                <w:iCs w:val="1"/>
                <w:color w:val="auto"/>
              </w:rPr>
              <w:t>millions)</w:t>
            </w:r>
          </w:p>
        </w:tc>
        <w:tc>
          <w:tcPr>
            <w:tcW w:w="160" w:type="dxa"/>
            <w:vAlign w:val="bottom"/>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Single name credit default swaps</w:t>
            </w:r>
          </w:p>
        </w:tc>
        <w:tc>
          <w:tcPr>
            <w:tcW w:w="17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Corporate debt</w:t>
            </w:r>
          </w:p>
        </w:tc>
        <w:tc>
          <w:tcPr>
            <w:tcW w:w="1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AA</w:t>
            </w:r>
          </w:p>
        </w:tc>
        <w:tc>
          <w:tcPr>
            <w:tcW w:w="17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70.0</w:t>
            </w:r>
          </w:p>
        </w:tc>
        <w:tc>
          <w:tcPr>
            <w:tcW w:w="24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w w:val="76"/>
              </w:rPr>
              <w:t>$</w:t>
            </w:r>
          </w:p>
        </w:tc>
        <w:tc>
          <w:tcPr>
            <w:tcW w:w="5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(0.2)</w:t>
            </w:r>
          </w:p>
        </w:tc>
        <w:tc>
          <w:tcPr>
            <w:tcW w:w="14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70.0</w:t>
            </w:r>
          </w:p>
        </w:tc>
        <w:tc>
          <w:tcPr>
            <w:tcW w:w="10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A</w:t>
            </w:r>
          </w:p>
        </w:tc>
        <w:tc>
          <w:tcPr>
            <w:tcW w:w="1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572.0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2.4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572.0</w:t>
            </w:r>
          </w:p>
        </w:tc>
        <w:tc>
          <w:tcPr>
            <w:tcW w:w="10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BBB</w:t>
            </w:r>
          </w:p>
        </w:tc>
        <w:tc>
          <w:tcPr>
            <w:tcW w:w="17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200.0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200.0</w:t>
            </w:r>
          </w:p>
        </w:tc>
        <w:tc>
          <w:tcPr>
            <w:tcW w:w="10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3.0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Structured finance</w:t>
            </w:r>
          </w:p>
        </w:tc>
        <w:tc>
          <w:tcPr>
            <w:tcW w:w="1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Near default</w:t>
            </w:r>
          </w:p>
        </w:tc>
        <w:tc>
          <w:tcPr>
            <w:tcW w:w="17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(11.0)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11.1</w:t>
            </w:r>
          </w:p>
        </w:tc>
        <w:tc>
          <w:tcPr>
            <w:tcW w:w="10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8.5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040" w:type="dxa"/>
            <w:vAlign w:val="bottom"/>
            <w:gridSpan w:val="3"/>
            <w:vMerge w:val="restart"/>
          </w:tcPr>
          <w:p>
            <w:pPr>
              <w:spacing w:after="0"/>
              <w:rPr>
                <w:sz w:val="20"/>
                <w:szCs w:val="20"/>
                <w:color w:val="auto"/>
              </w:rPr>
            </w:pPr>
            <w:r>
              <w:rPr>
                <w:rFonts w:ascii="Arial" w:cs="Arial" w:eastAsia="Arial" w:hAnsi="Arial"/>
                <w:sz w:val="14"/>
                <w:szCs w:val="14"/>
                <w:color w:val="auto"/>
              </w:rPr>
              <w:t>Total single name credit default swaps</w:t>
            </w:r>
          </w:p>
        </w:tc>
        <w:tc>
          <w:tcPr>
            <w:tcW w:w="17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040" w:type="dxa"/>
            <w:vAlign w:val="bottom"/>
            <w:gridSpan w:val="2"/>
            <w:vMerge w:val="restart"/>
          </w:tcPr>
          <w:p>
            <w:pPr>
              <w:jc w:val="right"/>
              <w:spacing w:after="0"/>
              <w:rPr>
                <w:sz w:val="20"/>
                <w:szCs w:val="20"/>
                <w:color w:val="auto"/>
              </w:rPr>
            </w:pPr>
            <w:r>
              <w:rPr>
                <w:rFonts w:ascii="Arial" w:cs="Arial" w:eastAsia="Arial" w:hAnsi="Arial"/>
                <w:sz w:val="14"/>
                <w:szCs w:val="14"/>
                <w:color w:val="auto"/>
              </w:rPr>
              <w:t>2.6</w:t>
            </w: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4040" w:type="dxa"/>
            <w:vAlign w:val="bottom"/>
            <w:gridSpan w:val="3"/>
            <w:vMerge w:val="continue"/>
          </w:tcPr>
          <w:p>
            <w:pPr>
              <w:spacing w:after="0"/>
              <w:rPr>
                <w:sz w:val="12"/>
                <w:szCs w:val="12"/>
                <w:color w:val="auto"/>
              </w:rPr>
            </w:pPr>
          </w:p>
        </w:tc>
        <w:tc>
          <w:tcPr>
            <w:tcW w:w="1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2" w:lineRule="exact"/>
              <w:rPr>
                <w:sz w:val="20"/>
                <w:szCs w:val="20"/>
                <w:color w:val="auto"/>
              </w:rPr>
            </w:pPr>
            <w:r>
              <w:rPr>
                <w:rFonts w:ascii="Arial" w:cs="Arial" w:eastAsia="Arial" w:hAnsi="Arial"/>
                <w:sz w:val="14"/>
                <w:szCs w:val="14"/>
                <w:color w:val="auto"/>
              </w:rPr>
              <w:t>853.1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spacing w:after="0" w:line="142" w:lineRule="exact"/>
              <w:rPr>
                <w:sz w:val="20"/>
                <w:szCs w:val="20"/>
                <w:color w:val="auto"/>
              </w:rPr>
            </w:pPr>
            <w:r>
              <w:rPr>
                <w:rFonts w:ascii="Arial" w:cs="Arial" w:eastAsia="Arial" w:hAnsi="Arial"/>
                <w:sz w:val="14"/>
                <w:szCs w:val="14"/>
                <w:color w:val="auto"/>
              </w:rPr>
              <w:t>(10.4)</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right"/>
              <w:spacing w:after="0" w:line="142" w:lineRule="exact"/>
              <w:rPr>
                <w:sz w:val="20"/>
                <w:szCs w:val="20"/>
                <w:color w:val="auto"/>
              </w:rPr>
            </w:pPr>
            <w:r>
              <w:rPr>
                <w:rFonts w:ascii="Arial" w:cs="Arial" w:eastAsia="Arial" w:hAnsi="Arial"/>
                <w:sz w:val="14"/>
                <w:szCs w:val="14"/>
                <w:color w:val="auto"/>
              </w:rPr>
              <w:t>853.1</w:t>
            </w:r>
          </w:p>
        </w:tc>
        <w:tc>
          <w:tcPr>
            <w:tcW w:w="104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4020" w:type="dxa"/>
            <w:vAlign w:val="bottom"/>
            <w:gridSpan w:val="2"/>
            <w:shd w:val="clear" w:color="auto" w:fill="CCEEFF"/>
          </w:tcPr>
          <w:p>
            <w:pPr>
              <w:spacing w:after="0"/>
              <w:rPr>
                <w:sz w:val="20"/>
                <w:szCs w:val="20"/>
                <w:color w:val="auto"/>
              </w:rPr>
            </w:pPr>
            <w:r>
              <w:rPr>
                <w:rFonts w:ascii="Arial" w:cs="Arial" w:eastAsia="Arial" w:hAnsi="Arial"/>
                <w:sz w:val="14"/>
                <w:szCs w:val="14"/>
                <w:b w:val="1"/>
                <w:bCs w:val="1"/>
                <w:color w:val="auto"/>
              </w:rPr>
              <w:t>Basket and index credit default swaps</w:t>
            </w:r>
          </w:p>
        </w:tc>
        <w:tc>
          <w:tcPr>
            <w:tcW w:w="170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tcPr>
          <w:p>
            <w:pPr>
              <w:spacing w:after="0" w:line="149" w:lineRule="exact"/>
              <w:rPr>
                <w:sz w:val="20"/>
                <w:szCs w:val="20"/>
                <w:color w:val="auto"/>
              </w:rPr>
            </w:pPr>
            <w:r>
              <w:rPr>
                <w:rFonts w:ascii="Arial" w:cs="Arial" w:eastAsia="Arial" w:hAnsi="Arial"/>
                <w:sz w:val="14"/>
                <w:szCs w:val="14"/>
                <w:color w:val="auto"/>
              </w:rPr>
              <w:t>Corporate debt</w:t>
            </w:r>
          </w:p>
        </w:tc>
        <w:tc>
          <w:tcPr>
            <w:tcW w:w="1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Near default (1)</w:t>
            </w:r>
          </w:p>
        </w:tc>
        <w:tc>
          <w:tcPr>
            <w:tcW w:w="17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110.4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(65.2)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110.4</w:t>
            </w:r>
          </w:p>
        </w:tc>
        <w:tc>
          <w:tcPr>
            <w:tcW w:w="10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4.2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tcPr>
          <w:p>
            <w:pPr>
              <w:spacing w:after="0" w:line="149" w:lineRule="exact"/>
              <w:rPr>
                <w:sz w:val="20"/>
                <w:szCs w:val="20"/>
                <w:color w:val="auto"/>
              </w:rPr>
            </w:pPr>
            <w:r>
              <w:rPr>
                <w:rFonts w:ascii="Arial" w:cs="Arial" w:eastAsia="Arial" w:hAnsi="Arial"/>
                <w:sz w:val="14"/>
                <w:szCs w:val="14"/>
                <w:color w:val="auto"/>
              </w:rPr>
              <w:t>Government/municipalities</w:t>
            </w:r>
          </w:p>
        </w:tc>
        <w:tc>
          <w:tcPr>
            <w:tcW w:w="1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AA</w:t>
            </w:r>
          </w:p>
        </w:tc>
        <w:tc>
          <w:tcPr>
            <w:tcW w:w="17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(7.3)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30.0</w:t>
            </w:r>
          </w:p>
        </w:tc>
        <w:tc>
          <w:tcPr>
            <w:tcW w:w="10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4.7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tcPr>
          <w:p>
            <w:pPr>
              <w:spacing w:after="0" w:line="149" w:lineRule="exact"/>
              <w:rPr>
                <w:sz w:val="20"/>
                <w:szCs w:val="20"/>
                <w:color w:val="auto"/>
              </w:rPr>
            </w:pPr>
            <w:r>
              <w:rPr>
                <w:rFonts w:ascii="Arial" w:cs="Arial" w:eastAsia="Arial" w:hAnsi="Arial"/>
                <w:sz w:val="14"/>
                <w:szCs w:val="14"/>
                <w:color w:val="auto"/>
              </w:rPr>
              <w:t>Structured finance</w:t>
            </w:r>
          </w:p>
        </w:tc>
        <w:tc>
          <w:tcPr>
            <w:tcW w:w="1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BBB</w:t>
            </w:r>
          </w:p>
        </w:tc>
        <w:tc>
          <w:tcPr>
            <w:tcW w:w="17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(5.6)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25.0</w:t>
            </w:r>
          </w:p>
        </w:tc>
        <w:tc>
          <w:tcPr>
            <w:tcW w:w="10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4.5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040" w:type="dxa"/>
            <w:vAlign w:val="bottom"/>
            <w:gridSpan w:val="3"/>
          </w:tcPr>
          <w:p>
            <w:pPr>
              <w:spacing w:after="0" w:line="142" w:lineRule="exact"/>
              <w:rPr>
                <w:sz w:val="20"/>
                <w:szCs w:val="20"/>
                <w:color w:val="auto"/>
              </w:rPr>
            </w:pPr>
            <w:r>
              <w:rPr>
                <w:rFonts w:ascii="Arial" w:cs="Arial" w:eastAsia="Arial" w:hAnsi="Arial"/>
                <w:sz w:val="14"/>
                <w:szCs w:val="14"/>
                <w:color w:val="auto"/>
              </w:rPr>
              <w:t>Total basket and index credit default swaps</w:t>
            </w:r>
          </w:p>
        </w:tc>
        <w:tc>
          <w:tcPr>
            <w:tcW w:w="170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165.4</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4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(78.1)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165.4</w:t>
            </w:r>
          </w:p>
        </w:tc>
        <w:tc>
          <w:tcPr>
            <w:tcW w:w="1040" w:type="dxa"/>
            <w:vAlign w:val="bottom"/>
            <w:gridSpan w:val="2"/>
          </w:tcPr>
          <w:p>
            <w:pPr>
              <w:jc w:val="right"/>
              <w:spacing w:after="0" w:line="142" w:lineRule="exact"/>
              <w:rPr>
                <w:sz w:val="20"/>
                <w:szCs w:val="20"/>
                <w:color w:val="auto"/>
              </w:rPr>
            </w:pPr>
            <w:r>
              <w:rPr>
                <w:rFonts w:ascii="Arial" w:cs="Arial" w:eastAsia="Arial" w:hAnsi="Arial"/>
                <w:sz w:val="14"/>
                <w:szCs w:val="14"/>
                <w:color w:val="auto"/>
              </w:rPr>
              <w:t>4.4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02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Total credit default swap protection sold</w:t>
            </w:r>
          </w:p>
        </w:tc>
        <w:tc>
          <w:tcPr>
            <w:tcW w:w="178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1,018.5</w:t>
            </w:r>
          </w:p>
        </w:tc>
        <w:tc>
          <w:tcPr>
            <w:tcW w:w="240" w:type="dxa"/>
            <w:vAlign w:val="bottom"/>
            <w:gridSpan w:val="2"/>
            <w:shd w:val="clear" w:color="auto" w:fill="CCEEFF"/>
          </w:tcPr>
          <w:p>
            <w:pPr>
              <w:ind w:left="160"/>
              <w:spacing w:after="0" w:line="142" w:lineRule="exact"/>
              <w:rPr>
                <w:sz w:val="20"/>
                <w:szCs w:val="20"/>
                <w:color w:val="auto"/>
              </w:rPr>
            </w:pPr>
            <w:r>
              <w:rPr>
                <w:rFonts w:ascii="Arial" w:cs="Arial" w:eastAsia="Arial" w:hAnsi="Arial"/>
                <w:sz w:val="14"/>
                <w:szCs w:val="14"/>
                <w:color w:val="auto"/>
                <w:w w:val="76"/>
              </w:rPr>
              <w:t>$</w:t>
            </w:r>
          </w:p>
        </w:tc>
        <w:tc>
          <w:tcPr>
            <w:tcW w:w="5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(88.5)</w:t>
            </w:r>
          </w:p>
        </w:tc>
        <w:tc>
          <w:tcPr>
            <w:tcW w:w="140" w:type="dxa"/>
            <w:vAlign w:val="bottom"/>
            <w:gridSpan w:val="2"/>
            <w:shd w:val="clear" w:color="auto" w:fill="CCEEFF"/>
          </w:tcPr>
          <w:p>
            <w:pPr>
              <w:ind w:left="60"/>
              <w:spacing w:after="0" w:line="142" w:lineRule="exact"/>
              <w:rPr>
                <w:sz w:val="20"/>
                <w:szCs w:val="20"/>
                <w:color w:val="auto"/>
              </w:rPr>
            </w:pPr>
            <w:r>
              <w:rPr>
                <w:rFonts w:ascii="Arial" w:cs="Arial" w:eastAsia="Arial" w:hAnsi="Arial"/>
                <w:sz w:val="14"/>
                <w:szCs w:val="14"/>
                <w:color w:val="auto"/>
                <w:w w:val="76"/>
              </w:rPr>
              <w:t>$</w:t>
            </w:r>
          </w:p>
        </w:tc>
        <w:tc>
          <w:tcPr>
            <w:tcW w:w="6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1,018.5</w:t>
            </w:r>
          </w:p>
        </w:tc>
        <w:tc>
          <w:tcPr>
            <w:tcW w:w="10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2.9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2900" w:type="dxa"/>
            <w:vAlign w:val="bottom"/>
          </w:tcPr>
          <w:p>
            <w:pPr>
              <w:spacing w:after="0"/>
              <w:rPr>
                <w:sz w:val="7"/>
                <w:szCs w:val="7"/>
                <w:color w:val="auto"/>
              </w:rPr>
            </w:pPr>
          </w:p>
        </w:tc>
        <w:tc>
          <w:tcPr>
            <w:tcW w:w="1700" w:type="dxa"/>
            <w:vAlign w:val="bottom"/>
          </w:tcPr>
          <w:p>
            <w:pPr>
              <w:spacing w:after="0"/>
              <w:rPr>
                <w:sz w:val="7"/>
                <w:szCs w:val="7"/>
                <w:color w:val="auto"/>
              </w:rPr>
            </w:pPr>
          </w:p>
        </w:tc>
        <w:tc>
          <w:tcPr>
            <w:tcW w:w="80" w:type="dxa"/>
            <w:vAlign w:val="bottom"/>
          </w:tcPr>
          <w:p>
            <w:pPr>
              <w:spacing w:after="0"/>
              <w:rPr>
                <w:sz w:val="7"/>
                <w:szCs w:val="7"/>
                <w:color w:val="auto"/>
              </w:rPr>
            </w:pPr>
          </w:p>
        </w:tc>
        <w:tc>
          <w:tcPr>
            <w:tcW w:w="5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8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ind w:left="1680" w:hanging="531"/>
        <w:spacing w:after="0"/>
        <w:tabs>
          <w:tab w:leader="none" w:pos="1680" w:val="left"/>
        </w:tabs>
        <w:numPr>
          <w:ilvl w:val="0"/>
          <w:numId w:val="59"/>
        </w:numPr>
        <w:rPr>
          <w:rFonts w:ascii="Arial" w:cs="Arial" w:eastAsia="Arial" w:hAnsi="Arial"/>
          <w:sz w:val="12"/>
          <w:szCs w:val="12"/>
          <w:color w:val="auto"/>
        </w:rPr>
      </w:pPr>
      <w:r>
        <w:rPr>
          <w:rFonts w:ascii="Arial" w:cs="Arial" w:eastAsia="Arial" w:hAnsi="Arial"/>
          <w:sz w:val="12"/>
          <w:szCs w:val="12"/>
          <w:color w:val="auto"/>
        </w:rPr>
        <w:t>Includes $88.0 million notional of derivatives in consolidated collateralized private investment vehicle VIEs where the credit risk is borne by third-party investors.</w:t>
      </w:r>
    </w:p>
    <w:p>
      <w:pPr>
        <w:spacing w:after="0" w:line="229" w:lineRule="exact"/>
        <w:rPr>
          <w:sz w:val="20"/>
          <w:szCs w:val="20"/>
          <w:color w:val="auto"/>
        </w:rPr>
      </w:pPr>
    </w:p>
    <w:p>
      <w:pPr>
        <w:jc w:val="both"/>
        <w:ind w:firstLine="370"/>
        <w:spacing w:after="0" w:line="294" w:lineRule="auto"/>
        <w:rPr>
          <w:sz w:val="20"/>
          <w:szCs w:val="20"/>
          <w:color w:val="auto"/>
        </w:rPr>
      </w:pPr>
      <w:r>
        <w:rPr>
          <w:rFonts w:ascii="Arial" w:cs="Arial" w:eastAsia="Arial" w:hAnsi="Arial"/>
          <w:sz w:val="16"/>
          <w:szCs w:val="16"/>
          <w:color w:val="auto"/>
        </w:rPr>
        <w:t>We also have invested in fixed maturities classified as available-for-sale that contain credit default swaps that do not require bifurcation and fixed maturities classified as trading that contain credit default swaps. These securities are subject to the credit risk of the issuer, normally a special purpose vehicle, which consists of the underlying credit default swaps and high quality fixed maturities that serve as collateral. A default event occurs if the cumulative losses exceed a specified attachment point, which is typically not the first loss of the portfolio. If a default event occurs that exceeds the specified attachment point, our investment may not be fully returned. We would have no future potential payments under these</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5" w:name="page136"/>
    <w:bookmarkEnd w:id="13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Derivative Financial Instruments — (continued)</w:t>
      </w:r>
    </w:p>
    <w:p>
      <w:pPr>
        <w:spacing w:after="0" w:line="231" w:lineRule="exact"/>
        <w:rPr>
          <w:sz w:val="20"/>
          <w:szCs w:val="20"/>
          <w:color w:val="auto"/>
        </w:rPr>
      </w:pPr>
    </w:p>
    <w:p>
      <w:pPr>
        <w:jc w:val="both"/>
        <w:spacing w:after="0" w:line="268" w:lineRule="auto"/>
        <w:rPr>
          <w:sz w:val="20"/>
          <w:szCs w:val="20"/>
          <w:color w:val="auto"/>
        </w:rPr>
      </w:pPr>
      <w:r>
        <w:rPr>
          <w:rFonts w:ascii="Arial" w:cs="Arial" w:eastAsia="Arial" w:hAnsi="Arial"/>
          <w:sz w:val="18"/>
          <w:szCs w:val="18"/>
          <w:color w:val="auto"/>
        </w:rPr>
        <w:t>investments. The following tables show, by the types of referenced/underlying asset class and external rating, our fixed maturities with embedded credit derivatives.</w:t>
      </w:r>
    </w:p>
    <w:p>
      <w:pPr>
        <w:spacing w:after="0" w:line="18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380" w:type="dxa"/>
            <w:vAlign w:val="bottom"/>
          </w:tcPr>
          <w:p>
            <w:pPr>
              <w:spacing w:after="0"/>
              <w:rPr>
                <w:sz w:val="14"/>
                <w:szCs w:val="14"/>
                <w:color w:val="auto"/>
              </w:rPr>
            </w:pPr>
          </w:p>
        </w:tc>
        <w:tc>
          <w:tcPr>
            <w:tcW w:w="20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00" w:type="dxa"/>
            <w:vAlign w:val="bottom"/>
            <w:gridSpan w:val="6"/>
          </w:tcPr>
          <w:p>
            <w:pPr>
              <w:spacing w:after="0"/>
              <w:rPr>
                <w:sz w:val="20"/>
                <w:szCs w:val="20"/>
                <w:color w:val="auto"/>
              </w:rPr>
            </w:pPr>
            <w:r>
              <w:rPr>
                <w:rFonts w:ascii="Arial" w:cs="Arial" w:eastAsia="Arial" w:hAnsi="Arial"/>
                <w:sz w:val="14"/>
                <w:szCs w:val="14"/>
                <w:b w:val="1"/>
                <w:bCs w:val="1"/>
                <w:color w:val="auto"/>
              </w:rPr>
              <w:t>December 31, 2013</w:t>
            </w:r>
          </w:p>
        </w:tc>
      </w:tr>
      <w:tr>
        <w:trPr>
          <w:trHeight w:val="129"/>
        </w:trPr>
        <w:tc>
          <w:tcPr>
            <w:tcW w:w="20" w:type="dxa"/>
            <w:vAlign w:val="bottom"/>
          </w:tcPr>
          <w:p>
            <w:pPr>
              <w:spacing w:after="0"/>
              <w:rPr>
                <w:sz w:val="11"/>
                <w:szCs w:val="11"/>
                <w:color w:val="auto"/>
              </w:rPr>
            </w:pPr>
          </w:p>
        </w:tc>
        <w:tc>
          <w:tcPr>
            <w:tcW w:w="4380" w:type="dxa"/>
            <w:vAlign w:val="bottom"/>
          </w:tcPr>
          <w:p>
            <w:pPr>
              <w:spacing w:after="0"/>
              <w:rPr>
                <w:sz w:val="11"/>
                <w:szCs w:val="11"/>
                <w:color w:val="auto"/>
              </w:rPr>
            </w:pPr>
          </w:p>
        </w:tc>
        <w:tc>
          <w:tcPr>
            <w:tcW w:w="200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5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52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88"/>
              </w:rPr>
              <w:t>Weighted</w:t>
            </w: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438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3"/>
              </w:rPr>
              <w:t>average</w:t>
            </w:r>
          </w:p>
        </w:tc>
      </w:tr>
      <w:tr>
        <w:trPr>
          <w:trHeight w:val="149"/>
        </w:trPr>
        <w:tc>
          <w:tcPr>
            <w:tcW w:w="20" w:type="dxa"/>
            <w:vAlign w:val="bottom"/>
          </w:tcPr>
          <w:p>
            <w:pPr>
              <w:spacing w:after="0"/>
              <w:rPr>
                <w:sz w:val="12"/>
                <w:szCs w:val="12"/>
                <w:color w:val="auto"/>
              </w:rPr>
            </w:pPr>
          </w:p>
        </w:tc>
        <w:tc>
          <w:tcPr>
            <w:tcW w:w="438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7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0"/>
              </w:rPr>
              <w:t>Amortized</w:t>
            </w:r>
          </w:p>
        </w:tc>
        <w:tc>
          <w:tcPr>
            <w:tcW w:w="160" w:type="dxa"/>
            <w:vAlign w:val="bottom"/>
          </w:tcPr>
          <w:p>
            <w:pPr>
              <w:spacing w:after="0"/>
              <w:rPr>
                <w:sz w:val="12"/>
                <w:szCs w:val="12"/>
                <w:color w:val="auto"/>
              </w:rPr>
            </w:pPr>
          </w:p>
        </w:tc>
        <w:tc>
          <w:tcPr>
            <w:tcW w:w="800" w:type="dxa"/>
            <w:vAlign w:val="bottom"/>
            <w:gridSpan w:val="3"/>
          </w:tcPr>
          <w:p>
            <w:pPr>
              <w:ind w:left="40"/>
              <w:spacing w:after="0" w:line="149" w:lineRule="exact"/>
              <w:rPr>
                <w:sz w:val="20"/>
                <w:szCs w:val="20"/>
                <w:color w:val="auto"/>
              </w:rPr>
            </w:pPr>
            <w:r>
              <w:rPr>
                <w:rFonts w:ascii="Arial" w:cs="Arial" w:eastAsia="Arial" w:hAnsi="Arial"/>
                <w:sz w:val="14"/>
                <w:szCs w:val="14"/>
                <w:b w:val="1"/>
                <w:bCs w:val="1"/>
                <w:color w:val="auto"/>
              </w:rPr>
              <w:t>Carrying</w:t>
            </w:r>
          </w:p>
        </w:tc>
        <w:tc>
          <w:tcPr>
            <w:tcW w:w="10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4"/>
              </w:rPr>
              <w:t>expected life</w:t>
            </w:r>
          </w:p>
        </w:tc>
      </w:tr>
      <w:tr>
        <w:trPr>
          <w:trHeight w:val="161"/>
        </w:trPr>
        <w:tc>
          <w:tcPr>
            <w:tcW w:w="20" w:type="dxa"/>
            <w:vAlign w:val="bottom"/>
          </w:tcPr>
          <w:p>
            <w:pPr>
              <w:spacing w:after="0"/>
              <w:rPr>
                <w:sz w:val="14"/>
                <w:szCs w:val="14"/>
                <w:color w:val="auto"/>
              </w:rPr>
            </w:pPr>
          </w:p>
        </w:tc>
        <w:tc>
          <w:tcPr>
            <w:tcW w:w="4380" w:type="dxa"/>
            <w:vAlign w:val="bottom"/>
          </w:tcPr>
          <w:p>
            <w:pPr>
              <w:spacing w:after="0"/>
              <w:rPr>
                <w:sz w:val="14"/>
                <w:szCs w:val="14"/>
                <w:color w:val="auto"/>
              </w:rPr>
            </w:pPr>
          </w:p>
        </w:tc>
        <w:tc>
          <w:tcPr>
            <w:tcW w:w="20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center"/>
              <w:ind w:right="132"/>
              <w:spacing w:after="0"/>
              <w:rPr>
                <w:sz w:val="20"/>
                <w:szCs w:val="20"/>
                <w:color w:val="auto"/>
              </w:rPr>
            </w:pPr>
            <w:r>
              <w:rPr>
                <w:rFonts w:ascii="Arial" w:cs="Arial" w:eastAsia="Arial" w:hAnsi="Arial"/>
                <w:sz w:val="14"/>
                <w:szCs w:val="14"/>
                <w:b w:val="1"/>
                <w:bCs w:val="1"/>
                <w:color w:val="auto"/>
                <w:w w:val="76"/>
              </w:rPr>
              <w:t>cost</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gridSpan w:val="2"/>
          </w:tcPr>
          <w:p>
            <w:pPr>
              <w:ind w:left="40"/>
              <w:spacing w:after="0"/>
              <w:rPr>
                <w:sz w:val="20"/>
                <w:szCs w:val="20"/>
                <w:color w:val="auto"/>
              </w:rPr>
            </w:pPr>
            <w:r>
              <w:rPr>
                <w:rFonts w:ascii="Arial" w:cs="Arial" w:eastAsia="Arial" w:hAnsi="Arial"/>
                <w:sz w:val="14"/>
                <w:szCs w:val="14"/>
                <w:b w:val="1"/>
                <w:bCs w:val="1"/>
                <w:color w:val="auto"/>
              </w:rPr>
              <w:t>value</w:t>
            </w:r>
          </w:p>
        </w:tc>
        <w:tc>
          <w:tcPr>
            <w:tcW w:w="10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6"/>
              </w:rPr>
              <w:t>(in years)</w:t>
            </w:r>
          </w:p>
        </w:tc>
      </w:tr>
      <w:tr>
        <w:trPr>
          <w:trHeight w:val="142"/>
        </w:trPr>
        <w:tc>
          <w:tcPr>
            <w:tcW w:w="20" w:type="dxa"/>
            <w:vAlign w:val="bottom"/>
          </w:tcPr>
          <w:p>
            <w:pPr>
              <w:spacing w:after="0"/>
              <w:rPr>
                <w:sz w:val="12"/>
                <w:szCs w:val="12"/>
                <w:color w:val="auto"/>
              </w:rPr>
            </w:pPr>
          </w:p>
        </w:tc>
        <w:tc>
          <w:tcPr>
            <w:tcW w:w="438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Borders>
              <w:top w:val="single" w:sz="8" w:color="auto"/>
            </w:tcBorders>
            <w:gridSpan w:val="2"/>
          </w:tcPr>
          <w:p>
            <w:pPr>
              <w:ind w:left="40"/>
              <w:spacing w:after="0" w:line="142" w:lineRule="exact"/>
              <w:rPr>
                <w:sz w:val="20"/>
                <w:szCs w:val="20"/>
                <w:color w:val="auto"/>
              </w:rPr>
            </w:pPr>
            <w:r>
              <w:rPr>
                <w:rFonts w:ascii="Arial" w:cs="Arial" w:eastAsia="Arial" w:hAnsi="Arial"/>
                <w:sz w:val="14"/>
                <w:szCs w:val="14"/>
                <w:b w:val="1"/>
                <w:bCs w:val="1"/>
                <w:i w:val="1"/>
                <w:iCs w:val="1"/>
                <w:color w:val="auto"/>
                <w:w w:val="73"/>
              </w:rPr>
              <w:t>(in millions)</w:t>
            </w:r>
          </w:p>
        </w:tc>
        <w:tc>
          <w:tcPr>
            <w:tcW w:w="160" w:type="dxa"/>
            <w:vAlign w:val="bottom"/>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Corporate debt</w:t>
            </w:r>
          </w:p>
        </w:tc>
        <w:tc>
          <w:tcPr>
            <w:tcW w:w="20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tcPr>
          <w:p>
            <w:pPr>
              <w:ind w:left="140"/>
              <w:spacing w:after="0" w:line="149" w:lineRule="exact"/>
              <w:rPr>
                <w:sz w:val="20"/>
                <w:szCs w:val="20"/>
                <w:color w:val="auto"/>
              </w:rPr>
            </w:pPr>
            <w:r>
              <w:rPr>
                <w:rFonts w:ascii="Arial" w:cs="Arial" w:eastAsia="Arial" w:hAnsi="Arial"/>
                <w:sz w:val="14"/>
                <w:szCs w:val="14"/>
                <w:color w:val="auto"/>
              </w:rPr>
              <w:t>BBB</w:t>
            </w:r>
          </w:p>
        </w:tc>
        <w:tc>
          <w:tcPr>
            <w:tcW w:w="2160" w:type="dxa"/>
            <w:vAlign w:val="bottom"/>
            <w:gridSpan w:val="2"/>
          </w:tcPr>
          <w:p>
            <w:pPr>
              <w:jc w:val="right"/>
              <w:ind w:right="32"/>
              <w:spacing w:after="0" w:line="149" w:lineRule="exact"/>
              <w:rPr>
                <w:sz w:val="20"/>
                <w:szCs w:val="20"/>
                <w:color w:val="auto"/>
              </w:rPr>
            </w:pPr>
            <w:r>
              <w:rPr>
                <w:rFonts w:ascii="Arial" w:cs="Arial" w:eastAsia="Arial" w:hAnsi="Arial"/>
                <w:sz w:val="14"/>
                <w:szCs w:val="14"/>
                <w:b w:val="1"/>
                <w:bCs w:val="1"/>
                <w:color w:val="auto"/>
              </w:rPr>
              <w:t>$</w:t>
            </w: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23.4</w:t>
            </w:r>
          </w:p>
        </w:tc>
        <w:tc>
          <w:tcPr>
            <w:tcW w:w="2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23.4</w:t>
            </w:r>
          </w:p>
        </w:tc>
        <w:tc>
          <w:tcPr>
            <w:tcW w:w="1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3.0</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43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 corporate debt</w:t>
            </w:r>
          </w:p>
        </w:tc>
        <w:tc>
          <w:tcPr>
            <w:tcW w:w="2000" w:type="dxa"/>
            <w:vAlign w:val="bottom"/>
            <w:shd w:val="clear" w:color="auto" w:fill="CCEEFF"/>
          </w:tcPr>
          <w:p>
            <w:pPr>
              <w:spacing w:after="0"/>
              <w:rPr>
                <w:sz w:val="12"/>
                <w:szCs w:val="12"/>
                <w:color w:val="auto"/>
              </w:rPr>
            </w:pPr>
          </w:p>
        </w:tc>
        <w:tc>
          <w:tcPr>
            <w:tcW w:w="160" w:type="dxa"/>
            <w:vAlign w:val="bottom"/>
            <w:tcBorders>
              <w:top w:val="single" w:sz="8" w:color="auto"/>
            </w:tcBorders>
            <w:shd w:val="clear" w:color="auto" w:fill="CCEEFF"/>
          </w:tcPr>
          <w:p>
            <w:pPr>
              <w:spacing w:after="0"/>
              <w:rPr>
                <w:sz w:val="12"/>
                <w:szCs w:val="12"/>
                <w:color w:val="auto"/>
              </w:rPr>
            </w:pPr>
          </w:p>
        </w:tc>
        <w:tc>
          <w:tcPr>
            <w:tcW w:w="58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23.4</w:t>
            </w:r>
          </w:p>
        </w:tc>
        <w:tc>
          <w:tcPr>
            <w:tcW w:w="160" w:type="dxa"/>
            <w:vAlign w:val="bottom"/>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52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23.4</w:t>
            </w:r>
          </w:p>
        </w:tc>
        <w:tc>
          <w:tcPr>
            <w:tcW w:w="1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3.0</w:t>
            </w:r>
          </w:p>
        </w:tc>
        <w:tc>
          <w:tcPr>
            <w:tcW w:w="160" w:type="dxa"/>
            <w:vAlign w:val="bottom"/>
            <w:shd w:val="clear" w:color="auto" w:fill="CCEEFF"/>
          </w:tcPr>
          <w:p>
            <w:pPr>
              <w:spacing w:after="0"/>
              <w:rPr>
                <w:sz w:val="12"/>
                <w:szCs w:val="12"/>
                <w:color w:val="auto"/>
              </w:rPr>
            </w:pPr>
          </w:p>
        </w:tc>
      </w:tr>
      <w:tr>
        <w:trPr>
          <w:trHeight w:val="311"/>
        </w:trPr>
        <w:tc>
          <w:tcPr>
            <w:tcW w:w="4400" w:type="dxa"/>
            <w:vAlign w:val="bottom"/>
            <w:gridSpan w:val="2"/>
          </w:tcPr>
          <w:p>
            <w:pPr>
              <w:spacing w:after="0"/>
              <w:rPr>
                <w:sz w:val="20"/>
                <w:szCs w:val="20"/>
                <w:color w:val="auto"/>
              </w:rPr>
            </w:pPr>
            <w:r>
              <w:rPr>
                <w:rFonts w:ascii="Arial" w:cs="Arial" w:eastAsia="Arial" w:hAnsi="Arial"/>
                <w:sz w:val="14"/>
                <w:szCs w:val="14"/>
                <w:b w:val="1"/>
                <w:bCs w:val="1"/>
                <w:color w:val="auto"/>
              </w:rPr>
              <w:t>Structured finance</w:t>
            </w:r>
          </w:p>
        </w:tc>
        <w:tc>
          <w:tcPr>
            <w:tcW w:w="20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149"/>
        </w:trPr>
        <w:tc>
          <w:tcPr>
            <w:tcW w:w="20" w:type="dxa"/>
            <w:vAlign w:val="bottom"/>
          </w:tcPr>
          <w:p>
            <w:pPr>
              <w:spacing w:after="0"/>
              <w:rPr>
                <w:sz w:val="12"/>
                <w:szCs w:val="12"/>
                <w:color w:val="auto"/>
              </w:rPr>
            </w:pPr>
          </w:p>
        </w:tc>
        <w:tc>
          <w:tcPr>
            <w:tcW w:w="4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A</w:t>
            </w:r>
          </w:p>
        </w:tc>
        <w:tc>
          <w:tcPr>
            <w:tcW w:w="20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18.1</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16.7</w:t>
            </w:r>
          </w:p>
        </w:tc>
        <w:tc>
          <w:tcPr>
            <w:tcW w:w="1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tcPr>
          <w:p>
            <w:pPr>
              <w:ind w:left="140"/>
              <w:spacing w:after="0" w:line="149" w:lineRule="exact"/>
              <w:rPr>
                <w:sz w:val="20"/>
                <w:szCs w:val="20"/>
                <w:color w:val="auto"/>
              </w:rPr>
            </w:pPr>
            <w:r>
              <w:rPr>
                <w:rFonts w:ascii="Arial" w:cs="Arial" w:eastAsia="Arial" w:hAnsi="Arial"/>
                <w:sz w:val="14"/>
                <w:szCs w:val="14"/>
                <w:color w:val="auto"/>
              </w:rPr>
              <w:t>BB</w:t>
            </w:r>
          </w:p>
        </w:tc>
        <w:tc>
          <w:tcPr>
            <w:tcW w:w="2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5.5</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5.5</w:t>
            </w:r>
          </w:p>
        </w:tc>
        <w:tc>
          <w:tcPr>
            <w:tcW w:w="1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B</w:t>
            </w:r>
          </w:p>
        </w:tc>
        <w:tc>
          <w:tcPr>
            <w:tcW w:w="20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4.1</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4.1</w:t>
            </w:r>
          </w:p>
        </w:tc>
        <w:tc>
          <w:tcPr>
            <w:tcW w:w="1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tcPr>
          <w:p>
            <w:pPr>
              <w:ind w:left="140"/>
              <w:spacing w:after="0" w:line="149" w:lineRule="exact"/>
              <w:rPr>
                <w:sz w:val="20"/>
                <w:szCs w:val="20"/>
                <w:color w:val="auto"/>
              </w:rPr>
            </w:pPr>
            <w:r>
              <w:rPr>
                <w:rFonts w:ascii="Arial" w:cs="Arial" w:eastAsia="Arial" w:hAnsi="Arial"/>
                <w:sz w:val="14"/>
                <w:szCs w:val="14"/>
                <w:color w:val="auto"/>
              </w:rPr>
              <w:t>CCC</w:t>
            </w:r>
          </w:p>
        </w:tc>
        <w:tc>
          <w:tcPr>
            <w:tcW w:w="200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23.5</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23.5</w:t>
            </w:r>
          </w:p>
        </w:tc>
        <w:tc>
          <w:tcPr>
            <w:tcW w:w="1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4.8</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43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 structured finance</w:t>
            </w:r>
          </w:p>
        </w:tc>
        <w:tc>
          <w:tcPr>
            <w:tcW w:w="200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51.2</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49.8</w:t>
            </w:r>
          </w:p>
        </w:tc>
        <w:tc>
          <w:tcPr>
            <w:tcW w:w="1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4.5</w:t>
            </w:r>
          </w:p>
        </w:tc>
        <w:tc>
          <w:tcPr>
            <w:tcW w:w="160" w:type="dxa"/>
            <w:vAlign w:val="bottom"/>
            <w:shd w:val="clear" w:color="auto" w:fill="CCEEFF"/>
          </w:tcPr>
          <w:p>
            <w:pPr>
              <w:spacing w:after="0"/>
              <w:rPr>
                <w:sz w:val="12"/>
                <w:szCs w:val="12"/>
                <w:color w:val="auto"/>
              </w:rPr>
            </w:pPr>
          </w:p>
        </w:tc>
      </w:tr>
      <w:tr>
        <w:trPr>
          <w:trHeight w:val="142"/>
        </w:trPr>
        <w:tc>
          <w:tcPr>
            <w:tcW w:w="4400" w:type="dxa"/>
            <w:vAlign w:val="bottom"/>
            <w:gridSpan w:val="2"/>
          </w:tcPr>
          <w:p>
            <w:pPr>
              <w:spacing w:after="0" w:line="142" w:lineRule="exact"/>
              <w:rPr>
                <w:sz w:val="20"/>
                <w:szCs w:val="20"/>
                <w:color w:val="auto"/>
              </w:rPr>
            </w:pPr>
            <w:r>
              <w:rPr>
                <w:rFonts w:ascii="Arial" w:cs="Arial" w:eastAsia="Arial" w:hAnsi="Arial"/>
                <w:sz w:val="14"/>
                <w:szCs w:val="14"/>
                <w:color w:val="auto"/>
              </w:rPr>
              <w:t>Total fixed maturities with credit derivatives</w:t>
            </w:r>
          </w:p>
        </w:tc>
        <w:tc>
          <w:tcPr>
            <w:tcW w:w="2000" w:type="dxa"/>
            <w:vAlign w:val="bottom"/>
          </w:tcPr>
          <w:p>
            <w:pPr>
              <w:spacing w:after="0"/>
              <w:rPr>
                <w:sz w:val="12"/>
                <w:szCs w:val="12"/>
                <w:color w:val="auto"/>
              </w:rPr>
            </w:pPr>
          </w:p>
        </w:tc>
        <w:tc>
          <w:tcPr>
            <w:tcW w:w="16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rPr>
              <w:t>$</w:t>
            </w:r>
          </w:p>
        </w:tc>
        <w:tc>
          <w:tcPr>
            <w:tcW w:w="5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74.6</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rPr>
              <w:t>$</w:t>
            </w:r>
          </w:p>
        </w:tc>
        <w:tc>
          <w:tcPr>
            <w:tcW w:w="5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73.2</w:t>
            </w:r>
          </w:p>
        </w:tc>
        <w:tc>
          <w:tcPr>
            <w:tcW w:w="160" w:type="dxa"/>
            <w:vAlign w:val="bottom"/>
          </w:tcPr>
          <w:p>
            <w:pPr>
              <w:spacing w:after="0"/>
              <w:rPr>
                <w:sz w:val="12"/>
                <w:szCs w:val="12"/>
                <w:color w:val="auto"/>
              </w:rPr>
            </w:pPr>
          </w:p>
        </w:tc>
        <w:tc>
          <w:tcPr>
            <w:tcW w:w="88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4.0</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20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40" w:type="dxa"/>
            <w:vAlign w:val="bottom"/>
            <w:tcBorders>
              <w:bottom w:val="single" w:sz="8" w:color="auto"/>
            </w:tcBorders>
            <w:gridSpan w:val="2"/>
          </w:tcPr>
          <w:p>
            <w:pPr>
              <w:spacing w:after="0" w:line="20" w:lineRule="exact"/>
              <w:rPr>
                <w:sz w:val="1"/>
                <w:szCs w:val="1"/>
                <w:color w:val="auto"/>
              </w:rPr>
            </w:pPr>
          </w:p>
        </w:tc>
        <w:tc>
          <w:tcPr>
            <w:tcW w:w="1200" w:type="dxa"/>
            <w:vAlign w:val="bottom"/>
            <w:gridSpan w:val="3"/>
          </w:tcPr>
          <w:p>
            <w:pPr>
              <w:spacing w:after="0" w:line="20" w:lineRule="exact"/>
              <w:rPr>
                <w:sz w:val="1"/>
                <w:szCs w:val="1"/>
                <w:color w:val="auto"/>
              </w:rPr>
            </w:pPr>
          </w:p>
        </w:tc>
      </w:tr>
      <w:tr>
        <w:trPr>
          <w:trHeight w:val="777"/>
        </w:trPr>
        <w:tc>
          <w:tcPr>
            <w:tcW w:w="20" w:type="dxa"/>
            <w:vAlign w:val="bottom"/>
          </w:tcPr>
          <w:p>
            <w:pPr>
              <w:spacing w:after="0"/>
              <w:rPr>
                <w:sz w:val="24"/>
                <w:szCs w:val="24"/>
                <w:color w:val="auto"/>
              </w:rPr>
            </w:pPr>
          </w:p>
        </w:tc>
        <w:tc>
          <w:tcPr>
            <w:tcW w:w="438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00" w:type="dxa"/>
            <w:vAlign w:val="bottom"/>
            <w:gridSpan w:val="6"/>
          </w:tcPr>
          <w:p>
            <w:pPr>
              <w:spacing w:after="0"/>
              <w:rPr>
                <w:sz w:val="20"/>
                <w:szCs w:val="20"/>
                <w:color w:val="auto"/>
              </w:rPr>
            </w:pPr>
            <w:r>
              <w:rPr>
                <w:rFonts w:ascii="Arial" w:cs="Arial" w:eastAsia="Arial" w:hAnsi="Arial"/>
                <w:sz w:val="14"/>
                <w:szCs w:val="14"/>
                <w:b w:val="1"/>
                <w:bCs w:val="1"/>
                <w:color w:val="auto"/>
              </w:rPr>
              <w:t>December 31, 2012</w:t>
            </w:r>
          </w:p>
        </w:tc>
      </w:tr>
      <w:tr>
        <w:trPr>
          <w:trHeight w:val="129"/>
        </w:trPr>
        <w:tc>
          <w:tcPr>
            <w:tcW w:w="20" w:type="dxa"/>
            <w:vAlign w:val="bottom"/>
          </w:tcPr>
          <w:p>
            <w:pPr>
              <w:spacing w:after="0"/>
              <w:rPr>
                <w:sz w:val="11"/>
                <w:szCs w:val="11"/>
                <w:color w:val="auto"/>
              </w:rPr>
            </w:pPr>
          </w:p>
        </w:tc>
        <w:tc>
          <w:tcPr>
            <w:tcW w:w="4380" w:type="dxa"/>
            <w:vAlign w:val="bottom"/>
          </w:tcPr>
          <w:p>
            <w:pPr>
              <w:spacing w:after="0"/>
              <w:rPr>
                <w:sz w:val="11"/>
                <w:szCs w:val="11"/>
                <w:color w:val="auto"/>
              </w:rPr>
            </w:pPr>
          </w:p>
        </w:tc>
        <w:tc>
          <w:tcPr>
            <w:tcW w:w="200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5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52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88"/>
              </w:rPr>
              <w:t>Weighted</w:t>
            </w: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438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3"/>
              </w:rPr>
              <w:t>average</w:t>
            </w:r>
          </w:p>
        </w:tc>
      </w:tr>
      <w:tr>
        <w:trPr>
          <w:trHeight w:val="149"/>
        </w:trPr>
        <w:tc>
          <w:tcPr>
            <w:tcW w:w="20" w:type="dxa"/>
            <w:vAlign w:val="bottom"/>
          </w:tcPr>
          <w:p>
            <w:pPr>
              <w:spacing w:after="0"/>
              <w:rPr>
                <w:sz w:val="12"/>
                <w:szCs w:val="12"/>
                <w:color w:val="auto"/>
              </w:rPr>
            </w:pPr>
          </w:p>
        </w:tc>
        <w:tc>
          <w:tcPr>
            <w:tcW w:w="438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7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0"/>
              </w:rPr>
              <w:t>Amortized</w:t>
            </w:r>
          </w:p>
        </w:tc>
        <w:tc>
          <w:tcPr>
            <w:tcW w:w="160" w:type="dxa"/>
            <w:vAlign w:val="bottom"/>
          </w:tcPr>
          <w:p>
            <w:pPr>
              <w:spacing w:after="0"/>
              <w:rPr>
                <w:sz w:val="12"/>
                <w:szCs w:val="12"/>
                <w:color w:val="auto"/>
              </w:rPr>
            </w:pPr>
          </w:p>
        </w:tc>
        <w:tc>
          <w:tcPr>
            <w:tcW w:w="800" w:type="dxa"/>
            <w:vAlign w:val="bottom"/>
            <w:gridSpan w:val="3"/>
          </w:tcPr>
          <w:p>
            <w:pPr>
              <w:ind w:left="40"/>
              <w:spacing w:after="0" w:line="149" w:lineRule="exact"/>
              <w:rPr>
                <w:sz w:val="20"/>
                <w:szCs w:val="20"/>
                <w:color w:val="auto"/>
              </w:rPr>
            </w:pPr>
            <w:r>
              <w:rPr>
                <w:rFonts w:ascii="Arial" w:cs="Arial" w:eastAsia="Arial" w:hAnsi="Arial"/>
                <w:sz w:val="14"/>
                <w:szCs w:val="14"/>
                <w:b w:val="1"/>
                <w:bCs w:val="1"/>
                <w:color w:val="auto"/>
              </w:rPr>
              <w:t>Carrying</w:t>
            </w:r>
          </w:p>
        </w:tc>
        <w:tc>
          <w:tcPr>
            <w:tcW w:w="10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4"/>
              </w:rPr>
              <w:t>expected life</w:t>
            </w:r>
          </w:p>
        </w:tc>
      </w:tr>
      <w:tr>
        <w:trPr>
          <w:trHeight w:val="161"/>
        </w:trPr>
        <w:tc>
          <w:tcPr>
            <w:tcW w:w="20" w:type="dxa"/>
            <w:vAlign w:val="bottom"/>
          </w:tcPr>
          <w:p>
            <w:pPr>
              <w:spacing w:after="0"/>
              <w:rPr>
                <w:sz w:val="14"/>
                <w:szCs w:val="14"/>
                <w:color w:val="auto"/>
              </w:rPr>
            </w:pPr>
          </w:p>
        </w:tc>
        <w:tc>
          <w:tcPr>
            <w:tcW w:w="4380" w:type="dxa"/>
            <w:vAlign w:val="bottom"/>
          </w:tcPr>
          <w:p>
            <w:pPr>
              <w:spacing w:after="0"/>
              <w:rPr>
                <w:sz w:val="14"/>
                <w:szCs w:val="14"/>
                <w:color w:val="auto"/>
              </w:rPr>
            </w:pPr>
          </w:p>
        </w:tc>
        <w:tc>
          <w:tcPr>
            <w:tcW w:w="20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center"/>
              <w:ind w:right="132"/>
              <w:spacing w:after="0"/>
              <w:rPr>
                <w:sz w:val="20"/>
                <w:szCs w:val="20"/>
                <w:color w:val="auto"/>
              </w:rPr>
            </w:pPr>
            <w:r>
              <w:rPr>
                <w:rFonts w:ascii="Arial" w:cs="Arial" w:eastAsia="Arial" w:hAnsi="Arial"/>
                <w:sz w:val="14"/>
                <w:szCs w:val="14"/>
                <w:b w:val="1"/>
                <w:bCs w:val="1"/>
                <w:color w:val="auto"/>
                <w:w w:val="76"/>
              </w:rPr>
              <w:t>cost</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gridSpan w:val="2"/>
          </w:tcPr>
          <w:p>
            <w:pPr>
              <w:ind w:left="40"/>
              <w:spacing w:after="0"/>
              <w:rPr>
                <w:sz w:val="20"/>
                <w:szCs w:val="20"/>
                <w:color w:val="auto"/>
              </w:rPr>
            </w:pPr>
            <w:r>
              <w:rPr>
                <w:rFonts w:ascii="Arial" w:cs="Arial" w:eastAsia="Arial" w:hAnsi="Arial"/>
                <w:sz w:val="14"/>
                <w:szCs w:val="14"/>
                <w:b w:val="1"/>
                <w:bCs w:val="1"/>
                <w:color w:val="auto"/>
              </w:rPr>
              <w:t>value</w:t>
            </w:r>
          </w:p>
        </w:tc>
        <w:tc>
          <w:tcPr>
            <w:tcW w:w="10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6"/>
              </w:rPr>
              <w:t>(in years)</w:t>
            </w:r>
          </w:p>
        </w:tc>
      </w:tr>
      <w:tr>
        <w:trPr>
          <w:trHeight w:val="142"/>
        </w:trPr>
        <w:tc>
          <w:tcPr>
            <w:tcW w:w="20" w:type="dxa"/>
            <w:vAlign w:val="bottom"/>
          </w:tcPr>
          <w:p>
            <w:pPr>
              <w:spacing w:after="0"/>
              <w:rPr>
                <w:sz w:val="12"/>
                <w:szCs w:val="12"/>
                <w:color w:val="auto"/>
              </w:rPr>
            </w:pPr>
          </w:p>
        </w:tc>
        <w:tc>
          <w:tcPr>
            <w:tcW w:w="438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Borders>
              <w:top w:val="single" w:sz="8" w:color="auto"/>
            </w:tcBorders>
            <w:gridSpan w:val="2"/>
          </w:tcPr>
          <w:p>
            <w:pPr>
              <w:ind w:left="40"/>
              <w:spacing w:after="0" w:line="142" w:lineRule="exact"/>
              <w:rPr>
                <w:sz w:val="20"/>
                <w:szCs w:val="20"/>
                <w:color w:val="auto"/>
              </w:rPr>
            </w:pPr>
            <w:r>
              <w:rPr>
                <w:rFonts w:ascii="Arial" w:cs="Arial" w:eastAsia="Arial" w:hAnsi="Arial"/>
                <w:sz w:val="14"/>
                <w:szCs w:val="14"/>
                <w:b w:val="1"/>
                <w:bCs w:val="1"/>
                <w:i w:val="1"/>
                <w:iCs w:val="1"/>
                <w:color w:val="auto"/>
                <w:w w:val="73"/>
              </w:rPr>
              <w:t>(in millions)</w:t>
            </w:r>
          </w:p>
        </w:tc>
        <w:tc>
          <w:tcPr>
            <w:tcW w:w="160" w:type="dxa"/>
            <w:vAlign w:val="bottom"/>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Corporate debt</w:t>
            </w:r>
          </w:p>
        </w:tc>
        <w:tc>
          <w:tcPr>
            <w:tcW w:w="20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tcPr>
          <w:p>
            <w:pPr>
              <w:ind w:left="140"/>
              <w:spacing w:after="0" w:line="149" w:lineRule="exact"/>
              <w:rPr>
                <w:sz w:val="20"/>
                <w:szCs w:val="20"/>
                <w:color w:val="auto"/>
              </w:rPr>
            </w:pPr>
            <w:r>
              <w:rPr>
                <w:rFonts w:ascii="Arial" w:cs="Arial" w:eastAsia="Arial" w:hAnsi="Arial"/>
                <w:sz w:val="14"/>
                <w:szCs w:val="14"/>
                <w:color w:val="auto"/>
              </w:rPr>
              <w:t>BBB</w:t>
            </w:r>
          </w:p>
        </w:tc>
        <w:tc>
          <w:tcPr>
            <w:tcW w:w="2160" w:type="dxa"/>
            <w:vAlign w:val="bottom"/>
            <w:gridSpan w:val="2"/>
          </w:tcPr>
          <w:p>
            <w:pPr>
              <w:ind w:left="2000"/>
              <w:spacing w:after="0" w:line="149" w:lineRule="exact"/>
              <w:rPr>
                <w:sz w:val="20"/>
                <w:szCs w:val="20"/>
                <w:color w:val="auto"/>
              </w:rPr>
            </w:pPr>
            <w:r>
              <w:rPr>
                <w:rFonts w:ascii="Arial" w:cs="Arial" w:eastAsia="Arial" w:hAnsi="Arial"/>
                <w:sz w:val="14"/>
                <w:szCs w:val="14"/>
                <w:color w:val="auto"/>
              </w:rPr>
              <w:t>$</w:t>
            </w: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20.5</w:t>
            </w:r>
          </w:p>
        </w:tc>
        <w:tc>
          <w:tcPr>
            <w:tcW w:w="280" w:type="dxa"/>
            <w:vAlign w:val="bottom"/>
            <w:gridSpan w:val="2"/>
          </w:tcPr>
          <w:p>
            <w:pPr>
              <w:ind w:left="160"/>
              <w:spacing w:after="0" w:line="149" w:lineRule="exact"/>
              <w:rPr>
                <w:sz w:val="20"/>
                <w:szCs w:val="20"/>
                <w:color w:val="auto"/>
              </w:rPr>
            </w:pPr>
            <w:r>
              <w:rPr>
                <w:rFonts w:ascii="Arial" w:cs="Arial" w:eastAsia="Arial" w:hAnsi="Arial"/>
                <w:sz w:val="14"/>
                <w:szCs w:val="14"/>
                <w:color w:val="auto"/>
              </w:rPr>
              <w:t>$</w:t>
            </w: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20.5</w:t>
            </w:r>
          </w:p>
        </w:tc>
        <w:tc>
          <w:tcPr>
            <w:tcW w:w="1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4.0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B</w:t>
            </w:r>
          </w:p>
        </w:tc>
        <w:tc>
          <w:tcPr>
            <w:tcW w:w="200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25.0</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24.9</w:t>
            </w:r>
          </w:p>
        </w:tc>
        <w:tc>
          <w:tcPr>
            <w:tcW w:w="1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0.5</w:t>
            </w:r>
          </w:p>
        </w:tc>
        <w:tc>
          <w:tcPr>
            <w:tcW w:w="160" w:type="dxa"/>
            <w:vAlign w:val="bottom"/>
            <w:shd w:val="clear" w:color="auto" w:fill="CCEEFF"/>
          </w:tcPr>
          <w:p>
            <w:pPr>
              <w:spacing w:after="0"/>
              <w:rPr>
                <w:sz w:val="12"/>
                <w:szCs w:val="12"/>
                <w:color w:val="auto"/>
              </w:rPr>
            </w:pPr>
          </w:p>
        </w:tc>
      </w:tr>
      <w:tr>
        <w:trPr>
          <w:trHeight w:val="142"/>
        </w:trPr>
        <w:tc>
          <w:tcPr>
            <w:tcW w:w="4400" w:type="dxa"/>
            <w:vAlign w:val="bottom"/>
            <w:gridSpan w:val="2"/>
          </w:tcPr>
          <w:p>
            <w:pPr>
              <w:spacing w:after="0" w:line="142" w:lineRule="exact"/>
              <w:rPr>
                <w:sz w:val="20"/>
                <w:szCs w:val="20"/>
                <w:color w:val="auto"/>
              </w:rPr>
            </w:pPr>
            <w:r>
              <w:rPr>
                <w:rFonts w:ascii="Arial" w:cs="Arial" w:eastAsia="Arial" w:hAnsi="Arial"/>
                <w:sz w:val="14"/>
                <w:szCs w:val="14"/>
                <w:color w:val="auto"/>
              </w:rPr>
              <w:t>Total corporate debt</w:t>
            </w:r>
          </w:p>
        </w:tc>
        <w:tc>
          <w:tcPr>
            <w:tcW w:w="2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2" w:lineRule="exact"/>
              <w:rPr>
                <w:sz w:val="20"/>
                <w:szCs w:val="20"/>
                <w:color w:val="auto"/>
              </w:rPr>
            </w:pPr>
            <w:r>
              <w:rPr>
                <w:rFonts w:ascii="Arial" w:cs="Arial" w:eastAsia="Arial" w:hAnsi="Arial"/>
                <w:sz w:val="14"/>
                <w:szCs w:val="14"/>
                <w:color w:val="auto"/>
              </w:rPr>
              <w:t>45.5</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jc w:val="right"/>
              <w:spacing w:after="0" w:line="142" w:lineRule="exact"/>
              <w:rPr>
                <w:sz w:val="20"/>
                <w:szCs w:val="20"/>
                <w:color w:val="auto"/>
              </w:rPr>
            </w:pPr>
            <w:r>
              <w:rPr>
                <w:rFonts w:ascii="Arial" w:cs="Arial" w:eastAsia="Arial" w:hAnsi="Arial"/>
                <w:sz w:val="14"/>
                <w:szCs w:val="14"/>
                <w:color w:val="auto"/>
              </w:rPr>
              <w:t>45.4</w:t>
            </w:r>
          </w:p>
        </w:tc>
        <w:tc>
          <w:tcPr>
            <w:tcW w:w="160" w:type="dxa"/>
            <w:vAlign w:val="bottom"/>
          </w:tcPr>
          <w:p>
            <w:pPr>
              <w:spacing w:after="0"/>
              <w:rPr>
                <w:sz w:val="12"/>
                <w:szCs w:val="12"/>
                <w:color w:val="auto"/>
              </w:rPr>
            </w:pPr>
          </w:p>
        </w:tc>
        <w:tc>
          <w:tcPr>
            <w:tcW w:w="880" w:type="dxa"/>
            <w:vAlign w:val="bottom"/>
          </w:tcPr>
          <w:p>
            <w:pPr>
              <w:jc w:val="right"/>
              <w:spacing w:after="0" w:line="142" w:lineRule="exact"/>
              <w:rPr>
                <w:sz w:val="20"/>
                <w:szCs w:val="20"/>
                <w:color w:val="auto"/>
              </w:rPr>
            </w:pPr>
            <w:r>
              <w:rPr>
                <w:rFonts w:ascii="Arial" w:cs="Arial" w:eastAsia="Arial" w:hAnsi="Arial"/>
                <w:sz w:val="14"/>
                <w:szCs w:val="14"/>
                <w:color w:val="auto"/>
              </w:rPr>
              <w:t>2.1</w:t>
            </w:r>
          </w:p>
        </w:tc>
        <w:tc>
          <w:tcPr>
            <w:tcW w:w="160" w:type="dxa"/>
            <w:vAlign w:val="bottom"/>
          </w:tcPr>
          <w:p>
            <w:pPr>
              <w:spacing w:after="0"/>
              <w:rPr>
                <w:sz w:val="12"/>
                <w:szCs w:val="12"/>
                <w:color w:val="auto"/>
              </w:rPr>
            </w:pPr>
          </w:p>
        </w:tc>
      </w:tr>
      <w:tr>
        <w:trPr>
          <w:trHeight w:val="311"/>
        </w:trPr>
        <w:tc>
          <w:tcPr>
            <w:tcW w:w="20" w:type="dxa"/>
            <w:vAlign w:val="bottom"/>
          </w:tcPr>
          <w:p>
            <w:pPr>
              <w:spacing w:after="0"/>
              <w:rPr>
                <w:sz w:val="24"/>
                <w:szCs w:val="24"/>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Structured finance</w:t>
            </w:r>
          </w:p>
        </w:tc>
        <w:tc>
          <w:tcPr>
            <w:tcW w:w="20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5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r>
      <w:tr>
        <w:trPr>
          <w:trHeight w:val="149"/>
        </w:trPr>
        <w:tc>
          <w:tcPr>
            <w:tcW w:w="20" w:type="dxa"/>
            <w:vAlign w:val="bottom"/>
          </w:tcPr>
          <w:p>
            <w:pPr>
              <w:spacing w:after="0"/>
              <w:rPr>
                <w:sz w:val="12"/>
                <w:szCs w:val="12"/>
                <w:color w:val="auto"/>
              </w:rPr>
            </w:pPr>
          </w:p>
        </w:tc>
        <w:tc>
          <w:tcPr>
            <w:tcW w:w="4380" w:type="dxa"/>
            <w:vAlign w:val="bottom"/>
          </w:tcPr>
          <w:p>
            <w:pPr>
              <w:ind w:left="140"/>
              <w:spacing w:after="0" w:line="149" w:lineRule="exact"/>
              <w:rPr>
                <w:sz w:val="20"/>
                <w:szCs w:val="20"/>
                <w:color w:val="auto"/>
              </w:rPr>
            </w:pPr>
            <w:r>
              <w:rPr>
                <w:rFonts w:ascii="Arial" w:cs="Arial" w:eastAsia="Arial" w:hAnsi="Arial"/>
                <w:sz w:val="14"/>
                <w:szCs w:val="14"/>
                <w:color w:val="auto"/>
              </w:rPr>
              <w:t>AA</w:t>
            </w:r>
          </w:p>
        </w:tc>
        <w:tc>
          <w:tcPr>
            <w:tcW w:w="2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4.6</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4.6</w:t>
            </w:r>
          </w:p>
        </w:tc>
        <w:tc>
          <w:tcPr>
            <w:tcW w:w="1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17.0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BB</w:t>
            </w:r>
          </w:p>
        </w:tc>
        <w:tc>
          <w:tcPr>
            <w:tcW w:w="20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39.6</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37.5</w:t>
            </w:r>
          </w:p>
        </w:tc>
        <w:tc>
          <w:tcPr>
            <w:tcW w:w="1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tcPr>
          <w:p>
            <w:pPr>
              <w:ind w:left="140"/>
              <w:spacing w:after="0" w:line="149" w:lineRule="exact"/>
              <w:rPr>
                <w:sz w:val="20"/>
                <w:szCs w:val="20"/>
                <w:color w:val="auto"/>
              </w:rPr>
            </w:pPr>
            <w:r>
              <w:rPr>
                <w:rFonts w:ascii="Arial" w:cs="Arial" w:eastAsia="Arial" w:hAnsi="Arial"/>
                <w:sz w:val="14"/>
                <w:szCs w:val="14"/>
                <w:color w:val="auto"/>
              </w:rPr>
              <w:t>B</w:t>
            </w:r>
          </w:p>
        </w:tc>
        <w:tc>
          <w:tcPr>
            <w:tcW w:w="2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4.0</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4.0</w:t>
            </w:r>
          </w:p>
        </w:tc>
        <w:tc>
          <w:tcPr>
            <w:tcW w:w="1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4.4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3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CCC</w:t>
            </w:r>
          </w:p>
        </w:tc>
        <w:tc>
          <w:tcPr>
            <w:tcW w:w="200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17.7</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17.7</w:t>
            </w:r>
          </w:p>
        </w:tc>
        <w:tc>
          <w:tcPr>
            <w:tcW w:w="1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6.4</w:t>
            </w:r>
          </w:p>
        </w:tc>
        <w:tc>
          <w:tcPr>
            <w:tcW w:w="160" w:type="dxa"/>
            <w:vAlign w:val="bottom"/>
            <w:shd w:val="clear" w:color="auto" w:fill="CCEEFF"/>
          </w:tcPr>
          <w:p>
            <w:pPr>
              <w:spacing w:after="0"/>
              <w:rPr>
                <w:sz w:val="12"/>
                <w:szCs w:val="12"/>
                <w:color w:val="auto"/>
              </w:rPr>
            </w:pPr>
          </w:p>
        </w:tc>
      </w:tr>
      <w:tr>
        <w:trPr>
          <w:trHeight w:val="142"/>
        </w:trPr>
        <w:tc>
          <w:tcPr>
            <w:tcW w:w="4400" w:type="dxa"/>
            <w:vAlign w:val="bottom"/>
            <w:gridSpan w:val="2"/>
          </w:tcPr>
          <w:p>
            <w:pPr>
              <w:spacing w:after="0" w:line="142" w:lineRule="exact"/>
              <w:rPr>
                <w:sz w:val="20"/>
                <w:szCs w:val="20"/>
                <w:color w:val="auto"/>
              </w:rPr>
            </w:pPr>
            <w:r>
              <w:rPr>
                <w:rFonts w:ascii="Arial" w:cs="Arial" w:eastAsia="Arial" w:hAnsi="Arial"/>
                <w:sz w:val="14"/>
                <w:szCs w:val="14"/>
                <w:color w:val="auto"/>
              </w:rPr>
              <w:t>Total structured finance</w:t>
            </w:r>
          </w:p>
        </w:tc>
        <w:tc>
          <w:tcPr>
            <w:tcW w:w="200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65.9</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63.8</w:t>
            </w:r>
          </w:p>
        </w:tc>
        <w:tc>
          <w:tcPr>
            <w:tcW w:w="160" w:type="dxa"/>
            <w:vAlign w:val="bottom"/>
          </w:tcPr>
          <w:p>
            <w:pPr>
              <w:spacing w:after="0"/>
              <w:rPr>
                <w:sz w:val="12"/>
                <w:szCs w:val="12"/>
                <w:color w:val="auto"/>
              </w:rPr>
            </w:pPr>
          </w:p>
        </w:tc>
        <w:tc>
          <w:tcPr>
            <w:tcW w:w="880" w:type="dxa"/>
            <w:vAlign w:val="bottom"/>
          </w:tcPr>
          <w:p>
            <w:pPr>
              <w:jc w:val="right"/>
              <w:spacing w:after="0" w:line="142" w:lineRule="exact"/>
              <w:rPr>
                <w:sz w:val="20"/>
                <w:szCs w:val="20"/>
                <w:color w:val="auto"/>
              </w:rPr>
            </w:pPr>
            <w:r>
              <w:rPr>
                <w:rFonts w:ascii="Arial" w:cs="Arial" w:eastAsia="Arial" w:hAnsi="Arial"/>
                <w:sz w:val="14"/>
                <w:szCs w:val="14"/>
                <w:color w:val="auto"/>
              </w:rPr>
              <w:t>4.9</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43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 fixed maturities with credit derivatives</w:t>
            </w:r>
          </w:p>
        </w:tc>
        <w:tc>
          <w:tcPr>
            <w:tcW w:w="2160" w:type="dxa"/>
            <w:vAlign w:val="bottom"/>
            <w:gridSpan w:val="2"/>
            <w:shd w:val="clear" w:color="auto" w:fill="CCEEFF"/>
          </w:tcPr>
          <w:p>
            <w:pPr>
              <w:ind w:left="2000"/>
              <w:spacing w:after="0" w:line="142" w:lineRule="exact"/>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111.4</w:t>
            </w:r>
          </w:p>
        </w:tc>
        <w:tc>
          <w:tcPr>
            <w:tcW w:w="280" w:type="dxa"/>
            <w:vAlign w:val="bottom"/>
            <w:gridSpan w:val="2"/>
            <w:shd w:val="clear" w:color="auto" w:fill="CCEEFF"/>
          </w:tcPr>
          <w:p>
            <w:pPr>
              <w:ind w:left="160"/>
              <w:spacing w:after="0" w:line="142"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109.2</w:t>
            </w:r>
          </w:p>
        </w:tc>
        <w:tc>
          <w:tcPr>
            <w:tcW w:w="1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3.8</w:t>
            </w:r>
          </w:p>
        </w:tc>
        <w:tc>
          <w:tcPr>
            <w:tcW w:w="160" w:type="dxa"/>
            <w:vAlign w:val="bottom"/>
            <w:shd w:val="clear" w:color="auto" w:fill="CCEEFF"/>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20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Fair Value Hedges</w:t>
      </w:r>
    </w:p>
    <w:p>
      <w:pPr>
        <w:spacing w:after="0" w:line="231" w:lineRule="exact"/>
        <w:rPr>
          <w:sz w:val="20"/>
          <w:szCs w:val="20"/>
          <w:color w:val="auto"/>
        </w:rPr>
      </w:pPr>
    </w:p>
    <w:p>
      <w:pPr>
        <w:jc w:val="both"/>
        <w:ind w:right="20" w:firstLine="379"/>
        <w:spacing w:after="0" w:line="268" w:lineRule="auto"/>
        <w:rPr>
          <w:sz w:val="20"/>
          <w:szCs w:val="20"/>
          <w:color w:val="auto"/>
        </w:rPr>
      </w:pPr>
      <w:r>
        <w:rPr>
          <w:rFonts w:ascii="Arial" w:cs="Arial" w:eastAsia="Arial" w:hAnsi="Arial"/>
          <w:sz w:val="18"/>
          <w:szCs w:val="18"/>
          <w:color w:val="auto"/>
        </w:rPr>
        <w:t>We use fixed-to-floating rate interest rate swaps to more closely align the interest rate characteristics of certain assets and liabilities. In general, these swaps are used in asset and liability management to modify duration, which is a measure of sensitivity to interest rate changes.</w:t>
      </w:r>
    </w:p>
    <w:p>
      <w:pPr>
        <w:spacing w:after="0" w:line="186" w:lineRule="exact"/>
        <w:rPr>
          <w:sz w:val="20"/>
          <w:szCs w:val="20"/>
          <w:color w:val="auto"/>
        </w:rPr>
      </w:pPr>
    </w:p>
    <w:p>
      <w:pPr>
        <w:jc w:val="both"/>
        <w:ind w:firstLine="436"/>
        <w:spacing w:after="0" w:line="268" w:lineRule="auto"/>
        <w:rPr>
          <w:sz w:val="20"/>
          <w:szCs w:val="20"/>
          <w:color w:val="auto"/>
        </w:rPr>
      </w:pPr>
      <w:r>
        <w:rPr>
          <w:rFonts w:ascii="Arial" w:cs="Arial" w:eastAsia="Arial" w:hAnsi="Arial"/>
          <w:sz w:val="18"/>
          <w:szCs w:val="18"/>
          <w:color w:val="auto"/>
        </w:rPr>
        <w:t>We enter into currency exchange swap agreements to convert certain foreign denominated assets and liabilities into U.S. dollar floating-rate denominated instruments to eliminate the exposure to future currency volatility on those items.</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5"/>
          <w:szCs w:val="15"/>
          <w:color w:val="auto"/>
        </w:rPr>
        <w:t>We have sold callable investment-type insurance contracts and used cancellable interest rate swaps to hedge the changes in fair value of the callable feature.</w:t>
      </w:r>
    </w:p>
    <w:p>
      <w:pPr>
        <w:spacing w:after="0" w:line="260" w:lineRule="exact"/>
        <w:rPr>
          <w:sz w:val="20"/>
          <w:szCs w:val="20"/>
          <w:color w:val="auto"/>
        </w:rPr>
      </w:pPr>
    </w:p>
    <w:p>
      <w:pPr>
        <w:jc w:val="both"/>
        <w:ind w:right="20" w:firstLine="436"/>
        <w:spacing w:after="0" w:line="268" w:lineRule="auto"/>
        <w:rPr>
          <w:sz w:val="20"/>
          <w:szCs w:val="20"/>
          <w:color w:val="auto"/>
        </w:rPr>
      </w:pPr>
      <w:r>
        <w:rPr>
          <w:rFonts w:ascii="Arial" w:cs="Arial" w:eastAsia="Arial" w:hAnsi="Arial"/>
          <w:sz w:val="18"/>
          <w:szCs w:val="18"/>
          <w:color w:val="auto"/>
        </w:rPr>
        <w:t>The net interest effect of interest rate swap and currency swap transactions for derivatives in fair value hedges is recorded as an adjustment to income or expense of the underlying hedged item in our consolidated statements of operations.</w:t>
      </w:r>
    </w:p>
    <w:p>
      <w:pPr>
        <w:spacing w:after="0" w:line="186" w:lineRule="exact"/>
        <w:rPr>
          <w:sz w:val="20"/>
          <w:szCs w:val="20"/>
          <w:color w:val="auto"/>
        </w:rPr>
      </w:pPr>
    </w:p>
    <w:p>
      <w:pPr>
        <w:jc w:val="both"/>
        <w:ind w:firstLine="588"/>
        <w:spacing w:after="0" w:line="255" w:lineRule="auto"/>
        <w:rPr>
          <w:sz w:val="20"/>
          <w:szCs w:val="20"/>
          <w:color w:val="auto"/>
        </w:rPr>
      </w:pPr>
      <w:r>
        <w:rPr>
          <w:rFonts w:ascii="Arial" w:cs="Arial" w:eastAsia="Arial" w:hAnsi="Arial"/>
          <w:sz w:val="18"/>
          <w:szCs w:val="18"/>
          <w:color w:val="auto"/>
        </w:rPr>
        <w:t>Hedge effectiveness testing for fair value relationships is performed utilizing a regression analysis approach for both prospective and retrospective evaluations. This regression analysis will consider multiple data points for the assessment that the hedge continues to be highly effective in achieving offsetting changes in fair value. In certain periods, the comparison of the change in value of the derivative and the change in the value of the hedged item may not be offsetting at a specific period in time due to small movements in value. However, any amounts recorded as fair value hedges have shown to be highly effective in achieving offsetting changes in fair value both for present and future periods.</w:t>
      </w:r>
    </w:p>
    <w:p>
      <w:pPr>
        <w:sectPr>
          <w:pgSz w:w="11900" w:h="16838" w:orient="portrait"/>
          <w:cols w:equalWidth="0" w:num="1">
            <w:col w:w="11420"/>
          </w:cols>
          <w:pgMar w:left="240" w:top="131" w:right="239" w:bottom="1440" w:gutter="0" w:footer="0" w:header="0"/>
        </w:sectPr>
      </w:pP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36" w:name="page137"/>
    <w:bookmarkEnd w:id="13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Derivative Financial Instruments — (continued)</w:t>
      </w:r>
    </w:p>
    <w:p>
      <w:pPr>
        <w:spacing w:after="0" w:line="231" w:lineRule="exact"/>
        <w:rPr>
          <w:sz w:val="20"/>
          <w:szCs w:val="20"/>
          <w:color w:val="auto"/>
        </w:rPr>
      </w:pPr>
    </w:p>
    <w:p>
      <w:pPr>
        <w:ind w:firstLine="510"/>
        <w:spacing w:after="0" w:line="268" w:lineRule="auto"/>
        <w:rPr>
          <w:sz w:val="20"/>
          <w:szCs w:val="20"/>
          <w:color w:val="auto"/>
        </w:rPr>
      </w:pPr>
      <w:r>
        <w:rPr>
          <w:rFonts w:ascii="Arial" w:cs="Arial" w:eastAsia="Arial" w:hAnsi="Arial"/>
          <w:sz w:val="18"/>
          <w:szCs w:val="18"/>
          <w:color w:val="auto"/>
        </w:rPr>
        <w:t>The following table shows the effect of derivatives in fair value hedging relationships and the related hedged items on the consolidated statements of operations. All gains or losses on derivatives were included in the assessment of hedge effectiveness.</w:t>
      </w:r>
    </w:p>
    <w:p>
      <w:pPr>
        <w:sectPr>
          <w:pgSz w:w="11900" w:h="16838" w:orient="portrait"/>
          <w:cols w:equalWidth="0" w:num="1">
            <w:col w:w="11420"/>
          </w:cols>
          <w:pgMar w:left="240" w:top="131"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ind w:left="1140"/>
        <w:spacing w:after="0"/>
        <w:rPr>
          <w:sz w:val="20"/>
          <w:szCs w:val="20"/>
          <w:color w:val="auto"/>
        </w:rPr>
      </w:pPr>
      <w:r>
        <w:rPr>
          <w:rFonts w:ascii="Arial" w:cs="Arial" w:eastAsia="Arial" w:hAnsi="Arial"/>
          <w:sz w:val="12"/>
          <w:szCs w:val="12"/>
          <w:b w:val="1"/>
          <w:bCs w:val="1"/>
          <w:color w:val="auto"/>
        </w:rPr>
        <w:t>Derivatives in fair value</w:t>
      </w:r>
    </w:p>
    <w:p>
      <w:pPr>
        <w:spacing w:after="0" w:line="25" w:lineRule="exact"/>
        <w:rPr>
          <w:sz w:val="20"/>
          <w:szCs w:val="20"/>
          <w:color w:val="auto"/>
        </w:rPr>
      </w:pPr>
    </w:p>
    <w:p>
      <w:pPr>
        <w:ind w:left="1140"/>
        <w:spacing w:after="0"/>
        <w:rPr>
          <w:sz w:val="20"/>
          <w:szCs w:val="20"/>
          <w:color w:val="auto"/>
        </w:rPr>
      </w:pPr>
      <w:r>
        <w:rPr>
          <w:rFonts w:ascii="Arial" w:cs="Arial" w:eastAsia="Arial" w:hAnsi="Arial"/>
          <w:sz w:val="12"/>
          <w:szCs w:val="12"/>
          <w:b w:val="1"/>
          <w:bCs w:val="1"/>
          <w:color w:val="auto"/>
        </w:rPr>
        <w:t>hedging relationships</w:t>
      </w:r>
    </w:p>
    <w:p>
      <w:pPr>
        <w:spacing w:after="0" w:line="20" w:lineRule="exact"/>
        <w:rPr>
          <w:sz w:val="20"/>
          <w:szCs w:val="20"/>
          <w:color w:val="auto"/>
        </w:rPr>
      </w:pPr>
      <w:r>
        <w:rPr>
          <w:sz w:val="20"/>
          <w:szCs w:val="20"/>
          <w:color w:val="auto"/>
        </w:rPr>
        <w:br w:type="column"/>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Amount of gain (loss)</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1"/>
          <w:szCs w:val="11"/>
          <w:b w:val="1"/>
          <w:bCs w:val="1"/>
          <w:color w:val="auto"/>
        </w:rPr>
        <w:t>recognized in net income</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on derivatives</w:t>
      </w:r>
    </w:p>
    <w:p>
      <w:pPr>
        <w:ind w:left="180"/>
        <w:spacing w:after="0" w:line="221" w:lineRule="auto"/>
        <w:rPr>
          <w:sz w:val="20"/>
          <w:szCs w:val="20"/>
          <w:color w:val="auto"/>
        </w:rPr>
      </w:pPr>
      <w:r>
        <w:rPr>
          <w:rFonts w:ascii="Arial" w:cs="Arial" w:eastAsia="Arial" w:hAnsi="Arial"/>
          <w:sz w:val="14"/>
          <w:szCs w:val="14"/>
          <w:b w:val="1"/>
          <w:bCs w:val="1"/>
          <w:color w:val="auto"/>
        </w:rPr>
        <w:t>for the year ended</w:t>
      </w:r>
    </w:p>
    <w:p>
      <w:pPr>
        <w:ind w:left="220"/>
        <w:spacing w:after="0"/>
        <w:rPr>
          <w:sz w:val="20"/>
          <w:szCs w:val="20"/>
          <w:color w:val="auto"/>
        </w:rPr>
      </w:pPr>
      <w:r>
        <w:rPr>
          <w:rFonts w:ascii="Arial" w:cs="Arial" w:eastAsia="Arial" w:hAnsi="Arial"/>
          <w:sz w:val="14"/>
          <w:szCs w:val="14"/>
          <w:b w:val="1"/>
          <w:bCs w:val="1"/>
          <w:color w:val="auto"/>
        </w:rPr>
        <w:t>December 31,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-60325</wp:posOffset>
            </wp:positionH>
            <wp:positionV relativeFrom="paragraph">
              <wp:posOffset>-7620</wp:posOffset>
            </wp:positionV>
            <wp:extent cx="1037590" cy="889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1037590" cy="8890"/>
                    </a:xfrm>
                    <a:prstGeom prst="rect">
                      <a:avLst/>
                    </a:prstGeom>
                    <a:noFill/>
                  </pic:spPr>
                </pic:pic>
              </a:graphicData>
            </a:graphic>
          </wp:anchor>
        </w:drawing>
      </w:r>
    </w:p>
    <w:p>
      <w:pPr>
        <w:spacing w:after="0"/>
        <w:tabs>
          <w:tab w:leader="none" w:pos="520" w:val="left"/>
          <w:tab w:leader="none" w:pos="1120" w:val="left"/>
        </w:tabs>
        <w:rPr>
          <w:sz w:val="20"/>
          <w:szCs w:val="20"/>
          <w:color w:val="auto"/>
        </w:rPr>
      </w:pPr>
      <w:r>
        <w:rPr>
          <w:rFonts w:ascii="Arial" w:cs="Arial" w:eastAsia="Arial" w:hAnsi="Arial"/>
          <w:sz w:val="14"/>
          <w:szCs w:val="14"/>
          <w:b w:val="1"/>
          <w:bCs w:val="1"/>
          <w:color w:val="auto"/>
        </w:rPr>
        <w:t>2013</w:t>
      </w:r>
      <w:r>
        <w:rPr>
          <w:sz w:val="20"/>
          <w:szCs w:val="20"/>
          <w:color w:val="auto"/>
        </w:rPr>
        <w:tab/>
      </w:r>
      <w:r>
        <w:rPr>
          <w:rFonts w:ascii="Arial" w:cs="Arial" w:eastAsia="Arial" w:hAnsi="Arial"/>
          <w:sz w:val="14"/>
          <w:szCs w:val="14"/>
          <w:b w:val="1"/>
          <w:bCs w:val="1"/>
          <w:color w:val="auto"/>
        </w:rPr>
        <w:t>2012</w:t>
      </w:r>
      <w:r>
        <w:rPr>
          <w:sz w:val="20"/>
          <w:szCs w:val="20"/>
          <w:color w:val="auto"/>
        </w:rPr>
        <w:tab/>
      </w:r>
      <w:r>
        <w:rPr>
          <w:rFonts w:ascii="Arial" w:cs="Arial" w:eastAsia="Arial" w:hAnsi="Arial"/>
          <w:sz w:val="11"/>
          <w:szCs w:val="11"/>
          <w:b w:val="1"/>
          <w:bCs w:val="1"/>
          <w:color w:val="auto"/>
        </w:rPr>
        <w:t>2011</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ind w:right="400"/>
        <w:spacing w:after="0" w:line="286" w:lineRule="auto"/>
        <w:rPr>
          <w:sz w:val="20"/>
          <w:szCs w:val="20"/>
          <w:color w:val="auto"/>
        </w:rPr>
      </w:pPr>
      <w:r>
        <w:rPr>
          <w:rFonts w:ascii="Arial" w:cs="Arial" w:eastAsia="Arial" w:hAnsi="Arial"/>
          <w:sz w:val="12"/>
          <w:szCs w:val="12"/>
          <w:b w:val="1"/>
          <w:bCs w:val="1"/>
          <w:color w:val="auto"/>
        </w:rPr>
        <w:t>Hedged items in fair fair value hedging relationships</w:t>
      </w:r>
    </w:p>
    <w:p>
      <w:pPr>
        <w:spacing w:after="0" w:line="20" w:lineRule="exact"/>
        <w:rPr>
          <w:sz w:val="20"/>
          <w:szCs w:val="20"/>
          <w:color w:val="auto"/>
        </w:rPr>
      </w:pPr>
      <w:r>
        <w:rPr>
          <w:sz w:val="20"/>
          <w:szCs w:val="20"/>
          <w:color w:val="auto"/>
        </w:rPr>
        <w:br w:type="column"/>
      </w:r>
    </w:p>
    <w:p>
      <w:pPr>
        <w:spacing w:after="0" w:line="162" w:lineRule="exact"/>
        <w:rPr>
          <w:sz w:val="20"/>
          <w:szCs w:val="20"/>
          <w:color w:val="auto"/>
        </w:rPr>
      </w:pPr>
    </w:p>
    <w:p>
      <w:pPr>
        <w:jc w:val="center"/>
        <w:ind w:right="1400"/>
        <w:spacing w:after="0"/>
        <w:rPr>
          <w:sz w:val="20"/>
          <w:szCs w:val="20"/>
          <w:color w:val="auto"/>
        </w:rPr>
      </w:pPr>
      <w:r>
        <w:rPr>
          <w:rFonts w:ascii="Arial" w:cs="Arial" w:eastAsia="Arial" w:hAnsi="Arial"/>
          <w:sz w:val="14"/>
          <w:szCs w:val="14"/>
          <w:b w:val="1"/>
          <w:bCs w:val="1"/>
          <w:color w:val="auto"/>
        </w:rPr>
        <w:t>Amount of gain (loss)</w:t>
      </w:r>
    </w:p>
    <w:p>
      <w:pPr>
        <w:spacing w:after="0" w:line="2" w:lineRule="exact"/>
        <w:rPr>
          <w:sz w:val="20"/>
          <w:szCs w:val="20"/>
          <w:color w:val="auto"/>
        </w:rPr>
      </w:pPr>
    </w:p>
    <w:p>
      <w:pPr>
        <w:jc w:val="center"/>
        <w:ind w:right="1400"/>
        <w:spacing w:after="0"/>
        <w:rPr>
          <w:sz w:val="20"/>
          <w:szCs w:val="20"/>
          <w:color w:val="auto"/>
        </w:rPr>
      </w:pPr>
      <w:r>
        <w:rPr>
          <w:rFonts w:ascii="Arial" w:cs="Arial" w:eastAsia="Arial" w:hAnsi="Arial"/>
          <w:sz w:val="12"/>
          <w:szCs w:val="12"/>
          <w:b w:val="1"/>
          <w:bCs w:val="1"/>
          <w:color w:val="auto"/>
        </w:rPr>
        <w:t>recognized in net income</w:t>
      </w:r>
    </w:p>
    <w:p>
      <w:pPr>
        <w:spacing w:after="0" w:line="11" w:lineRule="exact"/>
        <w:rPr>
          <w:sz w:val="20"/>
          <w:szCs w:val="20"/>
          <w:color w:val="auto"/>
        </w:rPr>
      </w:pPr>
    </w:p>
    <w:p>
      <w:pPr>
        <w:jc w:val="center"/>
        <w:ind w:right="1400"/>
        <w:spacing w:after="0"/>
        <w:rPr>
          <w:sz w:val="20"/>
          <w:szCs w:val="20"/>
          <w:color w:val="auto"/>
        </w:rPr>
      </w:pPr>
      <w:r>
        <w:rPr>
          <w:rFonts w:ascii="Arial" w:cs="Arial" w:eastAsia="Arial" w:hAnsi="Arial"/>
          <w:sz w:val="12"/>
          <w:szCs w:val="12"/>
          <w:b w:val="1"/>
          <w:bCs w:val="1"/>
          <w:color w:val="auto"/>
        </w:rPr>
        <w:t>on related hedged item</w:t>
      </w:r>
    </w:p>
    <w:p>
      <w:pPr>
        <w:jc w:val="center"/>
        <w:ind w:right="1400"/>
        <w:spacing w:after="0" w:line="237" w:lineRule="auto"/>
        <w:rPr>
          <w:sz w:val="20"/>
          <w:szCs w:val="20"/>
          <w:color w:val="auto"/>
        </w:rPr>
      </w:pPr>
      <w:r>
        <w:rPr>
          <w:rFonts w:ascii="Arial" w:cs="Arial" w:eastAsia="Arial" w:hAnsi="Arial"/>
          <w:sz w:val="14"/>
          <w:szCs w:val="14"/>
          <w:b w:val="1"/>
          <w:bCs w:val="1"/>
          <w:color w:val="auto"/>
        </w:rPr>
        <w:t>for the year ended</w:t>
      </w:r>
    </w:p>
    <w:p>
      <w:pPr>
        <w:jc w:val="center"/>
        <w:ind w:right="1400"/>
        <w:spacing w:after="0"/>
        <w:rPr>
          <w:sz w:val="20"/>
          <w:szCs w:val="20"/>
          <w:color w:val="auto"/>
        </w:rPr>
      </w:pPr>
      <w:r>
        <w:rPr>
          <w:rFonts w:ascii="Arial" w:cs="Arial" w:eastAsia="Arial" w:hAnsi="Arial"/>
          <w:sz w:val="14"/>
          <w:szCs w:val="14"/>
          <w:b w:val="1"/>
          <w:bCs w:val="1"/>
          <w:color w:val="auto"/>
        </w:rPr>
        <w:t>December 31,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-70485</wp:posOffset>
            </wp:positionH>
            <wp:positionV relativeFrom="paragraph">
              <wp:posOffset>-8255</wp:posOffset>
            </wp:positionV>
            <wp:extent cx="1106170" cy="889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1106170" cy="8890"/>
                    </a:xfrm>
                    <a:prstGeom prst="rect">
                      <a:avLst/>
                    </a:prstGeom>
                    <a:noFill/>
                  </pic:spPr>
                </pic:pic>
              </a:graphicData>
            </a:graphic>
          </wp:anchor>
        </w:drawing>
      </w:r>
    </w:p>
    <w:p>
      <w:pPr>
        <w:spacing w:after="0"/>
        <w:tabs>
          <w:tab w:leader="none" w:pos="620" w:val="left"/>
          <w:tab w:leader="none" w:pos="1240" w:val="left"/>
        </w:tabs>
        <w:rPr>
          <w:sz w:val="20"/>
          <w:szCs w:val="20"/>
          <w:color w:val="auto"/>
        </w:rPr>
      </w:pPr>
      <w:r>
        <w:rPr>
          <w:rFonts w:ascii="Arial" w:cs="Arial" w:eastAsia="Arial" w:hAnsi="Arial"/>
          <w:sz w:val="14"/>
          <w:szCs w:val="14"/>
          <w:b w:val="1"/>
          <w:bCs w:val="1"/>
          <w:color w:val="auto"/>
        </w:rPr>
        <w:t>2013</w:t>
      </w:r>
      <w:r>
        <w:rPr>
          <w:sz w:val="20"/>
          <w:szCs w:val="20"/>
          <w:color w:val="auto"/>
        </w:rPr>
        <w:tab/>
      </w:r>
      <w:r>
        <w:rPr>
          <w:rFonts w:ascii="Arial" w:cs="Arial" w:eastAsia="Arial" w:hAnsi="Arial"/>
          <w:sz w:val="14"/>
          <w:szCs w:val="14"/>
          <w:b w:val="1"/>
          <w:bCs w:val="1"/>
          <w:color w:val="auto"/>
        </w:rPr>
        <w:t>2012</w:t>
      </w:r>
      <w:r>
        <w:rPr>
          <w:sz w:val="20"/>
          <w:szCs w:val="20"/>
          <w:color w:val="auto"/>
        </w:rPr>
        <w:tab/>
      </w:r>
      <w:r>
        <w:rPr>
          <w:rFonts w:ascii="Arial" w:cs="Arial" w:eastAsia="Arial" w:hAnsi="Arial"/>
          <w:sz w:val="11"/>
          <w:szCs w:val="11"/>
          <w:b w:val="1"/>
          <w:bCs w:val="1"/>
          <w:color w:val="auto"/>
        </w:rPr>
        <w:t>2011</w:t>
      </w:r>
    </w:p>
    <w:p>
      <w:pPr>
        <w:spacing w:after="0" w:line="20" w:lineRule="exact"/>
        <w:rPr>
          <w:sz w:val="20"/>
          <w:szCs w:val="20"/>
          <w:color w:val="auto"/>
        </w:rPr>
      </w:pPr>
    </w:p>
    <w:p>
      <w:pPr>
        <w:sectPr>
          <w:pgSz w:w="11900" w:h="16838" w:orient="portrait"/>
          <w:cols w:equalWidth="0" w:num="4">
            <w:col w:w="3260" w:space="720"/>
            <w:col w:w="1420" w:space="240"/>
            <w:col w:w="2160" w:space="720"/>
            <w:col w:w="2900"/>
          </w:cols>
          <w:pgMar w:left="240" w:top="131" w:right="239" w:bottom="1440" w:gutter="0" w:footer="0" w:header="0"/>
          <w:type w:val="continuous"/>
        </w:sectPr>
      </w:pPr>
    </w:p>
    <w:tbl>
      <w:tblPr>
        <w:tblLayout w:type="fixed"/>
        <w:tblInd w:w="1140" w:type="dxa"/>
        <w:tblCellMar>
          <w:top w:w="0" w:type="dxa"/>
          <w:left w:w="0" w:type="dxa"/>
          <w:bottom w:w="0" w:type="dxa"/>
          <w:right w:w="0" w:type="dxa"/>
        </w:tblCellMar>
      </w:tblPr>
      <w:tr>
        <w:trPr>
          <w:trHeight w:val="20"/>
        </w:trPr>
        <w:tc>
          <w:tcPr>
            <w:tcW w:w="20" w:type="dxa"/>
            <w:vAlign w:val="bottom"/>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2"/>
        </w:trPr>
        <w:tc>
          <w:tcPr>
            <w:tcW w:w="2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5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760" w:type="dxa"/>
            <w:vAlign w:val="bottom"/>
            <w:gridSpan w:val="6"/>
          </w:tcPr>
          <w:p>
            <w:pPr>
              <w:jc w:val="right"/>
              <w:ind w:right="60"/>
              <w:spacing w:after="0" w:line="122" w:lineRule="exact"/>
              <w:rPr>
                <w:sz w:val="20"/>
                <w:szCs w:val="20"/>
                <w:color w:val="auto"/>
              </w:rPr>
            </w:pPr>
            <w:r>
              <w:rPr>
                <w:rFonts w:ascii="Arial" w:cs="Arial" w:eastAsia="Arial" w:hAnsi="Arial"/>
                <w:sz w:val="14"/>
                <w:szCs w:val="14"/>
                <w:b w:val="1"/>
                <w:bCs w:val="1"/>
                <w:i w:val="1"/>
                <w:iCs w:val="1"/>
                <w:color w:val="auto"/>
                <w:w w:val="86"/>
              </w:rPr>
              <w:t>(in millions)</w:t>
            </w:r>
          </w:p>
        </w:tc>
        <w:tc>
          <w:tcPr>
            <w:tcW w:w="4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20" w:type="dxa"/>
            <w:vAlign w:val="bottom"/>
            <w:gridSpan w:val="6"/>
          </w:tcPr>
          <w:p>
            <w:pPr>
              <w:jc w:val="right"/>
              <w:ind w:right="20"/>
              <w:spacing w:after="0" w:line="122" w:lineRule="exact"/>
              <w:rPr>
                <w:sz w:val="20"/>
                <w:szCs w:val="20"/>
                <w:color w:val="auto"/>
              </w:rPr>
            </w:pPr>
            <w:r>
              <w:rPr>
                <w:rFonts w:ascii="Arial" w:cs="Arial" w:eastAsia="Arial" w:hAnsi="Arial"/>
                <w:sz w:val="14"/>
                <w:szCs w:val="14"/>
                <w:b w:val="1"/>
                <w:bCs w:val="1"/>
                <w:i w:val="1"/>
                <w:iCs w:val="1"/>
                <w:color w:val="auto"/>
              </w:rPr>
              <w:t>(in millions)</w:t>
            </w: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Interest rate contracts</w:t>
            </w:r>
          </w:p>
        </w:tc>
        <w:tc>
          <w:tcPr>
            <w:tcW w:w="18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b w:val="1"/>
                <w:bCs w:val="1"/>
                <w:color w:val="auto"/>
              </w:rPr>
              <w:t>$</w:t>
            </w:r>
          </w:p>
        </w:tc>
        <w:tc>
          <w:tcPr>
            <w:tcW w:w="3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96"/>
              </w:rPr>
              <w:t>139.5</w:t>
            </w:r>
          </w:p>
        </w:tc>
        <w:tc>
          <w:tcPr>
            <w:tcW w:w="8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5"/>
              </w:rPr>
              <w:t>38.6</w:t>
            </w:r>
          </w:p>
        </w:tc>
        <w:tc>
          <w:tcPr>
            <w:tcW w:w="24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50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w w:val="99"/>
              </w:rPr>
              <w:t>(108.5)</w:t>
            </w:r>
          </w:p>
        </w:tc>
        <w:tc>
          <w:tcPr>
            <w:tcW w:w="2680" w:type="dxa"/>
            <w:vAlign w:val="bottom"/>
            <w:gridSpan w:val="2"/>
            <w:shd w:val="clear" w:color="auto" w:fill="CCEEFF"/>
          </w:tcPr>
          <w:p>
            <w:pPr>
              <w:ind w:left="40"/>
              <w:spacing w:after="0" w:line="149" w:lineRule="exact"/>
              <w:rPr>
                <w:sz w:val="20"/>
                <w:szCs w:val="20"/>
                <w:color w:val="auto"/>
              </w:rPr>
            </w:pPr>
            <w:r>
              <w:rPr>
                <w:rFonts w:ascii="Arial" w:cs="Arial" w:eastAsia="Arial" w:hAnsi="Arial"/>
                <w:sz w:val="14"/>
                <w:szCs w:val="14"/>
                <w:color w:val="auto"/>
              </w:rPr>
              <w:t>Fixed maturities, available-for-sale</w:t>
            </w:r>
          </w:p>
        </w:tc>
        <w:tc>
          <w:tcPr>
            <w:tcW w:w="2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50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b w:val="1"/>
                <w:bCs w:val="1"/>
                <w:color w:val="auto"/>
                <w:w w:val="99"/>
              </w:rPr>
              <w:t>(133.3)</w:t>
            </w:r>
          </w:p>
        </w:tc>
        <w:tc>
          <w:tcPr>
            <w:tcW w:w="1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4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w w:val="98"/>
              </w:rPr>
              <w:t>(34.1)</w:t>
            </w:r>
          </w:p>
        </w:tc>
        <w:tc>
          <w:tcPr>
            <w:tcW w:w="14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6"/>
              </w:rPr>
              <w:t>105.4</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40" w:type="dxa"/>
            <w:vAlign w:val="bottom"/>
            <w:gridSpan w:val="2"/>
          </w:tcPr>
          <w:p>
            <w:pPr>
              <w:spacing w:after="0" w:line="149" w:lineRule="exact"/>
              <w:rPr>
                <w:sz w:val="20"/>
                <w:szCs w:val="20"/>
                <w:color w:val="auto"/>
              </w:rPr>
            </w:pPr>
            <w:r>
              <w:rPr>
                <w:rFonts w:ascii="Arial" w:cs="Arial" w:eastAsia="Arial" w:hAnsi="Arial"/>
                <w:sz w:val="14"/>
                <w:szCs w:val="14"/>
                <w:color w:val="auto"/>
              </w:rPr>
              <w:t>Interest rate contracts</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(0.7)</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(2.2)</w:t>
            </w:r>
          </w:p>
        </w:tc>
        <w:tc>
          <w:tcPr>
            <w:tcW w:w="2680" w:type="dxa"/>
            <w:vAlign w:val="bottom"/>
            <w:gridSpan w:val="2"/>
          </w:tcPr>
          <w:p>
            <w:pPr>
              <w:ind w:left="40"/>
              <w:spacing w:after="0" w:line="149" w:lineRule="exact"/>
              <w:rPr>
                <w:sz w:val="20"/>
                <w:szCs w:val="20"/>
                <w:color w:val="auto"/>
              </w:rPr>
            </w:pPr>
            <w:r>
              <w:rPr>
                <w:rFonts w:ascii="Arial" w:cs="Arial" w:eastAsia="Arial" w:hAnsi="Arial"/>
                <w:sz w:val="14"/>
                <w:szCs w:val="14"/>
                <w:color w:val="auto"/>
              </w:rPr>
              <w:t>Investment-type insurance contracts</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0.2</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80" w:type="dxa"/>
            <w:vAlign w:val="bottom"/>
          </w:tcPr>
          <w:p>
            <w:pPr>
              <w:jc w:val="right"/>
              <w:spacing w:after="0" w:line="149" w:lineRule="exact"/>
              <w:rPr>
                <w:sz w:val="20"/>
                <w:szCs w:val="20"/>
                <w:color w:val="auto"/>
              </w:rPr>
            </w:pPr>
            <w:r>
              <w:rPr>
                <w:rFonts w:ascii="Arial" w:cs="Arial" w:eastAsia="Arial" w:hAnsi="Arial"/>
                <w:sz w:val="14"/>
                <w:szCs w:val="14"/>
                <w:color w:val="auto"/>
              </w:rPr>
              <w:t>2.4</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Foreign exchange contracts</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(0.2)</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0.7</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w:t>
            </w:r>
          </w:p>
        </w:tc>
        <w:tc>
          <w:tcPr>
            <w:tcW w:w="80" w:type="dxa"/>
            <w:vAlign w:val="bottom"/>
            <w:shd w:val="clear" w:color="auto" w:fill="CCEEFF"/>
          </w:tcPr>
          <w:p>
            <w:pPr>
              <w:spacing w:after="0"/>
              <w:rPr>
                <w:sz w:val="12"/>
                <w:szCs w:val="12"/>
                <w:color w:val="auto"/>
              </w:rPr>
            </w:pPr>
          </w:p>
        </w:tc>
        <w:tc>
          <w:tcPr>
            <w:tcW w:w="2680" w:type="dxa"/>
            <w:vAlign w:val="bottom"/>
            <w:gridSpan w:val="2"/>
            <w:shd w:val="clear" w:color="auto" w:fill="CCEEFF"/>
          </w:tcPr>
          <w:p>
            <w:pPr>
              <w:ind w:left="40"/>
              <w:spacing w:after="0" w:line="149" w:lineRule="exact"/>
              <w:rPr>
                <w:sz w:val="20"/>
                <w:szCs w:val="20"/>
                <w:color w:val="auto"/>
              </w:rPr>
            </w:pPr>
            <w:r>
              <w:rPr>
                <w:rFonts w:ascii="Arial" w:cs="Arial" w:eastAsia="Arial" w:hAnsi="Arial"/>
                <w:sz w:val="14"/>
                <w:szCs w:val="14"/>
                <w:color w:val="auto"/>
              </w:rPr>
              <w:t>Fixed maturities, available-for-sale</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0.4</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0.4</w:t>
            </w:r>
          </w:p>
        </w:tc>
        <w:tc>
          <w:tcPr>
            <w:tcW w:w="10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40" w:type="dxa"/>
            <w:vAlign w:val="bottom"/>
            <w:gridSpan w:val="2"/>
          </w:tcPr>
          <w:p>
            <w:pPr>
              <w:spacing w:after="0" w:line="149" w:lineRule="exact"/>
              <w:rPr>
                <w:sz w:val="20"/>
                <w:szCs w:val="20"/>
                <w:color w:val="auto"/>
              </w:rPr>
            </w:pPr>
            <w:r>
              <w:rPr>
                <w:rFonts w:ascii="Arial" w:cs="Arial" w:eastAsia="Arial" w:hAnsi="Arial"/>
                <w:sz w:val="14"/>
                <w:szCs w:val="14"/>
                <w:color w:val="auto"/>
              </w:rPr>
              <w:t>Foreign exchange contracts</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(36.7)</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80" w:type="dxa"/>
            <w:vAlign w:val="bottom"/>
          </w:tcPr>
          <w:p>
            <w:pPr>
              <w:jc w:val="right"/>
              <w:spacing w:after="0" w:line="149" w:lineRule="exact"/>
              <w:rPr>
                <w:sz w:val="20"/>
                <w:szCs w:val="20"/>
                <w:color w:val="auto"/>
              </w:rPr>
            </w:pPr>
            <w:r>
              <w:rPr>
                <w:rFonts w:ascii="Arial" w:cs="Arial" w:eastAsia="Arial" w:hAnsi="Arial"/>
                <w:sz w:val="14"/>
                <w:szCs w:val="14"/>
                <w:color w:val="auto"/>
              </w:rPr>
              <w:t>9.3</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(25.6)</w:t>
            </w:r>
          </w:p>
        </w:tc>
        <w:tc>
          <w:tcPr>
            <w:tcW w:w="2680" w:type="dxa"/>
            <w:vAlign w:val="bottom"/>
            <w:gridSpan w:val="2"/>
          </w:tcPr>
          <w:p>
            <w:pPr>
              <w:ind w:left="40"/>
              <w:spacing w:after="0" w:line="149" w:lineRule="exact"/>
              <w:rPr>
                <w:sz w:val="20"/>
                <w:szCs w:val="20"/>
                <w:color w:val="auto"/>
              </w:rPr>
            </w:pPr>
            <w:r>
              <w:rPr>
                <w:rFonts w:ascii="Arial" w:cs="Arial" w:eastAsia="Arial" w:hAnsi="Arial"/>
                <w:sz w:val="14"/>
                <w:szCs w:val="14"/>
                <w:color w:val="auto"/>
              </w:rPr>
              <w:t>Investment-type insurance contracts</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36.5</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w w:val="98"/>
              </w:rPr>
              <w:t>(12.6)</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80" w:type="dxa"/>
            <w:vAlign w:val="bottom"/>
          </w:tcPr>
          <w:p>
            <w:pPr>
              <w:jc w:val="right"/>
              <w:spacing w:after="0" w:line="149" w:lineRule="exact"/>
              <w:rPr>
                <w:sz w:val="20"/>
                <w:szCs w:val="20"/>
                <w:color w:val="auto"/>
              </w:rPr>
            </w:pPr>
            <w:r>
              <w:rPr>
                <w:rFonts w:ascii="Arial" w:cs="Arial" w:eastAsia="Arial" w:hAnsi="Arial"/>
                <w:sz w:val="14"/>
                <w:szCs w:val="14"/>
                <w:color w:val="auto"/>
              </w:rPr>
              <w:t>25.7</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264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Total</w:t>
            </w:r>
          </w:p>
        </w:tc>
        <w:tc>
          <w:tcPr>
            <w:tcW w:w="18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b w:val="1"/>
                <w:bCs w:val="1"/>
                <w:color w:val="auto"/>
              </w:rPr>
              <w:t>$</w:t>
            </w:r>
          </w:p>
        </w:tc>
        <w:tc>
          <w:tcPr>
            <w:tcW w:w="3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96"/>
              </w:rPr>
              <w:t>101.9</w:t>
            </w:r>
          </w:p>
        </w:tc>
        <w:tc>
          <w:tcPr>
            <w:tcW w:w="8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5"/>
              </w:rPr>
              <w:t>48.6</w:t>
            </w:r>
          </w:p>
        </w:tc>
        <w:tc>
          <w:tcPr>
            <w:tcW w:w="24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50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w w:val="99"/>
              </w:rPr>
              <w:t>(135.2)</w:t>
            </w:r>
          </w:p>
        </w:tc>
        <w:tc>
          <w:tcPr>
            <w:tcW w:w="2680" w:type="dxa"/>
            <w:vAlign w:val="bottom"/>
            <w:gridSpan w:val="2"/>
            <w:shd w:val="clear" w:color="auto" w:fill="CCEEFF"/>
          </w:tcPr>
          <w:p>
            <w:pPr>
              <w:ind w:left="40"/>
              <w:spacing w:after="0" w:line="142" w:lineRule="exact"/>
              <w:rPr>
                <w:sz w:val="20"/>
                <w:szCs w:val="20"/>
                <w:color w:val="auto"/>
              </w:rPr>
            </w:pPr>
            <w:r>
              <w:rPr>
                <w:rFonts w:ascii="Arial" w:cs="Arial" w:eastAsia="Arial" w:hAnsi="Arial"/>
                <w:sz w:val="14"/>
                <w:szCs w:val="14"/>
                <w:color w:val="auto"/>
              </w:rPr>
              <w:t>Total</w:t>
            </w:r>
          </w:p>
        </w:tc>
        <w:tc>
          <w:tcPr>
            <w:tcW w:w="24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w:t>
            </w:r>
          </w:p>
        </w:tc>
        <w:tc>
          <w:tcPr>
            <w:tcW w:w="50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b w:val="1"/>
                <w:bCs w:val="1"/>
                <w:color w:val="auto"/>
              </w:rPr>
              <w:t>(96.2)</w:t>
            </w:r>
          </w:p>
        </w:tc>
        <w:tc>
          <w:tcPr>
            <w:tcW w:w="18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w:t>
            </w:r>
          </w:p>
        </w:tc>
        <w:tc>
          <w:tcPr>
            <w:tcW w:w="44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w w:val="98"/>
              </w:rPr>
              <w:t>(46.3)</w:t>
            </w:r>
          </w:p>
        </w:tc>
        <w:tc>
          <w:tcPr>
            <w:tcW w:w="14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6"/>
              </w:rPr>
              <w:t>132.2</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152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360" w:type="dxa"/>
            <w:vAlign w:val="bottom"/>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28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420" w:type="dxa"/>
            <w:vAlign w:val="bottom"/>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tcPr>
          <w:p>
            <w:pPr>
              <w:spacing w:after="0"/>
              <w:rPr>
                <w:sz w:val="7"/>
                <w:szCs w:val="7"/>
                <w:color w:val="auto"/>
              </w:rPr>
            </w:pPr>
          </w:p>
        </w:tc>
        <w:tc>
          <w:tcPr>
            <w:tcW w:w="26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4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34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100" w:type="dxa"/>
            <w:vAlign w:val="bottom"/>
          </w:tcPr>
          <w:p>
            <w:pPr>
              <w:spacing w:after="0"/>
              <w:rPr>
                <w:sz w:val="7"/>
                <w:szCs w:val="7"/>
                <w:color w:val="auto"/>
              </w:rPr>
            </w:pPr>
          </w:p>
        </w:tc>
        <w:tc>
          <w:tcPr>
            <w:tcW w:w="380" w:type="dxa"/>
            <w:vAlign w:val="bottom"/>
          </w:tcPr>
          <w:p>
            <w:pPr>
              <w:spacing w:after="0"/>
              <w:rPr>
                <w:sz w:val="7"/>
                <w:szCs w:val="7"/>
                <w:color w:val="auto"/>
              </w:rPr>
            </w:pPr>
          </w:p>
        </w:tc>
        <w:tc>
          <w:tcPr>
            <w:tcW w:w="1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ind w:left="1680" w:hanging="531"/>
        <w:spacing w:after="0" w:line="239" w:lineRule="auto"/>
        <w:tabs>
          <w:tab w:leader="none" w:pos="1680" w:val="left"/>
        </w:tabs>
        <w:numPr>
          <w:ilvl w:val="0"/>
          <w:numId w:val="60"/>
        </w:numPr>
        <w:rPr>
          <w:rFonts w:ascii="Arial" w:cs="Arial" w:eastAsia="Arial" w:hAnsi="Arial"/>
          <w:sz w:val="14"/>
          <w:szCs w:val="14"/>
          <w:color w:val="auto"/>
        </w:rPr>
      </w:pPr>
      <w:r>
        <w:rPr>
          <w:rFonts w:ascii="Arial" w:cs="Arial" w:eastAsia="Arial" w:hAnsi="Arial"/>
          <w:sz w:val="14"/>
          <w:szCs w:val="14"/>
          <w:color w:val="auto"/>
        </w:rPr>
        <w:t>The gain (loss) on both derivatives and hedged items in fair value relationships is reported in net realized capital gains (losses) on the consolidated statements of operations. The net amount represents the ineffective portion of our fair value hedges.</w:t>
      </w:r>
    </w:p>
    <w:p>
      <w:pPr>
        <w:spacing w:after="0" w:line="19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following table shows the periodic settlements on interest rate contracts and foreign exchange contracts in fair value hedging relationships.</w:t>
      </w:r>
    </w:p>
    <w:p>
      <w:pPr>
        <w:spacing w:after="0" w:line="244" w:lineRule="exact"/>
        <w:rPr>
          <w:sz w:val="20"/>
          <w:szCs w:val="20"/>
          <w:color w:val="auto"/>
        </w:rPr>
      </w:pPr>
    </w:p>
    <w:p>
      <w:pPr>
        <w:jc w:val="center"/>
        <w:ind w:left="6780"/>
        <w:spacing w:after="0"/>
        <w:rPr>
          <w:sz w:val="20"/>
          <w:szCs w:val="20"/>
          <w:color w:val="auto"/>
        </w:rPr>
      </w:pPr>
      <w:r>
        <w:rPr>
          <w:rFonts w:ascii="Arial" w:cs="Arial" w:eastAsia="Arial" w:hAnsi="Arial"/>
          <w:sz w:val="14"/>
          <w:szCs w:val="14"/>
          <w:b w:val="1"/>
          <w:bCs w:val="1"/>
          <w:color w:val="auto"/>
        </w:rPr>
        <w:t>Amount of gain (loss)</w:t>
      </w:r>
    </w:p>
    <w:p>
      <w:pPr>
        <w:jc w:val="center"/>
        <w:ind w:left="6780"/>
        <w:spacing w:after="0" w:line="223" w:lineRule="auto"/>
        <w:rPr>
          <w:sz w:val="20"/>
          <w:szCs w:val="20"/>
          <w:color w:val="auto"/>
        </w:rPr>
      </w:pPr>
      <w:r>
        <w:rPr>
          <w:rFonts w:ascii="Arial" w:cs="Arial" w:eastAsia="Arial" w:hAnsi="Arial"/>
          <w:sz w:val="14"/>
          <w:szCs w:val="14"/>
          <w:b w:val="1"/>
          <w:bCs w:val="1"/>
          <w:color w:val="auto"/>
        </w:rPr>
        <w:t>for the year ended</w:t>
      </w:r>
    </w:p>
    <w:p>
      <w:pPr>
        <w:jc w:val="center"/>
        <w:ind w:left="6780"/>
        <w:spacing w:after="0" w:line="220" w:lineRule="auto"/>
        <w:rPr>
          <w:sz w:val="20"/>
          <w:szCs w:val="20"/>
          <w:color w:val="auto"/>
        </w:rPr>
      </w:pPr>
      <w:r>
        <w:rPr>
          <w:rFonts w:ascii="Arial" w:cs="Arial" w:eastAsia="Arial" w:hAnsi="Arial"/>
          <w:sz w:val="14"/>
          <w:szCs w:val="14"/>
          <w:b w:val="1"/>
          <w:bCs w:val="1"/>
          <w:color w:val="auto"/>
        </w:rPr>
        <w:t>December 31,</w:t>
      </w:r>
    </w:p>
    <w:tbl>
      <w:tblPr>
        <w:tblLayout w:type="fixed"/>
        <w:tblInd w:w="1140" w:type="dxa"/>
        <w:tblCellMar>
          <w:top w:w="0" w:type="dxa"/>
          <w:left w:w="0" w:type="dxa"/>
          <w:bottom w:w="0" w:type="dxa"/>
          <w:right w:w="0" w:type="dxa"/>
        </w:tblCellMar>
      </w:tblPr>
      <w:tr>
        <w:trPr>
          <w:trHeight w:val="142"/>
        </w:trPr>
        <w:tc>
          <w:tcPr>
            <w:tcW w:w="680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Hedged Item</w:t>
            </w:r>
          </w:p>
        </w:tc>
        <w:tc>
          <w:tcPr>
            <w:tcW w:w="160" w:type="dxa"/>
            <w:vAlign w:val="bottom"/>
          </w:tcPr>
          <w:p>
            <w:pPr>
              <w:spacing w:after="0"/>
              <w:rPr>
                <w:sz w:val="12"/>
                <w:szCs w:val="12"/>
                <w:color w:val="auto"/>
              </w:rPr>
            </w:pPr>
          </w:p>
        </w:tc>
        <w:tc>
          <w:tcPr>
            <w:tcW w:w="560" w:type="dxa"/>
            <w:vAlign w:val="bottom"/>
            <w:tcBorders>
              <w:top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rPr>
              <w:t>2013</w:t>
            </w:r>
          </w:p>
        </w:tc>
        <w:tc>
          <w:tcPr>
            <w:tcW w:w="8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gridSpan w:val="2"/>
          </w:tcPr>
          <w:p>
            <w:pPr>
              <w:jc w:val="right"/>
              <w:ind w:right="160"/>
              <w:spacing w:after="0" w:line="142" w:lineRule="exact"/>
              <w:rPr>
                <w:sz w:val="20"/>
                <w:szCs w:val="20"/>
                <w:color w:val="auto"/>
              </w:rPr>
            </w:pPr>
            <w:r>
              <w:rPr>
                <w:rFonts w:ascii="Arial" w:cs="Arial" w:eastAsia="Arial" w:hAnsi="Arial"/>
                <w:sz w:val="14"/>
                <w:szCs w:val="14"/>
                <w:b w:val="1"/>
                <w:bCs w:val="1"/>
                <w:color w:val="auto"/>
              </w:rPr>
              <w:t>2012</w:t>
            </w: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460" w:type="dxa"/>
            <w:vAlign w:val="bottom"/>
            <w:tcBorders>
              <w:top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89"/>
              </w:rPr>
              <w:t>2011</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5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5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gridSpan w:val="2"/>
          </w:tcPr>
          <w:p>
            <w:pPr>
              <w:jc w:val="right"/>
              <w:spacing w:after="0" w:line="142" w:lineRule="exact"/>
              <w:rPr>
                <w:sz w:val="20"/>
                <w:szCs w:val="20"/>
                <w:color w:val="auto"/>
              </w:rPr>
            </w:pPr>
            <w:r>
              <w:rPr>
                <w:rFonts w:ascii="Arial" w:cs="Arial" w:eastAsia="Arial" w:hAnsi="Arial"/>
                <w:sz w:val="14"/>
                <w:szCs w:val="14"/>
                <w:b w:val="1"/>
                <w:bCs w:val="1"/>
                <w:i w:val="1"/>
                <w:iCs w:val="1"/>
                <w:color w:val="auto"/>
                <w:w w:val="81"/>
              </w:rPr>
              <w:t>(in millions)</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7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Fixed maturities, available-for-sale (1)</w:t>
            </w:r>
          </w:p>
        </w:tc>
        <w:tc>
          <w:tcPr>
            <w:tcW w:w="800" w:type="dxa"/>
            <w:vAlign w:val="bottom"/>
            <w:gridSpan w:val="3"/>
            <w:shd w:val="clear" w:color="auto" w:fill="CCEEFF"/>
          </w:tcPr>
          <w:p>
            <w:pPr>
              <w:jc w:val="right"/>
              <w:ind w:right="40"/>
              <w:spacing w:after="0" w:line="149" w:lineRule="exact"/>
              <w:rPr>
                <w:sz w:val="20"/>
                <w:szCs w:val="20"/>
                <w:color w:val="auto"/>
              </w:rPr>
            </w:pPr>
            <w:r>
              <w:rPr>
                <w:rFonts w:ascii="Arial" w:cs="Arial" w:eastAsia="Arial" w:hAnsi="Arial"/>
                <w:sz w:val="14"/>
                <w:szCs w:val="14"/>
                <w:b w:val="1"/>
                <w:bCs w:val="1"/>
                <w:color w:val="auto"/>
              </w:rPr>
              <w:t>$  (120.7)</w:t>
            </w:r>
          </w:p>
        </w:tc>
        <w:tc>
          <w:tcPr>
            <w:tcW w:w="760" w:type="dxa"/>
            <w:vAlign w:val="bottom"/>
            <w:gridSpan w:val="3"/>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  (134.3)</w:t>
            </w:r>
          </w:p>
        </w:tc>
        <w:tc>
          <w:tcPr>
            <w:tcW w:w="1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(158.9)</w:t>
            </w:r>
          </w:p>
        </w:tc>
      </w:tr>
      <w:tr>
        <w:trPr>
          <w:trHeight w:val="174"/>
        </w:trPr>
        <w:tc>
          <w:tcPr>
            <w:tcW w:w="20" w:type="dxa"/>
            <w:vAlign w:val="bottom"/>
          </w:tcPr>
          <w:p>
            <w:pPr>
              <w:spacing w:after="0"/>
              <w:rPr>
                <w:sz w:val="15"/>
                <w:szCs w:val="15"/>
                <w:color w:val="auto"/>
              </w:rPr>
            </w:pPr>
          </w:p>
        </w:tc>
        <w:tc>
          <w:tcPr>
            <w:tcW w:w="6780" w:type="dxa"/>
            <w:vAlign w:val="bottom"/>
            <w:gridSpan w:val="2"/>
          </w:tcPr>
          <w:p>
            <w:pPr>
              <w:spacing w:after="0"/>
              <w:rPr>
                <w:sz w:val="20"/>
                <w:szCs w:val="20"/>
                <w:color w:val="auto"/>
              </w:rPr>
            </w:pPr>
            <w:r>
              <w:rPr>
                <w:rFonts w:ascii="Arial" w:cs="Arial" w:eastAsia="Arial" w:hAnsi="Arial"/>
                <w:sz w:val="14"/>
                <w:szCs w:val="14"/>
                <w:color w:val="auto"/>
              </w:rPr>
              <w:t>Investment-type insurance contracts (2)</w:t>
            </w:r>
          </w:p>
        </w:tc>
        <w:tc>
          <w:tcPr>
            <w:tcW w:w="720" w:type="dxa"/>
            <w:vAlign w:val="bottom"/>
            <w:gridSpan w:val="2"/>
          </w:tcPr>
          <w:p>
            <w:pPr>
              <w:jc w:val="right"/>
              <w:spacing w:after="0"/>
              <w:rPr>
                <w:sz w:val="20"/>
                <w:szCs w:val="20"/>
                <w:color w:val="auto"/>
              </w:rPr>
            </w:pPr>
            <w:r>
              <w:rPr>
                <w:rFonts w:ascii="Arial" w:cs="Arial" w:eastAsia="Arial" w:hAnsi="Arial"/>
                <w:sz w:val="14"/>
                <w:szCs w:val="14"/>
                <w:b w:val="1"/>
                <w:bCs w:val="1"/>
                <w:color w:val="auto"/>
              </w:rPr>
              <w:t>33.2</w:t>
            </w:r>
          </w:p>
        </w:tc>
        <w:tc>
          <w:tcPr>
            <w:tcW w:w="80" w:type="dxa"/>
            <w:vAlign w:val="bottom"/>
          </w:tcPr>
          <w:p>
            <w:pPr>
              <w:spacing w:after="0"/>
              <w:rPr>
                <w:sz w:val="15"/>
                <w:szCs w:val="15"/>
                <w:color w:val="auto"/>
              </w:rPr>
            </w:pPr>
          </w:p>
        </w:tc>
        <w:tc>
          <w:tcPr>
            <w:tcW w:w="660" w:type="dxa"/>
            <w:vAlign w:val="bottom"/>
            <w:gridSpan w:val="2"/>
          </w:tcPr>
          <w:p>
            <w:pPr>
              <w:jc w:val="right"/>
              <w:ind w:right="20"/>
              <w:spacing w:after="0"/>
              <w:rPr>
                <w:sz w:val="20"/>
                <w:szCs w:val="20"/>
                <w:color w:val="auto"/>
              </w:rPr>
            </w:pPr>
            <w:r>
              <w:rPr>
                <w:rFonts w:ascii="Arial" w:cs="Arial" w:eastAsia="Arial" w:hAnsi="Arial"/>
                <w:sz w:val="14"/>
                <w:szCs w:val="14"/>
                <w:color w:val="auto"/>
              </w:rPr>
              <w:t>37.1</w:t>
            </w: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44.0</w:t>
            </w:r>
          </w:p>
        </w:tc>
        <w:tc>
          <w:tcPr>
            <w:tcW w:w="160" w:type="dxa"/>
            <w:vAlign w:val="bottom"/>
          </w:tcPr>
          <w:p>
            <w:pPr>
              <w:spacing w:after="0"/>
              <w:rPr>
                <w:sz w:val="15"/>
                <w:szCs w:val="15"/>
                <w:color w:val="auto"/>
              </w:rPr>
            </w:pPr>
          </w:p>
        </w:tc>
      </w:tr>
      <w:tr>
        <w:trPr>
          <w:trHeight w:val="82"/>
        </w:trPr>
        <w:tc>
          <w:tcPr>
            <w:tcW w:w="20" w:type="dxa"/>
            <w:vAlign w:val="bottom"/>
            <w:tcBorders>
              <w:bottom w:val="single" w:sz="8" w:color="auto"/>
            </w:tcBorders>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5660" w:type="dxa"/>
            <w:vAlign w:val="bottom"/>
          </w:tcPr>
          <w:p>
            <w:pPr>
              <w:spacing w:after="0"/>
              <w:rPr>
                <w:sz w:val="7"/>
                <w:szCs w:val="7"/>
                <w:color w:val="auto"/>
              </w:rPr>
            </w:pPr>
          </w:p>
        </w:tc>
        <w:tc>
          <w:tcPr>
            <w:tcW w:w="160" w:type="dxa"/>
            <w:vAlign w:val="bottom"/>
          </w:tcPr>
          <w:p>
            <w:pPr>
              <w:spacing w:after="0"/>
              <w:rPr>
                <w:sz w:val="7"/>
                <w:szCs w:val="7"/>
                <w:color w:val="auto"/>
              </w:rPr>
            </w:pPr>
          </w:p>
        </w:tc>
        <w:tc>
          <w:tcPr>
            <w:tcW w:w="5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0" w:type="dxa"/>
            <w:vAlign w:val="bottom"/>
          </w:tcPr>
          <w:p>
            <w:pPr>
              <w:spacing w:after="0"/>
              <w:rPr>
                <w:sz w:val="7"/>
                <w:szCs w:val="7"/>
                <w:color w:val="auto"/>
              </w:rPr>
            </w:pPr>
          </w:p>
        </w:tc>
      </w:tr>
    </w:tbl>
    <w:p>
      <w:pPr>
        <w:spacing w:after="0" w:line="192" w:lineRule="exact"/>
        <w:rPr>
          <w:sz w:val="20"/>
          <w:szCs w:val="20"/>
          <w:color w:val="auto"/>
        </w:rPr>
      </w:pPr>
    </w:p>
    <w:p>
      <w:pPr>
        <w:ind w:left="1680" w:hanging="531"/>
        <w:spacing w:after="0"/>
        <w:tabs>
          <w:tab w:leader="none" w:pos="1680" w:val="left"/>
        </w:tabs>
        <w:numPr>
          <w:ilvl w:val="0"/>
          <w:numId w:val="61"/>
        </w:numPr>
        <w:rPr>
          <w:rFonts w:ascii="Arial" w:cs="Arial" w:eastAsia="Arial" w:hAnsi="Arial"/>
          <w:sz w:val="14"/>
          <w:szCs w:val="14"/>
          <w:color w:val="auto"/>
        </w:rPr>
      </w:pPr>
      <w:r>
        <w:rPr>
          <w:rFonts w:ascii="Arial" w:cs="Arial" w:eastAsia="Arial" w:hAnsi="Arial"/>
          <w:sz w:val="14"/>
          <w:szCs w:val="14"/>
          <w:color w:val="auto"/>
        </w:rPr>
        <w:t>Reported in net investment income on the consolidated statements of operations.</w:t>
      </w:r>
    </w:p>
    <w:p>
      <w:pPr>
        <w:spacing w:after="0" w:line="122" w:lineRule="exact"/>
        <w:rPr>
          <w:rFonts w:ascii="Arial" w:cs="Arial" w:eastAsia="Arial" w:hAnsi="Arial"/>
          <w:sz w:val="14"/>
          <w:szCs w:val="14"/>
          <w:color w:val="auto"/>
        </w:rPr>
      </w:pPr>
    </w:p>
    <w:p>
      <w:pPr>
        <w:ind w:left="1680" w:hanging="531"/>
        <w:spacing w:after="0"/>
        <w:tabs>
          <w:tab w:leader="none" w:pos="1680" w:val="left"/>
        </w:tabs>
        <w:numPr>
          <w:ilvl w:val="0"/>
          <w:numId w:val="61"/>
        </w:numPr>
        <w:rPr>
          <w:rFonts w:ascii="Arial" w:cs="Arial" w:eastAsia="Arial" w:hAnsi="Arial"/>
          <w:sz w:val="14"/>
          <w:szCs w:val="14"/>
          <w:color w:val="auto"/>
        </w:rPr>
      </w:pPr>
      <w:r>
        <w:rPr>
          <w:rFonts w:ascii="Arial" w:cs="Arial" w:eastAsia="Arial" w:hAnsi="Arial"/>
          <w:sz w:val="14"/>
          <w:szCs w:val="14"/>
          <w:color w:val="auto"/>
        </w:rPr>
        <w:t>Reported in benefits, claims and settlement expenses on the consolidated statements of operations.</w:t>
      </w:r>
    </w:p>
    <w:p>
      <w:pPr>
        <w:spacing w:after="0" w:line="200" w:lineRule="exact"/>
        <w:rPr>
          <w:sz w:val="20"/>
          <w:szCs w:val="20"/>
          <w:color w:val="auto"/>
        </w:rPr>
      </w:pP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 Hedges</w:t>
      </w:r>
    </w:p>
    <w:p>
      <w:pPr>
        <w:spacing w:after="0" w:line="231" w:lineRule="exact"/>
        <w:rPr>
          <w:sz w:val="20"/>
          <w:szCs w:val="20"/>
          <w:color w:val="auto"/>
        </w:rPr>
      </w:pPr>
    </w:p>
    <w:p>
      <w:pPr>
        <w:jc w:val="both"/>
        <w:ind w:firstLine="471"/>
        <w:spacing w:after="0" w:line="268" w:lineRule="auto"/>
        <w:rPr>
          <w:sz w:val="20"/>
          <w:szCs w:val="20"/>
          <w:color w:val="auto"/>
        </w:rPr>
      </w:pPr>
      <w:r>
        <w:rPr>
          <w:rFonts w:ascii="Arial" w:cs="Arial" w:eastAsia="Arial" w:hAnsi="Arial"/>
          <w:sz w:val="18"/>
          <w:szCs w:val="18"/>
          <w:color w:val="auto"/>
        </w:rPr>
        <w:t>We utilize floating-to-fixed rate interest rate swaps to eliminate the variability in cash flows of recognized financial assets and liabilities and forecasted transactions.</w:t>
      </w:r>
    </w:p>
    <w:p>
      <w:pPr>
        <w:spacing w:after="0" w:line="186" w:lineRule="exact"/>
        <w:rPr>
          <w:sz w:val="20"/>
          <w:szCs w:val="20"/>
          <w:color w:val="auto"/>
        </w:rPr>
      </w:pPr>
    </w:p>
    <w:p>
      <w:pPr>
        <w:jc w:val="both"/>
        <w:ind w:firstLine="396"/>
        <w:spacing w:after="0" w:line="268" w:lineRule="auto"/>
        <w:rPr>
          <w:sz w:val="20"/>
          <w:szCs w:val="20"/>
          <w:color w:val="auto"/>
        </w:rPr>
      </w:pPr>
      <w:r>
        <w:rPr>
          <w:rFonts w:ascii="Arial" w:cs="Arial" w:eastAsia="Arial" w:hAnsi="Arial"/>
          <w:sz w:val="18"/>
          <w:szCs w:val="18"/>
          <w:color w:val="auto"/>
        </w:rPr>
        <w:t>We enter into currency exchange swap agreements to convert both principal and interest payments of certain foreign denominated assets and liabilities into U.S. dollar denominated fixed-rate instruments to eliminate the exposure to future currency volatility on those items.</w:t>
      </w:r>
    </w:p>
    <w:p>
      <w:pPr>
        <w:spacing w:after="0" w:line="186" w:lineRule="exact"/>
        <w:rPr>
          <w:sz w:val="20"/>
          <w:szCs w:val="20"/>
          <w:color w:val="auto"/>
        </w:rPr>
      </w:pPr>
    </w:p>
    <w:p>
      <w:pPr>
        <w:jc w:val="both"/>
        <w:ind w:firstLine="436"/>
        <w:spacing w:after="0" w:line="268" w:lineRule="auto"/>
        <w:rPr>
          <w:sz w:val="20"/>
          <w:szCs w:val="20"/>
          <w:color w:val="auto"/>
        </w:rPr>
      </w:pPr>
      <w:r>
        <w:rPr>
          <w:rFonts w:ascii="Arial" w:cs="Arial" w:eastAsia="Arial" w:hAnsi="Arial"/>
          <w:sz w:val="18"/>
          <w:szCs w:val="18"/>
          <w:color w:val="auto"/>
        </w:rPr>
        <w:t>The net interest effect of interest rate swap and currency swap transactions for derivatives in cash flow hedges is recorded as an adjustment to income or expense of the underlying hedged item in our consolidated statements of operations.</w:t>
      </w:r>
    </w:p>
    <w:p>
      <w:pPr>
        <w:spacing w:after="0" w:line="186" w:lineRule="exact"/>
        <w:rPr>
          <w:sz w:val="20"/>
          <w:szCs w:val="20"/>
          <w:color w:val="auto"/>
        </w:rPr>
      </w:pPr>
    </w:p>
    <w:p>
      <w:pPr>
        <w:jc w:val="both"/>
        <w:ind w:firstLine="409"/>
        <w:spacing w:after="0" w:line="291" w:lineRule="auto"/>
        <w:rPr>
          <w:sz w:val="20"/>
          <w:szCs w:val="20"/>
          <w:color w:val="auto"/>
        </w:rPr>
      </w:pPr>
      <w:r>
        <w:rPr>
          <w:rFonts w:ascii="Arial" w:cs="Arial" w:eastAsia="Arial" w:hAnsi="Arial"/>
          <w:sz w:val="16"/>
          <w:szCs w:val="16"/>
          <w:color w:val="auto"/>
        </w:rPr>
        <w:t>The maximum length of time we are hedging our exposure to the variability in future cash flows for forecasted transactions, excluding those related to the payments of variable interest on existing financial assets and liabilities, is 6.5 years. At December 31, 2013, we had $61.7 million of net gains reported in AOCI on the consolidated statements of financial position related to active hedges of forecasted transactions. If a hedged forecasted transaction is no longer probable of occurring, cash flow hedge accounting is discontinued. If it is probable that the hedged forecasted transaction will not occur, the deferred gain or loss is immediately reclassified from OCI into net income. We reclassified $0.2 million and $0.0 million from AOCI into net realized capital gains (losses) as a result of the determination that hedged cash flows were probable of not occurring during the twelve months ended December 31, 2013 and 2012, respectively.</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37" w:name="page138"/>
    <w:bookmarkEnd w:id="13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Derivative Financial Instruments — (continued)</w:t>
      </w:r>
    </w:p>
    <w:p>
      <w:pPr>
        <w:spacing w:after="0" w:line="231" w:lineRule="exact"/>
        <w:rPr>
          <w:sz w:val="20"/>
          <w:szCs w:val="20"/>
          <w:color w:val="auto"/>
        </w:rPr>
      </w:pPr>
    </w:p>
    <w:p>
      <w:pPr>
        <w:ind w:firstLine="533"/>
        <w:spacing w:after="0" w:line="268" w:lineRule="auto"/>
        <w:rPr>
          <w:sz w:val="20"/>
          <w:szCs w:val="20"/>
          <w:color w:val="auto"/>
        </w:rPr>
      </w:pPr>
      <w:r>
        <w:rPr>
          <w:rFonts w:ascii="Arial" w:cs="Arial" w:eastAsia="Arial" w:hAnsi="Arial"/>
          <w:sz w:val="18"/>
          <w:szCs w:val="18"/>
          <w:color w:val="auto"/>
        </w:rPr>
        <w:t>The following table shows the effect of derivatives in cash flow hedging relationships on the consolidated statements of operations and consolidated statements of financial position. All gains or losses on derivatives were included in the assessment of hedge effectiveness.</w:t>
      </w:r>
    </w:p>
    <w:p>
      <w:pPr>
        <w:sectPr>
          <w:pgSz w:w="11900" w:h="16838" w:orient="portrait"/>
          <w:cols w:equalWidth="0" w:num="1">
            <w:col w:w="11420"/>
          </w:cols>
          <w:pgMar w:left="240" w:top="131" w:right="239" w:bottom="1440" w:gutter="0" w:footer="0" w:header="0"/>
        </w:sectPr>
      </w:pPr>
    </w:p>
    <w:p>
      <w:pPr>
        <w:spacing w:after="0" w:line="182" w:lineRule="exact"/>
        <w:rPr>
          <w:sz w:val="20"/>
          <w:szCs w:val="20"/>
          <w:color w:val="auto"/>
        </w:rPr>
      </w:pPr>
    </w:p>
    <w:p>
      <w:pPr>
        <w:jc w:val="center"/>
        <w:ind w:left="4180"/>
        <w:spacing w:after="0"/>
        <w:rPr>
          <w:sz w:val="20"/>
          <w:szCs w:val="20"/>
          <w:color w:val="auto"/>
        </w:rPr>
      </w:pPr>
      <w:r>
        <w:rPr>
          <w:rFonts w:ascii="Arial" w:cs="Arial" w:eastAsia="Arial" w:hAnsi="Arial"/>
          <w:sz w:val="14"/>
          <w:szCs w:val="14"/>
          <w:b w:val="1"/>
          <w:bCs w:val="1"/>
          <w:color w:val="auto"/>
        </w:rPr>
        <w:t>Amount of gain</w:t>
      </w:r>
    </w:p>
    <w:p>
      <w:pPr>
        <w:jc w:val="center"/>
        <w:ind w:left="4180"/>
        <w:spacing w:after="0" w:line="223" w:lineRule="auto"/>
        <w:rPr>
          <w:sz w:val="20"/>
          <w:szCs w:val="20"/>
          <w:color w:val="auto"/>
        </w:rPr>
      </w:pPr>
      <w:r>
        <w:rPr>
          <w:rFonts w:ascii="Arial" w:cs="Arial" w:eastAsia="Arial" w:hAnsi="Arial"/>
          <w:sz w:val="14"/>
          <w:szCs w:val="14"/>
          <w:b w:val="1"/>
          <w:bCs w:val="1"/>
          <w:color w:val="auto"/>
        </w:rPr>
        <w:t>(loss) recognized</w:t>
      </w:r>
    </w:p>
    <w:p>
      <w:pPr>
        <w:jc w:val="center"/>
        <w:ind w:left="4180"/>
        <w:spacing w:after="0" w:line="222" w:lineRule="auto"/>
        <w:rPr>
          <w:sz w:val="20"/>
          <w:szCs w:val="20"/>
          <w:color w:val="auto"/>
        </w:rPr>
      </w:pPr>
      <w:r>
        <w:rPr>
          <w:rFonts w:ascii="Arial" w:cs="Arial" w:eastAsia="Arial" w:hAnsi="Arial"/>
          <w:sz w:val="14"/>
          <w:szCs w:val="14"/>
          <w:b w:val="1"/>
          <w:bCs w:val="1"/>
          <w:color w:val="auto"/>
        </w:rPr>
        <w:t>in AOCI on</w:t>
      </w:r>
    </w:p>
    <w:p>
      <w:pPr>
        <w:jc w:val="center"/>
        <w:ind w:left="4180"/>
        <w:spacing w:after="0" w:line="221" w:lineRule="auto"/>
        <w:rPr>
          <w:sz w:val="20"/>
          <w:szCs w:val="20"/>
          <w:color w:val="auto"/>
        </w:rPr>
      </w:pPr>
      <w:r>
        <w:rPr>
          <w:rFonts w:ascii="Arial" w:cs="Arial" w:eastAsia="Arial" w:hAnsi="Arial"/>
          <w:sz w:val="14"/>
          <w:szCs w:val="14"/>
          <w:b w:val="1"/>
          <w:bCs w:val="1"/>
          <w:color w:val="auto"/>
        </w:rPr>
        <w:t>derivatives (effective</w:t>
      </w:r>
    </w:p>
    <w:p>
      <w:pPr>
        <w:jc w:val="center"/>
        <w:ind w:left="4180"/>
        <w:spacing w:after="0" w:line="222" w:lineRule="auto"/>
        <w:rPr>
          <w:sz w:val="20"/>
          <w:szCs w:val="20"/>
          <w:color w:val="auto"/>
        </w:rPr>
      </w:pPr>
      <w:r>
        <w:rPr>
          <w:rFonts w:ascii="Arial" w:cs="Arial" w:eastAsia="Arial" w:hAnsi="Arial"/>
          <w:sz w:val="14"/>
          <w:szCs w:val="14"/>
          <w:b w:val="1"/>
          <w:bCs w:val="1"/>
          <w:color w:val="auto"/>
        </w:rPr>
        <w:t>portion) for the year</w:t>
      </w:r>
    </w:p>
    <w:p>
      <w:pPr>
        <w:jc w:val="center"/>
        <w:ind w:left="4180"/>
        <w:spacing w:after="0" w:line="219" w:lineRule="auto"/>
        <w:rPr>
          <w:sz w:val="20"/>
          <w:szCs w:val="20"/>
          <w:color w:val="auto"/>
        </w:rPr>
      </w:pPr>
      <w:r>
        <w:rPr>
          <w:rFonts w:ascii="Arial" w:cs="Arial" w:eastAsia="Arial" w:hAnsi="Arial"/>
          <w:sz w:val="14"/>
          <w:szCs w:val="14"/>
          <w:b w:val="1"/>
          <w:bCs w:val="1"/>
          <w:color w:val="auto"/>
        </w:rPr>
        <w:t>ended December 31,</w:t>
      </w:r>
    </w:p>
    <w:p>
      <w:pPr>
        <w:spacing w:after="0" w:line="1" w:lineRule="exact"/>
        <w:rPr>
          <w:sz w:val="20"/>
          <w:szCs w:val="20"/>
          <w:color w:val="auto"/>
        </w:rPr>
      </w:pPr>
    </w:p>
    <w:tbl>
      <w:tblPr>
        <w:tblLayout w:type="fixed"/>
        <w:tblInd w:w="1140" w:type="dxa"/>
        <w:tblCellMar>
          <w:top w:w="0" w:type="dxa"/>
          <w:left w:w="0" w:type="dxa"/>
          <w:bottom w:w="0" w:type="dxa"/>
          <w:right w:w="0" w:type="dxa"/>
        </w:tblCellMar>
      </w:tblPr>
      <w:tr>
        <w:trPr>
          <w:trHeight w:val="129"/>
        </w:trPr>
        <w:tc>
          <w:tcPr>
            <w:tcW w:w="1760" w:type="dxa"/>
            <w:vAlign w:val="bottom"/>
          </w:tcPr>
          <w:p>
            <w:pPr>
              <w:spacing w:after="0" w:line="129" w:lineRule="exact"/>
              <w:rPr>
                <w:sz w:val="20"/>
                <w:szCs w:val="20"/>
                <w:color w:val="auto"/>
              </w:rPr>
            </w:pPr>
            <w:r>
              <w:rPr>
                <w:rFonts w:ascii="Arial" w:cs="Arial" w:eastAsia="Arial" w:hAnsi="Arial"/>
                <w:sz w:val="14"/>
                <w:szCs w:val="14"/>
                <w:b w:val="1"/>
                <w:bCs w:val="1"/>
                <w:color w:val="auto"/>
              </w:rPr>
              <w:t>Derivatives in cash flow</w:t>
            </w:r>
          </w:p>
        </w:tc>
        <w:tc>
          <w:tcPr>
            <w:tcW w:w="1300" w:type="dxa"/>
            <w:vAlign w:val="bottom"/>
          </w:tcPr>
          <w:p>
            <w:pPr>
              <w:jc w:val="center"/>
              <w:ind w:left="72"/>
              <w:spacing w:after="0" w:line="129" w:lineRule="exact"/>
              <w:rPr>
                <w:sz w:val="20"/>
                <w:szCs w:val="20"/>
                <w:color w:val="auto"/>
              </w:rPr>
            </w:pPr>
            <w:r>
              <w:rPr>
                <w:rFonts w:ascii="Arial" w:cs="Arial" w:eastAsia="Arial" w:hAnsi="Arial"/>
                <w:sz w:val="14"/>
                <w:szCs w:val="14"/>
                <w:b w:val="1"/>
                <w:bCs w:val="1"/>
                <w:color w:val="auto"/>
                <w:w w:val="86"/>
              </w:rPr>
              <w:t>Related</w:t>
            </w:r>
          </w:p>
        </w:tc>
        <w:tc>
          <w:tcPr>
            <w:tcW w:w="58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tcPr>
          <w:p>
            <w:pPr>
              <w:spacing w:after="0"/>
              <w:rPr>
                <w:sz w:val="11"/>
                <w:szCs w:val="11"/>
                <w:color w:val="auto"/>
              </w:rPr>
            </w:pPr>
          </w:p>
        </w:tc>
        <w:tc>
          <w:tcPr>
            <w:tcW w:w="600" w:type="dxa"/>
            <w:vAlign w:val="bottom"/>
            <w:tcBorders>
              <w:top w:val="single" w:sz="8" w:color="auto"/>
            </w:tcBorders>
          </w:tcPr>
          <w:p>
            <w:pPr>
              <w:spacing w:after="0"/>
              <w:rPr>
                <w:sz w:val="11"/>
                <w:szCs w:val="11"/>
                <w:color w:val="auto"/>
              </w:rPr>
            </w:pPr>
          </w:p>
        </w:tc>
      </w:tr>
      <w:tr>
        <w:trPr>
          <w:trHeight w:val="161"/>
        </w:trPr>
        <w:tc>
          <w:tcPr>
            <w:tcW w:w="1760" w:type="dxa"/>
            <w:vAlign w:val="bottom"/>
          </w:tcPr>
          <w:p>
            <w:pPr>
              <w:spacing w:after="0"/>
              <w:rPr>
                <w:sz w:val="20"/>
                <w:szCs w:val="20"/>
                <w:color w:val="auto"/>
              </w:rPr>
            </w:pPr>
            <w:r>
              <w:rPr>
                <w:rFonts w:ascii="Arial" w:cs="Arial" w:eastAsia="Arial" w:hAnsi="Arial"/>
                <w:sz w:val="14"/>
                <w:szCs w:val="14"/>
                <w:b w:val="1"/>
                <w:bCs w:val="1"/>
                <w:color w:val="auto"/>
              </w:rPr>
              <w:t>hedging relationships</w:t>
            </w:r>
          </w:p>
        </w:tc>
        <w:tc>
          <w:tcPr>
            <w:tcW w:w="1300" w:type="dxa"/>
            <w:vAlign w:val="bottom"/>
          </w:tcPr>
          <w:p>
            <w:pPr>
              <w:jc w:val="center"/>
              <w:ind w:left="92"/>
              <w:spacing w:after="0"/>
              <w:rPr>
                <w:sz w:val="20"/>
                <w:szCs w:val="20"/>
                <w:color w:val="auto"/>
              </w:rPr>
            </w:pPr>
            <w:r>
              <w:rPr>
                <w:rFonts w:ascii="Arial" w:cs="Arial" w:eastAsia="Arial" w:hAnsi="Arial"/>
                <w:sz w:val="14"/>
                <w:szCs w:val="14"/>
                <w:b w:val="1"/>
                <w:bCs w:val="1"/>
                <w:color w:val="auto"/>
                <w:w w:val="84"/>
              </w:rPr>
              <w:t>hedged item</w:t>
            </w:r>
          </w:p>
        </w:tc>
        <w:tc>
          <w:tcPr>
            <w:tcW w:w="580" w:type="dxa"/>
            <w:vAlign w:val="bottom"/>
          </w:tcPr>
          <w:p>
            <w:pPr>
              <w:jc w:val="right"/>
              <w:ind w:right="132"/>
              <w:spacing w:after="0"/>
              <w:rPr>
                <w:sz w:val="20"/>
                <w:szCs w:val="20"/>
                <w:color w:val="auto"/>
              </w:rPr>
            </w:pPr>
            <w:r>
              <w:rPr>
                <w:rFonts w:ascii="Arial" w:cs="Arial" w:eastAsia="Arial" w:hAnsi="Arial"/>
                <w:sz w:val="14"/>
                <w:szCs w:val="14"/>
                <w:b w:val="1"/>
                <w:bCs w:val="1"/>
                <w:color w:val="auto"/>
              </w:rPr>
              <w:t>2013</w:t>
            </w:r>
          </w:p>
        </w:tc>
        <w:tc>
          <w:tcPr>
            <w:tcW w:w="660" w:type="dxa"/>
            <w:vAlign w:val="bottom"/>
          </w:tcPr>
          <w:p>
            <w:pPr>
              <w:jc w:val="right"/>
              <w:ind w:right="132"/>
              <w:spacing w:after="0"/>
              <w:rPr>
                <w:sz w:val="20"/>
                <w:szCs w:val="20"/>
                <w:color w:val="auto"/>
              </w:rPr>
            </w:pPr>
            <w:r>
              <w:rPr>
                <w:rFonts w:ascii="Arial" w:cs="Arial" w:eastAsia="Arial" w:hAnsi="Arial"/>
                <w:sz w:val="14"/>
                <w:szCs w:val="14"/>
                <w:b w:val="1"/>
                <w:bCs w:val="1"/>
                <w:color w:val="auto"/>
              </w:rPr>
              <w:t>2012</w:t>
            </w:r>
          </w:p>
        </w:tc>
        <w:tc>
          <w:tcPr>
            <w:tcW w:w="600" w:type="dxa"/>
            <w:vAlign w:val="bottom"/>
          </w:tcPr>
          <w:p>
            <w:pPr>
              <w:jc w:val="right"/>
              <w:ind w:right="52"/>
              <w:spacing w:after="0"/>
              <w:rPr>
                <w:sz w:val="20"/>
                <w:szCs w:val="20"/>
                <w:color w:val="auto"/>
              </w:rPr>
            </w:pPr>
            <w:r>
              <w:rPr>
                <w:rFonts w:ascii="Arial" w:cs="Arial" w:eastAsia="Arial" w:hAnsi="Arial"/>
                <w:sz w:val="14"/>
                <w:szCs w:val="14"/>
                <w:b w:val="1"/>
                <w:bCs w:val="1"/>
                <w:color w:val="auto"/>
              </w:rPr>
              <w:t>2011</w:t>
            </w: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ind w:right="120"/>
        <w:spacing w:after="0" w:line="271" w:lineRule="auto"/>
        <w:rPr>
          <w:sz w:val="20"/>
          <w:szCs w:val="20"/>
          <w:color w:val="auto"/>
        </w:rPr>
      </w:pPr>
      <w:r>
        <w:rPr>
          <w:rFonts w:ascii="Arial" w:cs="Arial" w:eastAsia="Arial" w:hAnsi="Arial"/>
          <w:sz w:val="12"/>
          <w:szCs w:val="12"/>
          <w:b w:val="1"/>
          <w:bCs w:val="1"/>
          <w:color w:val="auto"/>
        </w:rPr>
        <w:t>Location of gain (loss) reclassified from AOCI into net income (effective portion)</w:t>
      </w:r>
    </w:p>
    <w:p>
      <w:pPr>
        <w:spacing w:after="0" w:line="20" w:lineRule="exact"/>
        <w:rPr>
          <w:sz w:val="20"/>
          <w:szCs w:val="20"/>
          <w:color w:val="auto"/>
        </w:rPr>
      </w:pPr>
      <w:r>
        <w:rPr>
          <w:sz w:val="20"/>
          <w:szCs w:val="20"/>
          <w:color w:val="auto"/>
        </w:rPr>
        <w:br w:type="column"/>
      </w:r>
    </w:p>
    <w:p>
      <w:pPr>
        <w:spacing w:after="0" w:line="162" w:lineRule="exact"/>
        <w:rPr>
          <w:sz w:val="20"/>
          <w:szCs w:val="20"/>
          <w:color w:val="auto"/>
        </w:rPr>
      </w:pPr>
    </w:p>
    <w:p>
      <w:pPr>
        <w:jc w:val="center"/>
        <w:ind w:right="1440"/>
        <w:spacing w:after="0"/>
        <w:rPr>
          <w:sz w:val="20"/>
          <w:szCs w:val="20"/>
          <w:color w:val="auto"/>
        </w:rPr>
      </w:pPr>
      <w:r>
        <w:rPr>
          <w:rFonts w:ascii="Arial" w:cs="Arial" w:eastAsia="Arial" w:hAnsi="Arial"/>
          <w:sz w:val="14"/>
          <w:szCs w:val="14"/>
          <w:b w:val="1"/>
          <w:bCs w:val="1"/>
          <w:color w:val="auto"/>
        </w:rPr>
        <w:t>Amount of gain</w:t>
      </w:r>
    </w:p>
    <w:p>
      <w:pPr>
        <w:jc w:val="center"/>
        <w:ind w:right="1440"/>
        <w:spacing w:after="0" w:line="223" w:lineRule="auto"/>
        <w:rPr>
          <w:sz w:val="20"/>
          <w:szCs w:val="20"/>
          <w:color w:val="auto"/>
        </w:rPr>
      </w:pPr>
      <w:r>
        <w:rPr>
          <w:rFonts w:ascii="Arial" w:cs="Arial" w:eastAsia="Arial" w:hAnsi="Arial"/>
          <w:sz w:val="14"/>
          <w:szCs w:val="14"/>
          <w:b w:val="1"/>
          <w:bCs w:val="1"/>
          <w:color w:val="auto"/>
        </w:rPr>
        <w:t>(loss) reclassified</w:t>
      </w:r>
    </w:p>
    <w:p>
      <w:pPr>
        <w:jc w:val="center"/>
        <w:ind w:right="1440"/>
        <w:spacing w:after="0" w:line="222" w:lineRule="auto"/>
        <w:rPr>
          <w:sz w:val="20"/>
          <w:szCs w:val="20"/>
          <w:color w:val="auto"/>
        </w:rPr>
      </w:pPr>
      <w:r>
        <w:rPr>
          <w:rFonts w:ascii="Arial" w:cs="Arial" w:eastAsia="Arial" w:hAnsi="Arial"/>
          <w:sz w:val="14"/>
          <w:szCs w:val="14"/>
          <w:b w:val="1"/>
          <w:bCs w:val="1"/>
          <w:color w:val="auto"/>
        </w:rPr>
        <w:t>from AOCI on</w:t>
      </w:r>
    </w:p>
    <w:p>
      <w:pPr>
        <w:jc w:val="center"/>
        <w:ind w:right="1440"/>
        <w:spacing w:after="0" w:line="221" w:lineRule="auto"/>
        <w:rPr>
          <w:sz w:val="20"/>
          <w:szCs w:val="20"/>
          <w:color w:val="auto"/>
        </w:rPr>
      </w:pPr>
      <w:r>
        <w:rPr>
          <w:rFonts w:ascii="Arial" w:cs="Arial" w:eastAsia="Arial" w:hAnsi="Arial"/>
          <w:sz w:val="14"/>
          <w:szCs w:val="14"/>
          <w:b w:val="1"/>
          <w:bCs w:val="1"/>
          <w:color w:val="auto"/>
        </w:rPr>
        <w:t>derivatives (effective</w:t>
      </w:r>
    </w:p>
    <w:p>
      <w:pPr>
        <w:jc w:val="center"/>
        <w:ind w:right="1440"/>
        <w:spacing w:after="0" w:line="222" w:lineRule="auto"/>
        <w:rPr>
          <w:sz w:val="20"/>
          <w:szCs w:val="20"/>
          <w:color w:val="auto"/>
        </w:rPr>
      </w:pPr>
      <w:r>
        <w:rPr>
          <w:rFonts w:ascii="Arial" w:cs="Arial" w:eastAsia="Arial" w:hAnsi="Arial"/>
          <w:sz w:val="14"/>
          <w:szCs w:val="14"/>
          <w:b w:val="1"/>
          <w:bCs w:val="1"/>
          <w:color w:val="auto"/>
        </w:rPr>
        <w:t>portion) for the year</w:t>
      </w:r>
    </w:p>
    <w:p>
      <w:pPr>
        <w:jc w:val="center"/>
        <w:ind w:right="1440"/>
        <w:spacing w:after="0"/>
        <w:rPr>
          <w:sz w:val="20"/>
          <w:szCs w:val="20"/>
          <w:color w:val="auto"/>
        </w:rPr>
      </w:pPr>
      <w:r>
        <w:rPr>
          <w:rFonts w:ascii="Arial" w:cs="Arial" w:eastAsia="Arial" w:hAnsi="Arial"/>
          <w:sz w:val="14"/>
          <w:szCs w:val="14"/>
          <w:b w:val="1"/>
          <w:bCs w:val="1"/>
          <w:color w:val="auto"/>
        </w:rPr>
        <w:t>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-67310</wp:posOffset>
            </wp:positionH>
            <wp:positionV relativeFrom="paragraph">
              <wp:posOffset>-8255</wp:posOffset>
            </wp:positionV>
            <wp:extent cx="1157605" cy="88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1157605" cy="8890"/>
                    </a:xfrm>
                    <a:prstGeom prst="rect">
                      <a:avLst/>
                    </a:prstGeom>
                    <a:noFill/>
                  </pic:spPr>
                </pic:pic>
              </a:graphicData>
            </a:graphic>
          </wp:anchor>
        </w:drawing>
      </w:r>
    </w:p>
    <w:p>
      <w:pPr>
        <w:spacing w:after="0" w:line="116" w:lineRule="exact"/>
        <w:rPr>
          <w:sz w:val="20"/>
          <w:szCs w:val="20"/>
          <w:color w:val="auto"/>
        </w:rPr>
      </w:pPr>
    </w:p>
    <w:p>
      <w:pPr>
        <w:spacing w:after="0"/>
        <w:tabs>
          <w:tab w:leader="none" w:pos="640" w:val="left"/>
          <w:tab w:leader="none" w:pos="1300" w:val="left"/>
        </w:tabs>
        <w:rPr>
          <w:sz w:val="20"/>
          <w:szCs w:val="20"/>
          <w:color w:val="auto"/>
        </w:rPr>
      </w:pPr>
      <w:r>
        <w:rPr>
          <w:rFonts w:ascii="Arial" w:cs="Arial" w:eastAsia="Arial" w:hAnsi="Arial"/>
          <w:sz w:val="14"/>
          <w:szCs w:val="14"/>
          <w:b w:val="1"/>
          <w:bCs w:val="1"/>
          <w:color w:val="auto"/>
        </w:rPr>
        <w:t>2013</w:t>
      </w:r>
      <w:r>
        <w:rPr>
          <w:sz w:val="20"/>
          <w:szCs w:val="20"/>
          <w:color w:val="auto"/>
        </w:rPr>
        <w:tab/>
      </w:r>
      <w:r>
        <w:rPr>
          <w:rFonts w:ascii="Arial" w:cs="Arial" w:eastAsia="Arial" w:hAnsi="Arial"/>
          <w:sz w:val="14"/>
          <w:szCs w:val="14"/>
          <w:b w:val="1"/>
          <w:bCs w:val="1"/>
          <w:color w:val="auto"/>
        </w:rPr>
        <w:t>2012</w:t>
      </w:r>
      <w:r>
        <w:rPr>
          <w:sz w:val="20"/>
          <w:szCs w:val="20"/>
          <w:color w:val="auto"/>
        </w:rPr>
        <w:tab/>
      </w:r>
      <w:r>
        <w:rPr>
          <w:rFonts w:ascii="Arial" w:cs="Arial" w:eastAsia="Arial" w:hAnsi="Arial"/>
          <w:sz w:val="12"/>
          <w:szCs w:val="12"/>
          <w:b w:val="1"/>
          <w:bCs w:val="1"/>
          <w:color w:val="auto"/>
        </w:rPr>
        <w:t>2011</w:t>
      </w:r>
    </w:p>
    <w:p>
      <w:pPr>
        <w:spacing w:after="0" w:line="20" w:lineRule="exact"/>
        <w:rPr>
          <w:sz w:val="20"/>
          <w:szCs w:val="20"/>
          <w:color w:val="auto"/>
        </w:rPr>
      </w:pPr>
    </w:p>
    <w:p>
      <w:pPr>
        <w:sectPr>
          <w:pgSz w:w="11900" w:h="16838" w:orient="portrait"/>
          <w:cols w:equalWidth="0" w:num="3">
            <w:col w:w="6040" w:space="160"/>
            <w:col w:w="1460" w:space="720"/>
            <w:col w:w="3040"/>
          </w:cols>
          <w:pgMar w:left="240" w:top="131" w:right="239" w:bottom="1440" w:gutter="0" w:footer="0" w:header="0"/>
          <w:type w:val="continuous"/>
        </w:sectPr>
      </w:pPr>
    </w:p>
    <w:tbl>
      <w:tblPr>
        <w:tblLayout w:type="fixed"/>
        <w:tblInd w:w="1140" w:type="dxa"/>
        <w:tblCellMar>
          <w:top w:w="0" w:type="dxa"/>
          <w:left w:w="0" w:type="dxa"/>
          <w:bottom w:w="0" w:type="dxa"/>
          <w:right w:w="0" w:type="dxa"/>
        </w:tblCellMar>
      </w:tblPr>
      <w:tr>
        <w:trPr>
          <w:trHeight w:val="20"/>
        </w:trPr>
        <w:tc>
          <w:tcPr>
            <w:tcW w:w="20" w:type="dxa"/>
            <w:vAlign w:val="bottom"/>
          </w:tcPr>
          <w:p>
            <w:pPr>
              <w:spacing w:after="0" w:line="20" w:lineRule="exact"/>
              <w:rPr>
                <w:sz w:val="1"/>
                <w:szCs w:val="1"/>
                <w:color w:val="auto"/>
              </w:rPr>
            </w:pPr>
          </w:p>
        </w:tc>
        <w:tc>
          <w:tcPr>
            <w:tcW w:w="19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2"/>
        </w:trPr>
        <w:tc>
          <w:tcPr>
            <w:tcW w:w="20" w:type="dxa"/>
            <w:vAlign w:val="bottom"/>
          </w:tcPr>
          <w:p>
            <w:pPr>
              <w:spacing w:after="0"/>
              <w:rPr>
                <w:sz w:val="10"/>
                <w:szCs w:val="10"/>
                <w:color w:val="auto"/>
              </w:rPr>
            </w:pPr>
          </w:p>
        </w:tc>
        <w:tc>
          <w:tcPr>
            <w:tcW w:w="19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40" w:type="dxa"/>
            <w:vAlign w:val="bottom"/>
            <w:gridSpan w:val="4"/>
          </w:tcPr>
          <w:p>
            <w:pPr>
              <w:jc w:val="right"/>
              <w:ind w:right="40"/>
              <w:spacing w:after="0" w:line="122" w:lineRule="exact"/>
              <w:rPr>
                <w:sz w:val="20"/>
                <w:szCs w:val="20"/>
                <w:color w:val="auto"/>
              </w:rPr>
            </w:pPr>
            <w:r>
              <w:rPr>
                <w:rFonts w:ascii="Arial" w:cs="Arial" w:eastAsia="Arial" w:hAnsi="Arial"/>
                <w:sz w:val="14"/>
                <w:szCs w:val="14"/>
                <w:b w:val="1"/>
                <w:bCs w:val="1"/>
                <w:i w:val="1"/>
                <w:iCs w:val="1"/>
                <w:color w:val="auto"/>
                <w:w w:val="86"/>
              </w:rPr>
              <w:t>(in millions)</w:t>
            </w: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9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40" w:type="dxa"/>
            <w:vAlign w:val="bottom"/>
            <w:gridSpan w:val="4"/>
          </w:tcPr>
          <w:p>
            <w:pPr>
              <w:jc w:val="right"/>
              <w:ind w:right="40"/>
              <w:spacing w:after="0" w:line="122" w:lineRule="exact"/>
              <w:rPr>
                <w:sz w:val="20"/>
                <w:szCs w:val="20"/>
                <w:color w:val="auto"/>
              </w:rPr>
            </w:pPr>
            <w:r>
              <w:rPr>
                <w:rFonts w:ascii="Arial" w:cs="Arial" w:eastAsia="Arial" w:hAnsi="Arial"/>
                <w:sz w:val="14"/>
                <w:szCs w:val="14"/>
                <w:b w:val="1"/>
                <w:bCs w:val="1"/>
                <w:i w:val="1"/>
                <w:iCs w:val="1"/>
                <w:color w:val="auto"/>
                <w:w w:val="86"/>
              </w:rPr>
              <w:t>(in millions)</w:t>
            </w: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90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Interest rate contracts</w:t>
            </w:r>
          </w:p>
        </w:tc>
        <w:tc>
          <w:tcPr>
            <w:tcW w:w="980" w:type="dxa"/>
            <w:vAlign w:val="bottom"/>
            <w:gridSpan w:val="2"/>
            <w:shd w:val="clear" w:color="auto" w:fill="CCEEFF"/>
          </w:tcPr>
          <w:p>
            <w:pPr>
              <w:ind w:left="160"/>
              <w:spacing w:after="0" w:line="138" w:lineRule="exact"/>
              <w:rPr>
                <w:sz w:val="20"/>
                <w:szCs w:val="20"/>
                <w:color w:val="auto"/>
              </w:rPr>
            </w:pPr>
            <w:r>
              <w:rPr>
                <w:rFonts w:ascii="Arial" w:cs="Arial" w:eastAsia="Arial" w:hAnsi="Arial"/>
                <w:sz w:val="14"/>
                <w:szCs w:val="14"/>
                <w:color w:val="auto"/>
              </w:rPr>
              <w:t>Fixed</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maturities,</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available-</w:t>
            </w:r>
          </w:p>
        </w:tc>
        <w:tc>
          <w:tcPr>
            <w:tcW w:w="30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4"/>
                <w:szCs w:val="14"/>
                <w:b w:val="1"/>
                <w:bCs w:val="1"/>
                <w:color w:val="auto"/>
              </w:rPr>
              <w:t>$</w:t>
            </w:r>
          </w:p>
        </w:tc>
        <w:tc>
          <w:tcPr>
            <w:tcW w:w="42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4"/>
                <w:szCs w:val="14"/>
                <w:b w:val="1"/>
                <w:bCs w:val="1"/>
                <w:color w:val="auto"/>
              </w:rPr>
              <w:t>(80.5)</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920" w:type="dxa"/>
            <w:vAlign w:val="bottom"/>
            <w:shd w:val="clear" w:color="auto" w:fill="CCEEFF"/>
          </w:tcPr>
          <w:p>
            <w:pPr>
              <w:spacing w:after="0"/>
              <w:rPr>
                <w:sz w:val="12"/>
                <w:szCs w:val="12"/>
                <w:color w:val="auto"/>
              </w:rPr>
            </w:pPr>
          </w:p>
        </w:tc>
        <w:tc>
          <w:tcPr>
            <w:tcW w:w="28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w:t>
            </w:r>
          </w:p>
        </w:tc>
        <w:tc>
          <w:tcPr>
            <w:tcW w:w="38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11.7</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90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2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for-sale</w:t>
            </w:r>
          </w:p>
        </w:tc>
        <w:tc>
          <w:tcPr>
            <w:tcW w:w="300" w:type="dxa"/>
            <w:vAlign w:val="bottom"/>
            <w:gridSpan w:val="2"/>
            <w:vMerge w:val="continue"/>
            <w:shd w:val="clear" w:color="auto" w:fill="CCEEFF"/>
          </w:tcPr>
          <w:p>
            <w:pPr>
              <w:spacing w:after="0"/>
              <w:rPr>
                <w:sz w:val="13"/>
                <w:szCs w:val="13"/>
                <w:color w:val="auto"/>
              </w:rPr>
            </w:pPr>
          </w:p>
        </w:tc>
        <w:tc>
          <w:tcPr>
            <w:tcW w:w="420" w:type="dxa"/>
            <w:vAlign w:val="bottom"/>
            <w:gridSpan w:val="2"/>
            <w:vMerge w:val="continue"/>
            <w:shd w:val="clear" w:color="auto" w:fill="CCEEFF"/>
          </w:tcPr>
          <w:p>
            <w:pPr>
              <w:spacing w:after="0"/>
              <w:rPr>
                <w:sz w:val="13"/>
                <w:szCs w:val="13"/>
                <w:color w:val="auto"/>
              </w:rPr>
            </w:pPr>
          </w:p>
        </w:tc>
        <w:tc>
          <w:tcPr>
            <w:tcW w:w="24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16.2</w:t>
            </w:r>
          </w:p>
        </w:tc>
        <w:tc>
          <w:tcPr>
            <w:tcW w:w="140" w:type="dxa"/>
            <w:vAlign w:val="bottom"/>
            <w:shd w:val="clear" w:color="auto" w:fill="CCEEFF"/>
          </w:tcPr>
          <w:p>
            <w:pPr>
              <w:spacing w:after="0"/>
              <w:rPr>
                <w:sz w:val="13"/>
                <w:szCs w:val="13"/>
                <w:color w:val="auto"/>
              </w:rPr>
            </w:pPr>
          </w:p>
        </w:tc>
        <w:tc>
          <w:tcPr>
            <w:tcW w:w="16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107.1</w:t>
            </w:r>
          </w:p>
        </w:tc>
        <w:tc>
          <w:tcPr>
            <w:tcW w:w="100" w:type="dxa"/>
            <w:vAlign w:val="bottom"/>
            <w:shd w:val="clear" w:color="auto" w:fill="CCEEFF"/>
          </w:tcPr>
          <w:p>
            <w:pPr>
              <w:spacing w:after="0"/>
              <w:rPr>
                <w:sz w:val="13"/>
                <w:szCs w:val="13"/>
                <w:color w:val="auto"/>
              </w:rPr>
            </w:pPr>
          </w:p>
        </w:tc>
        <w:tc>
          <w:tcPr>
            <w:tcW w:w="1980" w:type="dxa"/>
            <w:vAlign w:val="bottom"/>
            <w:gridSpan w:val="2"/>
            <w:shd w:val="clear" w:color="auto" w:fill="CCEEFF"/>
          </w:tcPr>
          <w:p>
            <w:pPr>
              <w:ind w:left="60"/>
              <w:spacing w:after="0" w:line="159" w:lineRule="exact"/>
              <w:rPr>
                <w:sz w:val="20"/>
                <w:szCs w:val="20"/>
                <w:color w:val="auto"/>
              </w:rPr>
            </w:pPr>
            <w:r>
              <w:rPr>
                <w:rFonts w:ascii="Arial" w:cs="Arial" w:eastAsia="Arial" w:hAnsi="Arial"/>
                <w:sz w:val="14"/>
                <w:szCs w:val="14"/>
                <w:color w:val="auto"/>
              </w:rPr>
              <w:t>Net investment income</w:t>
            </w:r>
          </w:p>
        </w:tc>
        <w:tc>
          <w:tcPr>
            <w:tcW w:w="280" w:type="dxa"/>
            <w:vAlign w:val="bottom"/>
            <w:gridSpan w:val="2"/>
            <w:vMerge w:val="continue"/>
            <w:shd w:val="clear" w:color="auto" w:fill="CCEEFF"/>
          </w:tcPr>
          <w:p>
            <w:pPr>
              <w:spacing w:after="0"/>
              <w:rPr>
                <w:sz w:val="13"/>
                <w:szCs w:val="13"/>
                <w:color w:val="auto"/>
              </w:rPr>
            </w:pPr>
          </w:p>
        </w:tc>
        <w:tc>
          <w:tcPr>
            <w:tcW w:w="380" w:type="dxa"/>
            <w:vAlign w:val="bottom"/>
            <w:vMerge w:val="continue"/>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2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8.9</w:t>
            </w:r>
          </w:p>
        </w:tc>
        <w:tc>
          <w:tcPr>
            <w:tcW w:w="120" w:type="dxa"/>
            <w:vAlign w:val="bottom"/>
            <w:shd w:val="clear" w:color="auto" w:fill="CCEEFF"/>
          </w:tcPr>
          <w:p>
            <w:pPr>
              <w:spacing w:after="0"/>
              <w:rPr>
                <w:sz w:val="13"/>
                <w:szCs w:val="13"/>
                <w:color w:val="auto"/>
              </w:rPr>
            </w:pPr>
          </w:p>
        </w:tc>
        <w:tc>
          <w:tcPr>
            <w:tcW w:w="18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7.2</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980" w:type="dxa"/>
            <w:vAlign w:val="bottom"/>
            <w:gridSpan w:val="2"/>
          </w:tcPr>
          <w:p>
            <w:pPr>
              <w:ind w:left="60"/>
              <w:spacing w:after="0"/>
              <w:rPr>
                <w:sz w:val="20"/>
                <w:szCs w:val="20"/>
                <w:color w:val="auto"/>
              </w:rPr>
            </w:pPr>
            <w:r>
              <w:rPr>
                <w:rFonts w:ascii="Arial" w:cs="Arial" w:eastAsia="Arial" w:hAnsi="Arial"/>
                <w:sz w:val="14"/>
                <w:szCs w:val="14"/>
                <w:color w:val="auto"/>
              </w:rPr>
              <w:t>Net realized capital losses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gridSpan w:val="2"/>
          </w:tcPr>
          <w:p>
            <w:pPr>
              <w:jc w:val="right"/>
              <w:ind w:right="120"/>
              <w:spacing w:after="0"/>
              <w:rPr>
                <w:sz w:val="20"/>
                <w:szCs w:val="20"/>
                <w:color w:val="auto"/>
              </w:rPr>
            </w:pPr>
            <w:r>
              <w:rPr>
                <w:rFonts w:ascii="Arial" w:cs="Arial" w:eastAsia="Arial" w:hAnsi="Arial"/>
                <w:sz w:val="14"/>
                <w:szCs w:val="14"/>
                <w:color w:val="auto"/>
              </w:rPr>
              <w:t>(0.2)</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90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Interest rate contracts</w:t>
            </w:r>
          </w:p>
        </w:tc>
        <w:tc>
          <w:tcPr>
            <w:tcW w:w="980" w:type="dxa"/>
            <w:vAlign w:val="bottom"/>
            <w:gridSpan w:val="2"/>
            <w:shd w:val="clear" w:color="auto" w:fill="CCEEFF"/>
          </w:tcPr>
          <w:p>
            <w:pPr>
              <w:ind w:left="160"/>
              <w:spacing w:after="0" w:line="138" w:lineRule="exact"/>
              <w:rPr>
                <w:sz w:val="20"/>
                <w:szCs w:val="20"/>
                <w:color w:val="auto"/>
              </w:rPr>
            </w:pPr>
            <w:r>
              <w:rPr>
                <w:rFonts w:ascii="Arial" w:cs="Arial" w:eastAsia="Arial" w:hAnsi="Arial"/>
                <w:sz w:val="14"/>
                <w:szCs w:val="14"/>
                <w:color w:val="auto"/>
              </w:rPr>
              <w:t>Investment-</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980" w:type="dxa"/>
            <w:vAlign w:val="bottom"/>
            <w:gridSpan w:val="2"/>
            <w:shd w:val="clear" w:color="auto" w:fill="CCEEFF"/>
          </w:tcPr>
          <w:p>
            <w:pPr>
              <w:ind w:left="60"/>
              <w:spacing w:after="0" w:line="138" w:lineRule="exact"/>
              <w:rPr>
                <w:sz w:val="20"/>
                <w:szCs w:val="20"/>
                <w:color w:val="auto"/>
              </w:rPr>
            </w:pPr>
            <w:r>
              <w:rPr>
                <w:rFonts w:ascii="Arial" w:cs="Arial" w:eastAsia="Arial" w:hAnsi="Arial"/>
                <w:sz w:val="14"/>
                <w:szCs w:val="14"/>
                <w:color w:val="auto"/>
                <w:w w:val="98"/>
              </w:rPr>
              <w:t>Benefits, claims and settlement</w:t>
            </w: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type</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9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expenses</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insurance</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6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2.5</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2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90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2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contracts</w:t>
            </w:r>
          </w:p>
        </w:tc>
        <w:tc>
          <w:tcPr>
            <w:tcW w:w="1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360" w:type="dxa"/>
            <w:vAlign w:val="bottom"/>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3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2.5</w:t>
            </w:r>
          </w:p>
        </w:tc>
        <w:tc>
          <w:tcPr>
            <w:tcW w:w="14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(1.0)</w:t>
            </w:r>
          </w:p>
        </w:tc>
        <w:tc>
          <w:tcPr>
            <w:tcW w:w="60" w:type="dxa"/>
            <w:vAlign w:val="bottom"/>
            <w:shd w:val="clear" w:color="auto" w:fill="CCEEFF"/>
          </w:tcPr>
          <w:p>
            <w:pPr>
              <w:spacing w:after="0"/>
              <w:rPr>
                <w:sz w:val="13"/>
                <w:szCs w:val="13"/>
                <w:color w:val="auto"/>
              </w:rPr>
            </w:pPr>
          </w:p>
        </w:tc>
        <w:tc>
          <w:tcPr>
            <w:tcW w:w="19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420" w:type="dxa"/>
            <w:vAlign w:val="bottom"/>
            <w:gridSpan w:val="2"/>
            <w:vMerge w:val="continue"/>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46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(0.8)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Pr>
          <w:p>
            <w:pPr>
              <w:spacing w:after="0" w:line="149" w:lineRule="exact"/>
              <w:rPr>
                <w:sz w:val="20"/>
                <w:szCs w:val="20"/>
                <w:color w:val="auto"/>
              </w:rPr>
            </w:pPr>
            <w:r>
              <w:rPr>
                <w:rFonts w:ascii="Arial" w:cs="Arial" w:eastAsia="Arial" w:hAnsi="Arial"/>
                <w:sz w:val="14"/>
                <w:szCs w:val="14"/>
                <w:color w:val="auto"/>
              </w:rPr>
              <w:t>Interest rate contracts</w:t>
            </w:r>
          </w:p>
        </w:tc>
        <w:tc>
          <w:tcPr>
            <w:tcW w:w="980" w:type="dxa"/>
            <w:vAlign w:val="bottom"/>
            <w:gridSpan w:val="2"/>
          </w:tcPr>
          <w:p>
            <w:pPr>
              <w:ind w:left="160"/>
              <w:spacing w:after="0" w:line="149" w:lineRule="exact"/>
              <w:rPr>
                <w:sz w:val="20"/>
                <w:szCs w:val="20"/>
                <w:color w:val="auto"/>
              </w:rPr>
            </w:pPr>
            <w:r>
              <w:rPr>
                <w:rFonts w:ascii="Arial" w:cs="Arial" w:eastAsia="Arial" w:hAnsi="Arial"/>
                <w:sz w:val="14"/>
                <w:szCs w:val="14"/>
                <w:color w:val="auto"/>
              </w:rPr>
              <w:t>Debt</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gridSpan w:val="2"/>
          </w:tcPr>
          <w:p>
            <w:pPr>
              <w:jc w:val="right"/>
              <w:ind w:right="80"/>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980" w:type="dxa"/>
            <w:vAlign w:val="bottom"/>
            <w:gridSpan w:val="2"/>
          </w:tcPr>
          <w:p>
            <w:pPr>
              <w:ind w:left="60"/>
              <w:spacing w:after="0" w:line="149" w:lineRule="exact"/>
              <w:rPr>
                <w:sz w:val="20"/>
                <w:szCs w:val="20"/>
                <w:color w:val="auto"/>
              </w:rPr>
            </w:pPr>
            <w:r>
              <w:rPr>
                <w:rFonts w:ascii="Arial" w:cs="Arial" w:eastAsia="Arial" w:hAnsi="Arial"/>
                <w:sz w:val="14"/>
                <w:szCs w:val="14"/>
                <w:color w:val="auto"/>
              </w:rPr>
              <w:t>Operating expense</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(6.6)</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(5.9)</w:t>
            </w: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(5.3)</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90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Foreign exchange contracts</w:t>
            </w:r>
          </w:p>
        </w:tc>
        <w:tc>
          <w:tcPr>
            <w:tcW w:w="980" w:type="dxa"/>
            <w:vAlign w:val="bottom"/>
            <w:gridSpan w:val="2"/>
            <w:shd w:val="clear" w:color="auto" w:fill="CCEEFF"/>
          </w:tcPr>
          <w:p>
            <w:pPr>
              <w:ind w:left="160"/>
              <w:spacing w:after="0" w:line="138" w:lineRule="exact"/>
              <w:rPr>
                <w:sz w:val="20"/>
                <w:szCs w:val="20"/>
                <w:color w:val="auto"/>
              </w:rPr>
            </w:pPr>
            <w:r>
              <w:rPr>
                <w:rFonts w:ascii="Arial" w:cs="Arial" w:eastAsia="Arial" w:hAnsi="Arial"/>
                <w:sz w:val="14"/>
                <w:szCs w:val="14"/>
                <w:color w:val="auto"/>
              </w:rPr>
              <w:t>Fixed</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maturities,</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available-</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2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4"/>
                <w:szCs w:val="14"/>
                <w:b w:val="1"/>
                <w:bCs w:val="1"/>
                <w:color w:val="auto"/>
              </w:rPr>
              <w:t>(0.9)</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2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(16.7)</w:t>
            </w: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90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2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for-sale</w:t>
            </w:r>
          </w:p>
        </w:tc>
        <w:tc>
          <w:tcPr>
            <w:tcW w:w="1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420" w:type="dxa"/>
            <w:vAlign w:val="bottom"/>
            <w:gridSpan w:val="2"/>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5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(27.9)</w:t>
            </w: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3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29.9</w:t>
            </w:r>
          </w:p>
        </w:tc>
        <w:tc>
          <w:tcPr>
            <w:tcW w:w="100" w:type="dxa"/>
            <w:vAlign w:val="bottom"/>
            <w:shd w:val="clear" w:color="auto" w:fill="CCEEFF"/>
          </w:tcPr>
          <w:p>
            <w:pPr>
              <w:spacing w:after="0"/>
              <w:rPr>
                <w:sz w:val="13"/>
                <w:szCs w:val="13"/>
                <w:color w:val="auto"/>
              </w:rPr>
            </w:pPr>
          </w:p>
        </w:tc>
        <w:tc>
          <w:tcPr>
            <w:tcW w:w="1980" w:type="dxa"/>
            <w:vAlign w:val="bottom"/>
            <w:gridSpan w:val="2"/>
            <w:shd w:val="clear" w:color="auto" w:fill="CCEEFF"/>
          </w:tcPr>
          <w:p>
            <w:pPr>
              <w:ind w:left="60"/>
              <w:spacing w:after="0" w:line="159" w:lineRule="exact"/>
              <w:rPr>
                <w:sz w:val="20"/>
                <w:szCs w:val="20"/>
                <w:color w:val="auto"/>
              </w:rPr>
            </w:pPr>
            <w:r>
              <w:rPr>
                <w:rFonts w:ascii="Arial" w:cs="Arial" w:eastAsia="Arial" w:hAnsi="Arial"/>
                <w:sz w:val="14"/>
                <w:szCs w:val="14"/>
                <w:color w:val="auto"/>
              </w:rPr>
              <w:t>Net realized capital losses</w:t>
            </w:r>
          </w:p>
        </w:tc>
        <w:tc>
          <w:tcPr>
            <w:tcW w:w="1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420" w:type="dxa"/>
            <w:vAlign w:val="bottom"/>
            <w:gridSpan w:val="2"/>
            <w:vMerge w:val="continue"/>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46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(6.4)</w:t>
            </w:r>
          </w:p>
        </w:tc>
        <w:tc>
          <w:tcPr>
            <w:tcW w:w="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(20.4)</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900" w:type="dxa"/>
            <w:vAlign w:val="bottom"/>
          </w:tcPr>
          <w:p>
            <w:pPr>
              <w:spacing w:after="0" w:line="138" w:lineRule="exact"/>
              <w:rPr>
                <w:sz w:val="20"/>
                <w:szCs w:val="20"/>
                <w:color w:val="auto"/>
              </w:rPr>
            </w:pPr>
            <w:r>
              <w:rPr>
                <w:rFonts w:ascii="Arial" w:cs="Arial" w:eastAsia="Arial" w:hAnsi="Arial"/>
                <w:sz w:val="14"/>
                <w:szCs w:val="14"/>
                <w:color w:val="auto"/>
              </w:rPr>
              <w:t>Foreign exchange contracts</w:t>
            </w:r>
          </w:p>
        </w:tc>
        <w:tc>
          <w:tcPr>
            <w:tcW w:w="980" w:type="dxa"/>
            <w:vAlign w:val="bottom"/>
            <w:gridSpan w:val="2"/>
          </w:tcPr>
          <w:p>
            <w:pPr>
              <w:ind w:left="160"/>
              <w:spacing w:after="0" w:line="138" w:lineRule="exact"/>
              <w:rPr>
                <w:sz w:val="20"/>
                <w:szCs w:val="20"/>
                <w:color w:val="auto"/>
              </w:rPr>
            </w:pPr>
            <w:r>
              <w:rPr>
                <w:rFonts w:ascii="Arial" w:cs="Arial" w:eastAsia="Arial" w:hAnsi="Arial"/>
                <w:sz w:val="14"/>
                <w:szCs w:val="14"/>
                <w:color w:val="auto"/>
              </w:rPr>
              <w:t>Investment-</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980" w:type="dxa"/>
            <w:vAlign w:val="bottom"/>
            <w:gridSpan w:val="2"/>
          </w:tcPr>
          <w:p>
            <w:pPr>
              <w:ind w:left="60"/>
              <w:spacing w:after="0" w:line="138" w:lineRule="exact"/>
              <w:rPr>
                <w:sz w:val="20"/>
                <w:szCs w:val="20"/>
                <w:color w:val="auto"/>
              </w:rPr>
            </w:pPr>
            <w:r>
              <w:rPr>
                <w:rFonts w:ascii="Arial" w:cs="Arial" w:eastAsia="Arial" w:hAnsi="Arial"/>
                <w:sz w:val="14"/>
                <w:szCs w:val="14"/>
                <w:color w:val="auto"/>
                <w:w w:val="98"/>
              </w:rPr>
              <w:t>Benefits, claims and settlement</w:t>
            </w: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20" w:type="dxa"/>
            <w:vAlign w:val="bottom"/>
          </w:tcPr>
          <w:p>
            <w:pPr>
              <w:ind w:left="140"/>
              <w:spacing w:after="0" w:line="149" w:lineRule="exact"/>
              <w:rPr>
                <w:sz w:val="20"/>
                <w:szCs w:val="20"/>
                <w:color w:val="auto"/>
              </w:rPr>
            </w:pPr>
            <w:r>
              <w:rPr>
                <w:rFonts w:ascii="Arial" w:cs="Arial" w:eastAsia="Arial" w:hAnsi="Arial"/>
                <w:sz w:val="14"/>
                <w:szCs w:val="14"/>
                <w:color w:val="auto"/>
              </w:rPr>
              <w:t>type</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920" w:type="dxa"/>
            <w:vAlign w:val="bottom"/>
          </w:tcPr>
          <w:p>
            <w:pPr>
              <w:ind w:left="140"/>
              <w:spacing w:after="0" w:line="149" w:lineRule="exact"/>
              <w:rPr>
                <w:sz w:val="20"/>
                <w:szCs w:val="20"/>
                <w:color w:val="auto"/>
              </w:rPr>
            </w:pPr>
            <w:r>
              <w:rPr>
                <w:rFonts w:ascii="Arial" w:cs="Arial" w:eastAsia="Arial" w:hAnsi="Arial"/>
                <w:sz w:val="14"/>
                <w:szCs w:val="14"/>
                <w:color w:val="auto"/>
              </w:rPr>
              <w:t>expenses</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20" w:type="dxa"/>
            <w:vAlign w:val="bottom"/>
          </w:tcPr>
          <w:p>
            <w:pPr>
              <w:ind w:left="140"/>
              <w:spacing w:after="0" w:line="149" w:lineRule="exact"/>
              <w:rPr>
                <w:sz w:val="20"/>
                <w:szCs w:val="20"/>
                <w:color w:val="auto"/>
              </w:rPr>
            </w:pPr>
            <w:r>
              <w:rPr>
                <w:rFonts w:ascii="Arial" w:cs="Arial" w:eastAsia="Arial" w:hAnsi="Arial"/>
                <w:sz w:val="14"/>
                <w:szCs w:val="14"/>
                <w:color w:val="auto"/>
              </w:rPr>
              <w:t>insurance</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6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5.0</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40" w:type="dxa"/>
            <w:vAlign w:val="bottom"/>
            <w:vMerge w:val="restart"/>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9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20" w:type="dxa"/>
            <w:vAlign w:val="bottom"/>
          </w:tcPr>
          <w:p>
            <w:pPr>
              <w:ind w:left="140"/>
              <w:spacing w:after="0" w:line="159" w:lineRule="exact"/>
              <w:rPr>
                <w:sz w:val="20"/>
                <w:szCs w:val="20"/>
                <w:color w:val="auto"/>
              </w:rPr>
            </w:pPr>
            <w:r>
              <w:rPr>
                <w:rFonts w:ascii="Arial" w:cs="Arial" w:eastAsia="Arial" w:hAnsi="Arial"/>
                <w:sz w:val="14"/>
                <w:szCs w:val="14"/>
                <w:color w:val="auto"/>
              </w:rPr>
              <w:t>contract</w:t>
            </w:r>
          </w:p>
        </w:tc>
        <w:tc>
          <w:tcPr>
            <w:tcW w:w="1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60" w:type="dxa"/>
            <w:vAlign w:val="bottom"/>
            <w:vMerge w:val="continue"/>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60" w:type="dxa"/>
            <w:vAlign w:val="bottom"/>
          </w:tcPr>
          <w:p>
            <w:pPr>
              <w:jc w:val="right"/>
              <w:spacing w:after="0" w:line="159" w:lineRule="exact"/>
              <w:rPr>
                <w:sz w:val="20"/>
                <w:szCs w:val="20"/>
                <w:color w:val="auto"/>
              </w:rPr>
            </w:pPr>
            <w:r>
              <w:rPr>
                <w:rFonts w:ascii="Arial" w:cs="Arial" w:eastAsia="Arial" w:hAnsi="Arial"/>
                <w:sz w:val="14"/>
                <w:szCs w:val="14"/>
                <w:color w:val="auto"/>
              </w:rPr>
              <w:t>7.6</w:t>
            </w:r>
          </w:p>
        </w:tc>
        <w:tc>
          <w:tcPr>
            <w:tcW w:w="1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80" w:type="dxa"/>
            <w:vAlign w:val="bottom"/>
          </w:tcPr>
          <w:p>
            <w:pPr>
              <w:jc w:val="right"/>
              <w:spacing w:after="0" w:line="159" w:lineRule="exact"/>
              <w:rPr>
                <w:sz w:val="20"/>
                <w:szCs w:val="20"/>
                <w:color w:val="auto"/>
              </w:rPr>
            </w:pPr>
            <w:r>
              <w:rPr>
                <w:rFonts w:ascii="Arial" w:cs="Arial" w:eastAsia="Arial" w:hAnsi="Arial"/>
                <w:sz w:val="14"/>
                <w:szCs w:val="14"/>
                <w:color w:val="auto"/>
              </w:rPr>
              <w:t>12.8</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9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80" w:type="dxa"/>
            <w:vAlign w:val="bottom"/>
            <w:vMerge w:val="continue"/>
          </w:tcPr>
          <w:p>
            <w:pPr>
              <w:spacing w:after="0"/>
              <w:rPr>
                <w:sz w:val="13"/>
                <w:szCs w:val="13"/>
                <w:color w:val="auto"/>
              </w:rPr>
            </w:pPr>
          </w:p>
        </w:tc>
        <w:tc>
          <w:tcPr>
            <w:tcW w:w="4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4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2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(1.7)</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190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w:t>
            </w:r>
          </w:p>
        </w:tc>
        <w:tc>
          <w:tcPr>
            <w:tcW w:w="16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300" w:type="dxa"/>
            <w:vAlign w:val="bottom"/>
            <w:gridSpan w:val="2"/>
            <w:shd w:val="clear" w:color="auto" w:fill="CCEEFF"/>
          </w:tcPr>
          <w:p>
            <w:pPr>
              <w:jc w:val="right"/>
              <w:ind w:right="80"/>
              <w:spacing w:after="0" w:line="142" w:lineRule="exact"/>
              <w:rPr>
                <w:sz w:val="20"/>
                <w:szCs w:val="20"/>
                <w:color w:val="auto"/>
              </w:rPr>
            </w:pPr>
            <w:r>
              <w:rPr>
                <w:rFonts w:ascii="Arial" w:cs="Arial" w:eastAsia="Arial" w:hAnsi="Arial"/>
                <w:sz w:val="14"/>
                <w:szCs w:val="14"/>
                <w:b w:val="1"/>
                <w:bCs w:val="1"/>
                <w:color w:val="auto"/>
              </w:rPr>
              <w:t>$</w:t>
            </w:r>
          </w:p>
        </w:tc>
        <w:tc>
          <w:tcPr>
            <w:tcW w:w="42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(73.9)</w:t>
            </w:r>
          </w:p>
        </w:tc>
        <w:tc>
          <w:tcPr>
            <w:tcW w:w="240" w:type="dxa"/>
            <w:vAlign w:val="bottom"/>
            <w:gridSpan w:val="2"/>
            <w:shd w:val="clear" w:color="auto" w:fill="CCEEFF"/>
          </w:tcPr>
          <w:p>
            <w:pPr>
              <w:jc w:val="right"/>
              <w:ind w:right="80"/>
              <w:spacing w:after="0" w:line="142" w:lineRule="exact"/>
              <w:rPr>
                <w:sz w:val="20"/>
                <w:szCs w:val="20"/>
                <w:color w:val="auto"/>
              </w:rPr>
            </w:pPr>
            <w:r>
              <w:rPr>
                <w:rFonts w:ascii="Arial" w:cs="Arial" w:eastAsia="Arial" w:hAnsi="Arial"/>
                <w:sz w:val="14"/>
                <w:szCs w:val="14"/>
                <w:color w:val="auto"/>
              </w:rPr>
              <w:t>$</w:t>
            </w:r>
          </w:p>
        </w:tc>
        <w:tc>
          <w:tcPr>
            <w:tcW w:w="500" w:type="dxa"/>
            <w:vAlign w:val="bottom"/>
            <w:gridSpan w:val="2"/>
            <w:shd w:val="clear" w:color="auto" w:fill="CCEEFF"/>
          </w:tcPr>
          <w:p>
            <w:pPr>
              <w:jc w:val="right"/>
              <w:ind w:right="100"/>
              <w:spacing w:after="0" w:line="142" w:lineRule="exact"/>
              <w:rPr>
                <w:sz w:val="20"/>
                <w:szCs w:val="20"/>
                <w:color w:val="auto"/>
              </w:rPr>
            </w:pPr>
            <w:r>
              <w:rPr>
                <w:rFonts w:ascii="Arial" w:cs="Arial" w:eastAsia="Arial" w:hAnsi="Arial"/>
                <w:sz w:val="14"/>
                <w:szCs w:val="14"/>
                <w:color w:val="auto"/>
              </w:rPr>
              <w:t>(1.6)</w:t>
            </w:r>
          </w:p>
        </w:tc>
        <w:tc>
          <w:tcPr>
            <w:tcW w:w="16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148.8</w:t>
            </w:r>
          </w:p>
        </w:tc>
        <w:tc>
          <w:tcPr>
            <w:tcW w:w="100" w:type="dxa"/>
            <w:vAlign w:val="bottom"/>
            <w:shd w:val="clear" w:color="auto" w:fill="CCEEFF"/>
          </w:tcPr>
          <w:p>
            <w:pPr>
              <w:spacing w:after="0"/>
              <w:rPr>
                <w:sz w:val="12"/>
                <w:szCs w:val="12"/>
                <w:color w:val="auto"/>
              </w:rPr>
            </w:pPr>
          </w:p>
        </w:tc>
        <w:tc>
          <w:tcPr>
            <w:tcW w:w="1980" w:type="dxa"/>
            <w:vAlign w:val="bottom"/>
            <w:gridSpan w:val="2"/>
            <w:shd w:val="clear" w:color="auto" w:fill="CCEEFF"/>
          </w:tcPr>
          <w:p>
            <w:pPr>
              <w:ind w:left="60"/>
              <w:spacing w:after="0" w:line="142" w:lineRule="exact"/>
              <w:rPr>
                <w:sz w:val="20"/>
                <w:szCs w:val="20"/>
                <w:color w:val="auto"/>
              </w:rPr>
            </w:pPr>
            <w:r>
              <w:rPr>
                <w:rFonts w:ascii="Arial" w:cs="Arial" w:eastAsia="Arial" w:hAnsi="Arial"/>
                <w:sz w:val="14"/>
                <w:szCs w:val="14"/>
                <w:color w:val="auto"/>
              </w:rPr>
              <w:t>Total</w:t>
            </w:r>
          </w:p>
        </w:tc>
        <w:tc>
          <w:tcPr>
            <w:tcW w:w="28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w:t>
            </w:r>
          </w:p>
        </w:tc>
        <w:tc>
          <w:tcPr>
            <w:tcW w:w="4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(11.6)</w:t>
            </w:r>
          </w:p>
        </w:tc>
        <w:tc>
          <w:tcPr>
            <w:tcW w:w="280" w:type="dxa"/>
            <w:vAlign w:val="bottom"/>
            <w:gridSpan w:val="2"/>
            <w:shd w:val="clear" w:color="auto" w:fill="CCEEFF"/>
          </w:tcPr>
          <w:p>
            <w:pPr>
              <w:jc w:val="right"/>
              <w:ind w:right="100"/>
              <w:spacing w:after="0" w:line="142" w:lineRule="exact"/>
              <w:rPr>
                <w:sz w:val="20"/>
                <w:szCs w:val="20"/>
                <w:color w:val="auto"/>
              </w:rPr>
            </w:pPr>
            <w:r>
              <w:rPr>
                <w:rFonts w:ascii="Arial" w:cs="Arial" w:eastAsia="Arial" w:hAnsi="Arial"/>
                <w:sz w:val="14"/>
                <w:szCs w:val="14"/>
                <w:color w:val="auto"/>
              </w:rPr>
              <w:t>$</w:t>
            </w:r>
          </w:p>
        </w:tc>
        <w:tc>
          <w:tcPr>
            <w:tcW w:w="460" w:type="dxa"/>
            <w:vAlign w:val="bottom"/>
            <w:gridSpan w:val="2"/>
            <w:shd w:val="clear" w:color="auto" w:fill="CCEEFF"/>
          </w:tcPr>
          <w:p>
            <w:pPr>
              <w:jc w:val="right"/>
              <w:ind w:right="80"/>
              <w:spacing w:after="0" w:line="142" w:lineRule="exact"/>
              <w:rPr>
                <w:sz w:val="20"/>
                <w:szCs w:val="20"/>
                <w:color w:val="auto"/>
              </w:rPr>
            </w:pPr>
            <w:r>
              <w:rPr>
                <w:rFonts w:ascii="Arial" w:cs="Arial" w:eastAsia="Arial" w:hAnsi="Arial"/>
                <w:sz w:val="14"/>
                <w:szCs w:val="14"/>
                <w:color w:val="auto"/>
              </w:rPr>
              <w:t>(3.4)</w:t>
            </w:r>
          </w:p>
        </w:tc>
        <w:tc>
          <w:tcPr>
            <w:tcW w:w="180" w:type="dxa"/>
            <w:vAlign w:val="bottom"/>
            <w:gridSpan w:val="2"/>
            <w:shd w:val="clear" w:color="auto" w:fill="CCEEFF"/>
          </w:tcPr>
          <w:p>
            <w:pPr>
              <w:jc w:val="right"/>
              <w:ind w:right="80"/>
              <w:spacing w:after="0" w:line="142" w:lineRule="exact"/>
              <w:rPr>
                <w:sz w:val="20"/>
                <w:szCs w:val="20"/>
                <w:color w:val="auto"/>
              </w:rPr>
            </w:pPr>
            <w:r>
              <w:rPr>
                <w:rFonts w:ascii="Arial" w:cs="Arial" w:eastAsia="Arial" w:hAnsi="Arial"/>
                <w:sz w:val="14"/>
                <w:szCs w:val="14"/>
                <w:color w:val="auto"/>
              </w:rPr>
              <w:t>$</w:t>
            </w:r>
          </w:p>
        </w:tc>
        <w:tc>
          <w:tcPr>
            <w:tcW w:w="5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(21.2)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following table shows the periodic settlements on interest rate contracts and foreign exchange contracts in cash flow hedging relationships.</w:t>
      </w:r>
    </w:p>
    <w:p>
      <w:pPr>
        <w:spacing w:after="0" w:line="244" w:lineRule="exact"/>
        <w:rPr>
          <w:sz w:val="20"/>
          <w:szCs w:val="20"/>
          <w:color w:val="auto"/>
        </w:rPr>
      </w:pPr>
    </w:p>
    <w:p>
      <w:pPr>
        <w:jc w:val="center"/>
        <w:ind w:left="7000"/>
        <w:spacing w:after="0"/>
        <w:rPr>
          <w:sz w:val="20"/>
          <w:szCs w:val="20"/>
          <w:color w:val="auto"/>
        </w:rPr>
      </w:pPr>
      <w:r>
        <w:rPr>
          <w:rFonts w:ascii="Arial" w:cs="Arial" w:eastAsia="Arial" w:hAnsi="Arial"/>
          <w:sz w:val="14"/>
          <w:szCs w:val="14"/>
          <w:b w:val="1"/>
          <w:bCs w:val="1"/>
          <w:color w:val="auto"/>
        </w:rPr>
        <w:t>Amount of gain (loss)</w:t>
      </w:r>
    </w:p>
    <w:p>
      <w:pPr>
        <w:jc w:val="center"/>
        <w:ind w:left="7000"/>
        <w:spacing w:after="0" w:line="223" w:lineRule="auto"/>
        <w:rPr>
          <w:sz w:val="20"/>
          <w:szCs w:val="20"/>
          <w:color w:val="auto"/>
        </w:rPr>
      </w:pPr>
      <w:r>
        <w:rPr>
          <w:rFonts w:ascii="Arial" w:cs="Arial" w:eastAsia="Arial" w:hAnsi="Arial"/>
          <w:sz w:val="14"/>
          <w:szCs w:val="14"/>
          <w:b w:val="1"/>
          <w:bCs w:val="1"/>
          <w:color w:val="auto"/>
        </w:rPr>
        <w:t>for the year ended</w:t>
      </w:r>
    </w:p>
    <w:p>
      <w:pPr>
        <w:jc w:val="center"/>
        <w:ind w:left="7000"/>
        <w:spacing w:after="0" w:line="220" w:lineRule="auto"/>
        <w:rPr>
          <w:sz w:val="20"/>
          <w:szCs w:val="20"/>
          <w:color w:val="auto"/>
        </w:rPr>
      </w:pPr>
      <w:r>
        <w:rPr>
          <w:rFonts w:ascii="Arial" w:cs="Arial" w:eastAsia="Arial" w:hAnsi="Arial"/>
          <w:sz w:val="14"/>
          <w:szCs w:val="14"/>
          <w:b w:val="1"/>
          <w:bCs w:val="1"/>
          <w:color w:val="auto"/>
        </w:rPr>
        <w:t>December 31,</w:t>
      </w:r>
    </w:p>
    <w:tbl>
      <w:tblPr>
        <w:tblLayout w:type="fixed"/>
        <w:tblInd w:w="1140" w:type="dxa"/>
        <w:tblCellMar>
          <w:top w:w="0" w:type="dxa"/>
          <w:left w:w="0" w:type="dxa"/>
          <w:bottom w:w="0" w:type="dxa"/>
          <w:right w:w="0" w:type="dxa"/>
        </w:tblCellMar>
      </w:tblPr>
      <w:tr>
        <w:trPr>
          <w:trHeight w:val="142"/>
        </w:trPr>
        <w:tc>
          <w:tcPr>
            <w:tcW w:w="7160" w:type="dxa"/>
            <w:vAlign w:val="bottom"/>
            <w:gridSpan w:val="4"/>
          </w:tcPr>
          <w:p>
            <w:pPr>
              <w:spacing w:after="0" w:line="142" w:lineRule="exact"/>
              <w:rPr>
                <w:sz w:val="20"/>
                <w:szCs w:val="20"/>
                <w:color w:val="auto"/>
              </w:rPr>
            </w:pPr>
            <w:r>
              <w:rPr>
                <w:rFonts w:ascii="Arial" w:cs="Arial" w:eastAsia="Arial" w:hAnsi="Arial"/>
                <w:sz w:val="14"/>
                <w:szCs w:val="14"/>
                <w:b w:val="1"/>
                <w:bCs w:val="1"/>
                <w:color w:val="auto"/>
              </w:rPr>
              <w:t>Hedged Item</w:t>
            </w:r>
          </w:p>
        </w:tc>
        <w:tc>
          <w:tcPr>
            <w:tcW w:w="100" w:type="dxa"/>
            <w:vAlign w:val="bottom"/>
            <w:tcBorders>
              <w:top w:val="single" w:sz="8" w:color="auto"/>
            </w:tcBorders>
          </w:tcPr>
          <w:p>
            <w:pPr>
              <w:spacing w:after="0"/>
              <w:rPr>
                <w:sz w:val="12"/>
                <w:szCs w:val="12"/>
                <w:color w:val="auto"/>
              </w:rPr>
            </w:pPr>
          </w:p>
        </w:tc>
        <w:tc>
          <w:tcPr>
            <w:tcW w:w="400" w:type="dxa"/>
            <w:vAlign w:val="bottom"/>
            <w:tcBorders>
              <w:top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3"/>
              </w:rPr>
              <w:t>2013</w:t>
            </w: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400" w:type="dxa"/>
            <w:vAlign w:val="bottom"/>
            <w:tcBorders>
              <w:top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3"/>
              </w:rPr>
              <w:t>2012</w:t>
            </w:r>
          </w:p>
        </w:tc>
        <w:tc>
          <w:tcPr>
            <w:tcW w:w="16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400" w:type="dxa"/>
            <w:vAlign w:val="bottom"/>
            <w:tcBorders>
              <w:top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5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gridSpan w:val="2"/>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5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gridSpan w:val="3"/>
          </w:tcPr>
          <w:p>
            <w:pPr>
              <w:jc w:val="right"/>
              <w:spacing w:after="0" w:line="142" w:lineRule="exact"/>
              <w:rPr>
                <w:sz w:val="20"/>
                <w:szCs w:val="20"/>
                <w:color w:val="auto"/>
              </w:rPr>
            </w:pPr>
            <w:r>
              <w:rPr>
                <w:rFonts w:ascii="Arial" w:cs="Arial" w:eastAsia="Arial" w:hAnsi="Arial"/>
                <w:sz w:val="14"/>
                <w:szCs w:val="14"/>
                <w:b w:val="1"/>
                <w:bCs w:val="1"/>
                <w:i w:val="1"/>
                <w:iCs w:val="1"/>
                <w:color w:val="auto"/>
                <w:w w:val="73"/>
              </w:rPr>
              <w:t>(in millions)</w:t>
            </w:r>
          </w:p>
        </w:tc>
        <w:tc>
          <w:tcPr>
            <w:tcW w:w="16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14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Fixed maturities, available-for-sale (1)</w:t>
            </w:r>
          </w:p>
        </w:tc>
        <w:tc>
          <w:tcPr>
            <w:tcW w:w="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7.7</w:t>
            </w:r>
          </w:p>
        </w:tc>
        <w:tc>
          <w:tcPr>
            <w:tcW w:w="60" w:type="dxa"/>
            <w:vAlign w:val="bottom"/>
            <w:shd w:val="clear" w:color="auto" w:fill="CCEEFF"/>
          </w:tcPr>
          <w:p>
            <w:pPr>
              <w:spacing w:after="0"/>
              <w:rPr>
                <w:sz w:val="12"/>
                <w:szCs w:val="12"/>
                <w:color w:val="auto"/>
              </w:rPr>
            </w:pPr>
          </w:p>
        </w:tc>
        <w:tc>
          <w:tcPr>
            <w:tcW w:w="20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8.0</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140" w:type="dxa"/>
            <w:vAlign w:val="bottom"/>
            <w:gridSpan w:val="3"/>
          </w:tcPr>
          <w:p>
            <w:pPr>
              <w:spacing w:after="0"/>
              <w:rPr>
                <w:sz w:val="20"/>
                <w:szCs w:val="20"/>
                <w:color w:val="auto"/>
              </w:rPr>
            </w:pPr>
            <w:r>
              <w:rPr>
                <w:rFonts w:ascii="Arial" w:cs="Arial" w:eastAsia="Arial" w:hAnsi="Arial"/>
                <w:sz w:val="14"/>
                <w:szCs w:val="14"/>
                <w:color w:val="auto"/>
              </w:rPr>
              <w:t>Investment-type insurance contracts (2)</w:t>
            </w:r>
          </w:p>
        </w:tc>
        <w:tc>
          <w:tcPr>
            <w:tcW w:w="100" w:type="dxa"/>
            <w:vAlign w:val="bottom"/>
          </w:tcPr>
          <w:p>
            <w:pPr>
              <w:spacing w:after="0"/>
              <w:rPr>
                <w:sz w:val="14"/>
                <w:szCs w:val="14"/>
                <w:color w:val="auto"/>
              </w:rPr>
            </w:pPr>
          </w:p>
        </w:tc>
        <w:tc>
          <w:tcPr>
            <w:tcW w:w="460" w:type="dxa"/>
            <w:vAlign w:val="bottom"/>
            <w:gridSpan w:val="2"/>
          </w:tcPr>
          <w:p>
            <w:pPr>
              <w:jc w:val="right"/>
              <w:ind w:right="20"/>
              <w:spacing w:after="0"/>
              <w:rPr>
                <w:sz w:val="20"/>
                <w:szCs w:val="20"/>
                <w:color w:val="auto"/>
              </w:rPr>
            </w:pPr>
            <w:r>
              <w:rPr>
                <w:rFonts w:ascii="Arial" w:cs="Arial" w:eastAsia="Arial" w:hAnsi="Arial"/>
                <w:sz w:val="14"/>
                <w:szCs w:val="14"/>
                <w:color w:val="auto"/>
              </w:rPr>
              <w:t>(11.0)</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gridSpan w:val="2"/>
          </w:tcPr>
          <w:p>
            <w:pPr>
              <w:jc w:val="right"/>
              <w:ind w:right="120"/>
              <w:spacing w:after="0"/>
              <w:rPr>
                <w:sz w:val="20"/>
                <w:szCs w:val="20"/>
                <w:color w:val="auto"/>
              </w:rPr>
            </w:pPr>
            <w:r>
              <w:rPr>
                <w:rFonts w:ascii="Arial" w:cs="Arial" w:eastAsia="Arial" w:hAnsi="Arial"/>
                <w:sz w:val="14"/>
                <w:szCs w:val="14"/>
                <w:color w:val="auto"/>
              </w:rPr>
              <w:t>(13.4)</w:t>
            </w:r>
          </w:p>
        </w:tc>
        <w:tc>
          <w:tcPr>
            <w:tcW w:w="100" w:type="dxa"/>
            <w:vAlign w:val="bottom"/>
          </w:tcPr>
          <w:p>
            <w:pPr>
              <w:spacing w:after="0"/>
              <w:rPr>
                <w:sz w:val="14"/>
                <w:szCs w:val="14"/>
                <w:color w:val="auto"/>
              </w:rPr>
            </w:pPr>
          </w:p>
        </w:tc>
        <w:tc>
          <w:tcPr>
            <w:tcW w:w="560" w:type="dxa"/>
            <w:vAlign w:val="bottom"/>
            <w:gridSpan w:val="2"/>
          </w:tcPr>
          <w:p>
            <w:pPr>
              <w:jc w:val="right"/>
              <w:ind w:right="120"/>
              <w:spacing w:after="0"/>
              <w:rPr>
                <w:sz w:val="20"/>
                <w:szCs w:val="20"/>
                <w:color w:val="auto"/>
              </w:rPr>
            </w:pPr>
            <w:r>
              <w:rPr>
                <w:rFonts w:ascii="Arial" w:cs="Arial" w:eastAsia="Arial" w:hAnsi="Arial"/>
                <w:sz w:val="14"/>
                <w:szCs w:val="14"/>
                <w:color w:val="auto"/>
              </w:rPr>
              <w:t>(13.1)</w:t>
            </w:r>
          </w:p>
        </w:tc>
        <w:tc>
          <w:tcPr>
            <w:tcW w:w="0" w:type="dxa"/>
            <w:vAlign w:val="bottom"/>
          </w:tcPr>
          <w:p>
            <w:pPr>
              <w:spacing w:after="0"/>
              <w:rPr>
                <w:sz w:val="1"/>
                <w:szCs w:val="1"/>
                <w:color w:val="auto"/>
              </w:rPr>
            </w:pPr>
          </w:p>
        </w:tc>
      </w:tr>
      <w:tr>
        <w:trPr>
          <w:trHeight w:val="84"/>
        </w:trPr>
        <w:tc>
          <w:tcPr>
            <w:tcW w:w="20" w:type="dxa"/>
            <w:vAlign w:val="bottom"/>
            <w:tcBorders>
              <w:bottom w:val="single" w:sz="8" w:color="auto"/>
            </w:tcBorders>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586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ind w:left="1680" w:hanging="531"/>
        <w:spacing w:after="0"/>
        <w:tabs>
          <w:tab w:leader="none" w:pos="1680" w:val="left"/>
        </w:tabs>
        <w:numPr>
          <w:ilvl w:val="0"/>
          <w:numId w:val="62"/>
        </w:numPr>
        <w:rPr>
          <w:rFonts w:ascii="Arial" w:cs="Arial" w:eastAsia="Arial" w:hAnsi="Arial"/>
          <w:sz w:val="14"/>
          <w:szCs w:val="14"/>
          <w:color w:val="auto"/>
        </w:rPr>
      </w:pPr>
      <w:r>
        <w:rPr>
          <w:rFonts w:ascii="Arial" w:cs="Arial" w:eastAsia="Arial" w:hAnsi="Arial"/>
          <w:sz w:val="14"/>
          <w:szCs w:val="14"/>
          <w:color w:val="auto"/>
        </w:rPr>
        <w:t>Reported in net investment income on the consolidated statements of operations.</w:t>
      </w:r>
    </w:p>
    <w:p>
      <w:pPr>
        <w:spacing w:after="0" w:line="122" w:lineRule="exact"/>
        <w:rPr>
          <w:rFonts w:ascii="Arial" w:cs="Arial" w:eastAsia="Arial" w:hAnsi="Arial"/>
          <w:sz w:val="14"/>
          <w:szCs w:val="14"/>
          <w:color w:val="auto"/>
        </w:rPr>
      </w:pPr>
    </w:p>
    <w:p>
      <w:pPr>
        <w:ind w:left="1680" w:hanging="531"/>
        <w:spacing w:after="0"/>
        <w:tabs>
          <w:tab w:leader="none" w:pos="1680" w:val="left"/>
        </w:tabs>
        <w:numPr>
          <w:ilvl w:val="0"/>
          <w:numId w:val="62"/>
        </w:numPr>
        <w:rPr>
          <w:rFonts w:ascii="Arial" w:cs="Arial" w:eastAsia="Arial" w:hAnsi="Arial"/>
          <w:sz w:val="14"/>
          <w:szCs w:val="14"/>
          <w:color w:val="auto"/>
        </w:rPr>
      </w:pPr>
      <w:r>
        <w:rPr>
          <w:rFonts w:ascii="Arial" w:cs="Arial" w:eastAsia="Arial" w:hAnsi="Arial"/>
          <w:sz w:val="14"/>
          <w:szCs w:val="14"/>
          <w:color w:val="auto"/>
        </w:rPr>
        <w:t>Reported in benefits, claims and settlement expenses on the consolidated statements of operations.</w:t>
      </w:r>
    </w:p>
    <w:p>
      <w:pPr>
        <w:spacing w:after="0" w:line="206" w:lineRule="exact"/>
        <w:rPr>
          <w:sz w:val="20"/>
          <w:szCs w:val="20"/>
          <w:color w:val="auto"/>
        </w:rPr>
      </w:pPr>
    </w:p>
    <w:p>
      <w:pPr>
        <w:jc w:val="both"/>
        <w:ind w:firstLine="412"/>
        <w:spacing w:after="0" w:line="259" w:lineRule="auto"/>
        <w:rPr>
          <w:sz w:val="20"/>
          <w:szCs w:val="20"/>
          <w:color w:val="auto"/>
        </w:rPr>
      </w:pPr>
      <w:r>
        <w:rPr>
          <w:rFonts w:ascii="Arial" w:cs="Arial" w:eastAsia="Arial" w:hAnsi="Arial"/>
          <w:sz w:val="18"/>
          <w:szCs w:val="18"/>
          <w:color w:val="auto"/>
        </w:rPr>
        <w:t>The ineffective portion of our cash flow hedges is reported in net realized capital gains (losses) on the consolidated statements of operations. The net gain resulting from the ineffective portion of foreign currency contracts in cash flow hedging relationships was $0.8 million, $0.5 million and $0.5 million for the years ended December 31, 2013, 2012 and 2011, respectively.</w:t>
      </w:r>
    </w:p>
    <w:p>
      <w:pPr>
        <w:spacing w:after="0" w:line="194" w:lineRule="exact"/>
        <w:rPr>
          <w:sz w:val="20"/>
          <w:szCs w:val="20"/>
          <w:color w:val="auto"/>
        </w:rPr>
      </w:pPr>
    </w:p>
    <w:p>
      <w:pPr>
        <w:jc w:val="both"/>
        <w:ind w:right="20" w:firstLine="380"/>
        <w:spacing w:after="0" w:line="332" w:lineRule="auto"/>
        <w:rPr>
          <w:sz w:val="20"/>
          <w:szCs w:val="20"/>
          <w:color w:val="auto"/>
        </w:rPr>
      </w:pPr>
      <w:r>
        <w:rPr>
          <w:rFonts w:ascii="Arial" w:cs="Arial" w:eastAsia="Arial" w:hAnsi="Arial"/>
          <w:sz w:val="16"/>
          <w:szCs w:val="16"/>
          <w:color w:val="auto"/>
        </w:rPr>
        <w:t>We expect to reclassify net gains of $2.8 million from AOCI into net income in the next 12 months, which includes both net deferred gains on discontinued hedges and net losses on periodic settlements of active hedges. Actual amounts may vary from this amount as a result of market conditions.</w:t>
      </w: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Derivatives Not Designated as Hedging Instruments</w:t>
      </w:r>
    </w:p>
    <w:p>
      <w:pPr>
        <w:spacing w:after="0" w:line="231" w:lineRule="exact"/>
        <w:rPr>
          <w:sz w:val="20"/>
          <w:szCs w:val="20"/>
          <w:color w:val="auto"/>
        </w:rPr>
      </w:pPr>
    </w:p>
    <w:p>
      <w:pPr>
        <w:jc w:val="both"/>
        <w:ind w:firstLine="376"/>
        <w:spacing w:after="0" w:line="323" w:lineRule="auto"/>
        <w:rPr>
          <w:sz w:val="20"/>
          <w:szCs w:val="20"/>
          <w:color w:val="auto"/>
        </w:rPr>
      </w:pPr>
      <w:r>
        <w:rPr>
          <w:rFonts w:ascii="Arial" w:cs="Arial" w:eastAsia="Arial" w:hAnsi="Arial"/>
          <w:sz w:val="15"/>
          <w:szCs w:val="15"/>
          <w:color w:val="auto"/>
        </w:rPr>
        <w:t>Our use of futures, certain swaptions and swaps, collars, options and forwards are effective from an economic standpoint, but they have not been designated as hedges for financial reporting purposes. As such, periodic changes in the market value of these instruments, which includes mark-to-market gains and losses as well as periodic and final settlements, primarily flow directly into net realized capital gains (losses) on the consolidated statements of operations. Gains and losses on certain derivatives used in relation to certain trading portfolios are reported in net investment income on the consolidated statements of operations.</w:t>
      </w:r>
    </w:p>
    <w:p>
      <w:pPr>
        <w:sectPr>
          <w:pgSz w:w="11900" w:h="16838" w:orient="portrait"/>
          <w:cols w:equalWidth="0" w:num="1">
            <w:col w:w="11420"/>
          </w:cols>
          <w:pgMar w:left="240" w:top="131" w:right="239" w:bottom="1440" w:gutter="0" w:footer="0" w:header="0"/>
          <w:type w:val="continuous"/>
        </w:sectPr>
      </w:pPr>
    </w:p>
    <w:p>
      <w:pPr>
        <w:spacing w:after="0" w:line="152"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38" w:name="page139"/>
    <w:bookmarkEnd w:id="13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Derivative Financial Instruments — (continued)</w:t>
      </w:r>
    </w:p>
    <w:p>
      <w:pPr>
        <w:spacing w:after="0" w:line="231" w:lineRule="exact"/>
        <w:rPr>
          <w:sz w:val="20"/>
          <w:szCs w:val="20"/>
          <w:color w:val="auto"/>
        </w:rPr>
      </w:pPr>
    </w:p>
    <w:p>
      <w:pPr>
        <w:jc w:val="both"/>
        <w:ind w:firstLine="415"/>
        <w:spacing w:after="0" w:line="268" w:lineRule="auto"/>
        <w:rPr>
          <w:sz w:val="20"/>
          <w:szCs w:val="20"/>
          <w:color w:val="auto"/>
        </w:rPr>
      </w:pPr>
      <w:r>
        <w:rPr>
          <w:rFonts w:ascii="Arial" w:cs="Arial" w:eastAsia="Arial" w:hAnsi="Arial"/>
          <w:sz w:val="18"/>
          <w:szCs w:val="18"/>
          <w:color w:val="auto"/>
        </w:rPr>
        <w:t>The following table shows the effect of derivatives not designated as hedging instruments, including fair value changes of embedded derivatives that have been bifurcated from the host contract, on the consolidated statements of operations.</w:t>
      </w:r>
    </w:p>
    <w:p>
      <w:pPr>
        <w:spacing w:after="0" w:line="169"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80" w:type="dxa"/>
            <w:vAlign w:val="bottom"/>
            <w:gridSpan w:val="10"/>
          </w:tcPr>
          <w:p>
            <w:pPr>
              <w:jc w:val="center"/>
              <w:ind w:right="241"/>
              <w:spacing w:after="0"/>
              <w:rPr>
                <w:sz w:val="20"/>
                <w:szCs w:val="20"/>
                <w:color w:val="auto"/>
              </w:rPr>
            </w:pPr>
            <w:r>
              <w:rPr>
                <w:rFonts w:ascii="Arial" w:cs="Arial" w:eastAsia="Arial" w:hAnsi="Arial"/>
                <w:sz w:val="14"/>
                <w:szCs w:val="14"/>
                <w:b w:val="1"/>
                <w:bCs w:val="1"/>
                <w:color w:val="auto"/>
                <w:w w:val="86"/>
              </w:rPr>
              <w:t>Amount of gain (loss)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80" w:type="dxa"/>
            <w:vAlign w:val="bottom"/>
            <w:gridSpan w:val="10"/>
          </w:tcPr>
          <w:p>
            <w:pPr>
              <w:jc w:val="center"/>
              <w:ind w:right="221"/>
              <w:spacing w:after="0" w:line="149" w:lineRule="exact"/>
              <w:rPr>
                <w:sz w:val="20"/>
                <w:szCs w:val="20"/>
                <w:color w:val="auto"/>
              </w:rPr>
            </w:pPr>
            <w:r>
              <w:rPr>
                <w:rFonts w:ascii="Arial" w:cs="Arial" w:eastAsia="Arial" w:hAnsi="Arial"/>
                <w:sz w:val="14"/>
                <w:szCs w:val="14"/>
                <w:b w:val="1"/>
                <w:bCs w:val="1"/>
                <w:color w:val="auto"/>
                <w:w w:val="84"/>
              </w:rPr>
              <w:t>recognized in net income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80" w:type="dxa"/>
            <w:vAlign w:val="bottom"/>
            <w:gridSpan w:val="10"/>
          </w:tcPr>
          <w:p>
            <w:pPr>
              <w:jc w:val="center"/>
              <w:ind w:right="241"/>
              <w:spacing w:after="0" w:line="149" w:lineRule="exact"/>
              <w:rPr>
                <w:sz w:val="20"/>
                <w:szCs w:val="20"/>
                <w:color w:val="auto"/>
              </w:rPr>
            </w:pPr>
            <w:r>
              <w:rPr>
                <w:rFonts w:ascii="Arial" w:cs="Arial" w:eastAsia="Arial" w:hAnsi="Arial"/>
                <w:sz w:val="14"/>
                <w:szCs w:val="14"/>
                <w:b w:val="1"/>
                <w:bCs w:val="1"/>
                <w:color w:val="auto"/>
                <w:w w:val="87"/>
              </w:rPr>
              <w:t>on derivatives for the year</w:t>
            </w:r>
          </w:p>
        </w:tc>
        <w:tc>
          <w:tcPr>
            <w:tcW w:w="0" w:type="dxa"/>
            <w:vAlign w:val="bottom"/>
          </w:tcPr>
          <w:p>
            <w:pPr>
              <w:spacing w:after="0"/>
              <w:rPr>
                <w:sz w:val="1"/>
                <w:szCs w:val="1"/>
                <w:color w:val="auto"/>
              </w:rPr>
            </w:pPr>
          </w:p>
        </w:tc>
      </w:tr>
      <w:tr>
        <w:trPr>
          <w:trHeight w:val="161"/>
        </w:trPr>
        <w:tc>
          <w:tcPr>
            <w:tcW w:w="68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Derivatives not designated as hedging instruments</w:t>
            </w: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500" w:type="dxa"/>
            <w:vAlign w:val="bottom"/>
            <w:tcBorders>
              <w:bottom w:val="single" w:sz="8" w:color="auto"/>
            </w:tcBorders>
            <w:gridSpan w:val="8"/>
          </w:tcPr>
          <w:p>
            <w:pPr>
              <w:jc w:val="center"/>
              <w:ind w:left="232"/>
              <w:spacing w:after="0"/>
              <w:rPr>
                <w:sz w:val="20"/>
                <w:szCs w:val="20"/>
                <w:color w:val="auto"/>
              </w:rPr>
            </w:pPr>
            <w:r>
              <w:rPr>
                <w:rFonts w:ascii="Arial" w:cs="Arial" w:eastAsia="Arial" w:hAnsi="Arial"/>
                <w:sz w:val="14"/>
                <w:szCs w:val="14"/>
                <w:b w:val="1"/>
                <w:bCs w:val="1"/>
                <w:color w:val="auto"/>
                <w:w w:val="85"/>
              </w:rPr>
              <w:t>ended December 31,</w:t>
            </w:r>
          </w:p>
        </w:tc>
        <w:tc>
          <w:tcPr>
            <w:tcW w:w="4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80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tcPr>
          <w:p>
            <w:pPr>
              <w:jc w:val="right"/>
              <w:ind w:right="92"/>
              <w:spacing w:after="0" w:line="142" w:lineRule="exact"/>
              <w:rPr>
                <w:sz w:val="20"/>
                <w:szCs w:val="20"/>
                <w:color w:val="auto"/>
              </w:rPr>
            </w:pPr>
            <w:r>
              <w:rPr>
                <w:rFonts w:ascii="Arial" w:cs="Arial" w:eastAsia="Arial" w:hAnsi="Arial"/>
                <w:sz w:val="14"/>
                <w:szCs w:val="14"/>
                <w:b w:val="1"/>
                <w:bCs w:val="1"/>
                <w:color w:val="auto"/>
                <w:w w:val="89"/>
              </w:rPr>
              <w:t>2013</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center"/>
              <w:ind w:right="52"/>
              <w:spacing w:after="0" w:line="142" w:lineRule="exact"/>
              <w:rPr>
                <w:sz w:val="20"/>
                <w:szCs w:val="20"/>
                <w:color w:val="auto"/>
              </w:rPr>
            </w:pPr>
            <w:r>
              <w:rPr>
                <w:rFonts w:ascii="Arial" w:cs="Arial" w:eastAsia="Arial" w:hAnsi="Arial"/>
                <w:sz w:val="14"/>
                <w:szCs w:val="14"/>
                <w:b w:val="1"/>
                <w:bCs w:val="1"/>
                <w:color w:val="auto"/>
                <w:w w:val="89"/>
              </w:rPr>
              <w:t>2012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tcPr>
          <w:p>
            <w:pPr>
              <w:jc w:val="right"/>
              <w:ind w:right="92"/>
              <w:spacing w:after="0" w:line="142" w:lineRule="exact"/>
              <w:rPr>
                <w:sz w:val="20"/>
                <w:szCs w:val="20"/>
                <w:color w:val="auto"/>
              </w:rPr>
            </w:pPr>
            <w:r>
              <w:rPr>
                <w:rFonts w:ascii="Arial" w:cs="Arial" w:eastAsia="Arial" w:hAnsi="Arial"/>
                <w:sz w:val="14"/>
                <w:szCs w:val="14"/>
                <w:b w:val="1"/>
                <w:bCs w:val="1"/>
                <w:color w:val="auto"/>
                <w:w w:val="76"/>
              </w:rPr>
              <w:t>2011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gridSpan w:val="2"/>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6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gridSpan w:val="3"/>
          </w:tcPr>
          <w:p>
            <w:pPr>
              <w:jc w:val="right"/>
              <w:spacing w:after="0" w:line="142" w:lineRule="exact"/>
              <w:rPr>
                <w:sz w:val="20"/>
                <w:szCs w:val="20"/>
                <w:color w:val="auto"/>
              </w:rPr>
            </w:pPr>
            <w:r>
              <w:rPr>
                <w:rFonts w:ascii="Arial" w:cs="Arial" w:eastAsia="Arial" w:hAnsi="Arial"/>
                <w:sz w:val="14"/>
                <w:szCs w:val="14"/>
                <w:b w:val="1"/>
                <w:bCs w:val="1"/>
                <w:i w:val="1"/>
                <w:iCs w:val="1"/>
                <w:color w:val="auto"/>
                <w:w w:val="81"/>
              </w:rPr>
              <w:t>(in millions)</w:t>
            </w:r>
          </w:p>
        </w:tc>
        <w:tc>
          <w:tcPr>
            <w:tcW w:w="10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Interest rate contracts</w:t>
            </w:r>
          </w:p>
        </w:tc>
        <w:tc>
          <w:tcPr>
            <w:tcW w:w="260" w:type="dxa"/>
            <w:vAlign w:val="bottom"/>
            <w:gridSpan w:val="3"/>
            <w:shd w:val="clear" w:color="auto" w:fill="CCEEFF"/>
          </w:tcPr>
          <w:p>
            <w:pPr>
              <w:jc w:val="right"/>
              <w:ind w:right="17"/>
              <w:spacing w:after="0" w:line="149" w:lineRule="exact"/>
              <w:rPr>
                <w:sz w:val="20"/>
                <w:szCs w:val="20"/>
                <w:color w:val="auto"/>
              </w:rPr>
            </w:pPr>
            <w:r>
              <w:rPr>
                <w:rFonts w:ascii="Arial" w:cs="Arial" w:eastAsia="Arial" w:hAnsi="Arial"/>
                <w:sz w:val="14"/>
                <w:szCs w:val="14"/>
                <w:b w:val="1"/>
                <w:bCs w:val="1"/>
                <w:color w:val="auto"/>
              </w:rPr>
              <w:t>$</w:t>
            </w:r>
          </w:p>
        </w:tc>
        <w:tc>
          <w:tcPr>
            <w:tcW w:w="540" w:type="dxa"/>
            <w:vAlign w:val="bottom"/>
            <w:gridSpan w:val="2"/>
            <w:shd w:val="clear" w:color="auto" w:fill="CCEEFF"/>
          </w:tcPr>
          <w:p>
            <w:pPr>
              <w:jc w:val="right"/>
              <w:ind w:right="1"/>
              <w:spacing w:after="0" w:line="149" w:lineRule="exact"/>
              <w:rPr>
                <w:sz w:val="20"/>
                <w:szCs w:val="20"/>
                <w:color w:val="auto"/>
              </w:rPr>
            </w:pPr>
            <w:r>
              <w:rPr>
                <w:rFonts w:ascii="Arial" w:cs="Arial" w:eastAsia="Arial" w:hAnsi="Arial"/>
                <w:sz w:val="14"/>
                <w:szCs w:val="14"/>
                <w:b w:val="1"/>
                <w:bCs w:val="1"/>
                <w:color w:val="auto"/>
              </w:rPr>
              <w:t>(137.6)</w:t>
            </w:r>
          </w:p>
        </w:tc>
        <w:tc>
          <w:tcPr>
            <w:tcW w:w="1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5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(7.9)</w:t>
            </w:r>
          </w:p>
        </w:tc>
        <w:tc>
          <w:tcPr>
            <w:tcW w:w="200" w:type="dxa"/>
            <w:vAlign w:val="bottom"/>
            <w:gridSpan w:val="2"/>
            <w:shd w:val="clear" w:color="auto" w:fill="CCEEFF"/>
          </w:tcPr>
          <w:p>
            <w:pPr>
              <w:jc w:val="right"/>
              <w:ind w:right="29"/>
              <w:spacing w:after="0" w:line="149" w:lineRule="exact"/>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93.3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tcPr>
          <w:p>
            <w:pPr>
              <w:spacing w:after="0" w:line="149" w:lineRule="exact"/>
              <w:rPr>
                <w:sz w:val="20"/>
                <w:szCs w:val="20"/>
                <w:color w:val="auto"/>
              </w:rPr>
            </w:pPr>
            <w:r>
              <w:rPr>
                <w:rFonts w:ascii="Arial" w:cs="Arial" w:eastAsia="Arial" w:hAnsi="Arial"/>
                <w:sz w:val="14"/>
                <w:szCs w:val="14"/>
                <w:color w:val="auto"/>
              </w:rPr>
              <w:t>Foreign exchange contracts</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gridSpan w:val="2"/>
          </w:tcPr>
          <w:p>
            <w:pPr>
              <w:jc w:val="right"/>
              <w:ind w:right="1"/>
              <w:spacing w:after="0" w:line="149" w:lineRule="exact"/>
              <w:rPr>
                <w:sz w:val="20"/>
                <w:szCs w:val="20"/>
                <w:color w:val="auto"/>
              </w:rPr>
            </w:pPr>
            <w:r>
              <w:rPr>
                <w:rFonts w:ascii="Arial" w:cs="Arial" w:eastAsia="Arial" w:hAnsi="Arial"/>
                <w:sz w:val="14"/>
                <w:szCs w:val="14"/>
                <w:b w:val="1"/>
                <w:bCs w:val="1"/>
                <w:color w:val="auto"/>
              </w:rPr>
              <w:t>(0.1)</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spacing w:after="0" w:line="149" w:lineRule="exact"/>
              <w:rPr>
                <w:sz w:val="20"/>
                <w:szCs w:val="20"/>
                <w:color w:val="auto"/>
              </w:rPr>
            </w:pPr>
            <w:r>
              <w:rPr>
                <w:rFonts w:ascii="Arial" w:cs="Arial" w:eastAsia="Arial" w:hAnsi="Arial"/>
                <w:sz w:val="14"/>
                <w:szCs w:val="14"/>
                <w:color w:val="auto"/>
              </w:rPr>
              <w:t>63.1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gridSpan w:val="2"/>
          </w:tcPr>
          <w:p>
            <w:pPr>
              <w:jc w:val="right"/>
              <w:ind w:right="81"/>
              <w:spacing w:after="0" w:line="149" w:lineRule="exact"/>
              <w:rPr>
                <w:sz w:val="20"/>
                <w:szCs w:val="20"/>
                <w:color w:val="auto"/>
              </w:rPr>
            </w:pPr>
            <w:r>
              <w:rPr>
                <w:rFonts w:ascii="Arial" w:cs="Arial" w:eastAsia="Arial" w:hAnsi="Arial"/>
                <w:sz w:val="14"/>
                <w:szCs w:val="14"/>
                <w:color w:val="auto"/>
              </w:rPr>
              <w:t>(34.1)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Equity contracts</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
              <w:spacing w:after="0" w:line="149" w:lineRule="exact"/>
              <w:rPr>
                <w:sz w:val="20"/>
                <w:szCs w:val="20"/>
                <w:color w:val="auto"/>
              </w:rPr>
            </w:pPr>
            <w:r>
              <w:rPr>
                <w:rFonts w:ascii="Arial" w:cs="Arial" w:eastAsia="Arial" w:hAnsi="Arial"/>
                <w:sz w:val="14"/>
                <w:szCs w:val="14"/>
                <w:b w:val="1"/>
                <w:bCs w:val="1"/>
                <w:color w:val="auto"/>
              </w:rPr>
              <w:t>(159.4)</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(100.5)</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55.2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tcPr>
          <w:p>
            <w:pPr>
              <w:spacing w:after="0" w:line="149" w:lineRule="exact"/>
              <w:rPr>
                <w:sz w:val="20"/>
                <w:szCs w:val="20"/>
                <w:color w:val="auto"/>
              </w:rPr>
            </w:pPr>
            <w:r>
              <w:rPr>
                <w:rFonts w:ascii="Arial" w:cs="Arial" w:eastAsia="Arial" w:hAnsi="Arial"/>
                <w:sz w:val="14"/>
                <w:szCs w:val="14"/>
                <w:color w:val="auto"/>
              </w:rPr>
              <w:t>Credit contracts</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40.6</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spacing w:after="0" w:line="149" w:lineRule="exact"/>
              <w:rPr>
                <w:sz w:val="20"/>
                <w:szCs w:val="20"/>
                <w:color w:val="auto"/>
              </w:rPr>
            </w:pPr>
            <w:r>
              <w:rPr>
                <w:rFonts w:ascii="Arial" w:cs="Arial" w:eastAsia="Arial" w:hAnsi="Arial"/>
                <w:sz w:val="14"/>
                <w:szCs w:val="14"/>
                <w:color w:val="auto"/>
              </w:rPr>
              <w:t>11.0</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gridSpan w:val="2"/>
          </w:tcPr>
          <w:p>
            <w:pPr>
              <w:jc w:val="right"/>
              <w:ind w:right="81"/>
              <w:spacing w:after="0" w:line="149" w:lineRule="exact"/>
              <w:rPr>
                <w:sz w:val="20"/>
                <w:szCs w:val="20"/>
                <w:color w:val="auto"/>
              </w:rPr>
            </w:pPr>
            <w:r>
              <w:rPr>
                <w:rFonts w:ascii="Arial" w:cs="Arial" w:eastAsia="Arial" w:hAnsi="Arial"/>
                <w:sz w:val="14"/>
                <w:szCs w:val="14"/>
                <w:color w:val="auto"/>
              </w:rPr>
              <w:t>(9.9)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contracts</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154.4</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37.3</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81"/>
              <w:spacing w:after="0" w:line="149" w:lineRule="exact"/>
              <w:rPr>
                <w:sz w:val="20"/>
                <w:szCs w:val="20"/>
                <w:color w:val="auto"/>
              </w:rPr>
            </w:pPr>
            <w:r>
              <w:rPr>
                <w:rFonts w:ascii="Arial" w:cs="Arial" w:eastAsia="Arial" w:hAnsi="Arial"/>
                <w:sz w:val="14"/>
                <w:szCs w:val="14"/>
                <w:color w:val="auto"/>
                <w:w w:val="99"/>
              </w:rPr>
              <w:t>(200.4)</w:t>
            </w:r>
          </w:p>
        </w:tc>
        <w:tc>
          <w:tcPr>
            <w:tcW w:w="0" w:type="dxa"/>
            <w:vAlign w:val="bottom"/>
          </w:tcPr>
          <w:p>
            <w:pPr>
              <w:spacing w:after="0"/>
              <w:rPr>
                <w:sz w:val="1"/>
                <w:szCs w:val="1"/>
                <w:color w:val="auto"/>
              </w:rPr>
            </w:pPr>
          </w:p>
        </w:tc>
      </w:tr>
      <w:tr>
        <w:trPr>
          <w:trHeight w:val="142"/>
        </w:trPr>
        <w:tc>
          <w:tcPr>
            <w:tcW w:w="6800" w:type="dxa"/>
            <w:vAlign w:val="bottom"/>
            <w:gridSpan w:val="2"/>
          </w:tcPr>
          <w:p>
            <w:pPr>
              <w:spacing w:after="0" w:line="142" w:lineRule="exact"/>
              <w:rPr>
                <w:sz w:val="20"/>
                <w:szCs w:val="20"/>
                <w:color w:val="auto"/>
              </w:rPr>
            </w:pPr>
            <w:r>
              <w:rPr>
                <w:rFonts w:ascii="Arial" w:cs="Arial" w:eastAsia="Arial" w:hAnsi="Arial"/>
                <w:sz w:val="14"/>
                <w:szCs w:val="14"/>
                <w:color w:val="auto"/>
              </w:rPr>
              <w:t>Total</w:t>
            </w:r>
          </w:p>
        </w:tc>
        <w:tc>
          <w:tcPr>
            <w:tcW w:w="160" w:type="dxa"/>
            <w:vAlign w:val="bottom"/>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jc w:val="right"/>
              <w:ind w:right="17"/>
              <w:spacing w:after="0"/>
              <w:rPr>
                <w:sz w:val="20"/>
                <w:szCs w:val="20"/>
                <w:color w:val="auto"/>
              </w:rPr>
            </w:pPr>
            <w:r>
              <w:rPr>
                <w:rFonts w:ascii="Arial" w:cs="Arial" w:eastAsia="Arial" w:hAnsi="Arial"/>
                <w:sz w:val="5"/>
                <w:szCs w:val="5"/>
                <w:b w:val="1"/>
                <w:bCs w:val="1"/>
                <w:color w:val="auto"/>
                <w:w w:val="70"/>
              </w:rPr>
              <w:t>$</w:t>
            </w: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(102.1</w:t>
            </w:r>
          </w:p>
        </w:tc>
        <w:tc>
          <w:tcPr>
            <w:tcW w:w="80" w:type="dxa"/>
            <w:vAlign w:val="bottom"/>
          </w:tcPr>
          <w:p>
            <w:pPr>
              <w:jc w:val="right"/>
              <w:ind w:right="1"/>
              <w:spacing w:after="0"/>
              <w:rPr>
                <w:sz w:val="20"/>
                <w:szCs w:val="20"/>
                <w:color w:val="auto"/>
              </w:rPr>
            </w:pPr>
            <w:r>
              <w:rPr>
                <w:rFonts w:ascii="Arial" w:cs="Arial" w:eastAsia="Arial" w:hAnsi="Arial"/>
                <w:sz w:val="8"/>
                <w:szCs w:val="8"/>
                <w:b w:val="1"/>
                <w:bCs w:val="1"/>
                <w:color w:val="auto"/>
                <w:w w:val="73"/>
              </w:rPr>
              <w:t>)</w:t>
            </w:r>
          </w:p>
        </w:tc>
        <w:tc>
          <w:tcPr>
            <w:tcW w:w="8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3.0</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0"/>
                <w:szCs w:val="10"/>
                <w:color w:val="auto"/>
                <w:w w:val="71"/>
              </w:rPr>
              <w:t>$</w:t>
            </w:r>
          </w:p>
        </w:tc>
        <w:tc>
          <w:tcPr>
            <w:tcW w:w="4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(95.9</w:t>
            </w:r>
          </w:p>
        </w:tc>
        <w:tc>
          <w:tcPr>
            <w:tcW w:w="160" w:type="dxa"/>
            <w:vAlign w:val="bottom"/>
          </w:tcPr>
          <w:p>
            <w:pPr>
              <w:jc w:val="right"/>
              <w:ind w:right="81"/>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7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Closed Block</w:t>
      </w:r>
    </w:p>
    <w:p>
      <w:pPr>
        <w:spacing w:after="0" w:line="231" w:lineRule="exact"/>
        <w:rPr>
          <w:sz w:val="20"/>
          <w:szCs w:val="20"/>
          <w:color w:val="auto"/>
        </w:rPr>
      </w:pPr>
    </w:p>
    <w:p>
      <w:pPr>
        <w:jc w:val="both"/>
        <w:ind w:firstLine="385"/>
        <w:spacing w:after="0" w:line="288" w:lineRule="auto"/>
        <w:rPr>
          <w:sz w:val="20"/>
          <w:szCs w:val="20"/>
          <w:color w:val="auto"/>
        </w:rPr>
      </w:pPr>
      <w:r>
        <w:rPr>
          <w:rFonts w:ascii="Arial" w:cs="Arial" w:eastAsia="Arial" w:hAnsi="Arial"/>
          <w:sz w:val="16"/>
          <w:szCs w:val="16"/>
          <w:color w:val="auto"/>
        </w:rPr>
        <w:t>In connection with the 1998 MIHC formation, Principal Life formed a Closed Block to provide reasonable assurance to policyholders included therein that, after the formation of the MIHC, assets would be available to maintain dividends in aggregate in accordance with the 1997 policy dividend scales, if the experience underlying such scales continued. Assets of Principal Life were allocated to the Closed Block in an amount that produces cash flows which, together with anticipated revenue from policies and contracts included in the Closed Block, were expected to be sufficient to support the Closed Block policies, including, but not limited to, provisions for payment of claims, certain expenses, charges and taxes, and to provide for continuation of policy and contract dividends in aggregate in accordance with the 1997 dividend scales, if the experience underlying such scales continues, and to allow for appropriate adjustments in such scales, if such experience changes. Due to adjustable life policies being included in the Closed Block, the Closed Block is charged with amounts necessary to properly fund for certain adjustments, such as face amount and premium increases, that are made to these policies after the Closed Block inception date. These amounts are referred to as Funding Adjustment Charges and are treated as capital transfers from the Closed Block.</w:t>
      </w:r>
    </w:p>
    <w:p>
      <w:pPr>
        <w:spacing w:after="0" w:line="174" w:lineRule="exact"/>
        <w:rPr>
          <w:sz w:val="20"/>
          <w:szCs w:val="20"/>
          <w:color w:val="auto"/>
        </w:rPr>
      </w:pPr>
    </w:p>
    <w:p>
      <w:pPr>
        <w:jc w:val="both"/>
        <w:ind w:firstLine="351"/>
        <w:spacing w:after="0" w:line="291" w:lineRule="auto"/>
        <w:rPr>
          <w:sz w:val="20"/>
          <w:szCs w:val="20"/>
          <w:color w:val="auto"/>
        </w:rPr>
      </w:pPr>
      <w:r>
        <w:rPr>
          <w:rFonts w:ascii="Arial" w:cs="Arial" w:eastAsia="Arial" w:hAnsi="Arial"/>
          <w:sz w:val="16"/>
          <w:szCs w:val="16"/>
          <w:color w:val="auto"/>
        </w:rPr>
        <w:t>Assets allocated to the Closed Block inure solely to the benefit of the holders of policies included in the Closed Block. Closed Block assets and liabilities are carried on the same basis as other similar assets and liabilities. Principal Life will continue to pay guaranteed benefits under all policies, including the policies within the Closed Block, in accordance with their terms. If the assets allocated to the Closed Block, the investment cash flows from those assets and the revenues from the policies included in the Closed Block, including investment income thereon, prove to be insufficient to pay the benefits guaranteed under the policies included in the Closed Block, Principal Life will be required to make such payments from their general funds. No additional policies were added to the Closed Block, nor was the Closed Block affected in any other way, as a result of the demutualization.</w:t>
      </w:r>
    </w:p>
    <w:p>
      <w:pPr>
        <w:spacing w:after="0" w:line="174" w:lineRule="exact"/>
        <w:rPr>
          <w:sz w:val="20"/>
          <w:szCs w:val="20"/>
          <w:color w:val="auto"/>
        </w:rPr>
      </w:pPr>
    </w:p>
    <w:p>
      <w:pPr>
        <w:ind w:right="20" w:firstLine="365"/>
        <w:spacing w:after="0" w:line="332" w:lineRule="auto"/>
        <w:rPr>
          <w:sz w:val="20"/>
          <w:szCs w:val="20"/>
          <w:color w:val="auto"/>
        </w:rPr>
      </w:pPr>
      <w:r>
        <w:rPr>
          <w:rFonts w:ascii="Arial" w:cs="Arial" w:eastAsia="Arial" w:hAnsi="Arial"/>
          <w:sz w:val="16"/>
          <w:szCs w:val="16"/>
          <w:color w:val="auto"/>
        </w:rPr>
        <w:t>A policyholder dividend obligation ("PDO") is required to be established for earnings in the Closed Block that are not available to stockholders. A model of the Closed Block was established to produce the pattern of expected earnings in the Closed Block, adjusted to eliminate the impact of related amounts in AOCI.</w:t>
      </w:r>
    </w:p>
    <w:p>
      <w:pPr>
        <w:spacing w:after="0" w:line="139" w:lineRule="exact"/>
        <w:rPr>
          <w:sz w:val="20"/>
          <w:szCs w:val="20"/>
          <w:color w:val="auto"/>
        </w:rPr>
      </w:pPr>
    </w:p>
    <w:p>
      <w:pPr>
        <w:jc w:val="both"/>
        <w:ind w:firstLine="470"/>
        <w:spacing w:after="0" w:line="291" w:lineRule="auto"/>
        <w:rPr>
          <w:sz w:val="20"/>
          <w:szCs w:val="20"/>
          <w:color w:val="auto"/>
        </w:rPr>
      </w:pPr>
      <w:r>
        <w:rPr>
          <w:rFonts w:ascii="Arial" w:cs="Arial" w:eastAsia="Arial" w:hAnsi="Arial"/>
          <w:sz w:val="16"/>
          <w:szCs w:val="16"/>
          <w:color w:val="auto"/>
        </w:rPr>
        <w:t>If actual cumulative earnings of the Closed Block are greater than the expected cumulative earnings of the Closed Block, only the expected cumulative earnings will be recognized in income with the excess recorded as a PDO. This PDO represents undistributed accumulated earnings that will be paid to Closed Block policyholders as additional policyholder dividends unless offset by future performance of the Closed Block that is less favorable than originally expected. If actual cumulative performance is less favorable than expected, only actual earnings will be recognized in income. At December 31, 2013 and 2012, cumulative actual earnings have been less than cumulative expected earnings. However, cumulative net unrealized gains were greater than expected, resulting in the recognition of a PDO of $111.6 million and $131.0 million as of December 31, 2013 and 2012, respectively.</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9" w:name="page140"/>
    <w:bookmarkEnd w:id="13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Closed Block — (continued)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Closed Block liabilities and assets designated to the Closed Block were as follows:</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3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2013</w:t>
            </w: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2012</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53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ind w:right="5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1420" w:type="dxa"/>
            <w:vAlign w:val="bottom"/>
            <w:gridSpan w:val="3"/>
          </w:tcPr>
          <w:p>
            <w:pPr>
              <w:jc w:val="right"/>
              <w:ind w:right="952"/>
              <w:spacing w:after="0"/>
              <w:rPr>
                <w:sz w:val="20"/>
                <w:szCs w:val="20"/>
                <w:color w:val="auto"/>
              </w:rPr>
            </w:pPr>
            <w:r>
              <w:rPr>
                <w:rFonts w:ascii="Arial" w:cs="Arial" w:eastAsia="Arial" w:hAnsi="Arial"/>
                <w:sz w:val="12"/>
                <w:szCs w:val="12"/>
                <w:b w:val="1"/>
                <w:bCs w:val="1"/>
                <w:i w:val="1"/>
                <w:iCs w:val="1"/>
                <w:color w:val="auto"/>
                <w:w w:val="76"/>
              </w:rPr>
              <w:t>millions)</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Closed Block liabilities</w:t>
            </w:r>
          </w:p>
        </w:tc>
        <w:tc>
          <w:tcPr>
            <w:tcW w:w="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80" w:type="dxa"/>
            <w:vAlign w:val="bottom"/>
          </w:tcPr>
          <w:p>
            <w:pPr>
              <w:spacing w:after="0" w:line="149" w:lineRule="exact"/>
              <w:rPr>
                <w:sz w:val="20"/>
                <w:szCs w:val="20"/>
                <w:color w:val="auto"/>
              </w:rPr>
            </w:pPr>
            <w:r>
              <w:rPr>
                <w:rFonts w:ascii="Arial" w:cs="Arial" w:eastAsia="Arial" w:hAnsi="Arial"/>
                <w:sz w:val="14"/>
                <w:szCs w:val="14"/>
                <w:color w:val="auto"/>
              </w:rPr>
              <w:t>Future policy benefits and claims</w:t>
            </w:r>
          </w:p>
        </w:tc>
        <w:tc>
          <w:tcPr>
            <w:tcW w:w="96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4,532.0</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4,664.5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policyholder funds</w:t>
            </w:r>
          </w:p>
        </w:tc>
        <w:tc>
          <w:tcPr>
            <w:tcW w:w="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10.5</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10.7</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80" w:type="dxa"/>
            <w:vAlign w:val="bottom"/>
          </w:tcPr>
          <w:p>
            <w:pPr>
              <w:spacing w:after="0" w:line="149" w:lineRule="exact"/>
              <w:rPr>
                <w:sz w:val="20"/>
                <w:szCs w:val="20"/>
                <w:color w:val="auto"/>
              </w:rPr>
            </w:pPr>
            <w:r>
              <w:rPr>
                <w:rFonts w:ascii="Arial" w:cs="Arial" w:eastAsia="Arial" w:hAnsi="Arial"/>
                <w:sz w:val="14"/>
                <w:szCs w:val="14"/>
                <w:color w:val="auto"/>
              </w:rPr>
              <w:t>Policyholder dividends payable</w:t>
            </w:r>
          </w:p>
        </w:tc>
        <w:tc>
          <w:tcPr>
            <w:tcW w:w="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270.5</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280.6</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Policyholder dividends obligation</w:t>
            </w:r>
          </w:p>
        </w:tc>
        <w:tc>
          <w:tcPr>
            <w:tcW w:w="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111.6</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131.0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80" w:type="dxa"/>
            <w:vAlign w:val="bottom"/>
          </w:tcPr>
          <w:p>
            <w:pPr>
              <w:spacing w:after="0" w:line="149" w:lineRule="exact"/>
              <w:rPr>
                <w:sz w:val="20"/>
                <w:szCs w:val="20"/>
                <w:color w:val="auto"/>
              </w:rPr>
            </w:pPr>
            <w:r>
              <w:rPr>
                <w:rFonts w:ascii="Arial" w:cs="Arial" w:eastAsia="Arial" w:hAnsi="Arial"/>
                <w:sz w:val="14"/>
                <w:szCs w:val="14"/>
                <w:color w:val="auto"/>
              </w:rPr>
              <w:t>Deferred income taxes</w:t>
            </w:r>
          </w:p>
        </w:tc>
        <w:tc>
          <w:tcPr>
            <w:tcW w:w="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2.2</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3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r>
      <w:tr>
        <w:trPr>
          <w:trHeight w:val="149"/>
        </w:trPr>
        <w:tc>
          <w:tcPr>
            <w:tcW w:w="20" w:type="dxa"/>
            <w:vAlign w:val="bottom"/>
          </w:tcPr>
          <w:p>
            <w:pPr>
              <w:spacing w:after="0"/>
              <w:rPr>
                <w:sz w:val="12"/>
                <w:szCs w:val="12"/>
                <w:color w:val="auto"/>
              </w:rPr>
            </w:pPr>
          </w:p>
        </w:tc>
        <w:tc>
          <w:tcPr>
            <w:tcW w:w="53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liabilities</w:t>
            </w:r>
          </w:p>
        </w:tc>
        <w:tc>
          <w:tcPr>
            <w:tcW w:w="88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24.7</w:t>
            </w:r>
          </w:p>
        </w:tc>
        <w:tc>
          <w:tcPr>
            <w:tcW w:w="16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31.3</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5380" w:type="dxa"/>
            <w:vAlign w:val="bottom"/>
          </w:tcPr>
          <w:p>
            <w:pPr>
              <w:ind w:left="140"/>
              <w:spacing w:after="0" w:line="142" w:lineRule="exact"/>
              <w:rPr>
                <w:sz w:val="20"/>
                <w:szCs w:val="20"/>
                <w:color w:val="auto"/>
              </w:rPr>
            </w:pPr>
            <w:r>
              <w:rPr>
                <w:rFonts w:ascii="Arial" w:cs="Arial" w:eastAsia="Arial" w:hAnsi="Arial"/>
                <w:sz w:val="14"/>
                <w:szCs w:val="14"/>
                <w:color w:val="auto"/>
              </w:rPr>
              <w:t>Total Closed Block liabilities</w:t>
            </w:r>
          </w:p>
        </w:tc>
        <w:tc>
          <w:tcPr>
            <w:tcW w:w="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4,951.5</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2" w:lineRule="exact"/>
              <w:rPr>
                <w:sz w:val="20"/>
                <w:szCs w:val="20"/>
                <w:color w:val="auto"/>
              </w:rPr>
            </w:pPr>
            <w:r>
              <w:rPr>
                <w:rFonts w:ascii="Arial" w:cs="Arial" w:eastAsia="Arial" w:hAnsi="Arial"/>
                <w:sz w:val="14"/>
                <w:szCs w:val="14"/>
                <w:color w:val="auto"/>
              </w:rPr>
              <w:t>5,118.1</w:t>
            </w:r>
          </w:p>
        </w:tc>
        <w:tc>
          <w:tcPr>
            <w:tcW w:w="160" w:type="dxa"/>
            <w:vAlign w:val="bottom"/>
          </w:tcPr>
          <w:p>
            <w:pPr>
              <w:spacing w:after="0"/>
              <w:rPr>
                <w:sz w:val="12"/>
                <w:szCs w:val="12"/>
                <w:color w:val="auto"/>
              </w:rPr>
            </w:pPr>
          </w:p>
        </w:tc>
      </w:tr>
      <w:tr>
        <w:trPr>
          <w:trHeight w:val="311"/>
        </w:trPr>
        <w:tc>
          <w:tcPr>
            <w:tcW w:w="20" w:type="dxa"/>
            <w:vAlign w:val="bottom"/>
          </w:tcPr>
          <w:p>
            <w:pPr>
              <w:spacing w:after="0"/>
              <w:rPr>
                <w:sz w:val="24"/>
                <w:szCs w:val="24"/>
                <w:color w:val="auto"/>
              </w:rPr>
            </w:pPr>
          </w:p>
        </w:tc>
        <w:tc>
          <w:tcPr>
            <w:tcW w:w="538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Assets designated to the Closed Block</w:t>
            </w:r>
          </w:p>
        </w:tc>
        <w:tc>
          <w:tcPr>
            <w:tcW w:w="88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r>
      <w:tr>
        <w:trPr>
          <w:trHeight w:val="149"/>
        </w:trPr>
        <w:tc>
          <w:tcPr>
            <w:tcW w:w="20" w:type="dxa"/>
            <w:vAlign w:val="bottom"/>
          </w:tcPr>
          <w:p>
            <w:pPr>
              <w:spacing w:after="0"/>
              <w:rPr>
                <w:sz w:val="12"/>
                <w:szCs w:val="12"/>
                <w:color w:val="auto"/>
              </w:rPr>
            </w:pPr>
          </w:p>
        </w:tc>
        <w:tc>
          <w:tcPr>
            <w:tcW w:w="5380" w:type="dxa"/>
            <w:vAlign w:val="bottom"/>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2,470.9</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2,735.1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maturities, trading</w:t>
            </w:r>
          </w:p>
        </w:tc>
        <w:tc>
          <w:tcPr>
            <w:tcW w:w="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13.4</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80" w:type="dxa"/>
            <w:vAlign w:val="bottom"/>
          </w:tcPr>
          <w:p>
            <w:pPr>
              <w:spacing w:after="0" w:line="149" w:lineRule="exact"/>
              <w:rPr>
                <w:sz w:val="20"/>
                <w:szCs w:val="20"/>
                <w:color w:val="auto"/>
              </w:rPr>
            </w:pPr>
            <w:r>
              <w:rPr>
                <w:rFonts w:ascii="Arial" w:cs="Arial" w:eastAsia="Arial" w:hAnsi="Arial"/>
                <w:sz w:val="14"/>
                <w:szCs w:val="14"/>
                <w:color w:val="auto"/>
              </w:rPr>
              <w:t>Equity securities, available-for-sale</w:t>
            </w:r>
          </w:p>
        </w:tc>
        <w:tc>
          <w:tcPr>
            <w:tcW w:w="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3.6</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5.5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Mortgage loans</w:t>
            </w:r>
          </w:p>
        </w:tc>
        <w:tc>
          <w:tcPr>
            <w:tcW w:w="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828.6</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719.4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80" w:type="dxa"/>
            <w:vAlign w:val="bottom"/>
          </w:tcPr>
          <w:p>
            <w:pPr>
              <w:spacing w:after="0" w:line="149" w:lineRule="exact"/>
              <w:rPr>
                <w:sz w:val="20"/>
                <w:szCs w:val="20"/>
                <w:color w:val="auto"/>
              </w:rPr>
            </w:pPr>
            <w:r>
              <w:rPr>
                <w:rFonts w:ascii="Arial" w:cs="Arial" w:eastAsia="Arial" w:hAnsi="Arial"/>
                <w:sz w:val="14"/>
                <w:szCs w:val="14"/>
                <w:color w:val="auto"/>
              </w:rPr>
              <w:t>Policy loans</w:t>
            </w:r>
          </w:p>
        </w:tc>
        <w:tc>
          <w:tcPr>
            <w:tcW w:w="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644.2</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665.5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investments</w:t>
            </w:r>
          </w:p>
        </w:tc>
        <w:tc>
          <w:tcPr>
            <w:tcW w:w="88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118.5</w:t>
            </w:r>
          </w:p>
        </w:tc>
        <w:tc>
          <w:tcPr>
            <w:tcW w:w="16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158.0</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5380" w:type="dxa"/>
            <w:vAlign w:val="bottom"/>
          </w:tcPr>
          <w:p>
            <w:pPr>
              <w:ind w:left="140"/>
              <w:spacing w:after="0" w:line="142" w:lineRule="exact"/>
              <w:rPr>
                <w:sz w:val="20"/>
                <w:szCs w:val="20"/>
                <w:color w:val="auto"/>
              </w:rPr>
            </w:pPr>
            <w:r>
              <w:rPr>
                <w:rFonts w:ascii="Arial" w:cs="Arial" w:eastAsia="Arial" w:hAnsi="Arial"/>
                <w:sz w:val="14"/>
                <w:szCs w:val="14"/>
                <w:color w:val="auto"/>
              </w:rPr>
              <w:t>Total investments</w:t>
            </w:r>
          </w:p>
        </w:tc>
        <w:tc>
          <w:tcPr>
            <w:tcW w:w="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4,079.2</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2" w:lineRule="exact"/>
              <w:rPr>
                <w:sz w:val="20"/>
                <w:szCs w:val="20"/>
                <w:color w:val="auto"/>
              </w:rPr>
            </w:pPr>
            <w:r>
              <w:rPr>
                <w:rFonts w:ascii="Arial" w:cs="Arial" w:eastAsia="Arial" w:hAnsi="Arial"/>
                <w:sz w:val="14"/>
                <w:szCs w:val="14"/>
                <w:color w:val="auto"/>
              </w:rPr>
              <w:t>4,300.5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and cash equivalents</w:t>
            </w:r>
          </w:p>
        </w:tc>
        <w:tc>
          <w:tcPr>
            <w:tcW w:w="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70.3</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51.3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80" w:type="dxa"/>
            <w:vAlign w:val="bottom"/>
          </w:tcPr>
          <w:p>
            <w:pPr>
              <w:spacing w:after="0" w:line="149" w:lineRule="exact"/>
              <w:rPr>
                <w:sz w:val="20"/>
                <w:szCs w:val="20"/>
                <w:color w:val="auto"/>
              </w:rPr>
            </w:pPr>
            <w:r>
              <w:rPr>
                <w:rFonts w:ascii="Arial" w:cs="Arial" w:eastAsia="Arial" w:hAnsi="Arial"/>
                <w:sz w:val="14"/>
                <w:szCs w:val="14"/>
                <w:color w:val="auto"/>
              </w:rPr>
              <w:t>Accrued investment income</w:t>
            </w:r>
          </w:p>
        </w:tc>
        <w:tc>
          <w:tcPr>
            <w:tcW w:w="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49.5</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52.5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Premiums due and other receivables</w:t>
            </w:r>
          </w:p>
        </w:tc>
        <w:tc>
          <w:tcPr>
            <w:tcW w:w="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11.7</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80" w:type="dxa"/>
            <w:vAlign w:val="bottom"/>
          </w:tcPr>
          <w:p>
            <w:pPr>
              <w:spacing w:after="0" w:line="149" w:lineRule="exact"/>
              <w:rPr>
                <w:sz w:val="20"/>
                <w:szCs w:val="20"/>
                <w:color w:val="auto"/>
              </w:rPr>
            </w:pPr>
            <w:r>
              <w:rPr>
                <w:rFonts w:ascii="Arial" w:cs="Arial" w:eastAsia="Arial" w:hAnsi="Arial"/>
                <w:sz w:val="14"/>
                <w:szCs w:val="14"/>
                <w:color w:val="auto"/>
              </w:rPr>
              <w:t>Deferred tax asset</w:t>
            </w:r>
          </w:p>
        </w:tc>
        <w:tc>
          <w:tcPr>
            <w:tcW w:w="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66.2</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39.2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assets</w:t>
            </w:r>
          </w:p>
        </w:tc>
        <w:tc>
          <w:tcPr>
            <w:tcW w:w="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r>
      <w:tr>
        <w:trPr>
          <w:trHeight w:val="142"/>
        </w:trPr>
        <w:tc>
          <w:tcPr>
            <w:tcW w:w="20" w:type="dxa"/>
            <w:vAlign w:val="bottom"/>
          </w:tcPr>
          <w:p>
            <w:pPr>
              <w:spacing w:after="0"/>
              <w:rPr>
                <w:sz w:val="12"/>
                <w:szCs w:val="12"/>
                <w:color w:val="auto"/>
              </w:rPr>
            </w:pPr>
          </w:p>
        </w:tc>
        <w:tc>
          <w:tcPr>
            <w:tcW w:w="5380" w:type="dxa"/>
            <w:vAlign w:val="bottom"/>
          </w:tcPr>
          <w:p>
            <w:pPr>
              <w:ind w:left="140"/>
              <w:spacing w:after="0" w:line="142" w:lineRule="exact"/>
              <w:rPr>
                <w:sz w:val="20"/>
                <w:szCs w:val="20"/>
                <w:color w:val="auto"/>
              </w:rPr>
            </w:pPr>
            <w:r>
              <w:rPr>
                <w:rFonts w:ascii="Arial" w:cs="Arial" w:eastAsia="Arial" w:hAnsi="Arial"/>
                <w:sz w:val="14"/>
                <w:szCs w:val="14"/>
                <w:color w:val="auto"/>
              </w:rPr>
              <w:t>Total assets designated to the Closed Block</w:t>
            </w:r>
          </w:p>
        </w:tc>
        <w:tc>
          <w:tcPr>
            <w:tcW w:w="88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12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4,279.1</w:t>
            </w:r>
          </w:p>
        </w:tc>
        <w:tc>
          <w:tcPr>
            <w:tcW w:w="16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12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4,456.7</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53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Excess of Closed Block liabilities over assets designated to the Closed Block</w:t>
            </w:r>
          </w:p>
        </w:tc>
        <w:tc>
          <w:tcPr>
            <w:tcW w:w="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672.4</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661.4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80" w:type="dxa"/>
            <w:vAlign w:val="bottom"/>
          </w:tcPr>
          <w:p>
            <w:pPr>
              <w:spacing w:after="0" w:line="149" w:lineRule="exact"/>
              <w:rPr>
                <w:sz w:val="20"/>
                <w:szCs w:val="20"/>
                <w:color w:val="auto"/>
              </w:rPr>
            </w:pPr>
            <w:r>
              <w:rPr>
                <w:rFonts w:ascii="Arial" w:cs="Arial" w:eastAsia="Arial" w:hAnsi="Arial"/>
                <w:sz w:val="14"/>
                <w:szCs w:val="14"/>
                <w:color w:val="auto"/>
              </w:rPr>
              <w:t>Amounts included in accumulated other comprehensive income</w:t>
            </w:r>
          </w:p>
        </w:tc>
        <w:tc>
          <w:tcPr>
            <w:tcW w:w="88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12.9</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62.4</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53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Maximum future earnings to be recognized from Closed Block assets and liabilities</w:t>
            </w:r>
          </w:p>
        </w:tc>
        <w:tc>
          <w:tcPr>
            <w:tcW w:w="96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685.3</w:t>
            </w:r>
          </w:p>
        </w:tc>
        <w:tc>
          <w:tcPr>
            <w:tcW w:w="2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723.8</w:t>
            </w:r>
          </w:p>
        </w:tc>
        <w:tc>
          <w:tcPr>
            <w:tcW w:w="160" w:type="dxa"/>
            <w:vAlign w:val="bottom"/>
            <w:shd w:val="clear" w:color="auto" w:fill="CCEEFF"/>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53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Closed Block revenues and expenses were as follows: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62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80" w:type="dxa"/>
            <w:vAlign w:val="bottom"/>
            <w:gridSpan w:val="8"/>
          </w:tcPr>
          <w:p>
            <w:pPr>
              <w:jc w:val="center"/>
              <w:ind w:left="232"/>
              <w:spacing w:after="0"/>
              <w:rPr>
                <w:sz w:val="20"/>
                <w:szCs w:val="20"/>
                <w:color w:val="auto"/>
              </w:rPr>
            </w:pPr>
            <w:r>
              <w:rPr>
                <w:rFonts w:ascii="Arial" w:cs="Arial" w:eastAsia="Arial" w:hAnsi="Arial"/>
                <w:sz w:val="14"/>
                <w:szCs w:val="14"/>
                <w:b w:val="1"/>
                <w:bCs w:val="1"/>
                <w:color w:val="auto"/>
                <w:w w:val="86"/>
              </w:rPr>
              <w:t>For the year ended</w:t>
            </w:r>
          </w:p>
        </w:tc>
        <w:tc>
          <w:tcPr>
            <w:tcW w:w="4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62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b w:val="1"/>
                <w:bCs w:val="1"/>
                <w:color w:val="auto"/>
                <w:w w:val="85"/>
              </w:rPr>
              <w:t>December 31,</w:t>
            </w: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62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jc w:val="right"/>
              <w:ind w:right="72"/>
              <w:spacing w:after="0" w:line="142" w:lineRule="exact"/>
              <w:rPr>
                <w:sz w:val="20"/>
                <w:szCs w:val="20"/>
                <w:color w:val="auto"/>
              </w:rPr>
            </w:pPr>
            <w:r>
              <w:rPr>
                <w:rFonts w:ascii="Arial" w:cs="Arial" w:eastAsia="Arial" w:hAnsi="Arial"/>
                <w:sz w:val="14"/>
                <w:szCs w:val="14"/>
                <w:b w:val="1"/>
                <w:bCs w:val="1"/>
                <w:color w:val="auto"/>
                <w:w w:val="89"/>
              </w:rPr>
              <w:t>2013</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center"/>
              <w:ind w:right="32"/>
              <w:spacing w:after="0" w:line="142" w:lineRule="exact"/>
              <w:rPr>
                <w:sz w:val="20"/>
                <w:szCs w:val="20"/>
                <w:color w:val="auto"/>
              </w:rPr>
            </w:pPr>
            <w:r>
              <w:rPr>
                <w:rFonts w:ascii="Arial" w:cs="Arial" w:eastAsia="Arial" w:hAnsi="Arial"/>
                <w:sz w:val="14"/>
                <w:szCs w:val="14"/>
                <w:b w:val="1"/>
                <w:bCs w:val="1"/>
                <w:color w:val="auto"/>
                <w:w w:val="89"/>
              </w:rPr>
              <w:t>2012</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62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20" w:type="dxa"/>
            <w:vAlign w:val="bottom"/>
            <w:gridSpan w:val="3"/>
          </w:tcPr>
          <w:p>
            <w:pPr>
              <w:jc w:val="right"/>
              <w:spacing w:after="0" w:line="142" w:lineRule="exact"/>
              <w:rPr>
                <w:sz w:val="20"/>
                <w:szCs w:val="20"/>
                <w:color w:val="auto"/>
              </w:rPr>
            </w:pPr>
            <w:r>
              <w:rPr>
                <w:rFonts w:ascii="Arial" w:cs="Arial" w:eastAsia="Arial" w:hAnsi="Arial"/>
                <w:sz w:val="14"/>
                <w:szCs w:val="14"/>
                <w:b w:val="1"/>
                <w:bCs w:val="1"/>
                <w:i w:val="1"/>
                <w:iCs w:val="1"/>
                <w:color w:val="auto"/>
                <w:w w:val="76"/>
              </w:rPr>
              <w:t>(in millions)</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Revenues</w:t>
            </w:r>
          </w:p>
        </w:tc>
        <w:tc>
          <w:tcPr>
            <w:tcW w:w="8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6260" w:type="dxa"/>
            <w:vAlign w:val="bottom"/>
          </w:tcPr>
          <w:p>
            <w:pPr>
              <w:spacing w:after="0" w:line="149" w:lineRule="exact"/>
              <w:rPr>
                <w:sz w:val="20"/>
                <w:szCs w:val="20"/>
                <w:color w:val="auto"/>
              </w:rPr>
            </w:pPr>
            <w:r>
              <w:rPr>
                <w:rFonts w:ascii="Arial" w:cs="Arial" w:eastAsia="Arial" w:hAnsi="Arial"/>
                <w:sz w:val="14"/>
                <w:szCs w:val="14"/>
                <w:color w:val="auto"/>
              </w:rPr>
              <w:t>Premiums and other considerations</w:t>
            </w:r>
          </w:p>
        </w:tc>
        <w:tc>
          <w:tcPr>
            <w:tcW w:w="92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4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379.9</w:t>
            </w:r>
          </w:p>
        </w:tc>
        <w:tc>
          <w:tcPr>
            <w:tcW w:w="40" w:type="dxa"/>
            <w:vAlign w:val="bottom"/>
          </w:tcPr>
          <w:p>
            <w:pPr>
              <w:spacing w:after="0"/>
              <w:rPr>
                <w:sz w:val="12"/>
                <w:szCs w:val="12"/>
                <w:color w:val="auto"/>
              </w:rPr>
            </w:pPr>
          </w:p>
        </w:tc>
        <w:tc>
          <w:tcPr>
            <w:tcW w:w="20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397.4</w:t>
            </w:r>
          </w:p>
        </w:tc>
        <w:tc>
          <w:tcPr>
            <w:tcW w:w="160" w:type="dxa"/>
            <w:vAlign w:val="bottom"/>
          </w:tcPr>
          <w:p>
            <w:pPr>
              <w:spacing w:after="0"/>
              <w:rPr>
                <w:sz w:val="12"/>
                <w:szCs w:val="12"/>
                <w:color w:val="auto"/>
              </w:rPr>
            </w:pPr>
          </w:p>
        </w:tc>
        <w:tc>
          <w:tcPr>
            <w:tcW w:w="12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w w:val="76"/>
              </w:rPr>
              <w:t>$</w:t>
            </w:r>
          </w:p>
        </w:tc>
        <w:tc>
          <w:tcPr>
            <w:tcW w:w="400" w:type="dxa"/>
            <w:vAlign w:val="bottom"/>
          </w:tcPr>
          <w:p>
            <w:pPr>
              <w:jc w:val="right"/>
              <w:spacing w:after="0" w:line="149" w:lineRule="exact"/>
              <w:rPr>
                <w:sz w:val="20"/>
                <w:szCs w:val="20"/>
                <w:color w:val="auto"/>
              </w:rPr>
            </w:pPr>
            <w:r>
              <w:rPr>
                <w:rFonts w:ascii="Arial" w:cs="Arial" w:eastAsia="Arial" w:hAnsi="Arial"/>
                <w:sz w:val="14"/>
                <w:szCs w:val="14"/>
                <w:color w:val="auto"/>
              </w:rPr>
              <w:t>428.8</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investment income</w:t>
            </w:r>
          </w:p>
        </w:tc>
        <w:tc>
          <w:tcPr>
            <w:tcW w:w="8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207.7</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222.8</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238.2</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6260" w:type="dxa"/>
            <w:vAlign w:val="bottom"/>
          </w:tcPr>
          <w:p>
            <w:pPr>
              <w:spacing w:after="0" w:line="149" w:lineRule="exact"/>
              <w:rPr>
                <w:sz w:val="20"/>
                <w:szCs w:val="20"/>
                <w:color w:val="auto"/>
              </w:rPr>
            </w:pPr>
            <w:r>
              <w:rPr>
                <w:rFonts w:ascii="Arial" w:cs="Arial" w:eastAsia="Arial" w:hAnsi="Arial"/>
                <w:sz w:val="14"/>
                <w:szCs w:val="14"/>
                <w:color w:val="auto"/>
              </w:rPr>
              <w:t>Net realized capital gains (losses)</w:t>
            </w: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(12.3)</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3.6</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jc w:val="right"/>
              <w:spacing w:after="0" w:line="149" w:lineRule="exact"/>
              <w:rPr>
                <w:sz w:val="20"/>
                <w:szCs w:val="20"/>
                <w:color w:val="auto"/>
              </w:rPr>
            </w:pPr>
            <w:r>
              <w:rPr>
                <w:rFonts w:ascii="Arial" w:cs="Arial" w:eastAsia="Arial" w:hAnsi="Arial"/>
                <w:sz w:val="14"/>
                <w:szCs w:val="14"/>
                <w:color w:val="auto"/>
              </w:rPr>
              <w:t>7.9</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626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revenues</w:t>
            </w:r>
          </w:p>
        </w:tc>
        <w:tc>
          <w:tcPr>
            <w:tcW w:w="84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44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575.3</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42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623.8</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40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674.9</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1"/>
        </w:trPr>
        <w:tc>
          <w:tcPr>
            <w:tcW w:w="7420" w:type="dxa"/>
            <w:vAlign w:val="bottom"/>
            <w:gridSpan w:val="2"/>
          </w:tcPr>
          <w:p>
            <w:pPr>
              <w:ind w:left="1140"/>
              <w:spacing w:after="0"/>
              <w:rPr>
                <w:sz w:val="20"/>
                <w:szCs w:val="20"/>
                <w:color w:val="auto"/>
              </w:rPr>
            </w:pPr>
            <w:r>
              <w:rPr>
                <w:rFonts w:ascii="Arial" w:cs="Arial" w:eastAsia="Arial" w:hAnsi="Arial"/>
                <w:sz w:val="14"/>
                <w:szCs w:val="14"/>
                <w:b w:val="1"/>
                <w:bCs w:val="1"/>
                <w:color w:val="auto"/>
              </w:rPr>
              <w:t>Expenses</w:t>
            </w:r>
          </w:p>
        </w:tc>
        <w:tc>
          <w:tcPr>
            <w:tcW w:w="8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Benefits, claims and settlement expenses</w:t>
            </w:r>
          </w:p>
        </w:tc>
        <w:tc>
          <w:tcPr>
            <w:tcW w:w="8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320.1</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325.7</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370.7</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6260" w:type="dxa"/>
            <w:vAlign w:val="bottom"/>
          </w:tcPr>
          <w:p>
            <w:pPr>
              <w:spacing w:after="0" w:line="149" w:lineRule="exact"/>
              <w:rPr>
                <w:sz w:val="20"/>
                <w:szCs w:val="20"/>
                <w:color w:val="auto"/>
              </w:rPr>
            </w:pPr>
            <w:r>
              <w:rPr>
                <w:rFonts w:ascii="Arial" w:cs="Arial" w:eastAsia="Arial" w:hAnsi="Arial"/>
                <w:sz w:val="14"/>
                <w:szCs w:val="14"/>
                <w:color w:val="auto"/>
              </w:rPr>
              <w:t>Dividends to policyholders</w:t>
            </w: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184.4</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192.6</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jc w:val="right"/>
              <w:spacing w:after="0" w:line="149" w:lineRule="exact"/>
              <w:rPr>
                <w:sz w:val="20"/>
                <w:szCs w:val="20"/>
                <w:color w:val="auto"/>
              </w:rPr>
            </w:pPr>
            <w:r>
              <w:rPr>
                <w:rFonts w:ascii="Arial" w:cs="Arial" w:eastAsia="Arial" w:hAnsi="Arial"/>
                <w:sz w:val="14"/>
                <w:szCs w:val="14"/>
                <w:color w:val="auto"/>
              </w:rPr>
              <w:t>204.2</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Operating expenses</w:t>
            </w:r>
          </w:p>
        </w:tc>
        <w:tc>
          <w:tcPr>
            <w:tcW w:w="84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4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4.7</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4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4.9</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4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2.9</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6260" w:type="dxa"/>
            <w:vAlign w:val="bottom"/>
          </w:tcPr>
          <w:p>
            <w:pPr>
              <w:ind w:left="140"/>
              <w:spacing w:after="0" w:line="142" w:lineRule="exact"/>
              <w:rPr>
                <w:sz w:val="20"/>
                <w:szCs w:val="20"/>
                <w:color w:val="auto"/>
              </w:rPr>
            </w:pPr>
            <w:r>
              <w:rPr>
                <w:rFonts w:ascii="Arial" w:cs="Arial" w:eastAsia="Arial" w:hAnsi="Arial"/>
                <w:sz w:val="14"/>
                <w:szCs w:val="14"/>
                <w:color w:val="auto"/>
              </w:rPr>
              <w:t>Total expenses</w:t>
            </w:r>
          </w:p>
        </w:tc>
        <w:tc>
          <w:tcPr>
            <w:tcW w:w="84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509.2</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523.2</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577.8</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626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Closed Block revenues, net of Closed Block expenses, before income taxes</w:t>
            </w:r>
          </w:p>
        </w:tc>
        <w:tc>
          <w:tcPr>
            <w:tcW w:w="8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66.1</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100.6</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97.1</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6260" w:type="dxa"/>
            <w:vAlign w:val="bottom"/>
          </w:tcPr>
          <w:p>
            <w:pPr>
              <w:spacing w:after="0" w:line="149" w:lineRule="exact"/>
              <w:rPr>
                <w:sz w:val="20"/>
                <w:szCs w:val="20"/>
                <w:color w:val="auto"/>
              </w:rPr>
            </w:pPr>
            <w:r>
              <w:rPr>
                <w:rFonts w:ascii="Arial" w:cs="Arial" w:eastAsia="Arial" w:hAnsi="Arial"/>
                <w:sz w:val="14"/>
                <w:szCs w:val="14"/>
                <w:color w:val="auto"/>
              </w:rPr>
              <w:t>Income taxes</w:t>
            </w:r>
          </w:p>
        </w:tc>
        <w:tc>
          <w:tcPr>
            <w:tcW w:w="84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21.1</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32.6</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31.2</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626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Closed Block revenues, net of Closed Block expenses and income taxes</w:t>
            </w:r>
          </w:p>
        </w:tc>
        <w:tc>
          <w:tcPr>
            <w:tcW w:w="8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45.0</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68.0</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65.9</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6260" w:type="dxa"/>
            <w:vAlign w:val="bottom"/>
          </w:tcPr>
          <w:p>
            <w:pPr>
              <w:spacing w:after="0" w:line="149" w:lineRule="exact"/>
              <w:rPr>
                <w:sz w:val="20"/>
                <w:szCs w:val="20"/>
                <w:color w:val="auto"/>
              </w:rPr>
            </w:pPr>
            <w:r>
              <w:rPr>
                <w:rFonts w:ascii="Arial" w:cs="Arial" w:eastAsia="Arial" w:hAnsi="Arial"/>
                <w:sz w:val="14"/>
                <w:szCs w:val="14"/>
                <w:color w:val="auto"/>
              </w:rPr>
              <w:t>Funding adjustment charges</w:t>
            </w: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(6.5)</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(4.8)</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(5.3)</w:t>
            </w: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1160" w:type="dxa"/>
            <w:vAlign w:val="bottom"/>
            <w:vMerge w:val="restart"/>
          </w:tcPr>
          <w:p>
            <w:pPr>
              <w:spacing w:after="0" w:line="20" w:lineRule="exact"/>
              <w:rPr>
                <w:sz w:val="1"/>
                <w:szCs w:val="1"/>
                <w:color w:val="auto"/>
              </w:rPr>
            </w:pPr>
          </w:p>
        </w:tc>
        <w:tc>
          <w:tcPr>
            <w:tcW w:w="62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1160" w:type="dxa"/>
            <w:vAlign w:val="bottom"/>
            <w:vMerge w:val="continue"/>
          </w:tcPr>
          <w:p>
            <w:pPr>
              <w:spacing w:after="0"/>
              <w:rPr>
                <w:sz w:val="12"/>
                <w:szCs w:val="12"/>
                <w:color w:val="auto"/>
              </w:rPr>
            </w:pPr>
          </w:p>
        </w:tc>
        <w:tc>
          <w:tcPr>
            <w:tcW w:w="626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w w:val="99"/>
              </w:rPr>
              <w:t>Closed Block revenues, net of Closed Block expenses, income taxes and funding adjustment charges</w:t>
            </w:r>
          </w:p>
        </w:tc>
        <w:tc>
          <w:tcPr>
            <w:tcW w:w="92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4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38.5</w:t>
            </w:r>
          </w:p>
        </w:tc>
        <w:tc>
          <w:tcPr>
            <w:tcW w:w="40" w:type="dxa"/>
            <w:vAlign w:val="bottom"/>
            <w:shd w:val="clear" w:color="auto" w:fill="CCEEFF"/>
          </w:tcPr>
          <w:p>
            <w:pPr>
              <w:spacing w:after="0"/>
              <w:rPr>
                <w:sz w:val="12"/>
                <w:szCs w:val="12"/>
                <w:color w:val="auto"/>
              </w:rPr>
            </w:pPr>
          </w:p>
        </w:tc>
        <w:tc>
          <w:tcPr>
            <w:tcW w:w="20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63.2</w:t>
            </w:r>
          </w:p>
        </w:tc>
        <w:tc>
          <w:tcPr>
            <w:tcW w:w="160" w:type="dxa"/>
            <w:vAlign w:val="bottom"/>
            <w:shd w:val="clear" w:color="auto" w:fill="CCEEFF"/>
          </w:tcPr>
          <w:p>
            <w:pPr>
              <w:spacing w:after="0"/>
              <w:rPr>
                <w:sz w:val="12"/>
                <w:szCs w:val="12"/>
                <w:color w:val="auto"/>
              </w:rPr>
            </w:pPr>
          </w:p>
        </w:tc>
        <w:tc>
          <w:tcPr>
            <w:tcW w:w="12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w w:val="76"/>
              </w:rPr>
              <w:t>$</w:t>
            </w:r>
          </w:p>
        </w:tc>
        <w:tc>
          <w:tcPr>
            <w:tcW w:w="4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60.6</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7420" w:type="dxa"/>
            <w:vAlign w:val="bottom"/>
            <w:gridSpan w:val="2"/>
            <w:vMerge w:val="restart"/>
          </w:tcPr>
          <w:p>
            <w:pPr>
              <w:jc w:val="right"/>
              <w:ind w:right="1512"/>
              <w:spacing w:after="0"/>
              <w:rPr>
                <w:sz w:val="20"/>
                <w:szCs w:val="20"/>
                <w:color w:val="auto"/>
              </w:rPr>
            </w:pPr>
            <w:r>
              <w:rPr>
                <w:rFonts w:ascii="Arial" w:cs="Arial" w:eastAsia="Arial" w:hAnsi="Arial"/>
                <w:sz w:val="18"/>
                <w:szCs w:val="18"/>
                <w:color w:val="auto"/>
              </w:rPr>
              <w:t>136</w:t>
            </w:r>
          </w:p>
        </w:tc>
        <w:tc>
          <w:tcPr>
            <w:tcW w:w="8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7420" w:type="dxa"/>
            <w:vAlign w:val="bottom"/>
            <w:gridSpan w:val="2"/>
            <w:vMerge w:val="continue"/>
          </w:tcPr>
          <w:p>
            <w:pPr>
              <w:spacing w:after="0"/>
              <w:rPr>
                <w:sz w:val="24"/>
                <w:szCs w:val="24"/>
                <w:color w:val="auto"/>
              </w:rPr>
            </w:pPr>
          </w:p>
        </w:tc>
        <w:tc>
          <w:tcPr>
            <w:tcW w:w="8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6260" w:type="dxa"/>
            <w:vAlign w:val="bottom"/>
            <w:tcBorders>
              <w:bottom w:val="single" w:sz="8" w:color="808080"/>
            </w:tcBorders>
          </w:tcPr>
          <w:p>
            <w:pPr>
              <w:spacing w:after="0"/>
              <w:rPr>
                <w:sz w:val="19"/>
                <w:szCs w:val="19"/>
                <w:color w:val="auto"/>
              </w:rPr>
            </w:pPr>
          </w:p>
        </w:tc>
        <w:tc>
          <w:tcPr>
            <w:tcW w:w="84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44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4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4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0" w:name="page141"/>
    <w:bookmarkEnd w:id="14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Closed Block — (continued)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change in maximum future earnings of the Closed Block was as follows:</w:t>
      </w:r>
    </w:p>
    <w:p>
      <w:pPr>
        <w:spacing w:after="0" w:line="20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540" w:type="dxa"/>
            <w:vAlign w:val="bottom"/>
          </w:tcPr>
          <w:p>
            <w:pPr>
              <w:spacing w:after="0"/>
              <w:rPr>
                <w:sz w:val="14"/>
                <w:szCs w:val="14"/>
                <w:color w:val="auto"/>
              </w:rPr>
            </w:pPr>
          </w:p>
        </w:tc>
        <w:tc>
          <w:tcPr>
            <w:tcW w:w="25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80" w:type="dxa"/>
            <w:vAlign w:val="bottom"/>
            <w:gridSpan w:val="8"/>
          </w:tcPr>
          <w:p>
            <w:pPr>
              <w:jc w:val="center"/>
              <w:ind w:left="232"/>
              <w:spacing w:after="0"/>
              <w:rPr>
                <w:sz w:val="20"/>
                <w:szCs w:val="20"/>
                <w:color w:val="auto"/>
              </w:rPr>
            </w:pPr>
            <w:r>
              <w:rPr>
                <w:rFonts w:ascii="Arial" w:cs="Arial" w:eastAsia="Arial" w:hAnsi="Arial"/>
                <w:sz w:val="14"/>
                <w:szCs w:val="14"/>
                <w:b w:val="1"/>
                <w:bCs w:val="1"/>
                <w:color w:val="auto"/>
                <w:w w:val="86"/>
              </w:rPr>
              <w:t>For the year ended</w:t>
            </w:r>
          </w:p>
        </w:tc>
        <w:tc>
          <w:tcPr>
            <w:tcW w:w="40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61"/>
        </w:trPr>
        <w:tc>
          <w:tcPr>
            <w:tcW w:w="20" w:type="dxa"/>
            <w:vAlign w:val="bottom"/>
          </w:tcPr>
          <w:p>
            <w:pPr>
              <w:spacing w:after="0"/>
              <w:rPr>
                <w:sz w:val="14"/>
                <w:szCs w:val="14"/>
                <w:color w:val="auto"/>
              </w:rPr>
            </w:pPr>
          </w:p>
        </w:tc>
        <w:tc>
          <w:tcPr>
            <w:tcW w:w="4540" w:type="dxa"/>
            <w:vAlign w:val="bottom"/>
          </w:tcPr>
          <w:p>
            <w:pPr>
              <w:spacing w:after="0"/>
              <w:rPr>
                <w:sz w:val="14"/>
                <w:szCs w:val="14"/>
                <w:color w:val="auto"/>
              </w:rPr>
            </w:pPr>
          </w:p>
        </w:tc>
        <w:tc>
          <w:tcPr>
            <w:tcW w:w="25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b w:val="1"/>
                <w:bCs w:val="1"/>
                <w:color w:val="auto"/>
                <w:w w:val="85"/>
              </w:rPr>
              <w:t>December 31,</w:t>
            </w: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454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jc w:val="right"/>
              <w:ind w:right="72"/>
              <w:spacing w:after="0" w:line="142" w:lineRule="exact"/>
              <w:rPr>
                <w:sz w:val="20"/>
                <w:szCs w:val="20"/>
                <w:color w:val="auto"/>
              </w:rPr>
            </w:pPr>
            <w:r>
              <w:rPr>
                <w:rFonts w:ascii="Arial" w:cs="Arial" w:eastAsia="Arial" w:hAnsi="Arial"/>
                <w:sz w:val="14"/>
                <w:szCs w:val="14"/>
                <w:b w:val="1"/>
                <w:bCs w:val="1"/>
                <w:color w:val="auto"/>
                <w:w w:val="89"/>
              </w:rPr>
              <w:t>2013</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center"/>
              <w:ind w:right="32"/>
              <w:spacing w:after="0" w:line="142" w:lineRule="exact"/>
              <w:rPr>
                <w:sz w:val="20"/>
                <w:szCs w:val="20"/>
                <w:color w:val="auto"/>
              </w:rPr>
            </w:pPr>
            <w:r>
              <w:rPr>
                <w:rFonts w:ascii="Arial" w:cs="Arial" w:eastAsia="Arial" w:hAnsi="Arial"/>
                <w:sz w:val="14"/>
                <w:szCs w:val="14"/>
                <w:b w:val="1"/>
                <w:bCs w:val="1"/>
                <w:color w:val="auto"/>
                <w:w w:val="89"/>
              </w:rPr>
              <w:t>2012</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454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20" w:type="dxa"/>
            <w:vAlign w:val="bottom"/>
            <w:gridSpan w:val="3"/>
          </w:tcPr>
          <w:p>
            <w:pPr>
              <w:jc w:val="right"/>
              <w:spacing w:after="0" w:line="142" w:lineRule="exact"/>
              <w:rPr>
                <w:sz w:val="20"/>
                <w:szCs w:val="20"/>
                <w:color w:val="auto"/>
              </w:rPr>
            </w:pPr>
            <w:r>
              <w:rPr>
                <w:rFonts w:ascii="Arial" w:cs="Arial" w:eastAsia="Arial" w:hAnsi="Arial"/>
                <w:sz w:val="14"/>
                <w:szCs w:val="14"/>
                <w:b w:val="1"/>
                <w:bCs w:val="1"/>
                <w:i w:val="1"/>
                <w:iCs w:val="1"/>
                <w:color w:val="auto"/>
                <w:w w:val="76"/>
              </w:rPr>
              <w:t>(in millions)</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Beginning of year</w:t>
            </w:r>
          </w:p>
        </w:tc>
        <w:tc>
          <w:tcPr>
            <w:tcW w:w="264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723.8</w:t>
            </w:r>
          </w:p>
        </w:tc>
        <w:tc>
          <w:tcPr>
            <w:tcW w:w="40" w:type="dxa"/>
            <w:vAlign w:val="bottom"/>
            <w:shd w:val="clear" w:color="auto" w:fill="CCEEFF"/>
          </w:tcPr>
          <w:p>
            <w:pPr>
              <w:spacing w:after="0"/>
              <w:rPr>
                <w:sz w:val="12"/>
                <w:szCs w:val="12"/>
                <w:color w:val="auto"/>
              </w:rPr>
            </w:pPr>
          </w:p>
        </w:tc>
        <w:tc>
          <w:tcPr>
            <w:tcW w:w="20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787.0</w:t>
            </w:r>
          </w:p>
        </w:tc>
        <w:tc>
          <w:tcPr>
            <w:tcW w:w="160" w:type="dxa"/>
            <w:vAlign w:val="bottom"/>
            <w:shd w:val="clear" w:color="auto" w:fill="CCEEFF"/>
          </w:tcPr>
          <w:p>
            <w:pPr>
              <w:spacing w:after="0"/>
              <w:rPr>
                <w:sz w:val="12"/>
                <w:szCs w:val="12"/>
                <w:color w:val="auto"/>
              </w:rPr>
            </w:pPr>
          </w:p>
        </w:tc>
        <w:tc>
          <w:tcPr>
            <w:tcW w:w="12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w w:val="76"/>
              </w:rPr>
              <w:t>$</w:t>
            </w: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847.6</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540" w:type="dxa"/>
            <w:vAlign w:val="bottom"/>
          </w:tcPr>
          <w:p>
            <w:pPr>
              <w:spacing w:after="0" w:line="149" w:lineRule="exact"/>
              <w:rPr>
                <w:sz w:val="20"/>
                <w:szCs w:val="20"/>
                <w:color w:val="auto"/>
              </w:rPr>
            </w:pPr>
            <w:r>
              <w:rPr>
                <w:rFonts w:ascii="Arial" w:cs="Arial" w:eastAsia="Arial" w:hAnsi="Arial"/>
                <w:sz w:val="14"/>
                <w:szCs w:val="14"/>
                <w:color w:val="auto"/>
              </w:rPr>
              <w:t>End of year</w:t>
            </w:r>
          </w:p>
        </w:tc>
        <w:tc>
          <w:tcPr>
            <w:tcW w:w="25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685.3</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723.8</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787.0</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454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Change in maximum future earnings</w:t>
            </w:r>
          </w:p>
        </w:tc>
        <w:tc>
          <w:tcPr>
            <w:tcW w:w="264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48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(38.5)</w:t>
            </w:r>
          </w:p>
        </w:tc>
        <w:tc>
          <w:tcPr>
            <w:tcW w:w="20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color w:val="auto"/>
              </w:rPr>
              <w:t>$</w:t>
            </w:r>
          </w:p>
        </w:tc>
        <w:tc>
          <w:tcPr>
            <w:tcW w:w="58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(63.2)</w:t>
            </w:r>
          </w:p>
        </w:tc>
        <w:tc>
          <w:tcPr>
            <w:tcW w:w="12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w w:val="76"/>
              </w:rPr>
              <w:t>$</w:t>
            </w:r>
          </w:p>
        </w:tc>
        <w:tc>
          <w:tcPr>
            <w:tcW w:w="56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(60.6)</w:t>
            </w:r>
          </w:p>
        </w:tc>
      </w:tr>
      <w:tr>
        <w:trPr>
          <w:trHeight w:val="20"/>
        </w:trPr>
        <w:tc>
          <w:tcPr>
            <w:tcW w:w="2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right="20" w:firstLine="412"/>
        <w:spacing w:after="0" w:line="268" w:lineRule="auto"/>
        <w:rPr>
          <w:sz w:val="20"/>
          <w:szCs w:val="20"/>
          <w:color w:val="auto"/>
        </w:rPr>
      </w:pPr>
      <w:r>
        <w:rPr>
          <w:rFonts w:ascii="Arial" w:cs="Arial" w:eastAsia="Arial" w:hAnsi="Arial"/>
          <w:sz w:val="18"/>
          <w:szCs w:val="18"/>
          <w:color w:val="auto"/>
        </w:rPr>
        <w:t>Principal Life charges the Closed Block with federal income taxes, payroll taxes, state and local premium taxes and other state or local taxes, licenses and fees as provided in the plan of reorganization.</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Deferred Acquisition Costs</w:t>
      </w:r>
    </w:p>
    <w:p>
      <w:pPr>
        <w:spacing w:after="0" w:line="23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Acquisition costs deferred and amortized were as follows:</w:t>
      </w:r>
    </w:p>
    <w:p>
      <w:pPr>
        <w:spacing w:after="0" w:line="20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8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60" w:type="dxa"/>
            <w:vAlign w:val="bottom"/>
            <w:gridSpan w:val="8"/>
          </w:tcPr>
          <w:p>
            <w:pPr>
              <w:jc w:val="center"/>
              <w:ind w:left="292"/>
              <w:spacing w:after="0"/>
              <w:rPr>
                <w:sz w:val="20"/>
                <w:szCs w:val="20"/>
                <w:color w:val="auto"/>
              </w:rPr>
            </w:pPr>
            <w:r>
              <w:rPr>
                <w:rFonts w:ascii="Arial" w:cs="Arial" w:eastAsia="Arial" w:hAnsi="Arial"/>
                <w:sz w:val="14"/>
                <w:szCs w:val="14"/>
                <w:b w:val="1"/>
                <w:bCs w:val="1"/>
                <w:color w:val="auto"/>
                <w:w w:val="86"/>
              </w:rPr>
              <w:t>For the year ended</w:t>
            </w:r>
          </w:p>
        </w:tc>
        <w:tc>
          <w:tcPr>
            <w:tcW w:w="5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8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gridSpan w:val="4"/>
          </w:tcPr>
          <w:p>
            <w:pPr>
              <w:jc w:val="center"/>
              <w:ind w:right="20"/>
              <w:spacing w:after="0"/>
              <w:rPr>
                <w:sz w:val="20"/>
                <w:szCs w:val="20"/>
                <w:color w:val="auto"/>
              </w:rPr>
            </w:pPr>
            <w:r>
              <w:rPr>
                <w:rFonts w:ascii="Arial" w:cs="Arial" w:eastAsia="Arial" w:hAnsi="Arial"/>
                <w:sz w:val="14"/>
                <w:szCs w:val="14"/>
                <w:b w:val="1"/>
                <w:bCs w:val="1"/>
                <w:color w:val="auto"/>
                <w:w w:val="85"/>
              </w:rPr>
              <w:t>December 31,</w:t>
            </w:r>
          </w:p>
        </w:tc>
        <w:tc>
          <w:tcPr>
            <w:tcW w:w="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8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w w:val="96"/>
              </w:rPr>
              <w:t>2013</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center"/>
              <w:ind w:right="72"/>
              <w:spacing w:after="0" w:line="142" w:lineRule="exact"/>
              <w:rPr>
                <w:sz w:val="20"/>
                <w:szCs w:val="20"/>
                <w:color w:val="auto"/>
              </w:rPr>
            </w:pPr>
            <w:r>
              <w:rPr>
                <w:rFonts w:ascii="Arial" w:cs="Arial" w:eastAsia="Arial" w:hAnsi="Arial"/>
                <w:sz w:val="14"/>
                <w:szCs w:val="14"/>
                <w:b w:val="1"/>
                <w:bCs w:val="1"/>
                <w:color w:val="auto"/>
                <w:w w:val="89"/>
              </w:rPr>
              <w:t>2012</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w w:val="96"/>
              </w:rPr>
              <w:t>2011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8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20" w:type="dxa"/>
            <w:vAlign w:val="bottom"/>
            <w:gridSpan w:val="3"/>
          </w:tcPr>
          <w:p>
            <w:pPr>
              <w:jc w:val="center"/>
              <w:spacing w:after="0" w:line="142" w:lineRule="exact"/>
              <w:rPr>
                <w:sz w:val="20"/>
                <w:szCs w:val="20"/>
                <w:color w:val="auto"/>
              </w:rPr>
            </w:pPr>
            <w:r>
              <w:rPr>
                <w:rFonts w:ascii="Arial" w:cs="Arial" w:eastAsia="Arial" w:hAnsi="Arial"/>
                <w:sz w:val="14"/>
                <w:szCs w:val="14"/>
                <w:b w:val="1"/>
                <w:bCs w:val="1"/>
                <w:i w:val="1"/>
                <w:iCs w:val="1"/>
                <w:color w:val="auto"/>
                <w:w w:val="83"/>
              </w:rPr>
              <w:t>(in millions)</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00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Balance at beginning of year</w:t>
            </w:r>
          </w:p>
        </w:tc>
        <w:tc>
          <w:tcPr>
            <w:tcW w:w="9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2,590.0</w:t>
            </w:r>
          </w:p>
        </w:tc>
        <w:tc>
          <w:tcPr>
            <w:tcW w:w="60" w:type="dxa"/>
            <w:vAlign w:val="bottom"/>
            <w:shd w:val="clear" w:color="auto" w:fill="CCEEFF"/>
          </w:tcPr>
          <w:p>
            <w:pPr>
              <w:spacing w:after="0"/>
              <w:rPr>
                <w:sz w:val="12"/>
                <w:szCs w:val="12"/>
                <w:color w:val="auto"/>
              </w:rPr>
            </w:pPr>
          </w:p>
        </w:tc>
        <w:tc>
          <w:tcPr>
            <w:tcW w:w="2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2,358.1</w:t>
            </w:r>
          </w:p>
        </w:tc>
        <w:tc>
          <w:tcPr>
            <w:tcW w:w="12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2,442.2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000" w:type="dxa"/>
            <w:vAlign w:val="bottom"/>
            <w:gridSpan w:val="3"/>
          </w:tcPr>
          <w:p>
            <w:pPr>
              <w:spacing w:after="0" w:line="149" w:lineRule="exact"/>
              <w:rPr>
                <w:sz w:val="20"/>
                <w:szCs w:val="20"/>
                <w:color w:val="auto"/>
              </w:rPr>
            </w:pPr>
            <w:r>
              <w:rPr>
                <w:rFonts w:ascii="Arial" w:cs="Arial" w:eastAsia="Arial" w:hAnsi="Arial"/>
                <w:sz w:val="14"/>
                <w:szCs w:val="14"/>
                <w:color w:val="auto"/>
              </w:rPr>
              <w:t>Cost deferred during the year</w:t>
            </w: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447.0</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428.9</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344.4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00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Amortized to expense during the year (1)</w:t>
            </w:r>
          </w:p>
        </w:tc>
        <w:tc>
          <w:tcPr>
            <w:tcW w:w="7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(187.1)</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(94.9)</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(271.4)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000" w:type="dxa"/>
            <w:vAlign w:val="bottom"/>
            <w:gridSpan w:val="3"/>
          </w:tcPr>
          <w:p>
            <w:pPr>
              <w:spacing w:after="0" w:line="149" w:lineRule="exact"/>
              <w:rPr>
                <w:sz w:val="20"/>
                <w:szCs w:val="20"/>
                <w:color w:val="auto"/>
              </w:rPr>
            </w:pPr>
            <w:r>
              <w:rPr>
                <w:rFonts w:ascii="Arial" w:cs="Arial" w:eastAsia="Arial" w:hAnsi="Arial"/>
                <w:sz w:val="14"/>
                <w:szCs w:val="14"/>
                <w:color w:val="auto"/>
                <w:w w:val="99"/>
              </w:rPr>
              <w:t>Adjustment related to unrealized gains on available-for-sale securities and derivative instruments</w:t>
            </w: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227.1</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(102.1)</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(157.1)</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88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6000" w:type="dxa"/>
            <w:vAlign w:val="bottom"/>
            <w:gridSpan w:val="3"/>
            <w:shd w:val="clear" w:color="auto" w:fill="CCEEFF"/>
          </w:tcPr>
          <w:p>
            <w:pPr>
              <w:spacing w:after="0" w:line="142" w:lineRule="exact"/>
              <w:rPr>
                <w:sz w:val="20"/>
                <w:szCs w:val="20"/>
                <w:color w:val="auto"/>
              </w:rPr>
            </w:pPr>
            <w:r>
              <w:rPr>
                <w:rFonts w:ascii="Arial" w:cs="Arial" w:eastAsia="Arial" w:hAnsi="Arial"/>
                <w:sz w:val="14"/>
                <w:szCs w:val="14"/>
                <w:color w:val="auto"/>
              </w:rPr>
              <w:t>Balance at end of year</w:t>
            </w:r>
          </w:p>
        </w:tc>
        <w:tc>
          <w:tcPr>
            <w:tcW w:w="90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w:t>
            </w: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3,077.0</w:t>
            </w:r>
          </w:p>
        </w:tc>
        <w:tc>
          <w:tcPr>
            <w:tcW w:w="60" w:type="dxa"/>
            <w:vAlign w:val="bottom"/>
            <w:shd w:val="clear" w:color="auto" w:fill="CCEEFF"/>
          </w:tcPr>
          <w:p>
            <w:pPr>
              <w:spacing w:after="0"/>
              <w:rPr>
                <w:sz w:val="12"/>
                <w:szCs w:val="12"/>
                <w:color w:val="auto"/>
              </w:rPr>
            </w:pPr>
          </w:p>
        </w:tc>
        <w:tc>
          <w:tcPr>
            <w:tcW w:w="2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2,590.0</w:t>
            </w:r>
          </w:p>
        </w:tc>
        <w:tc>
          <w:tcPr>
            <w:tcW w:w="12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2,358.</w:t>
            </w:r>
            <w:r>
              <w:rPr>
                <w:rFonts w:ascii="Arial" w:cs="Arial" w:eastAsia="Arial" w:hAnsi="Arial"/>
                <w:sz w:val="14"/>
                <w:szCs w:val="14"/>
                <w:u w:val="single" w:color="auto"/>
                <w:color w:val="auto"/>
              </w:rPr>
              <w:t>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6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88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340" w:type="dxa"/>
            <w:vAlign w:val="bottom"/>
            <w:tcBorders>
              <w:bottom w:val="single" w:sz="8" w:color="auto"/>
            </w:tcBorders>
          </w:tcPr>
          <w:p>
            <w:pPr>
              <w:spacing w:after="0"/>
              <w:rPr>
                <w:sz w:val="7"/>
                <w:szCs w:val="7"/>
                <w:color w:val="auto"/>
              </w:rPr>
            </w:pPr>
          </w:p>
        </w:tc>
        <w:tc>
          <w:tcPr>
            <w:tcW w:w="780" w:type="dxa"/>
            <w:vAlign w:val="bottom"/>
            <w:tcBorders>
              <w:bottom w:val="single" w:sz="8" w:color="auto"/>
            </w:tcBorders>
          </w:tcPr>
          <w:p>
            <w:pPr>
              <w:spacing w:after="0"/>
              <w:rPr>
                <w:sz w:val="7"/>
                <w:szCs w:val="7"/>
                <w:color w:val="auto"/>
              </w:rPr>
            </w:pPr>
          </w:p>
        </w:tc>
        <w:tc>
          <w:tcPr>
            <w:tcW w:w="48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20" w:type="dxa"/>
            <w:vAlign w:val="bottom"/>
          </w:tcPr>
          <w:p>
            <w:pPr>
              <w:spacing w:after="0"/>
              <w:rPr>
                <w:sz w:val="7"/>
                <w:szCs w:val="7"/>
                <w:color w:val="auto"/>
              </w:rPr>
            </w:pPr>
          </w:p>
        </w:tc>
        <w:tc>
          <w:tcPr>
            <w:tcW w:w="50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50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50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71"/>
        </w:trPr>
        <w:tc>
          <w:tcPr>
            <w:tcW w:w="360" w:type="dxa"/>
            <w:vAlign w:val="bottom"/>
            <w:gridSpan w:val="2"/>
          </w:tcPr>
          <w:p>
            <w:pPr>
              <w:spacing w:after="0"/>
              <w:rPr>
                <w:sz w:val="20"/>
                <w:szCs w:val="20"/>
                <w:color w:val="auto"/>
              </w:rPr>
            </w:pPr>
            <w:r>
              <w:rPr>
                <w:rFonts w:ascii="Arial" w:cs="Arial" w:eastAsia="Arial" w:hAnsi="Arial"/>
                <w:sz w:val="14"/>
                <w:szCs w:val="14"/>
                <w:color w:val="auto"/>
              </w:rPr>
              <w:t>(1)</w:t>
            </w:r>
          </w:p>
        </w:tc>
        <w:tc>
          <w:tcPr>
            <w:tcW w:w="5660" w:type="dxa"/>
            <w:vAlign w:val="bottom"/>
            <w:gridSpan w:val="2"/>
          </w:tcPr>
          <w:p>
            <w:pPr>
              <w:ind w:left="180"/>
              <w:spacing w:after="0"/>
              <w:rPr>
                <w:sz w:val="20"/>
                <w:szCs w:val="20"/>
                <w:color w:val="auto"/>
              </w:rPr>
            </w:pPr>
            <w:r>
              <w:rPr>
                <w:rFonts w:ascii="Arial" w:cs="Arial" w:eastAsia="Arial" w:hAnsi="Arial"/>
                <w:sz w:val="14"/>
                <w:szCs w:val="14"/>
                <w:color w:val="auto"/>
              </w:rPr>
              <w:t>Includes adjustments for revisions to estimated gross profits.</w:t>
            </w: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Insurance Liabilities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Contractholder Funds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Major components of contractholder funds in the consolidated statements of financial position are summarized as follows:</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4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60" w:type="dxa"/>
            <w:vAlign w:val="bottom"/>
            <w:gridSpan w:val="5"/>
          </w:tcPr>
          <w:p>
            <w:pPr>
              <w:ind w:left="240"/>
              <w:spacing w:after="0"/>
              <w:rPr>
                <w:sz w:val="20"/>
                <w:szCs w:val="20"/>
                <w:color w:val="auto"/>
              </w:rPr>
            </w:pPr>
            <w:r>
              <w:rPr>
                <w:rFonts w:ascii="Arial" w:cs="Arial" w:eastAsia="Arial" w:hAnsi="Arial"/>
                <w:sz w:val="14"/>
                <w:szCs w:val="14"/>
                <w:b w:val="1"/>
                <w:bCs w:val="1"/>
                <w:color w:val="auto"/>
              </w:rPr>
              <w:t>December 31,</w:t>
            </w:r>
          </w:p>
        </w:tc>
      </w:tr>
      <w:tr>
        <w:trPr>
          <w:trHeight w:val="142"/>
        </w:trPr>
        <w:tc>
          <w:tcPr>
            <w:tcW w:w="20" w:type="dxa"/>
            <w:vAlign w:val="bottom"/>
          </w:tcPr>
          <w:p>
            <w:pPr>
              <w:spacing w:after="0"/>
              <w:rPr>
                <w:sz w:val="12"/>
                <w:szCs w:val="12"/>
                <w:color w:val="auto"/>
              </w:rPr>
            </w:pPr>
          </w:p>
        </w:tc>
        <w:tc>
          <w:tcPr>
            <w:tcW w:w="74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52"/>
              <w:spacing w:after="0" w:line="142" w:lineRule="exact"/>
              <w:rPr>
                <w:sz w:val="20"/>
                <w:szCs w:val="20"/>
                <w:color w:val="auto"/>
              </w:rPr>
            </w:pPr>
            <w:r>
              <w:rPr>
                <w:rFonts w:ascii="Arial" w:cs="Arial" w:eastAsia="Arial" w:hAnsi="Arial"/>
                <w:sz w:val="14"/>
                <w:szCs w:val="14"/>
                <w:b w:val="1"/>
                <w:bCs w:val="1"/>
                <w:color w:val="auto"/>
              </w:rPr>
              <w:t>2013</w:t>
            </w:r>
          </w:p>
        </w:tc>
        <w:tc>
          <w:tcPr>
            <w:tcW w:w="160" w:type="dxa"/>
            <w:vAlign w:val="bottom"/>
            <w:tcBorders>
              <w:top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52"/>
              <w:spacing w:after="0" w:line="142" w:lineRule="exact"/>
              <w:rPr>
                <w:sz w:val="20"/>
                <w:szCs w:val="20"/>
                <w:color w:val="auto"/>
              </w:rPr>
            </w:pPr>
            <w:r>
              <w:rPr>
                <w:rFonts w:ascii="Arial" w:cs="Arial" w:eastAsia="Arial" w:hAnsi="Arial"/>
                <w:sz w:val="14"/>
                <w:szCs w:val="14"/>
                <w:b w:val="1"/>
                <w:bCs w:val="1"/>
                <w:color w:val="auto"/>
              </w:rPr>
              <w:t>2012</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74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ind w:right="5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840" w:type="dxa"/>
            <w:vAlign w:val="bottom"/>
            <w:gridSpan w:val="3"/>
          </w:tcPr>
          <w:p>
            <w:pPr>
              <w:jc w:val="right"/>
              <w:ind w:right="352"/>
              <w:spacing w:after="0"/>
              <w:rPr>
                <w:sz w:val="20"/>
                <w:szCs w:val="20"/>
                <w:color w:val="auto"/>
              </w:rPr>
            </w:pPr>
            <w:r>
              <w:rPr>
                <w:rFonts w:ascii="Arial" w:cs="Arial" w:eastAsia="Arial" w:hAnsi="Arial"/>
                <w:sz w:val="12"/>
                <w:szCs w:val="12"/>
                <w:b w:val="1"/>
                <w:bCs w:val="1"/>
                <w:i w:val="1"/>
                <w:iCs w:val="1"/>
                <w:color w:val="auto"/>
                <w:w w:val="80"/>
              </w:rPr>
              <w:t>millions)</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4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Liabilities for investment-type insurance contracts:</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420" w:type="dxa"/>
            <w:vAlign w:val="bottom"/>
          </w:tcPr>
          <w:p>
            <w:pPr>
              <w:ind w:left="140"/>
              <w:spacing w:after="0" w:line="149" w:lineRule="exact"/>
              <w:rPr>
                <w:sz w:val="20"/>
                <w:szCs w:val="20"/>
                <w:color w:val="auto"/>
              </w:rPr>
            </w:pPr>
            <w:r>
              <w:rPr>
                <w:rFonts w:ascii="Arial" w:cs="Arial" w:eastAsia="Arial" w:hAnsi="Arial"/>
                <w:sz w:val="14"/>
                <w:szCs w:val="14"/>
                <w:color w:val="auto"/>
              </w:rPr>
              <w:t>Liabilities for individual annuities</w:t>
            </w:r>
          </w:p>
        </w:tc>
        <w:tc>
          <w:tcPr>
            <w:tcW w:w="140" w:type="dxa"/>
            <w:vAlign w:val="bottom"/>
            <w:gridSpan w:val="2"/>
          </w:tcPr>
          <w:p>
            <w:pPr>
              <w:jc w:val="right"/>
              <w:ind w:right="57"/>
              <w:spacing w:after="0"/>
              <w:rPr>
                <w:sz w:val="20"/>
                <w:szCs w:val="20"/>
                <w:color w:val="auto"/>
              </w:rPr>
            </w:pPr>
            <w:r>
              <w:rPr>
                <w:rFonts w:ascii="Arial" w:cs="Arial" w:eastAsia="Arial" w:hAnsi="Arial"/>
                <w:sz w:val="10"/>
                <w:szCs w:val="10"/>
                <w:b w:val="1"/>
                <w:bCs w:val="1"/>
                <w:color w:val="auto"/>
                <w:w w:val="71"/>
              </w:rPr>
              <w:t>$</w:t>
            </w: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95"/>
              </w:rPr>
              <w:t>10,582.7</w:t>
            </w:r>
          </w:p>
        </w:tc>
        <w:tc>
          <w:tcPr>
            <w:tcW w:w="28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w w:val="99"/>
              </w:rPr>
              <w:t>11,316.2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4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GICs</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95"/>
              </w:rPr>
              <w:t>10,858.3</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9"/>
              </w:rPr>
              <w:t>10,943.1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420" w:type="dxa"/>
            <w:vAlign w:val="bottom"/>
          </w:tcPr>
          <w:p>
            <w:pPr>
              <w:ind w:left="140"/>
              <w:spacing w:after="0" w:line="149" w:lineRule="exact"/>
              <w:rPr>
                <w:sz w:val="20"/>
                <w:szCs w:val="20"/>
                <w:color w:val="auto"/>
              </w:rPr>
            </w:pPr>
            <w:r>
              <w:rPr>
                <w:rFonts w:ascii="Arial" w:cs="Arial" w:eastAsia="Arial" w:hAnsi="Arial"/>
                <w:sz w:val="14"/>
                <w:szCs w:val="14"/>
                <w:color w:val="auto"/>
              </w:rPr>
              <w:t>Funding agreements</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7,642.9</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9,077.1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4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Other investment-type insurance contracts</w:t>
            </w:r>
          </w:p>
        </w:tc>
        <w:tc>
          <w:tcPr>
            <w:tcW w:w="2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832.6</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787.2</w:t>
            </w:r>
          </w:p>
        </w:tc>
        <w:tc>
          <w:tcPr>
            <w:tcW w:w="160" w:type="dxa"/>
            <w:vAlign w:val="bottom"/>
            <w:shd w:val="clear" w:color="auto" w:fill="CCEEFF"/>
          </w:tcPr>
          <w:p>
            <w:pPr>
              <w:spacing w:after="0"/>
              <w:rPr>
                <w:sz w:val="12"/>
                <w:szCs w:val="12"/>
                <w:color w:val="auto"/>
              </w:rPr>
            </w:pPr>
          </w:p>
        </w:tc>
      </w:tr>
      <w:tr>
        <w:trPr>
          <w:trHeight w:val="142"/>
        </w:trPr>
        <w:tc>
          <w:tcPr>
            <w:tcW w:w="7440" w:type="dxa"/>
            <w:vAlign w:val="bottom"/>
            <w:gridSpan w:val="2"/>
          </w:tcPr>
          <w:p>
            <w:pPr>
              <w:spacing w:after="0" w:line="142" w:lineRule="exact"/>
              <w:rPr>
                <w:sz w:val="20"/>
                <w:szCs w:val="20"/>
                <w:color w:val="auto"/>
              </w:rPr>
            </w:pPr>
            <w:r>
              <w:rPr>
                <w:rFonts w:ascii="Arial" w:cs="Arial" w:eastAsia="Arial" w:hAnsi="Arial"/>
                <w:sz w:val="14"/>
                <w:szCs w:val="14"/>
                <w:color w:val="auto"/>
              </w:rPr>
              <w:t>Total liabilities for investment-type insurance contracts</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2" w:lineRule="exact"/>
              <w:rPr>
                <w:sz w:val="20"/>
                <w:szCs w:val="20"/>
                <w:color w:val="auto"/>
              </w:rPr>
            </w:pPr>
            <w:r>
              <w:rPr>
                <w:rFonts w:ascii="Arial" w:cs="Arial" w:eastAsia="Arial" w:hAnsi="Arial"/>
                <w:sz w:val="14"/>
                <w:szCs w:val="14"/>
                <w:b w:val="1"/>
                <w:bCs w:val="1"/>
                <w:color w:val="auto"/>
                <w:w w:val="95"/>
              </w:rPr>
              <w:t>29,916.5</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2" w:lineRule="exact"/>
              <w:rPr>
                <w:sz w:val="20"/>
                <w:szCs w:val="20"/>
                <w:color w:val="auto"/>
              </w:rPr>
            </w:pPr>
            <w:r>
              <w:rPr>
                <w:rFonts w:ascii="Arial" w:cs="Arial" w:eastAsia="Arial" w:hAnsi="Arial"/>
                <w:sz w:val="14"/>
                <w:szCs w:val="14"/>
                <w:color w:val="auto"/>
                <w:w w:val="99"/>
              </w:rPr>
              <w:t>32,123.6</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4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Universal life and other reserves</w:t>
            </w:r>
          </w:p>
        </w:tc>
        <w:tc>
          <w:tcPr>
            <w:tcW w:w="2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6,041.8</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5,662.9</w:t>
            </w:r>
          </w:p>
        </w:tc>
        <w:tc>
          <w:tcPr>
            <w:tcW w:w="160" w:type="dxa"/>
            <w:vAlign w:val="bottom"/>
            <w:shd w:val="clear" w:color="auto" w:fill="CCEEFF"/>
          </w:tcPr>
          <w:p>
            <w:pPr>
              <w:spacing w:after="0"/>
              <w:rPr>
                <w:sz w:val="12"/>
                <w:szCs w:val="12"/>
                <w:color w:val="auto"/>
              </w:rPr>
            </w:pPr>
          </w:p>
        </w:tc>
      </w:tr>
      <w:tr>
        <w:trPr>
          <w:trHeight w:val="142"/>
        </w:trPr>
        <w:tc>
          <w:tcPr>
            <w:tcW w:w="7440" w:type="dxa"/>
            <w:vAlign w:val="bottom"/>
            <w:gridSpan w:val="2"/>
          </w:tcPr>
          <w:p>
            <w:pPr>
              <w:spacing w:after="0" w:line="142" w:lineRule="exact"/>
              <w:rPr>
                <w:sz w:val="20"/>
                <w:szCs w:val="20"/>
                <w:color w:val="auto"/>
              </w:rPr>
            </w:pPr>
            <w:r>
              <w:rPr>
                <w:rFonts w:ascii="Arial" w:cs="Arial" w:eastAsia="Arial" w:hAnsi="Arial"/>
                <w:sz w:val="14"/>
                <w:szCs w:val="14"/>
                <w:color w:val="auto"/>
              </w:rPr>
              <w:t>Total contractholder funds</w:t>
            </w:r>
          </w:p>
        </w:tc>
        <w:tc>
          <w:tcPr>
            <w:tcW w:w="2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jc w:val="right"/>
              <w:ind w:right="57"/>
              <w:spacing w:after="0"/>
              <w:rPr>
                <w:sz w:val="20"/>
                <w:szCs w:val="20"/>
                <w:color w:val="auto"/>
              </w:rPr>
            </w:pPr>
            <w:r>
              <w:rPr>
                <w:rFonts w:ascii="Arial" w:cs="Arial" w:eastAsia="Arial" w:hAnsi="Arial"/>
                <w:sz w:val="5"/>
                <w:szCs w:val="5"/>
                <w:b w:val="1"/>
                <w:bCs w:val="1"/>
                <w:color w:val="auto"/>
                <w:w w:val="70"/>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5"/>
              </w:rPr>
              <w:t>35,958.3</w:t>
            </w:r>
          </w:p>
        </w:tc>
        <w:tc>
          <w:tcPr>
            <w:tcW w:w="160" w:type="dxa"/>
            <w:vAlign w:val="bottom"/>
          </w:tcPr>
          <w:p>
            <w:pPr>
              <w:spacing w:after="0"/>
              <w:rPr>
                <w:sz w:val="12"/>
                <w:szCs w:val="12"/>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99"/>
              </w:rPr>
              <w:t>37,786.5</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74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firstLine="551"/>
        <w:spacing w:after="0" w:line="332" w:lineRule="auto"/>
        <w:rPr>
          <w:sz w:val="20"/>
          <w:szCs w:val="20"/>
          <w:color w:val="auto"/>
        </w:rPr>
      </w:pPr>
      <w:r>
        <w:rPr>
          <w:rFonts w:ascii="Arial" w:cs="Arial" w:eastAsia="Arial" w:hAnsi="Arial"/>
          <w:sz w:val="16"/>
          <w:szCs w:val="16"/>
          <w:color w:val="auto"/>
        </w:rPr>
        <w:t>Our GICs and funding agreements contain provisions limiting or prohibiting early surrenders, which typically include penalties for early surrenders, minimum notice requirements or, in the case of funding agreements with survivor options, minimum pre-death holding periods and specific maximum amounts.</w:t>
      </w:r>
    </w:p>
    <w:p>
      <w:pPr>
        <w:spacing w:after="0" w:line="139" w:lineRule="exact"/>
        <w:rPr>
          <w:sz w:val="20"/>
          <w:szCs w:val="20"/>
          <w:color w:val="auto"/>
        </w:rPr>
      </w:pPr>
    </w:p>
    <w:p>
      <w:pPr>
        <w:jc w:val="both"/>
        <w:ind w:firstLine="571"/>
        <w:spacing w:after="0" w:line="306" w:lineRule="auto"/>
        <w:rPr>
          <w:sz w:val="20"/>
          <w:szCs w:val="20"/>
          <w:color w:val="auto"/>
        </w:rPr>
      </w:pPr>
      <w:r>
        <w:rPr>
          <w:rFonts w:ascii="Arial" w:cs="Arial" w:eastAsia="Arial" w:hAnsi="Arial"/>
          <w:sz w:val="16"/>
          <w:szCs w:val="16"/>
          <w:color w:val="auto"/>
        </w:rPr>
        <w:t>Funding agreements include those issued directly to nonqualified institutional investors, as well as under five separate programs where the funding agreements have been issued directly or indirectly to unconsolidated special purpose entities. Claims for principal and interest under funding agreements are afforded equal priority to claims of life insurance and annuity policyholders under insolvency provisions of Iowa Insurance Laws.</w:t>
      </w:r>
    </w:p>
    <w:p>
      <w:pPr>
        <w:spacing w:after="0" w:line="161" w:lineRule="exact"/>
        <w:rPr>
          <w:sz w:val="20"/>
          <w:szCs w:val="20"/>
          <w:color w:val="auto"/>
        </w:rPr>
      </w:pPr>
    </w:p>
    <w:p>
      <w:pPr>
        <w:jc w:val="both"/>
        <w:ind w:right="20" w:firstLine="409"/>
        <w:spacing w:after="0" w:line="259" w:lineRule="auto"/>
        <w:rPr>
          <w:sz w:val="20"/>
          <w:szCs w:val="20"/>
          <w:color w:val="auto"/>
        </w:rPr>
      </w:pPr>
      <w:r>
        <w:rPr>
          <w:rFonts w:ascii="Arial" w:cs="Arial" w:eastAsia="Arial" w:hAnsi="Arial"/>
          <w:sz w:val="18"/>
          <w:szCs w:val="18"/>
          <w:color w:val="auto"/>
        </w:rPr>
        <w:t>Principal Life was authorized to issue up to $4.0 billion of funding agreements under a program established in 1998 to support the prospective issuance of medium term notes by an unaffiliated entity in non-U.S. markets. As of December 31, 2013 and 2012, $370.9 million and $1,189.5 million, respectively, of liabilities are outstanding with respect</w:t>
      </w:r>
    </w:p>
    <w:p>
      <w:pPr>
        <w:sectPr>
          <w:pgSz w:w="11900" w:h="16838" w:orient="portrait"/>
          <w:cols w:equalWidth="0" w:num="1">
            <w:col w:w="11420"/>
          </w:cols>
          <w:pgMar w:left="240" w:top="131" w:right="239" w:bottom="1440" w:gutter="0" w:footer="0" w:header="0"/>
        </w:sectPr>
      </w:pP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41" w:name="page142"/>
    <w:bookmarkEnd w:id="14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Insurance Liabilities — (continued)</w:t>
      </w:r>
    </w:p>
    <w:p>
      <w:pPr>
        <w:spacing w:after="0" w:line="231" w:lineRule="exact"/>
        <w:rPr>
          <w:sz w:val="20"/>
          <w:szCs w:val="20"/>
          <w:color w:val="auto"/>
        </w:rPr>
      </w:pPr>
    </w:p>
    <w:p>
      <w:pPr>
        <w:jc w:val="both"/>
        <w:spacing w:after="0" w:line="294" w:lineRule="auto"/>
        <w:rPr>
          <w:sz w:val="20"/>
          <w:szCs w:val="20"/>
          <w:color w:val="auto"/>
        </w:rPr>
      </w:pPr>
      <w:r>
        <w:rPr>
          <w:rFonts w:ascii="Arial" w:cs="Arial" w:eastAsia="Arial" w:hAnsi="Arial"/>
          <w:sz w:val="16"/>
          <w:szCs w:val="16"/>
          <w:color w:val="auto"/>
        </w:rPr>
        <w:t>to the issuance outstanding under this program. Principal Life was also authorized to issue up to Euro 4.0 billion (approximately USD$5.3 billion) of funding agreements under a program established in 2006 to support the prospective issuance of medium term notes by an unaffiliated entity in non-U.S. markets. The unaffiliated entity is an unconsolidated special purpose vehicle. As of December 31, 2013 and 2012, $1,278.7 million and $1,251.1 million, respectively, of liabilities are outstanding with respect to issuances outstanding under this program. Principal Life does not anticipate any new issuance activity under either of these programs due to the existence of the program established in 2011 described below.</w:t>
      </w:r>
    </w:p>
    <w:p>
      <w:pPr>
        <w:spacing w:after="0" w:line="170" w:lineRule="exact"/>
        <w:rPr>
          <w:sz w:val="20"/>
          <w:szCs w:val="20"/>
          <w:color w:val="auto"/>
        </w:rPr>
      </w:pPr>
    </w:p>
    <w:p>
      <w:pPr>
        <w:jc w:val="both"/>
        <w:ind w:firstLine="405"/>
        <w:spacing w:after="0" w:line="294" w:lineRule="auto"/>
        <w:rPr>
          <w:sz w:val="20"/>
          <w:szCs w:val="20"/>
          <w:color w:val="auto"/>
        </w:rPr>
      </w:pPr>
      <w:r>
        <w:rPr>
          <w:rFonts w:ascii="Arial" w:cs="Arial" w:eastAsia="Arial" w:hAnsi="Arial"/>
          <w:sz w:val="16"/>
          <w:szCs w:val="16"/>
          <w:color w:val="auto"/>
        </w:rPr>
        <w:t>In addition, Principal Life was authorized to issue up to $7.0 billion of funding agreements under a program established in 2001 to support the prospective issuance of medium term notes by an unaffiliated entity in both domestic and international markets. The unaffiliated entity is an unconsolidated special purpose entity. As of December 31, 2013 and 2012, $637.6 million and $1,598.5 million, respectively, of liabilities are being held with respect to issuances outstanding under this program. Principal Life does not anticipate any new issuance activity under this program, given our December 2005 termination of the dealership agreement for this program and the availability of the program established in 2011 described below.</w:t>
      </w:r>
    </w:p>
    <w:p>
      <w:pPr>
        <w:spacing w:after="0" w:line="170" w:lineRule="exact"/>
        <w:rPr>
          <w:sz w:val="20"/>
          <w:szCs w:val="20"/>
          <w:color w:val="auto"/>
        </w:rPr>
      </w:pPr>
    </w:p>
    <w:p>
      <w:pPr>
        <w:jc w:val="both"/>
        <w:ind w:firstLine="460"/>
        <w:spacing w:after="0" w:line="288" w:lineRule="auto"/>
        <w:rPr>
          <w:sz w:val="20"/>
          <w:szCs w:val="20"/>
          <w:color w:val="auto"/>
        </w:rPr>
      </w:pPr>
      <w:r>
        <w:rPr>
          <w:rFonts w:ascii="Arial" w:cs="Arial" w:eastAsia="Arial" w:hAnsi="Arial"/>
          <w:sz w:val="16"/>
          <w:szCs w:val="16"/>
          <w:color w:val="auto"/>
        </w:rPr>
        <w:t>Additionally, Principal Life was authorized to issue up to $4.0 billion of funding agreements under a program established in March 2004 to support the prospective issuance of medium term notes by unaffiliated entities in both domestic and international markets. In February 2006, this program was amended to authorize issuance of up to an additional $5.0 billion in recognition of the use of nearly all $4.0 billion of initial issuance authorization. In recognition of the use of nearly all $9.0 billion, this program was amended in November 2007 to authorize issuance of up to an additional $5.0 billion. Under this program, both the notes and the supporting funding agreements were registered with the SEC. As of December 31, 2013 and 2012, $975.0 million and $1,875.6 million, respectively, of liabilities are being held with respect to issuances outstanding under this program. In contrast with direct funding agreements, GIC issuances and the other three funding agreement-backed medium term note programs described above, Principal Life's payment obligations on each funding agreement issued under this SEC-registered program are guaranteed by PFG. Principal Life does not anticipate any new issuance activity under this program due to the existence of the program established in 2011 described below.</w:t>
      </w:r>
    </w:p>
    <w:p>
      <w:pPr>
        <w:spacing w:after="0" w:line="174" w:lineRule="exact"/>
        <w:rPr>
          <w:sz w:val="20"/>
          <w:szCs w:val="20"/>
          <w:color w:val="auto"/>
        </w:rPr>
      </w:pPr>
    </w:p>
    <w:p>
      <w:pPr>
        <w:jc w:val="both"/>
        <w:ind w:firstLine="412"/>
        <w:spacing w:after="0" w:line="255" w:lineRule="auto"/>
        <w:rPr>
          <w:sz w:val="20"/>
          <w:szCs w:val="20"/>
          <w:color w:val="auto"/>
        </w:rPr>
      </w:pPr>
      <w:r>
        <w:rPr>
          <w:rFonts w:ascii="Arial" w:cs="Arial" w:eastAsia="Arial" w:hAnsi="Arial"/>
          <w:sz w:val="18"/>
          <w:szCs w:val="18"/>
          <w:color w:val="auto"/>
        </w:rPr>
        <w:t>Principal Life was authorized to issue up to $5.0 billion of funding agreements under a program established in 2011 to support the prospective issuance of medium term notes by an unaffiliated entity in both domestic and international markets. The unaffiliated entity is an unconsolidated special purpose entity. As of December 31, 2013 and 2012, $2,630.5 million and $1,352.3 million of liabilities are being held with respect to any issuances outstanding under this program. Similar to the SEC-registered program, Principal Life's payment obligations on each funding agreement issued under this program are guaranteed by PFG. The program established in 2011 is not registered with the SEC.</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Future Policy Benefits and Claims</w:t>
      </w:r>
    </w:p>
    <w:p>
      <w:pPr>
        <w:spacing w:after="0" w:line="23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Activity associated with unpaid disability and health claims is summarized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3500" w:type="dxa"/>
            <w:vAlign w:val="bottom"/>
          </w:tcPr>
          <w:p>
            <w:pPr>
              <w:spacing w:after="0"/>
              <w:rPr>
                <w:sz w:val="14"/>
                <w:szCs w:val="14"/>
                <w:color w:val="auto"/>
              </w:rPr>
            </w:pPr>
          </w:p>
        </w:tc>
        <w:tc>
          <w:tcPr>
            <w:tcW w:w="32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85"/>
              </w:rPr>
              <w:t>December 31,</w:t>
            </w:r>
          </w:p>
        </w:tc>
        <w:tc>
          <w:tcPr>
            <w:tcW w:w="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3500" w:type="dxa"/>
            <w:vAlign w:val="bottom"/>
          </w:tcPr>
          <w:p>
            <w:pPr>
              <w:spacing w:after="0"/>
              <w:rPr>
                <w:sz w:val="12"/>
                <w:szCs w:val="12"/>
                <w:color w:val="auto"/>
              </w:rPr>
            </w:pPr>
          </w:p>
        </w:tc>
        <w:tc>
          <w:tcPr>
            <w:tcW w:w="32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w w:val="96"/>
              </w:rPr>
              <w:t>2013</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center"/>
              <w:ind w:right="72"/>
              <w:spacing w:after="0" w:line="142" w:lineRule="exact"/>
              <w:rPr>
                <w:sz w:val="20"/>
                <w:szCs w:val="20"/>
                <w:color w:val="auto"/>
              </w:rPr>
            </w:pPr>
            <w:r>
              <w:rPr>
                <w:rFonts w:ascii="Arial" w:cs="Arial" w:eastAsia="Arial" w:hAnsi="Arial"/>
                <w:sz w:val="14"/>
                <w:szCs w:val="14"/>
                <w:b w:val="1"/>
                <w:bCs w:val="1"/>
                <w:color w:val="auto"/>
                <w:w w:val="89"/>
              </w:rPr>
              <w:t>2012</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w w:val="96"/>
              </w:rPr>
              <w:t>2011</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3500" w:type="dxa"/>
            <w:vAlign w:val="bottom"/>
          </w:tcPr>
          <w:p>
            <w:pPr>
              <w:spacing w:after="0"/>
              <w:rPr>
                <w:sz w:val="12"/>
                <w:szCs w:val="12"/>
                <w:color w:val="auto"/>
              </w:rPr>
            </w:pPr>
          </w:p>
        </w:tc>
        <w:tc>
          <w:tcPr>
            <w:tcW w:w="3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780" w:type="dxa"/>
            <w:vAlign w:val="bottom"/>
            <w:gridSpan w:val="3"/>
          </w:tcPr>
          <w:p>
            <w:pPr>
              <w:jc w:val="center"/>
              <w:ind w:left="52"/>
              <w:spacing w:after="0" w:line="142" w:lineRule="exact"/>
              <w:rPr>
                <w:sz w:val="20"/>
                <w:szCs w:val="20"/>
                <w:color w:val="auto"/>
              </w:rPr>
            </w:pPr>
            <w:r>
              <w:rPr>
                <w:rFonts w:ascii="Arial" w:cs="Arial" w:eastAsia="Arial" w:hAnsi="Arial"/>
                <w:sz w:val="14"/>
                <w:szCs w:val="14"/>
                <w:b w:val="1"/>
                <w:bCs w:val="1"/>
                <w:i w:val="1"/>
                <w:iCs w:val="1"/>
                <w:color w:val="auto"/>
                <w:w w:val="83"/>
              </w:rPr>
              <w:t>(in millions)</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Balance at beginning of year</w:t>
            </w:r>
          </w:p>
        </w:tc>
        <w:tc>
          <w:tcPr>
            <w:tcW w:w="34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1,066.0</w:t>
            </w:r>
          </w:p>
        </w:tc>
        <w:tc>
          <w:tcPr>
            <w:tcW w:w="2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1,006.9</w:t>
            </w:r>
          </w:p>
        </w:tc>
        <w:tc>
          <w:tcPr>
            <w:tcW w:w="12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1,061.8</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Incurred:</w:t>
            </w:r>
          </w:p>
        </w:tc>
        <w:tc>
          <w:tcPr>
            <w:tcW w:w="3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5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Current year</w:t>
            </w:r>
          </w:p>
        </w:tc>
        <w:tc>
          <w:tcPr>
            <w:tcW w:w="3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712.0</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711.8</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1,074.0</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500" w:type="dxa"/>
            <w:vAlign w:val="bottom"/>
          </w:tcPr>
          <w:p>
            <w:pPr>
              <w:ind w:left="140"/>
              <w:spacing w:after="0" w:line="149" w:lineRule="exact"/>
              <w:rPr>
                <w:sz w:val="20"/>
                <w:szCs w:val="20"/>
                <w:color w:val="auto"/>
              </w:rPr>
            </w:pPr>
            <w:r>
              <w:rPr>
                <w:rFonts w:ascii="Arial" w:cs="Arial" w:eastAsia="Arial" w:hAnsi="Arial"/>
                <w:sz w:val="14"/>
                <w:szCs w:val="14"/>
                <w:color w:val="auto"/>
              </w:rPr>
              <w:t>Prior years</w:t>
            </w:r>
          </w:p>
        </w:tc>
        <w:tc>
          <w:tcPr>
            <w:tcW w:w="3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9.7</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(10.8)</w:t>
            </w: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350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 incurred</w:t>
            </w:r>
          </w:p>
        </w:tc>
        <w:tc>
          <w:tcPr>
            <w:tcW w:w="3280" w:type="dxa"/>
            <w:vAlign w:val="bottom"/>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50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713.0</w:t>
            </w:r>
          </w:p>
        </w:tc>
        <w:tc>
          <w:tcPr>
            <w:tcW w:w="160" w:type="dxa"/>
            <w:vAlign w:val="bottom"/>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50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721.5</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50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1,063.2</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Payments:</w:t>
            </w:r>
          </w:p>
        </w:tc>
        <w:tc>
          <w:tcPr>
            <w:tcW w:w="3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5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Current year</w:t>
            </w:r>
          </w:p>
        </w:tc>
        <w:tc>
          <w:tcPr>
            <w:tcW w:w="3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432.1</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446.3</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820.8</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500" w:type="dxa"/>
            <w:vAlign w:val="bottom"/>
          </w:tcPr>
          <w:p>
            <w:pPr>
              <w:ind w:left="140"/>
              <w:spacing w:after="0" w:line="149" w:lineRule="exact"/>
              <w:rPr>
                <w:sz w:val="20"/>
                <w:szCs w:val="20"/>
                <w:color w:val="auto"/>
              </w:rPr>
            </w:pPr>
            <w:r>
              <w:rPr>
                <w:rFonts w:ascii="Arial" w:cs="Arial" w:eastAsia="Arial" w:hAnsi="Arial"/>
                <w:sz w:val="14"/>
                <w:szCs w:val="14"/>
                <w:color w:val="auto"/>
              </w:rPr>
              <w:t>Prior years</w:t>
            </w:r>
          </w:p>
        </w:tc>
        <w:tc>
          <w:tcPr>
            <w:tcW w:w="32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202.2</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216.1</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297.3</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350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 payments</w:t>
            </w:r>
          </w:p>
        </w:tc>
        <w:tc>
          <w:tcPr>
            <w:tcW w:w="3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634.3</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662.4</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1,118.1</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Balance at end of year:</w:t>
            </w:r>
          </w:p>
        </w:tc>
        <w:tc>
          <w:tcPr>
            <w:tcW w:w="3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5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Current year</w:t>
            </w:r>
          </w:p>
        </w:tc>
        <w:tc>
          <w:tcPr>
            <w:tcW w:w="3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279.9</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265.5</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253.2</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500" w:type="dxa"/>
            <w:vAlign w:val="bottom"/>
          </w:tcPr>
          <w:p>
            <w:pPr>
              <w:ind w:left="140"/>
              <w:spacing w:after="0" w:line="149" w:lineRule="exact"/>
              <w:rPr>
                <w:sz w:val="20"/>
                <w:szCs w:val="20"/>
                <w:color w:val="auto"/>
              </w:rPr>
            </w:pPr>
            <w:r>
              <w:rPr>
                <w:rFonts w:ascii="Arial" w:cs="Arial" w:eastAsia="Arial" w:hAnsi="Arial"/>
                <w:sz w:val="14"/>
                <w:szCs w:val="14"/>
                <w:color w:val="auto"/>
              </w:rPr>
              <w:t>Prior years</w:t>
            </w:r>
          </w:p>
        </w:tc>
        <w:tc>
          <w:tcPr>
            <w:tcW w:w="32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864.8</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800.5</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753.7</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350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 balance at end of year</w:t>
            </w:r>
          </w:p>
        </w:tc>
        <w:tc>
          <w:tcPr>
            <w:tcW w:w="340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w:t>
            </w: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1,144.7</w:t>
            </w:r>
          </w:p>
        </w:tc>
        <w:tc>
          <w:tcPr>
            <w:tcW w:w="28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1,066.0</w:t>
            </w:r>
          </w:p>
        </w:tc>
        <w:tc>
          <w:tcPr>
            <w:tcW w:w="12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1,006.9</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660" w:type="dxa"/>
            <w:vAlign w:val="bottom"/>
            <w:gridSpan w:val="2"/>
            <w:vMerge w:val="restart"/>
          </w:tcPr>
          <w:p>
            <w:pPr>
              <w:ind w:left="1140"/>
              <w:spacing w:after="0"/>
              <w:rPr>
                <w:sz w:val="20"/>
                <w:szCs w:val="20"/>
                <w:color w:val="auto"/>
              </w:rPr>
            </w:pPr>
            <w:r>
              <w:rPr>
                <w:rFonts w:ascii="Arial" w:cs="Arial" w:eastAsia="Arial" w:hAnsi="Arial"/>
                <w:sz w:val="14"/>
                <w:szCs w:val="14"/>
                <w:color w:val="auto"/>
              </w:rPr>
              <w:t>Amounts not included in the rollforward above:</w:t>
            </w:r>
          </w:p>
        </w:tc>
        <w:tc>
          <w:tcPr>
            <w:tcW w:w="32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4660" w:type="dxa"/>
            <w:vAlign w:val="bottom"/>
            <w:gridSpan w:val="2"/>
            <w:vMerge w:val="continue"/>
          </w:tcPr>
          <w:p>
            <w:pPr>
              <w:spacing w:after="0"/>
              <w:rPr>
                <w:sz w:val="11"/>
                <w:szCs w:val="11"/>
                <w:color w:val="auto"/>
              </w:rPr>
            </w:pPr>
          </w:p>
        </w:tc>
        <w:tc>
          <w:tcPr>
            <w:tcW w:w="3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5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Claim adjustment expense liabilities</w:t>
            </w:r>
          </w:p>
        </w:tc>
        <w:tc>
          <w:tcPr>
            <w:tcW w:w="34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43.4</w:t>
            </w:r>
          </w:p>
        </w:tc>
        <w:tc>
          <w:tcPr>
            <w:tcW w:w="2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46.6</w:t>
            </w:r>
          </w:p>
        </w:tc>
        <w:tc>
          <w:tcPr>
            <w:tcW w:w="12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42.9</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1160" w:type="dxa"/>
            <w:vAlign w:val="bottom"/>
          </w:tcPr>
          <w:p>
            <w:pPr>
              <w:spacing w:after="0"/>
              <w:rPr>
                <w:sz w:val="15"/>
                <w:szCs w:val="15"/>
                <w:color w:val="auto"/>
              </w:rPr>
            </w:pPr>
          </w:p>
        </w:tc>
        <w:tc>
          <w:tcPr>
            <w:tcW w:w="3500" w:type="dxa"/>
            <w:vAlign w:val="bottom"/>
          </w:tcPr>
          <w:p>
            <w:pPr>
              <w:ind w:left="140"/>
              <w:spacing w:after="0"/>
              <w:rPr>
                <w:sz w:val="20"/>
                <w:szCs w:val="20"/>
                <w:color w:val="auto"/>
              </w:rPr>
            </w:pPr>
            <w:r>
              <w:rPr>
                <w:rFonts w:ascii="Arial" w:cs="Arial" w:eastAsia="Arial" w:hAnsi="Arial"/>
                <w:sz w:val="14"/>
                <w:szCs w:val="14"/>
                <w:color w:val="auto"/>
              </w:rPr>
              <w:t>Reinsurance recoverables for unpaid claims</w:t>
            </w:r>
          </w:p>
        </w:tc>
        <w:tc>
          <w:tcPr>
            <w:tcW w:w="3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00" w:type="dxa"/>
            <w:vAlign w:val="bottom"/>
          </w:tcPr>
          <w:p>
            <w:pPr>
              <w:jc w:val="right"/>
              <w:spacing w:after="0"/>
              <w:rPr>
                <w:sz w:val="20"/>
                <w:szCs w:val="20"/>
                <w:color w:val="auto"/>
              </w:rPr>
            </w:pPr>
            <w:r>
              <w:rPr>
                <w:rFonts w:ascii="Arial" w:cs="Arial" w:eastAsia="Arial" w:hAnsi="Arial"/>
                <w:sz w:val="14"/>
                <w:szCs w:val="14"/>
                <w:b w:val="1"/>
                <w:bCs w:val="1"/>
                <w:color w:val="auto"/>
              </w:rPr>
              <w:t>260.1</w:t>
            </w: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239.1</w:t>
            </w:r>
          </w:p>
        </w:tc>
        <w:tc>
          <w:tcPr>
            <w:tcW w:w="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204.7</w:t>
            </w:r>
          </w:p>
        </w:tc>
        <w:tc>
          <w:tcPr>
            <w:tcW w:w="16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04"/>
        </w:trPr>
        <w:tc>
          <w:tcPr>
            <w:tcW w:w="1160" w:type="dxa"/>
            <w:vAlign w:val="bottom"/>
          </w:tcPr>
          <w:p>
            <w:pPr>
              <w:spacing w:after="0"/>
              <w:rPr>
                <w:sz w:val="24"/>
                <w:szCs w:val="24"/>
                <w:color w:val="auto"/>
              </w:rPr>
            </w:pPr>
          </w:p>
        </w:tc>
        <w:tc>
          <w:tcPr>
            <w:tcW w:w="3500" w:type="dxa"/>
            <w:vAlign w:val="bottom"/>
          </w:tcPr>
          <w:p>
            <w:pPr>
              <w:spacing w:after="0"/>
              <w:rPr>
                <w:sz w:val="24"/>
                <w:szCs w:val="24"/>
                <w:color w:val="auto"/>
              </w:rPr>
            </w:pPr>
          </w:p>
        </w:tc>
        <w:tc>
          <w:tcPr>
            <w:tcW w:w="3280" w:type="dxa"/>
            <w:vAlign w:val="bottom"/>
          </w:tcPr>
          <w:p>
            <w:pPr>
              <w:jc w:val="right"/>
              <w:ind w:right="2027"/>
              <w:spacing w:after="0"/>
              <w:rPr>
                <w:sz w:val="20"/>
                <w:szCs w:val="20"/>
                <w:color w:val="auto"/>
              </w:rPr>
            </w:pPr>
            <w:r>
              <w:rPr>
                <w:rFonts w:ascii="Arial" w:cs="Arial" w:eastAsia="Arial" w:hAnsi="Arial"/>
                <w:sz w:val="18"/>
                <w:szCs w:val="18"/>
                <w:color w:val="auto"/>
              </w:rPr>
              <w:t>138</w:t>
            </w: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3500" w:type="dxa"/>
            <w:vAlign w:val="bottom"/>
            <w:tcBorders>
              <w:bottom w:val="single" w:sz="8" w:color="808080"/>
            </w:tcBorders>
          </w:tcPr>
          <w:p>
            <w:pPr>
              <w:spacing w:after="0"/>
              <w:rPr>
                <w:sz w:val="19"/>
                <w:szCs w:val="19"/>
                <w:color w:val="auto"/>
              </w:rPr>
            </w:pPr>
          </w:p>
        </w:tc>
        <w:tc>
          <w:tcPr>
            <w:tcW w:w="328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5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50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5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2" w:name="page143"/>
    <w:bookmarkEnd w:id="14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Insurance Liabilities — (continued)</w:t>
      </w:r>
    </w:p>
    <w:p>
      <w:pPr>
        <w:spacing w:after="0" w:line="231" w:lineRule="exact"/>
        <w:rPr>
          <w:sz w:val="20"/>
          <w:szCs w:val="20"/>
          <w:color w:val="auto"/>
        </w:rPr>
      </w:pPr>
    </w:p>
    <w:p>
      <w:pPr>
        <w:jc w:val="both"/>
        <w:ind w:firstLine="400"/>
        <w:spacing w:after="0" w:line="259" w:lineRule="auto"/>
        <w:rPr>
          <w:sz w:val="20"/>
          <w:szCs w:val="20"/>
          <w:color w:val="auto"/>
        </w:rPr>
      </w:pPr>
      <w:r>
        <w:rPr>
          <w:rFonts w:ascii="Arial" w:cs="Arial" w:eastAsia="Arial" w:hAnsi="Arial"/>
          <w:sz w:val="18"/>
          <w:szCs w:val="18"/>
          <w:color w:val="auto"/>
        </w:rPr>
        <w:t>Incurred liability adjustments relating to prior years, which affected current operations during 2013, 2012 and 2011, resulted in part from developed claims for prior years being different than were anticipated when the liabilities for unpaid disability and health claims were originally estimated. These trends have been considered in establishing the current year liability for unpaid disability and health claims.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Debt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Short-Term Debt</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components of short-term debt were as follows:</w:t>
      </w:r>
    </w:p>
    <w:p>
      <w:pPr>
        <w:spacing w:after="0" w:line="221"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4460" w:type="dxa"/>
            <w:vAlign w:val="bottom"/>
          </w:tcPr>
          <w:p>
            <w:pPr>
              <w:spacing w:after="0"/>
              <w:rPr>
                <w:sz w:val="14"/>
                <w:szCs w:val="14"/>
                <w:color w:val="auto"/>
              </w:rPr>
            </w:pPr>
          </w:p>
        </w:tc>
        <w:tc>
          <w:tcPr>
            <w:tcW w:w="28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0" w:type="dxa"/>
            <w:vAlign w:val="bottom"/>
            <w:gridSpan w:val="5"/>
          </w:tcPr>
          <w:p>
            <w:pPr>
              <w:ind w:left="80"/>
              <w:spacing w:after="0"/>
              <w:rPr>
                <w:sz w:val="20"/>
                <w:szCs w:val="20"/>
                <w:color w:val="auto"/>
              </w:rPr>
            </w:pPr>
            <w:r>
              <w:rPr>
                <w:rFonts w:ascii="Arial" w:cs="Arial" w:eastAsia="Arial" w:hAnsi="Arial"/>
                <w:sz w:val="14"/>
                <w:szCs w:val="14"/>
                <w:b w:val="1"/>
                <w:bCs w:val="1"/>
                <w:color w:val="auto"/>
              </w:rPr>
              <w:t>December 31,</w:t>
            </w:r>
          </w:p>
        </w:tc>
      </w:tr>
      <w:tr>
        <w:trPr>
          <w:trHeight w:val="142"/>
        </w:trPr>
        <w:tc>
          <w:tcPr>
            <w:tcW w:w="4460" w:type="dxa"/>
            <w:vAlign w:val="bottom"/>
          </w:tcPr>
          <w:p>
            <w:pPr>
              <w:spacing w:after="0"/>
              <w:rPr>
                <w:sz w:val="12"/>
                <w:szCs w:val="12"/>
                <w:color w:val="auto"/>
              </w:rPr>
            </w:pPr>
          </w:p>
        </w:tc>
        <w:tc>
          <w:tcPr>
            <w:tcW w:w="282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420" w:type="dxa"/>
            <w:vAlign w:val="bottom"/>
            <w:tcBorders>
              <w:top w:val="single" w:sz="8" w:color="auto"/>
              <w:bottom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9"/>
              </w:rPr>
              <w:t>2013</w:t>
            </w:r>
          </w:p>
        </w:tc>
        <w:tc>
          <w:tcPr>
            <w:tcW w:w="160" w:type="dxa"/>
            <w:vAlign w:val="bottom"/>
            <w:tcBorders>
              <w:top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380" w:type="dxa"/>
            <w:vAlign w:val="bottom"/>
            <w:tcBorders>
              <w:top w:val="single" w:sz="8" w:color="auto"/>
              <w:bottom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w w:val="83"/>
              </w:rPr>
              <w:t>2012</w:t>
            </w:r>
          </w:p>
        </w:tc>
        <w:tc>
          <w:tcPr>
            <w:tcW w:w="160" w:type="dxa"/>
            <w:vAlign w:val="bottom"/>
          </w:tcPr>
          <w:p>
            <w:pPr>
              <w:spacing w:after="0"/>
              <w:rPr>
                <w:sz w:val="12"/>
                <w:szCs w:val="12"/>
                <w:color w:val="auto"/>
              </w:rPr>
            </w:pPr>
          </w:p>
        </w:tc>
      </w:tr>
      <w:tr>
        <w:trPr>
          <w:trHeight w:val="142"/>
        </w:trPr>
        <w:tc>
          <w:tcPr>
            <w:tcW w:w="4460" w:type="dxa"/>
            <w:vAlign w:val="bottom"/>
          </w:tcPr>
          <w:p>
            <w:pPr>
              <w:spacing w:after="0"/>
              <w:rPr>
                <w:sz w:val="12"/>
                <w:szCs w:val="12"/>
                <w:color w:val="auto"/>
              </w:rPr>
            </w:pPr>
          </w:p>
        </w:tc>
        <w:tc>
          <w:tcPr>
            <w:tcW w:w="28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ind w:right="7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620" w:type="dxa"/>
            <w:vAlign w:val="bottom"/>
            <w:gridSpan w:val="3"/>
          </w:tcPr>
          <w:p>
            <w:pPr>
              <w:jc w:val="center"/>
              <w:ind w:right="152"/>
              <w:spacing w:after="0"/>
              <w:rPr>
                <w:sz w:val="20"/>
                <w:szCs w:val="20"/>
                <w:color w:val="auto"/>
              </w:rPr>
            </w:pPr>
            <w:r>
              <w:rPr>
                <w:rFonts w:ascii="Arial" w:cs="Arial" w:eastAsia="Arial" w:hAnsi="Arial"/>
                <w:sz w:val="12"/>
                <w:szCs w:val="12"/>
                <w:b w:val="1"/>
                <w:bCs w:val="1"/>
                <w:i w:val="1"/>
                <w:iCs w:val="1"/>
                <w:color w:val="auto"/>
                <w:w w:val="80"/>
              </w:rPr>
              <w:t>millions)</w:t>
            </w:r>
          </w:p>
        </w:tc>
        <w:tc>
          <w:tcPr>
            <w:tcW w:w="160" w:type="dxa"/>
            <w:vAlign w:val="bottom"/>
          </w:tcPr>
          <w:p>
            <w:pPr>
              <w:spacing w:after="0"/>
              <w:rPr>
                <w:sz w:val="12"/>
                <w:szCs w:val="12"/>
                <w:color w:val="auto"/>
              </w:rPr>
            </w:pPr>
          </w:p>
        </w:tc>
      </w:tr>
      <w:tr>
        <w:trPr>
          <w:trHeight w:val="149"/>
        </w:trPr>
        <w:tc>
          <w:tcPr>
            <w:tcW w:w="44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Line of credit</w:t>
            </w:r>
          </w:p>
        </w:tc>
        <w:tc>
          <w:tcPr>
            <w:tcW w:w="290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117.8</w:t>
            </w:r>
          </w:p>
        </w:tc>
        <w:tc>
          <w:tcPr>
            <w:tcW w:w="240" w:type="dxa"/>
            <w:vAlign w:val="bottom"/>
            <w:gridSpan w:val="2"/>
            <w:shd w:val="clear" w:color="auto" w:fill="CCEEFF"/>
          </w:tcPr>
          <w:p>
            <w:pPr>
              <w:jc w:val="center"/>
              <w:ind w:left="94"/>
              <w:spacing w:after="0" w:line="149" w:lineRule="exact"/>
              <w:rPr>
                <w:sz w:val="20"/>
                <w:szCs w:val="20"/>
                <w:color w:val="auto"/>
              </w:rPr>
            </w:pPr>
            <w:r>
              <w:rPr>
                <w:rFonts w:ascii="Arial" w:cs="Arial" w:eastAsia="Arial" w:hAnsi="Arial"/>
                <w:sz w:val="14"/>
                <w:szCs w:val="14"/>
                <w:color w:val="auto"/>
              </w:rPr>
              <w:t>$</w:t>
            </w:r>
          </w:p>
        </w:tc>
        <w:tc>
          <w:tcPr>
            <w:tcW w:w="5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r>
      <w:tr>
        <w:trPr>
          <w:trHeight w:val="149"/>
        </w:trPr>
        <w:tc>
          <w:tcPr>
            <w:tcW w:w="4460" w:type="dxa"/>
            <w:vAlign w:val="bottom"/>
          </w:tcPr>
          <w:p>
            <w:pPr>
              <w:spacing w:after="0" w:line="149" w:lineRule="exact"/>
              <w:rPr>
                <w:sz w:val="20"/>
                <w:szCs w:val="20"/>
                <w:color w:val="auto"/>
              </w:rPr>
            </w:pPr>
            <w:r>
              <w:rPr>
                <w:rFonts w:ascii="Arial" w:cs="Arial" w:eastAsia="Arial" w:hAnsi="Arial"/>
                <w:sz w:val="14"/>
                <w:szCs w:val="14"/>
                <w:color w:val="auto"/>
              </w:rPr>
              <w:t>Other recourse short-term debt</w:t>
            </w:r>
          </w:p>
        </w:tc>
        <w:tc>
          <w:tcPr>
            <w:tcW w:w="28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32.8</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40.8</w:t>
            </w:r>
          </w:p>
        </w:tc>
        <w:tc>
          <w:tcPr>
            <w:tcW w:w="160" w:type="dxa"/>
            <w:vAlign w:val="bottom"/>
          </w:tcPr>
          <w:p>
            <w:pPr>
              <w:spacing w:after="0"/>
              <w:rPr>
                <w:sz w:val="12"/>
                <w:szCs w:val="12"/>
                <w:color w:val="auto"/>
              </w:rPr>
            </w:pPr>
          </w:p>
        </w:tc>
      </w:tr>
      <w:tr>
        <w:trPr>
          <w:trHeight w:val="142"/>
        </w:trPr>
        <w:tc>
          <w:tcPr>
            <w:tcW w:w="446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 short-term debt</w:t>
            </w:r>
          </w:p>
        </w:tc>
        <w:tc>
          <w:tcPr>
            <w:tcW w:w="290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4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150.6</w:t>
            </w:r>
          </w:p>
        </w:tc>
        <w:tc>
          <w:tcPr>
            <w:tcW w:w="240" w:type="dxa"/>
            <w:vAlign w:val="bottom"/>
            <w:gridSpan w:val="2"/>
            <w:shd w:val="clear" w:color="auto" w:fill="CCEEFF"/>
          </w:tcPr>
          <w:p>
            <w:pPr>
              <w:jc w:val="center"/>
              <w:ind w:left="94"/>
              <w:spacing w:after="0" w:line="142" w:lineRule="exact"/>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40.8</w:t>
            </w:r>
          </w:p>
        </w:tc>
        <w:tc>
          <w:tcPr>
            <w:tcW w:w="160" w:type="dxa"/>
            <w:vAlign w:val="bottom"/>
            <w:shd w:val="clear" w:color="auto" w:fill="CCEEFF"/>
          </w:tcPr>
          <w:p>
            <w:pPr>
              <w:spacing w:after="0"/>
              <w:rPr>
                <w:sz w:val="12"/>
                <w:szCs w:val="12"/>
                <w:color w:val="auto"/>
              </w:rPr>
            </w:pPr>
          </w:p>
        </w:tc>
      </w:tr>
      <w:tr>
        <w:trPr>
          <w:trHeight w:val="20"/>
        </w:trPr>
        <w:tc>
          <w:tcPr>
            <w:tcW w:w="4460" w:type="dxa"/>
            <w:vAlign w:val="bottom"/>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firstLine="425"/>
        <w:spacing w:after="0" w:line="290" w:lineRule="auto"/>
        <w:rPr>
          <w:sz w:val="20"/>
          <w:szCs w:val="20"/>
          <w:color w:val="auto"/>
        </w:rPr>
      </w:pPr>
      <w:r>
        <w:rPr>
          <w:rFonts w:ascii="Arial" w:cs="Arial" w:eastAsia="Arial" w:hAnsi="Arial"/>
          <w:sz w:val="16"/>
          <w:szCs w:val="16"/>
          <w:color w:val="auto"/>
        </w:rPr>
        <w:t>As of December 31, 2013 and 2012, we had short-term credit facilities with various financial institutions in an aggregate amount of $1,105.0 million and $905.0 million, respectively. As of December 31, 2013 and 2012, we had $150.6 million and $40.8 million, respectively, of outstanding borrowings, with no assets pledged as support. Our credit facilities include a $500.0 million 4-year facility that matures in March 2016, with Principal Financial Services, Inc., Principal Life and us as co-borrowers and a $300.0 million 364-day facility for Principal Life only which was refinanced in April 2013. Also in April 2013, we added a $200.0 million 3-year facility with Principal Financial Services, Inc., Principal Life Insurance Company, Principal Financial Services V (UK) LTD and us as the borrowers. These facilities may be used for general corporate purposes, including commercial paper back-stop. Our commercial paper programs require 100% back-stop support, of which there were no outstanding balances as of December 31, 2013 and 2012.</w:t>
      </w:r>
    </w:p>
    <w:p>
      <w:pPr>
        <w:spacing w:after="0" w:line="17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weighted-average interest rate on short-term borrowings as of both December 31, 2013 and 2012, was 4.7%.</w:t>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Long-Term Debt</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components of long-term debt were as follows:</w:t>
      </w:r>
    </w:p>
    <w:p>
      <w:pPr>
        <w:spacing w:after="0" w:line="221"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4660" w:type="dxa"/>
            <w:vAlign w:val="bottom"/>
          </w:tcPr>
          <w:p>
            <w:pPr>
              <w:spacing w:after="0"/>
              <w:rPr>
                <w:sz w:val="14"/>
                <w:szCs w:val="14"/>
                <w:color w:val="auto"/>
              </w:rPr>
            </w:pPr>
          </w:p>
        </w:tc>
        <w:tc>
          <w:tcPr>
            <w:tcW w:w="2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60" w:type="dxa"/>
            <w:vAlign w:val="bottom"/>
            <w:gridSpan w:val="5"/>
          </w:tcPr>
          <w:p>
            <w:pPr>
              <w:ind w:left="200"/>
              <w:spacing w:after="0"/>
              <w:rPr>
                <w:sz w:val="20"/>
                <w:szCs w:val="20"/>
                <w:color w:val="auto"/>
              </w:rPr>
            </w:pPr>
            <w:r>
              <w:rPr>
                <w:rFonts w:ascii="Arial" w:cs="Arial" w:eastAsia="Arial" w:hAnsi="Arial"/>
                <w:sz w:val="14"/>
                <w:szCs w:val="14"/>
                <w:b w:val="1"/>
                <w:bCs w:val="1"/>
                <w:color w:val="auto"/>
              </w:rPr>
              <w:t>December 31,</w:t>
            </w:r>
          </w:p>
        </w:tc>
      </w:tr>
      <w:tr>
        <w:trPr>
          <w:trHeight w:val="142"/>
        </w:trPr>
        <w:tc>
          <w:tcPr>
            <w:tcW w:w="4660" w:type="dxa"/>
            <w:vAlign w:val="bottom"/>
          </w:tcPr>
          <w:p>
            <w:pPr>
              <w:spacing w:after="0"/>
              <w:rPr>
                <w:sz w:val="12"/>
                <w:szCs w:val="12"/>
                <w:color w:val="auto"/>
              </w:rPr>
            </w:pPr>
          </w:p>
        </w:tc>
        <w:tc>
          <w:tcPr>
            <w:tcW w:w="232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rPr>
              <w:t>2013</w:t>
            </w:r>
          </w:p>
        </w:tc>
        <w:tc>
          <w:tcPr>
            <w:tcW w:w="18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20" w:type="dxa"/>
            <w:vAlign w:val="bottom"/>
            <w:tcBorders>
              <w:top w:val="single" w:sz="8" w:color="auto"/>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rPr>
              <w:t>2012</w:t>
            </w:r>
          </w:p>
        </w:tc>
        <w:tc>
          <w:tcPr>
            <w:tcW w:w="160" w:type="dxa"/>
            <w:vAlign w:val="bottom"/>
          </w:tcPr>
          <w:p>
            <w:pPr>
              <w:spacing w:after="0"/>
              <w:rPr>
                <w:sz w:val="12"/>
                <w:szCs w:val="12"/>
                <w:color w:val="auto"/>
              </w:rPr>
            </w:pPr>
          </w:p>
        </w:tc>
      </w:tr>
      <w:tr>
        <w:trPr>
          <w:trHeight w:val="142"/>
        </w:trPr>
        <w:tc>
          <w:tcPr>
            <w:tcW w:w="4660" w:type="dxa"/>
            <w:vAlign w:val="bottom"/>
          </w:tcPr>
          <w:p>
            <w:pPr>
              <w:spacing w:after="0"/>
              <w:rPr>
                <w:sz w:val="12"/>
                <w:szCs w:val="12"/>
                <w:color w:val="auto"/>
              </w:rPr>
            </w:pPr>
          </w:p>
        </w:tc>
        <w:tc>
          <w:tcPr>
            <w:tcW w:w="2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ind w:right="3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800" w:type="dxa"/>
            <w:vAlign w:val="bottom"/>
            <w:gridSpan w:val="3"/>
          </w:tcPr>
          <w:p>
            <w:pPr>
              <w:jc w:val="center"/>
              <w:ind w:right="292"/>
              <w:spacing w:after="0" w:line="142" w:lineRule="exact"/>
              <w:rPr>
                <w:sz w:val="20"/>
                <w:szCs w:val="20"/>
                <w:color w:val="auto"/>
              </w:rPr>
            </w:pPr>
            <w:r>
              <w:rPr>
                <w:rFonts w:ascii="Arial" w:cs="Arial" w:eastAsia="Arial" w:hAnsi="Arial"/>
                <w:sz w:val="14"/>
                <w:szCs w:val="14"/>
                <w:b w:val="1"/>
                <w:bCs w:val="1"/>
                <w:i w:val="1"/>
                <w:iCs w:val="1"/>
                <w:color w:val="auto"/>
                <w:w w:val="76"/>
              </w:rPr>
              <w:t>millions)</w:t>
            </w:r>
          </w:p>
        </w:tc>
        <w:tc>
          <w:tcPr>
            <w:tcW w:w="160" w:type="dxa"/>
            <w:vAlign w:val="bottom"/>
          </w:tcPr>
          <w:p>
            <w:pPr>
              <w:spacing w:after="0"/>
              <w:rPr>
                <w:sz w:val="12"/>
                <w:szCs w:val="12"/>
                <w:color w:val="auto"/>
              </w:rPr>
            </w:pPr>
          </w:p>
        </w:tc>
      </w:tr>
      <w:tr>
        <w:trPr>
          <w:trHeight w:val="149"/>
        </w:trPr>
        <w:tc>
          <w:tcPr>
            <w:tcW w:w="46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3.76% notes payable, due 2015</w:t>
            </w:r>
          </w:p>
        </w:tc>
        <w:tc>
          <w:tcPr>
            <w:tcW w:w="244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b w:val="1"/>
                <w:bCs w:val="1"/>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280" w:type="dxa"/>
            <w:vAlign w:val="bottom"/>
            <w:gridSpan w:val="2"/>
            <w:shd w:val="clear" w:color="auto" w:fill="CCEEFF"/>
          </w:tcPr>
          <w:p>
            <w:pPr>
              <w:jc w:val="center"/>
              <w:ind w:left="52"/>
              <w:spacing w:after="0" w:line="149"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92.7</w:t>
            </w:r>
          </w:p>
        </w:tc>
        <w:tc>
          <w:tcPr>
            <w:tcW w:w="160" w:type="dxa"/>
            <w:vAlign w:val="bottom"/>
            <w:shd w:val="clear" w:color="auto" w:fill="CCEEFF"/>
          </w:tcPr>
          <w:p>
            <w:pPr>
              <w:spacing w:after="0"/>
              <w:rPr>
                <w:sz w:val="12"/>
                <w:szCs w:val="12"/>
                <w:color w:val="auto"/>
              </w:rPr>
            </w:pPr>
          </w:p>
        </w:tc>
      </w:tr>
      <w:tr>
        <w:trPr>
          <w:trHeight w:val="149"/>
        </w:trPr>
        <w:tc>
          <w:tcPr>
            <w:tcW w:w="4660" w:type="dxa"/>
            <w:vAlign w:val="bottom"/>
          </w:tcPr>
          <w:p>
            <w:pPr>
              <w:spacing w:after="0" w:line="149" w:lineRule="exact"/>
              <w:rPr>
                <w:sz w:val="20"/>
                <w:szCs w:val="20"/>
                <w:color w:val="auto"/>
              </w:rPr>
            </w:pPr>
            <w:r>
              <w:rPr>
                <w:rFonts w:ascii="Arial" w:cs="Arial" w:eastAsia="Arial" w:hAnsi="Arial"/>
                <w:sz w:val="14"/>
                <w:szCs w:val="14"/>
                <w:color w:val="auto"/>
              </w:rPr>
              <w:t>1.85% notes payable, due 2017</w:t>
            </w:r>
          </w:p>
        </w:tc>
        <w:tc>
          <w:tcPr>
            <w:tcW w:w="2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299.8</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299.7</w:t>
            </w:r>
          </w:p>
        </w:tc>
        <w:tc>
          <w:tcPr>
            <w:tcW w:w="160" w:type="dxa"/>
            <w:vAlign w:val="bottom"/>
          </w:tcPr>
          <w:p>
            <w:pPr>
              <w:spacing w:after="0"/>
              <w:rPr>
                <w:sz w:val="12"/>
                <w:szCs w:val="12"/>
                <w:color w:val="auto"/>
              </w:rPr>
            </w:pPr>
          </w:p>
        </w:tc>
      </w:tr>
      <w:tr>
        <w:trPr>
          <w:trHeight w:val="149"/>
        </w:trPr>
        <w:tc>
          <w:tcPr>
            <w:tcW w:w="46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8.875% notes payable, due 2019</w:t>
            </w:r>
          </w:p>
        </w:tc>
        <w:tc>
          <w:tcPr>
            <w:tcW w:w="23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350.0</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350.0</w:t>
            </w:r>
          </w:p>
        </w:tc>
        <w:tc>
          <w:tcPr>
            <w:tcW w:w="160" w:type="dxa"/>
            <w:vAlign w:val="bottom"/>
            <w:shd w:val="clear" w:color="auto" w:fill="CCEEFF"/>
          </w:tcPr>
          <w:p>
            <w:pPr>
              <w:spacing w:after="0"/>
              <w:rPr>
                <w:sz w:val="12"/>
                <w:szCs w:val="12"/>
                <w:color w:val="auto"/>
              </w:rPr>
            </w:pPr>
          </w:p>
        </w:tc>
      </w:tr>
      <w:tr>
        <w:trPr>
          <w:trHeight w:val="149"/>
        </w:trPr>
        <w:tc>
          <w:tcPr>
            <w:tcW w:w="4660" w:type="dxa"/>
            <w:vAlign w:val="bottom"/>
          </w:tcPr>
          <w:p>
            <w:pPr>
              <w:spacing w:after="0" w:line="149" w:lineRule="exact"/>
              <w:rPr>
                <w:sz w:val="20"/>
                <w:szCs w:val="20"/>
                <w:color w:val="auto"/>
              </w:rPr>
            </w:pPr>
            <w:r>
              <w:rPr>
                <w:rFonts w:ascii="Arial" w:cs="Arial" w:eastAsia="Arial" w:hAnsi="Arial"/>
                <w:sz w:val="14"/>
                <w:szCs w:val="14"/>
                <w:color w:val="auto"/>
              </w:rPr>
              <w:t>3.3% notes payable, due 2022</w:t>
            </w:r>
          </w:p>
        </w:tc>
        <w:tc>
          <w:tcPr>
            <w:tcW w:w="2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299.0</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298.9</w:t>
            </w:r>
          </w:p>
        </w:tc>
        <w:tc>
          <w:tcPr>
            <w:tcW w:w="160" w:type="dxa"/>
            <w:vAlign w:val="bottom"/>
          </w:tcPr>
          <w:p>
            <w:pPr>
              <w:spacing w:after="0"/>
              <w:rPr>
                <w:sz w:val="12"/>
                <w:szCs w:val="12"/>
                <w:color w:val="auto"/>
              </w:rPr>
            </w:pPr>
          </w:p>
        </w:tc>
      </w:tr>
      <w:tr>
        <w:trPr>
          <w:trHeight w:val="149"/>
        </w:trPr>
        <w:tc>
          <w:tcPr>
            <w:tcW w:w="46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3.125% notes payable, due 2023</w:t>
            </w:r>
          </w:p>
        </w:tc>
        <w:tc>
          <w:tcPr>
            <w:tcW w:w="23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299.6</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299.6</w:t>
            </w:r>
          </w:p>
        </w:tc>
        <w:tc>
          <w:tcPr>
            <w:tcW w:w="160" w:type="dxa"/>
            <w:vAlign w:val="bottom"/>
            <w:shd w:val="clear" w:color="auto" w:fill="CCEEFF"/>
          </w:tcPr>
          <w:p>
            <w:pPr>
              <w:spacing w:after="0"/>
              <w:rPr>
                <w:sz w:val="12"/>
                <w:szCs w:val="12"/>
                <w:color w:val="auto"/>
              </w:rPr>
            </w:pPr>
          </w:p>
        </w:tc>
      </w:tr>
      <w:tr>
        <w:trPr>
          <w:trHeight w:val="149"/>
        </w:trPr>
        <w:tc>
          <w:tcPr>
            <w:tcW w:w="4660" w:type="dxa"/>
            <w:vAlign w:val="bottom"/>
          </w:tcPr>
          <w:p>
            <w:pPr>
              <w:spacing w:after="0" w:line="149" w:lineRule="exact"/>
              <w:rPr>
                <w:sz w:val="20"/>
                <w:szCs w:val="20"/>
                <w:color w:val="auto"/>
              </w:rPr>
            </w:pPr>
            <w:r>
              <w:rPr>
                <w:rFonts w:ascii="Arial" w:cs="Arial" w:eastAsia="Arial" w:hAnsi="Arial"/>
                <w:sz w:val="14"/>
                <w:szCs w:val="14"/>
                <w:color w:val="auto"/>
              </w:rPr>
              <w:t>6.05% notes payable, due 2036</w:t>
            </w:r>
          </w:p>
        </w:tc>
        <w:tc>
          <w:tcPr>
            <w:tcW w:w="2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601.6</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601.7</w:t>
            </w:r>
          </w:p>
        </w:tc>
        <w:tc>
          <w:tcPr>
            <w:tcW w:w="160" w:type="dxa"/>
            <w:vAlign w:val="bottom"/>
          </w:tcPr>
          <w:p>
            <w:pPr>
              <w:spacing w:after="0"/>
              <w:rPr>
                <w:sz w:val="12"/>
                <w:szCs w:val="12"/>
                <w:color w:val="auto"/>
              </w:rPr>
            </w:pPr>
          </w:p>
        </w:tc>
      </w:tr>
      <w:tr>
        <w:trPr>
          <w:trHeight w:val="149"/>
        </w:trPr>
        <w:tc>
          <w:tcPr>
            <w:tcW w:w="46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4.625% notes payable, due 2042</w:t>
            </w:r>
          </w:p>
        </w:tc>
        <w:tc>
          <w:tcPr>
            <w:tcW w:w="23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299.5</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299.5</w:t>
            </w:r>
          </w:p>
        </w:tc>
        <w:tc>
          <w:tcPr>
            <w:tcW w:w="160" w:type="dxa"/>
            <w:vAlign w:val="bottom"/>
            <w:shd w:val="clear" w:color="auto" w:fill="CCEEFF"/>
          </w:tcPr>
          <w:p>
            <w:pPr>
              <w:spacing w:after="0"/>
              <w:rPr>
                <w:sz w:val="12"/>
                <w:szCs w:val="12"/>
                <w:color w:val="auto"/>
              </w:rPr>
            </w:pPr>
          </w:p>
        </w:tc>
      </w:tr>
      <w:tr>
        <w:trPr>
          <w:trHeight w:val="149"/>
        </w:trPr>
        <w:tc>
          <w:tcPr>
            <w:tcW w:w="4660" w:type="dxa"/>
            <w:vAlign w:val="bottom"/>
          </w:tcPr>
          <w:p>
            <w:pPr>
              <w:spacing w:after="0" w:line="149" w:lineRule="exact"/>
              <w:rPr>
                <w:sz w:val="20"/>
                <w:szCs w:val="20"/>
                <w:color w:val="auto"/>
              </w:rPr>
            </w:pPr>
            <w:r>
              <w:rPr>
                <w:rFonts w:ascii="Arial" w:cs="Arial" w:eastAsia="Arial" w:hAnsi="Arial"/>
                <w:sz w:val="14"/>
                <w:szCs w:val="14"/>
                <w:color w:val="auto"/>
              </w:rPr>
              <w:t>4.35% notes payable, due 2043</w:t>
            </w:r>
          </w:p>
        </w:tc>
        <w:tc>
          <w:tcPr>
            <w:tcW w:w="2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299.3</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299.2</w:t>
            </w:r>
          </w:p>
        </w:tc>
        <w:tc>
          <w:tcPr>
            <w:tcW w:w="160" w:type="dxa"/>
            <w:vAlign w:val="bottom"/>
          </w:tcPr>
          <w:p>
            <w:pPr>
              <w:spacing w:after="0"/>
              <w:rPr>
                <w:sz w:val="12"/>
                <w:szCs w:val="12"/>
                <w:color w:val="auto"/>
              </w:rPr>
            </w:pPr>
          </w:p>
        </w:tc>
      </w:tr>
      <w:tr>
        <w:trPr>
          <w:trHeight w:val="149"/>
        </w:trPr>
        <w:tc>
          <w:tcPr>
            <w:tcW w:w="46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8.0% surplus notes payable, due 2044</w:t>
            </w:r>
          </w:p>
        </w:tc>
        <w:tc>
          <w:tcPr>
            <w:tcW w:w="23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99.3</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99.3</w:t>
            </w:r>
          </w:p>
        </w:tc>
        <w:tc>
          <w:tcPr>
            <w:tcW w:w="160" w:type="dxa"/>
            <w:vAlign w:val="bottom"/>
            <w:shd w:val="clear" w:color="auto" w:fill="CCEEFF"/>
          </w:tcPr>
          <w:p>
            <w:pPr>
              <w:spacing w:after="0"/>
              <w:rPr>
                <w:sz w:val="12"/>
                <w:szCs w:val="12"/>
                <w:color w:val="auto"/>
              </w:rPr>
            </w:pPr>
          </w:p>
        </w:tc>
      </w:tr>
      <w:tr>
        <w:trPr>
          <w:trHeight w:val="149"/>
        </w:trPr>
        <w:tc>
          <w:tcPr>
            <w:tcW w:w="4660" w:type="dxa"/>
            <w:vAlign w:val="bottom"/>
          </w:tcPr>
          <w:p>
            <w:pPr>
              <w:spacing w:after="0" w:line="149" w:lineRule="exact"/>
              <w:rPr>
                <w:sz w:val="20"/>
                <w:szCs w:val="20"/>
                <w:color w:val="auto"/>
              </w:rPr>
            </w:pPr>
            <w:r>
              <w:rPr>
                <w:rFonts w:ascii="Arial" w:cs="Arial" w:eastAsia="Arial" w:hAnsi="Arial"/>
                <w:sz w:val="14"/>
                <w:szCs w:val="14"/>
                <w:color w:val="auto"/>
              </w:rPr>
              <w:t>Non-recourse mortgages and notes payable</w:t>
            </w:r>
          </w:p>
        </w:tc>
        <w:tc>
          <w:tcPr>
            <w:tcW w:w="23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53.3</w:t>
            </w:r>
          </w:p>
        </w:tc>
        <w:tc>
          <w:tcPr>
            <w:tcW w:w="18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30.7</w:t>
            </w:r>
          </w:p>
        </w:tc>
        <w:tc>
          <w:tcPr>
            <w:tcW w:w="160" w:type="dxa"/>
            <w:vAlign w:val="bottom"/>
          </w:tcPr>
          <w:p>
            <w:pPr>
              <w:spacing w:after="0"/>
              <w:rPr>
                <w:sz w:val="12"/>
                <w:szCs w:val="12"/>
                <w:color w:val="auto"/>
              </w:rPr>
            </w:pPr>
          </w:p>
        </w:tc>
      </w:tr>
      <w:tr>
        <w:trPr>
          <w:trHeight w:val="142"/>
        </w:trPr>
        <w:tc>
          <w:tcPr>
            <w:tcW w:w="466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 long-term debt</w:t>
            </w:r>
          </w:p>
        </w:tc>
        <w:tc>
          <w:tcPr>
            <w:tcW w:w="244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b w:val="1"/>
                <w:bCs w:val="1"/>
                <w:color w:val="auto"/>
              </w:rPr>
              <w:t>$</w:t>
            </w: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2,601.4</w:t>
            </w:r>
          </w:p>
        </w:tc>
        <w:tc>
          <w:tcPr>
            <w:tcW w:w="280" w:type="dxa"/>
            <w:vAlign w:val="bottom"/>
            <w:gridSpan w:val="2"/>
            <w:shd w:val="clear" w:color="auto" w:fill="CCEEFF"/>
          </w:tcPr>
          <w:p>
            <w:pPr>
              <w:jc w:val="center"/>
              <w:ind w:left="52"/>
              <w:spacing w:after="0" w:line="142"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2,671.3</w:t>
            </w:r>
          </w:p>
        </w:tc>
        <w:tc>
          <w:tcPr>
            <w:tcW w:w="160" w:type="dxa"/>
            <w:vAlign w:val="bottom"/>
            <w:shd w:val="clear" w:color="auto" w:fill="CCEEFF"/>
          </w:tcPr>
          <w:p>
            <w:pPr>
              <w:spacing w:after="0"/>
              <w:rPr>
                <w:sz w:val="12"/>
                <w:szCs w:val="12"/>
                <w:color w:val="auto"/>
              </w:rPr>
            </w:pPr>
          </w:p>
        </w:tc>
      </w:tr>
      <w:tr>
        <w:trPr>
          <w:trHeight w:val="20"/>
        </w:trPr>
        <w:tc>
          <w:tcPr>
            <w:tcW w:w="4660" w:type="dxa"/>
            <w:vAlign w:val="bottom"/>
          </w:tcPr>
          <w:p>
            <w:pPr>
              <w:spacing w:after="0" w:line="20" w:lineRule="exact"/>
              <w:rPr>
                <w:sz w:val="1"/>
                <w:szCs w:val="1"/>
                <w:color w:val="auto"/>
              </w:rPr>
            </w:pPr>
          </w:p>
        </w:tc>
        <w:tc>
          <w:tcPr>
            <w:tcW w:w="2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firstLine="480"/>
        <w:spacing w:after="0" w:line="268" w:lineRule="auto"/>
        <w:rPr>
          <w:sz w:val="20"/>
          <w:szCs w:val="20"/>
          <w:color w:val="auto"/>
        </w:rPr>
      </w:pPr>
      <w:r>
        <w:rPr>
          <w:rFonts w:ascii="Arial" w:cs="Arial" w:eastAsia="Arial" w:hAnsi="Arial"/>
          <w:sz w:val="18"/>
          <w:szCs w:val="18"/>
          <w:color w:val="auto"/>
        </w:rPr>
        <w:t>The amounts included above are net of the discount and premium associated with issuing these notes, which are being amortized to expense over their respective terms using the interest method.</w:t>
      </w:r>
    </w:p>
    <w:p>
      <w:pPr>
        <w:spacing w:after="0" w:line="186" w:lineRule="exact"/>
        <w:rPr>
          <w:sz w:val="20"/>
          <w:szCs w:val="20"/>
          <w:color w:val="auto"/>
        </w:rPr>
      </w:pPr>
    </w:p>
    <w:p>
      <w:pPr>
        <w:jc w:val="both"/>
        <w:ind w:firstLine="401"/>
        <w:spacing w:after="0" w:line="256" w:lineRule="auto"/>
        <w:rPr>
          <w:sz w:val="20"/>
          <w:szCs w:val="20"/>
          <w:color w:val="auto"/>
        </w:rPr>
      </w:pPr>
      <w:r>
        <w:rPr>
          <w:rFonts w:ascii="Arial" w:cs="Arial" w:eastAsia="Arial" w:hAnsi="Arial"/>
          <w:sz w:val="18"/>
          <w:szCs w:val="18"/>
          <w:color w:val="auto"/>
        </w:rPr>
        <w:t>On November 16, 2012, we issued $900.0 million of senior notes. We issued a $300.0 million series of notes that bear interest at 1.85% and will mature in 2017, a $300.0 million series of notes that bear interest at 3.125% and will mature in 2023 and a $300.0 million series of notes that bear interest at 4.35% and will mature in 2043. Interest on the notes is payable semi-annually on May 15 and November 15 each year, beginning on May 15, 2013. The proceeds were used to fund our acquisition of AFP Cuprum S.A.</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3" w:name="page144"/>
    <w:bookmarkEnd w:id="14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Debt — (continued)</w:t>
      </w:r>
    </w:p>
    <w:p>
      <w:pPr>
        <w:spacing w:after="0" w:line="231" w:lineRule="exact"/>
        <w:rPr>
          <w:sz w:val="20"/>
          <w:szCs w:val="20"/>
          <w:color w:val="auto"/>
        </w:rPr>
      </w:pPr>
    </w:p>
    <w:p>
      <w:pPr>
        <w:jc w:val="both"/>
        <w:ind w:firstLine="438"/>
        <w:spacing w:after="0" w:line="298" w:lineRule="auto"/>
        <w:rPr>
          <w:sz w:val="20"/>
          <w:szCs w:val="20"/>
          <w:color w:val="auto"/>
        </w:rPr>
      </w:pPr>
      <w:r>
        <w:rPr>
          <w:rFonts w:ascii="Arial" w:cs="Arial" w:eastAsia="Arial" w:hAnsi="Arial"/>
          <w:sz w:val="16"/>
          <w:szCs w:val="16"/>
          <w:color w:val="auto"/>
        </w:rPr>
        <w:t>On September 5, 2012, we issued $600.0 million of senior notes. We issued a $300.0 million series of notes that bear interest at 3.3% and will mature in 2022 and a $300.0 million series of notes that bear interest at 4.625% and will mature in 2042. Interest on the notes is payable semi-annually on March 15 and September 15 each year, beginning on March 15, 2013. The proceeds were used for the repayment of the $400.0 million aggregate principal amount of notes due in 2014 and to partially fund our acquisition of AFP Cuprum S.A. We incurred a one-time cost to extinguish this debt before the scheduled maturity date.</w:t>
      </w:r>
    </w:p>
    <w:p>
      <w:pPr>
        <w:spacing w:after="0" w:line="167" w:lineRule="exact"/>
        <w:rPr>
          <w:sz w:val="20"/>
          <w:szCs w:val="20"/>
          <w:color w:val="auto"/>
        </w:rPr>
      </w:pPr>
    </w:p>
    <w:p>
      <w:pPr>
        <w:jc w:val="both"/>
        <w:ind w:firstLine="381"/>
        <w:spacing w:after="0" w:line="298" w:lineRule="auto"/>
        <w:rPr>
          <w:sz w:val="20"/>
          <w:szCs w:val="20"/>
          <w:color w:val="auto"/>
        </w:rPr>
      </w:pPr>
      <w:r>
        <w:rPr>
          <w:rFonts w:ascii="Arial" w:cs="Arial" w:eastAsia="Arial" w:hAnsi="Arial"/>
          <w:sz w:val="16"/>
          <w:szCs w:val="16"/>
          <w:color w:val="auto"/>
        </w:rPr>
        <w:t>On November 3, 2010, Principal International de Chile S.A., a wholly owned indirect subsidiary, entered into a long-term borrowing agreement with Banco de Chile in the amount of US $98.9 million. The debt was denominated in Unidades de Formento ("UF"), a Chilean inflation-indexed, peso-denominated monetary unit, bore interest at UF +3.76% and had a maturity date of November 3, 2015. On May 3, 2013, Principal International de Chile S.A., prepaid these notes without penalty as authorized under the borrowing agreement with Banco de Chile at par value upon the semi — annual interest payment date.</w:t>
      </w:r>
    </w:p>
    <w:p>
      <w:pPr>
        <w:spacing w:after="0" w:line="167" w:lineRule="exact"/>
        <w:rPr>
          <w:sz w:val="20"/>
          <w:szCs w:val="20"/>
          <w:color w:val="auto"/>
        </w:rPr>
      </w:pPr>
    </w:p>
    <w:p>
      <w:pPr>
        <w:jc w:val="both"/>
        <w:ind w:firstLine="408"/>
        <w:spacing w:after="0" w:line="298" w:lineRule="auto"/>
        <w:rPr>
          <w:sz w:val="20"/>
          <w:szCs w:val="20"/>
          <w:color w:val="auto"/>
        </w:rPr>
      </w:pPr>
      <w:r>
        <w:rPr>
          <w:rFonts w:ascii="Arial" w:cs="Arial" w:eastAsia="Arial" w:hAnsi="Arial"/>
          <w:sz w:val="16"/>
          <w:szCs w:val="16"/>
          <w:color w:val="auto"/>
        </w:rPr>
        <w:t>On May 18, 2009, we issued $750.0 million of senior notes. We issued a $400.0 million series of notes that bear interest at 7.875% and were to mature on May 15, 2014, and a $350.0 million series of notes that bear interest at 8.875% and will mature on May 15, 2019. Interest on the notes is payable semi-annually on May 15 and November 15 each year, beginning on November 15, 2009. The proceeds were primarily used to refinance $440.9 million of notes that matured on August 15, 2009, with the remaining proceeds being used for general corporate purposes.</w:t>
      </w:r>
    </w:p>
    <w:p>
      <w:pPr>
        <w:spacing w:after="0" w:line="167" w:lineRule="exact"/>
        <w:rPr>
          <w:sz w:val="20"/>
          <w:szCs w:val="20"/>
          <w:color w:val="auto"/>
        </w:rPr>
      </w:pPr>
    </w:p>
    <w:p>
      <w:pPr>
        <w:jc w:val="both"/>
        <w:ind w:firstLine="383"/>
        <w:spacing w:after="0" w:line="256" w:lineRule="auto"/>
        <w:rPr>
          <w:sz w:val="20"/>
          <w:szCs w:val="20"/>
          <w:color w:val="auto"/>
        </w:rPr>
      </w:pPr>
      <w:r>
        <w:rPr>
          <w:rFonts w:ascii="Arial" w:cs="Arial" w:eastAsia="Arial" w:hAnsi="Arial"/>
          <w:sz w:val="18"/>
          <w:szCs w:val="18"/>
          <w:color w:val="auto"/>
        </w:rPr>
        <w:t>On October 16 and December 5, 2006, we issued $500.0 million and $100.0 million, respectively, of senior notes. The notes bear interest at a rate of 6.05% per year. Interest on the notes is payable semi-annually on April 15 and October 15 each year and began on April 15, 2007. The notes will mature on October 15, 2036. A portion of the proceeds were used to fund the 2006 acquisition of WM Advisors, Inc., with the remaining proceeds being used for general corporate purposes.</w:t>
      </w:r>
    </w:p>
    <w:p>
      <w:pPr>
        <w:spacing w:after="0" w:line="197" w:lineRule="exact"/>
        <w:rPr>
          <w:sz w:val="20"/>
          <w:szCs w:val="20"/>
          <w:color w:val="auto"/>
        </w:rPr>
      </w:pPr>
    </w:p>
    <w:p>
      <w:pPr>
        <w:jc w:val="both"/>
        <w:ind w:firstLine="397"/>
        <w:spacing w:after="0" w:line="298" w:lineRule="auto"/>
        <w:rPr>
          <w:sz w:val="20"/>
          <w:szCs w:val="20"/>
          <w:color w:val="auto"/>
        </w:rPr>
      </w:pPr>
      <w:r>
        <w:rPr>
          <w:rFonts w:ascii="Arial" w:cs="Arial" w:eastAsia="Arial" w:hAnsi="Arial"/>
          <w:sz w:val="16"/>
          <w:szCs w:val="16"/>
          <w:color w:val="auto"/>
        </w:rPr>
        <w:t>On March 10, 1994, Principal Life issued $100.0 million of surplus notes due March 1, 2044, at an 8% annual interest rate. None of our affiliates hold any portion of the notes. Each payment of interest and principal on the notes, however, may be made only with the prior approval of the Commissioner of Insurance of the State of Iowa (the "Commissioner") and only to the extent that Principal Life has sufficient surplus earnings to make such payments. Interest of $8.0 million for each of the years ended December 31, 2013, 2012 and 2011 was approved by the Commissioner, and charged to expense.</w:t>
      </w:r>
    </w:p>
    <w:p>
      <w:pPr>
        <w:spacing w:after="0" w:line="167" w:lineRule="exact"/>
        <w:rPr>
          <w:sz w:val="20"/>
          <w:szCs w:val="20"/>
          <w:color w:val="auto"/>
        </w:rPr>
      </w:pPr>
    </w:p>
    <w:p>
      <w:pPr>
        <w:jc w:val="both"/>
        <w:ind w:firstLine="373"/>
        <w:spacing w:after="0" w:line="294" w:lineRule="auto"/>
        <w:rPr>
          <w:sz w:val="20"/>
          <w:szCs w:val="20"/>
          <w:color w:val="auto"/>
        </w:rPr>
      </w:pPr>
      <w:r>
        <w:rPr>
          <w:rFonts w:ascii="Arial" w:cs="Arial" w:eastAsia="Arial" w:hAnsi="Arial"/>
          <w:sz w:val="16"/>
          <w:szCs w:val="16"/>
          <w:color w:val="auto"/>
        </w:rPr>
        <w:t>Subject to Commissioner approval, the notes due March 1, 2044, may be redeemed at Principal Life's election on or after March 1, 2014, in whole or in part at a redemption price of approximately 102.3% of par. The approximate 2.3% premium is scheduled to gradually diminish over the following ten years. These notes may be redeemed on or after March 1, 2024, at a redemption price of 100% of the principal amount plus interest accrued to the date of redemption. On January 21, 2014, the Commissioner approved Principal Life's election to redeem the surplus notes. On January 30, 2014, Principal Life provided surplus note holders with a notice of redemption and will redeem the $100.0 million surplus notes in whole on March 1, 2014, at a redemption price equal to 102.3% of par.</w:t>
      </w:r>
    </w:p>
    <w:p>
      <w:pPr>
        <w:spacing w:after="0" w:line="170" w:lineRule="exact"/>
        <w:rPr>
          <w:sz w:val="20"/>
          <w:szCs w:val="20"/>
          <w:color w:val="auto"/>
        </w:rPr>
      </w:pPr>
    </w:p>
    <w:p>
      <w:pPr>
        <w:jc w:val="both"/>
        <w:ind w:firstLine="388"/>
        <w:spacing w:after="0" w:line="294" w:lineRule="auto"/>
        <w:rPr>
          <w:sz w:val="20"/>
          <w:szCs w:val="20"/>
          <w:color w:val="auto"/>
        </w:rPr>
      </w:pPr>
      <w:r>
        <w:rPr>
          <w:rFonts w:ascii="Arial" w:cs="Arial" w:eastAsia="Arial" w:hAnsi="Arial"/>
          <w:sz w:val="16"/>
          <w:szCs w:val="16"/>
          <w:color w:val="auto"/>
        </w:rPr>
        <w:t>The non-recourse mortgages, other mortgages and notes payable are primarily financings for real estate developments. Outstanding principal balances as of December 31, 2013, ranged from $1.6 million to $20.1 million per development with interest rates being 5.5% or variable. Outstanding principal balances as of December 31, 2012, ranged from $0.3 million to $9.2 million per development with interest rates generally ranging from 5.5% to 5.8%. Outstanding debt is secured by the underlying real estate properties, which were reported as real estate on our consolidated statements of financial position with a carrying value of $101.4 million and $54.2 million as of December 31, 2013 and 2012, respectively.</w:t>
      </w:r>
    </w:p>
    <w:p>
      <w:pPr>
        <w:spacing w:after="0" w:line="170" w:lineRule="exact"/>
        <w:rPr>
          <w:sz w:val="20"/>
          <w:szCs w:val="20"/>
          <w:color w:val="auto"/>
        </w:rPr>
      </w:pPr>
    </w:p>
    <w:p>
      <w:pPr>
        <w:jc w:val="both"/>
        <w:ind w:firstLine="399"/>
        <w:spacing w:after="0" w:line="289" w:lineRule="auto"/>
        <w:rPr>
          <w:sz w:val="20"/>
          <w:szCs w:val="20"/>
          <w:color w:val="auto"/>
        </w:rPr>
      </w:pPr>
      <w:r>
        <w:rPr>
          <w:rFonts w:ascii="Arial" w:cs="Arial" w:eastAsia="Arial" w:hAnsi="Arial"/>
          <w:sz w:val="16"/>
          <w:szCs w:val="16"/>
          <w:color w:val="auto"/>
        </w:rPr>
        <w:t>Also included in non-recourse mortgages and notes payable is a long-term debt obligation we assumed with the purchase of WM Advisors, Inc. As part of the purchase, we are bound by a class B share financing agreement previously entered into by WM Advisors, Inc. and a third party. Load mutual fund shares sold without a front end load are referred to as "B shares". In exchange for paying the selling commission, we receive fees in the future to recover the up-front commission cost incurred. Prior to our purchase, WM Advisors, Inc. had entered into a purchase and sale agreement whereby the third party would purchase the rights to future cash flow streams in exchange for funding the sales commissions. The fair value of these relinquished fees is reported as a long-term debt liability. There will be no additional sales under this agreement following the effective date of the purchase. Therefore, this liability will be extinguished in 2014, which equates to the remaining contractual term in which the fund can recover fees to cover the upfront commission costs. The value of this obligation as of December 31, 2013 and 2012, was $0.2 million and $1.2 million, respectively.</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4" w:name="page145"/>
    <w:bookmarkEnd w:id="14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1380" w:type="dxa"/>
            <w:vAlign w:val="bottom"/>
          </w:tcPr>
          <w:p>
            <w:pPr>
              <w:spacing w:after="0"/>
              <w:rPr>
                <w:sz w:val="19"/>
                <w:szCs w:val="19"/>
                <w:color w:val="auto"/>
              </w:rPr>
            </w:pPr>
          </w:p>
        </w:tc>
        <w:tc>
          <w:tcPr>
            <w:tcW w:w="6220" w:type="dxa"/>
            <w:vAlign w:val="bottom"/>
          </w:tcPr>
          <w:p>
            <w:pPr>
              <w:jc w:val="center"/>
              <w:ind w:left="2389"/>
              <w:spacing w:after="0"/>
              <w:rPr>
                <w:sz w:val="20"/>
                <w:szCs w:val="20"/>
                <w:color w:val="auto"/>
              </w:rPr>
            </w:pPr>
            <w:r>
              <w:rPr>
                <w:rFonts w:ascii="Arial" w:cs="Arial" w:eastAsia="Arial" w:hAnsi="Arial"/>
                <w:sz w:val="18"/>
                <w:szCs w:val="18"/>
                <w:b w:val="1"/>
                <w:bCs w:val="1"/>
                <w:color w:val="auto"/>
                <w:w w:val="91"/>
              </w:rPr>
              <w:t>Principal Financial Group, Inc.</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2"/>
        </w:trPr>
        <w:tc>
          <w:tcPr>
            <w:tcW w:w="1380" w:type="dxa"/>
            <w:vAlign w:val="bottom"/>
          </w:tcPr>
          <w:p>
            <w:pPr>
              <w:spacing w:after="0"/>
              <w:rPr>
                <w:sz w:val="24"/>
                <w:szCs w:val="24"/>
                <w:color w:val="auto"/>
              </w:rPr>
            </w:pPr>
          </w:p>
        </w:tc>
        <w:tc>
          <w:tcPr>
            <w:tcW w:w="6580" w:type="dxa"/>
            <w:vAlign w:val="bottom"/>
            <w:gridSpan w:val="3"/>
          </w:tcPr>
          <w:p>
            <w:pPr>
              <w:jc w:val="center"/>
              <w:ind w:left="2009"/>
              <w:spacing w:after="0"/>
              <w:rPr>
                <w:sz w:val="20"/>
                <w:szCs w:val="20"/>
                <w:color w:val="auto"/>
              </w:rPr>
            </w:pPr>
            <w:r>
              <w:rPr>
                <w:rFonts w:ascii="Arial" w:cs="Arial" w:eastAsia="Arial" w:hAnsi="Arial"/>
                <w:sz w:val="18"/>
                <w:szCs w:val="18"/>
                <w:b w:val="1"/>
                <w:bCs w:val="1"/>
                <w:color w:val="auto"/>
                <w:w w:val="87"/>
              </w:rPr>
              <w:t>Notes to Consolidated Financial Statements — (continued)</w:t>
            </w:r>
          </w:p>
        </w:tc>
        <w:tc>
          <w:tcPr>
            <w:tcW w:w="4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1380" w:type="dxa"/>
            <w:vAlign w:val="bottom"/>
          </w:tcPr>
          <w:p>
            <w:pPr>
              <w:spacing w:after="0"/>
              <w:rPr>
                <w:sz w:val="24"/>
                <w:szCs w:val="24"/>
                <w:color w:val="auto"/>
              </w:rPr>
            </w:pPr>
          </w:p>
        </w:tc>
        <w:tc>
          <w:tcPr>
            <w:tcW w:w="6220" w:type="dxa"/>
            <w:vAlign w:val="bottom"/>
          </w:tcPr>
          <w:p>
            <w:pPr>
              <w:jc w:val="center"/>
              <w:ind w:left="2369"/>
              <w:spacing w:after="0"/>
              <w:rPr>
                <w:sz w:val="20"/>
                <w:szCs w:val="20"/>
                <w:color w:val="auto"/>
              </w:rPr>
            </w:pPr>
            <w:r>
              <w:rPr>
                <w:rFonts w:ascii="Arial" w:cs="Arial" w:eastAsia="Arial" w:hAnsi="Arial"/>
                <w:sz w:val="18"/>
                <w:szCs w:val="18"/>
                <w:b w:val="1"/>
                <w:bCs w:val="1"/>
                <w:color w:val="auto"/>
                <w:w w:val="87"/>
              </w:rPr>
              <w:t>December 31, 2013</w:t>
            </w: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7600" w:type="dxa"/>
            <w:vAlign w:val="bottom"/>
            <w:gridSpan w:val="2"/>
          </w:tcPr>
          <w:p>
            <w:pPr>
              <w:spacing w:after="0"/>
              <w:rPr>
                <w:sz w:val="20"/>
                <w:szCs w:val="20"/>
                <w:color w:val="auto"/>
              </w:rPr>
            </w:pPr>
            <w:r>
              <w:rPr>
                <w:rFonts w:ascii="Arial" w:cs="Arial" w:eastAsia="Arial" w:hAnsi="Arial"/>
                <w:sz w:val="18"/>
                <w:szCs w:val="18"/>
                <w:b w:val="1"/>
                <w:bCs w:val="1"/>
                <w:color w:val="auto"/>
              </w:rPr>
              <w:t>10. Debt — (continued)</w:t>
            </w: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7600" w:type="dxa"/>
            <w:vAlign w:val="bottom"/>
            <w:gridSpan w:val="2"/>
          </w:tcPr>
          <w:p>
            <w:pPr>
              <w:ind w:left="340"/>
              <w:spacing w:after="0"/>
              <w:rPr>
                <w:sz w:val="20"/>
                <w:szCs w:val="20"/>
                <w:color w:val="auto"/>
              </w:rPr>
            </w:pPr>
            <w:r>
              <w:rPr>
                <w:rFonts w:ascii="Arial" w:cs="Arial" w:eastAsia="Arial" w:hAnsi="Arial"/>
                <w:sz w:val="18"/>
                <w:szCs w:val="18"/>
                <w:color w:val="auto"/>
                <w:w w:val="93"/>
              </w:rPr>
              <w:t>At December 31, 2013, future annual maturities of the long-term debt were as follows (in millions):</w:t>
            </w: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1380" w:type="dxa"/>
            <w:vAlign w:val="bottom"/>
            <w:vMerge w:val="restart"/>
          </w:tcPr>
          <w:p>
            <w:pPr>
              <w:spacing w:after="0"/>
              <w:rPr>
                <w:sz w:val="18"/>
                <w:szCs w:val="18"/>
                <w:color w:val="auto"/>
              </w:rPr>
            </w:pPr>
          </w:p>
        </w:tc>
        <w:tc>
          <w:tcPr>
            <w:tcW w:w="6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9"/>
        </w:trPr>
        <w:tc>
          <w:tcPr>
            <w:tcW w:w="1380" w:type="dxa"/>
            <w:vAlign w:val="bottom"/>
            <w:vMerge w:val="continue"/>
          </w:tcPr>
          <w:p>
            <w:pPr>
              <w:spacing w:after="0"/>
              <w:rPr>
                <w:sz w:val="12"/>
                <w:szCs w:val="12"/>
                <w:color w:val="auto"/>
              </w:rPr>
            </w:pPr>
          </w:p>
        </w:tc>
        <w:tc>
          <w:tcPr>
            <w:tcW w:w="62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Year ending December 31:</w:t>
            </w:r>
          </w:p>
        </w:tc>
        <w:tc>
          <w:tcPr>
            <w:tcW w:w="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6220" w:type="dxa"/>
            <w:vAlign w:val="bottom"/>
          </w:tcPr>
          <w:p>
            <w:pPr>
              <w:ind w:left="140"/>
              <w:spacing w:after="0" w:line="149" w:lineRule="exact"/>
              <w:rPr>
                <w:sz w:val="20"/>
                <w:szCs w:val="20"/>
                <w:color w:val="auto"/>
              </w:rPr>
            </w:pPr>
            <w:r>
              <w:rPr>
                <w:rFonts w:ascii="Arial" w:cs="Arial" w:eastAsia="Arial" w:hAnsi="Arial"/>
                <w:sz w:val="14"/>
                <w:szCs w:val="14"/>
                <w:color w:val="auto"/>
              </w:rPr>
              <w:t>2014</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3"/>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6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2015</w:t>
            </w:r>
          </w:p>
        </w:tc>
        <w:tc>
          <w:tcPr>
            <w:tcW w:w="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6220" w:type="dxa"/>
            <w:vAlign w:val="bottom"/>
          </w:tcPr>
          <w:p>
            <w:pPr>
              <w:ind w:left="140"/>
              <w:spacing w:after="0" w:line="149" w:lineRule="exact"/>
              <w:rPr>
                <w:sz w:val="20"/>
                <w:szCs w:val="20"/>
                <w:color w:val="auto"/>
              </w:rPr>
            </w:pPr>
            <w:r>
              <w:rPr>
                <w:rFonts w:ascii="Arial" w:cs="Arial" w:eastAsia="Arial" w:hAnsi="Arial"/>
                <w:sz w:val="14"/>
                <w:szCs w:val="14"/>
                <w:color w:val="auto"/>
              </w:rPr>
              <w:t>2016</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6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2017</w:t>
            </w:r>
          </w:p>
        </w:tc>
        <w:tc>
          <w:tcPr>
            <w:tcW w:w="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299.8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6220" w:type="dxa"/>
            <w:vAlign w:val="bottom"/>
          </w:tcPr>
          <w:p>
            <w:pPr>
              <w:ind w:left="140"/>
              <w:spacing w:after="0" w:line="149" w:lineRule="exact"/>
              <w:rPr>
                <w:sz w:val="20"/>
                <w:szCs w:val="20"/>
                <w:color w:val="auto"/>
              </w:rPr>
            </w:pPr>
            <w:r>
              <w:rPr>
                <w:rFonts w:ascii="Arial" w:cs="Arial" w:eastAsia="Arial" w:hAnsi="Arial"/>
                <w:sz w:val="14"/>
                <w:szCs w:val="14"/>
                <w:color w:val="auto"/>
              </w:rPr>
              <w:t>2018</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6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Thereafter</w:t>
            </w:r>
          </w:p>
        </w:tc>
        <w:tc>
          <w:tcPr>
            <w:tcW w:w="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20" w:type="dxa"/>
            <w:vAlign w:val="bottom"/>
            <w:tcBorders>
              <w:bottom w:val="single" w:sz="8" w:color="auto"/>
            </w:tcBorders>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4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81"/>
              </w:rPr>
              <w:t>2,296.0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80" w:type="dxa"/>
            <w:vAlign w:val="bottom"/>
          </w:tcPr>
          <w:p>
            <w:pPr>
              <w:spacing w:after="0"/>
              <w:rPr>
                <w:sz w:val="12"/>
                <w:szCs w:val="12"/>
                <w:color w:val="auto"/>
              </w:rPr>
            </w:pPr>
          </w:p>
        </w:tc>
        <w:tc>
          <w:tcPr>
            <w:tcW w:w="6220" w:type="dxa"/>
            <w:vAlign w:val="bottom"/>
          </w:tcPr>
          <w:p>
            <w:pPr>
              <w:ind w:left="140"/>
              <w:spacing w:after="0" w:line="142" w:lineRule="exact"/>
              <w:rPr>
                <w:sz w:val="20"/>
                <w:szCs w:val="20"/>
                <w:color w:val="auto"/>
              </w:rPr>
            </w:pPr>
            <w:r>
              <w:rPr>
                <w:rFonts w:ascii="Arial" w:cs="Arial" w:eastAsia="Arial" w:hAnsi="Arial"/>
                <w:sz w:val="14"/>
                <w:szCs w:val="14"/>
                <w:color w:val="auto"/>
              </w:rPr>
              <w:t>Total future maturities of the long-term debt</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2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1"/>
              </w:rPr>
              <w:t>2,601.4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760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11. Income Taxes</w:t>
            </w: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7600" w:type="dxa"/>
            <w:vAlign w:val="bottom"/>
            <w:gridSpan w:val="2"/>
            <w:vMerge w:val="continue"/>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7600" w:type="dxa"/>
            <w:vAlign w:val="bottom"/>
            <w:gridSpan w:val="2"/>
          </w:tcPr>
          <w:p>
            <w:pPr>
              <w:spacing w:after="0"/>
              <w:rPr>
                <w:sz w:val="20"/>
                <w:szCs w:val="20"/>
                <w:color w:val="auto"/>
              </w:rPr>
            </w:pPr>
            <w:r>
              <w:rPr>
                <w:rFonts w:ascii="Arial" w:cs="Arial" w:eastAsia="Arial" w:hAnsi="Arial"/>
                <w:sz w:val="18"/>
                <w:szCs w:val="18"/>
                <w:b w:val="1"/>
                <w:bCs w:val="1"/>
                <w:color w:val="auto"/>
              </w:rPr>
              <w:t>Income Tax Expense</w:t>
            </w: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7600" w:type="dxa"/>
            <w:vAlign w:val="bottom"/>
            <w:gridSpan w:val="2"/>
          </w:tcPr>
          <w:p>
            <w:pPr>
              <w:ind w:left="360"/>
              <w:spacing w:after="0"/>
              <w:rPr>
                <w:sz w:val="20"/>
                <w:szCs w:val="20"/>
                <w:color w:val="auto"/>
              </w:rPr>
            </w:pPr>
            <w:r>
              <w:rPr>
                <w:rFonts w:ascii="Arial" w:cs="Arial" w:eastAsia="Arial" w:hAnsi="Arial"/>
                <w:sz w:val="18"/>
                <w:szCs w:val="18"/>
                <w:color w:val="auto"/>
              </w:rPr>
              <w:t>Our income tax expense was as follows:</w:t>
            </w: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4"/>
        </w:trPr>
        <w:tc>
          <w:tcPr>
            <w:tcW w:w="1380" w:type="dxa"/>
            <w:vAlign w:val="bottom"/>
          </w:tcPr>
          <w:p>
            <w:pPr>
              <w:spacing w:after="0"/>
              <w:rPr>
                <w:sz w:val="24"/>
                <w:szCs w:val="24"/>
                <w:color w:val="auto"/>
              </w:rPr>
            </w:pPr>
          </w:p>
        </w:tc>
        <w:tc>
          <w:tcPr>
            <w:tcW w:w="6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0" w:type="dxa"/>
            <w:vAlign w:val="bottom"/>
            <w:gridSpan w:val="9"/>
          </w:tcPr>
          <w:p>
            <w:pPr>
              <w:jc w:val="right"/>
              <w:spacing w:after="0"/>
              <w:rPr>
                <w:sz w:val="20"/>
                <w:szCs w:val="20"/>
                <w:color w:val="auto"/>
              </w:rPr>
            </w:pPr>
            <w:r>
              <w:rPr>
                <w:rFonts w:ascii="Arial" w:cs="Arial" w:eastAsia="Arial" w:hAnsi="Arial"/>
                <w:sz w:val="14"/>
                <w:szCs w:val="14"/>
                <w:b w:val="1"/>
                <w:bCs w:val="1"/>
                <w:color w:val="auto"/>
              </w:rPr>
              <w:t>For the year ended</w:t>
            </w: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62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gridSpan w:val="7"/>
          </w:tcPr>
          <w:p>
            <w:pPr>
              <w:jc w:val="right"/>
              <w:spacing w:after="0"/>
              <w:rPr>
                <w:sz w:val="20"/>
                <w:szCs w:val="20"/>
                <w:color w:val="auto"/>
              </w:rPr>
            </w:pPr>
            <w:r>
              <w:rPr>
                <w:rFonts w:ascii="Arial" w:cs="Arial" w:eastAsia="Arial" w:hAnsi="Arial"/>
                <w:sz w:val="14"/>
                <w:szCs w:val="14"/>
                <w:b w:val="1"/>
                <w:bCs w:val="1"/>
                <w:color w:val="auto"/>
              </w:rPr>
              <w:t>December 31,</w:t>
            </w: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1380" w:type="dxa"/>
            <w:vAlign w:val="bottom"/>
          </w:tcPr>
          <w:p>
            <w:pPr>
              <w:spacing w:after="0"/>
              <w:rPr>
                <w:sz w:val="12"/>
                <w:szCs w:val="12"/>
                <w:color w:val="auto"/>
              </w:rPr>
            </w:pPr>
          </w:p>
        </w:tc>
        <w:tc>
          <w:tcPr>
            <w:tcW w:w="62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right"/>
              <w:ind w:right="72"/>
              <w:spacing w:after="0" w:line="142" w:lineRule="exact"/>
              <w:rPr>
                <w:sz w:val="20"/>
                <w:szCs w:val="20"/>
                <w:color w:val="auto"/>
              </w:rPr>
            </w:pPr>
            <w:r>
              <w:rPr>
                <w:rFonts w:ascii="Arial" w:cs="Arial" w:eastAsia="Arial" w:hAnsi="Arial"/>
                <w:sz w:val="14"/>
                <w:szCs w:val="14"/>
                <w:b w:val="1"/>
                <w:bCs w:val="1"/>
                <w:color w:val="auto"/>
                <w:w w:val="96"/>
              </w:rPr>
              <w:t>2013</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9"/>
              </w:rPr>
              <w:t>2012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ind w:right="72"/>
              <w:spacing w:after="0" w:line="142" w:lineRule="exact"/>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80" w:type="dxa"/>
            <w:vAlign w:val="bottom"/>
          </w:tcPr>
          <w:p>
            <w:pPr>
              <w:spacing w:after="0"/>
              <w:rPr>
                <w:sz w:val="12"/>
                <w:szCs w:val="12"/>
                <w:color w:val="auto"/>
              </w:rPr>
            </w:pPr>
          </w:p>
        </w:tc>
        <w:tc>
          <w:tcPr>
            <w:tcW w:w="62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40" w:type="dxa"/>
            <w:vAlign w:val="bottom"/>
            <w:gridSpan w:val="3"/>
          </w:tcPr>
          <w:p>
            <w:pPr>
              <w:jc w:val="right"/>
              <w:spacing w:after="0" w:line="142" w:lineRule="exact"/>
              <w:rPr>
                <w:sz w:val="20"/>
                <w:szCs w:val="20"/>
                <w:color w:val="auto"/>
              </w:rPr>
            </w:pPr>
            <w:r>
              <w:rPr>
                <w:rFonts w:ascii="Arial" w:cs="Arial" w:eastAsia="Arial" w:hAnsi="Arial"/>
                <w:sz w:val="14"/>
                <w:szCs w:val="14"/>
                <w:b w:val="1"/>
                <w:bCs w:val="1"/>
                <w:i w:val="1"/>
                <w:iCs w:val="1"/>
                <w:color w:val="auto"/>
                <w:w w:val="78"/>
              </w:rPr>
              <w:t>(in millions)</w:t>
            </w:r>
          </w:p>
        </w:tc>
        <w:tc>
          <w:tcPr>
            <w:tcW w:w="140" w:type="dxa"/>
            <w:vAlign w:val="bottom"/>
            <w:gridSpan w:val="2"/>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62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Current income taxes (benefits):</w:t>
            </w:r>
          </w:p>
        </w:tc>
        <w:tc>
          <w:tcPr>
            <w:tcW w:w="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6220" w:type="dxa"/>
            <w:vAlign w:val="bottom"/>
          </w:tcPr>
          <w:p>
            <w:pPr>
              <w:ind w:left="140"/>
              <w:spacing w:after="0" w:line="149" w:lineRule="exact"/>
              <w:rPr>
                <w:sz w:val="20"/>
                <w:szCs w:val="20"/>
                <w:color w:val="auto"/>
              </w:rPr>
            </w:pPr>
            <w:r>
              <w:rPr>
                <w:rFonts w:ascii="Arial" w:cs="Arial" w:eastAsia="Arial" w:hAnsi="Arial"/>
                <w:sz w:val="14"/>
                <w:szCs w:val="14"/>
                <w:color w:val="auto"/>
              </w:rPr>
              <w:t>U.S. federal</w:t>
            </w:r>
          </w:p>
        </w:tc>
        <w:tc>
          <w:tcPr>
            <w:tcW w:w="360" w:type="dxa"/>
            <w:vAlign w:val="bottom"/>
            <w:gridSpan w:val="2"/>
          </w:tcPr>
          <w:p>
            <w:pPr>
              <w:jc w:val="right"/>
              <w:ind w:right="40"/>
              <w:spacing w:after="0" w:line="149" w:lineRule="exact"/>
              <w:rPr>
                <w:sz w:val="20"/>
                <w:szCs w:val="20"/>
                <w:color w:val="auto"/>
              </w:rPr>
            </w:pPr>
            <w:r>
              <w:rPr>
                <w:rFonts w:ascii="Arial" w:cs="Arial" w:eastAsia="Arial" w:hAnsi="Arial"/>
                <w:sz w:val="14"/>
                <w:szCs w:val="14"/>
                <w:b w:val="1"/>
                <w:bCs w:val="1"/>
                <w:color w:val="auto"/>
              </w:rPr>
              <w:t>$</w:t>
            </w:r>
          </w:p>
        </w:tc>
        <w:tc>
          <w:tcPr>
            <w:tcW w:w="4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109.5</w:t>
            </w:r>
          </w:p>
        </w:tc>
        <w:tc>
          <w:tcPr>
            <w:tcW w:w="40" w:type="dxa"/>
            <w:vAlign w:val="bottom"/>
          </w:tcPr>
          <w:p>
            <w:pPr>
              <w:spacing w:after="0"/>
              <w:rPr>
                <w:sz w:val="12"/>
                <w:szCs w:val="12"/>
                <w:color w:val="auto"/>
              </w:rPr>
            </w:pPr>
          </w:p>
        </w:tc>
        <w:tc>
          <w:tcPr>
            <w:tcW w:w="22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48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(66.9)</w:t>
            </w:r>
          </w:p>
        </w:tc>
        <w:tc>
          <w:tcPr>
            <w:tcW w:w="80" w:type="dxa"/>
            <w:vAlign w:val="bottom"/>
          </w:tcPr>
          <w:p>
            <w:pPr>
              <w:spacing w:after="0"/>
              <w:rPr>
                <w:sz w:val="12"/>
                <w:szCs w:val="12"/>
                <w:color w:val="auto"/>
              </w:rPr>
            </w:pPr>
          </w:p>
        </w:tc>
        <w:tc>
          <w:tcPr>
            <w:tcW w:w="12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w w:val="76"/>
              </w:rPr>
              <w:t>$</w:t>
            </w: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115.4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6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State</w:t>
            </w:r>
          </w:p>
        </w:tc>
        <w:tc>
          <w:tcPr>
            <w:tcW w:w="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7.7</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(4.7)</w:t>
            </w: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6220" w:type="dxa"/>
            <w:vAlign w:val="bottom"/>
          </w:tcPr>
          <w:p>
            <w:pPr>
              <w:ind w:left="140"/>
              <w:spacing w:after="0" w:line="149" w:lineRule="exact"/>
              <w:rPr>
                <w:sz w:val="20"/>
                <w:szCs w:val="20"/>
                <w:color w:val="auto"/>
              </w:rPr>
            </w:pPr>
            <w:r>
              <w:rPr>
                <w:rFonts w:ascii="Arial" w:cs="Arial" w:eastAsia="Arial" w:hAnsi="Arial"/>
                <w:sz w:val="14"/>
                <w:szCs w:val="14"/>
                <w:color w:val="auto"/>
              </w:rPr>
              <w:t>Foreign</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69.7</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48.7</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44.4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6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Tax benefit of operating loss carryforward</w:t>
            </w:r>
          </w:p>
        </w:tc>
        <w:tc>
          <w:tcPr>
            <w:tcW w:w="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(134.1)</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(73.7)</w:t>
            </w: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(0.2)</w:t>
            </w:r>
          </w:p>
        </w:tc>
        <w:tc>
          <w:tcPr>
            <w:tcW w:w="0" w:type="dxa"/>
            <w:vAlign w:val="bottom"/>
          </w:tcPr>
          <w:p>
            <w:pPr>
              <w:spacing w:after="0"/>
              <w:rPr>
                <w:sz w:val="1"/>
                <w:szCs w:val="1"/>
                <w:color w:val="auto"/>
              </w:rPr>
            </w:pPr>
          </w:p>
        </w:tc>
      </w:tr>
      <w:tr>
        <w:trPr>
          <w:trHeight w:val="20"/>
        </w:trPr>
        <w:tc>
          <w:tcPr>
            <w:tcW w:w="7600" w:type="dxa"/>
            <w:vAlign w:val="bottom"/>
            <w:gridSpan w:val="2"/>
            <w:vMerge w:val="restart"/>
          </w:tcPr>
          <w:p>
            <w:pPr>
              <w:ind w:left="1380"/>
              <w:spacing w:after="0"/>
              <w:rPr>
                <w:sz w:val="20"/>
                <w:szCs w:val="20"/>
                <w:color w:val="auto"/>
              </w:rPr>
            </w:pPr>
            <w:r>
              <w:rPr>
                <w:rFonts w:ascii="Arial" w:cs="Arial" w:eastAsia="Arial" w:hAnsi="Arial"/>
                <w:sz w:val="14"/>
                <w:szCs w:val="14"/>
                <w:color w:val="auto"/>
              </w:rPr>
              <w:t>Total current income taxes (benefits)</w:t>
            </w: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760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52.8</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gridSpan w:val="2"/>
          </w:tcPr>
          <w:p>
            <w:pPr>
              <w:jc w:val="right"/>
              <w:ind w:right="20"/>
              <w:spacing w:after="0" w:line="142" w:lineRule="exact"/>
              <w:rPr>
                <w:sz w:val="20"/>
                <w:szCs w:val="20"/>
                <w:color w:val="auto"/>
              </w:rPr>
            </w:pPr>
            <w:r>
              <w:rPr>
                <w:rFonts w:ascii="Arial" w:cs="Arial" w:eastAsia="Arial" w:hAnsi="Arial"/>
                <w:sz w:val="14"/>
                <w:szCs w:val="14"/>
                <w:color w:val="auto"/>
              </w:rPr>
              <w:t>(96.6)</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jc w:val="right"/>
              <w:spacing w:after="0" w:line="142" w:lineRule="exact"/>
              <w:rPr>
                <w:sz w:val="20"/>
                <w:szCs w:val="20"/>
                <w:color w:val="auto"/>
              </w:rPr>
            </w:pPr>
            <w:r>
              <w:rPr>
                <w:rFonts w:ascii="Arial" w:cs="Arial" w:eastAsia="Arial" w:hAnsi="Arial"/>
                <w:sz w:val="14"/>
                <w:szCs w:val="14"/>
                <w:color w:val="auto"/>
              </w:rPr>
              <w:t>166.8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6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U.S. federal</w:t>
            </w:r>
          </w:p>
        </w:tc>
        <w:tc>
          <w:tcPr>
            <w:tcW w:w="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155.1</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221.3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6220" w:type="dxa"/>
            <w:vAlign w:val="bottom"/>
          </w:tcPr>
          <w:p>
            <w:pPr>
              <w:ind w:left="140"/>
              <w:spacing w:after="0" w:line="149" w:lineRule="exact"/>
              <w:rPr>
                <w:sz w:val="20"/>
                <w:szCs w:val="20"/>
                <w:color w:val="auto"/>
              </w:rPr>
            </w:pPr>
            <w:r>
              <w:rPr>
                <w:rFonts w:ascii="Arial" w:cs="Arial" w:eastAsia="Arial" w:hAnsi="Arial"/>
                <w:sz w:val="14"/>
                <w:szCs w:val="14"/>
                <w:color w:val="auto"/>
              </w:rPr>
              <w:t>State</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(3.1)</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(1.7)</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(2.6)</w:t>
            </w: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62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Foreign</w:t>
            </w:r>
          </w:p>
        </w:tc>
        <w:tc>
          <w:tcPr>
            <w:tcW w:w="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(16.9)</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(9.8)</w:t>
            </w:r>
          </w:p>
        </w:tc>
        <w:tc>
          <w:tcPr>
            <w:tcW w:w="0" w:type="dxa"/>
            <w:vAlign w:val="bottom"/>
          </w:tcPr>
          <w:p>
            <w:pPr>
              <w:spacing w:after="0"/>
              <w:rPr>
                <w:sz w:val="1"/>
                <w:szCs w:val="1"/>
                <w:color w:val="auto"/>
              </w:rPr>
            </w:pPr>
          </w:p>
        </w:tc>
      </w:tr>
      <w:tr>
        <w:trPr>
          <w:trHeight w:val="142"/>
        </w:trPr>
        <w:tc>
          <w:tcPr>
            <w:tcW w:w="7600" w:type="dxa"/>
            <w:vAlign w:val="bottom"/>
            <w:gridSpan w:val="2"/>
          </w:tcPr>
          <w:p>
            <w:pPr>
              <w:ind w:left="1380"/>
              <w:spacing w:after="0" w:line="142" w:lineRule="exact"/>
              <w:rPr>
                <w:sz w:val="20"/>
                <w:szCs w:val="20"/>
                <w:color w:val="auto"/>
              </w:rPr>
            </w:pPr>
            <w:r>
              <w:rPr>
                <w:rFonts w:ascii="Arial" w:cs="Arial" w:eastAsia="Arial" w:hAnsi="Arial"/>
                <w:sz w:val="14"/>
                <w:szCs w:val="14"/>
                <w:color w:val="auto"/>
              </w:rPr>
              <w:t>Total deferred income taxes</w:t>
            </w:r>
          </w:p>
        </w:tc>
        <w:tc>
          <w:tcPr>
            <w:tcW w:w="26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135.1</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231.2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31.5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80" w:type="dxa"/>
            <w:vAlign w:val="bottom"/>
          </w:tcPr>
          <w:p>
            <w:pPr>
              <w:spacing w:after="0"/>
              <w:rPr>
                <w:sz w:val="12"/>
                <w:szCs w:val="12"/>
                <w:color w:val="auto"/>
              </w:rPr>
            </w:pPr>
          </w:p>
        </w:tc>
        <w:tc>
          <w:tcPr>
            <w:tcW w:w="62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 income taxes</w:t>
            </w:r>
          </w:p>
        </w:tc>
        <w:tc>
          <w:tcPr>
            <w:tcW w:w="36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b w:val="1"/>
                <w:bCs w:val="1"/>
                <w:color w:val="auto"/>
              </w:rPr>
              <w:t>$</w:t>
            </w:r>
          </w:p>
        </w:tc>
        <w:tc>
          <w:tcPr>
            <w:tcW w:w="4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187.9</w:t>
            </w:r>
          </w:p>
        </w:tc>
        <w:tc>
          <w:tcPr>
            <w:tcW w:w="40" w:type="dxa"/>
            <w:vAlign w:val="bottom"/>
            <w:shd w:val="clear" w:color="auto" w:fill="CCEEFF"/>
          </w:tcPr>
          <w:p>
            <w:pPr>
              <w:spacing w:after="0"/>
              <w:rPr>
                <w:sz w:val="12"/>
                <w:szCs w:val="12"/>
                <w:color w:val="auto"/>
              </w:rPr>
            </w:pPr>
          </w:p>
        </w:tc>
        <w:tc>
          <w:tcPr>
            <w:tcW w:w="22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134.6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w w:val="76"/>
              </w:rPr>
              <w:t>$</w:t>
            </w:r>
          </w:p>
        </w:tc>
        <w:tc>
          <w:tcPr>
            <w:tcW w:w="4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198.3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1380" w:type="dxa"/>
            <w:vAlign w:val="bottom"/>
          </w:tcPr>
          <w:p>
            <w:pPr>
              <w:spacing w:after="0" w:line="20" w:lineRule="exact"/>
              <w:rPr>
                <w:sz w:val="1"/>
                <w:szCs w:val="1"/>
                <w:color w:val="auto"/>
              </w:rPr>
            </w:pPr>
          </w:p>
        </w:tc>
        <w:tc>
          <w:tcPr>
            <w:tcW w:w="62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Effective Income Tax Rate</w:t>
      </w:r>
    </w:p>
    <w:p>
      <w:pPr>
        <w:spacing w:after="0" w:line="231" w:lineRule="exact"/>
        <w:rPr>
          <w:sz w:val="20"/>
          <w:szCs w:val="20"/>
          <w:color w:val="auto"/>
        </w:rPr>
      </w:pPr>
    </w:p>
    <w:p>
      <w:pPr>
        <w:ind w:firstLine="358"/>
        <w:spacing w:after="0" w:line="268" w:lineRule="auto"/>
        <w:rPr>
          <w:sz w:val="20"/>
          <w:szCs w:val="20"/>
          <w:color w:val="auto"/>
        </w:rPr>
      </w:pPr>
      <w:r>
        <w:rPr>
          <w:rFonts w:ascii="Arial" w:cs="Arial" w:eastAsia="Arial" w:hAnsi="Arial"/>
          <w:sz w:val="18"/>
          <w:szCs w:val="18"/>
          <w:color w:val="auto"/>
        </w:rPr>
        <w:t>Our provision for income taxes may not have the customary relationship of taxes to income. A reconciliation between the U.S. corporate income tax rate and the effective income tax rate was as follows:</w:t>
      </w:r>
    </w:p>
    <w:p>
      <w:pPr>
        <w:spacing w:after="0" w:line="169"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6820" w:type="dxa"/>
            <w:vAlign w:val="bottom"/>
          </w:tcPr>
          <w:p>
            <w:pPr>
              <w:spacing w:after="0"/>
              <w:rPr>
                <w:sz w:val="14"/>
                <w:szCs w:val="14"/>
                <w:color w:val="auto"/>
              </w:rPr>
            </w:pPr>
          </w:p>
        </w:tc>
        <w:tc>
          <w:tcPr>
            <w:tcW w:w="1740" w:type="dxa"/>
            <w:vAlign w:val="bottom"/>
            <w:gridSpan w:val="6"/>
          </w:tcPr>
          <w:p>
            <w:pPr>
              <w:jc w:val="center"/>
              <w:ind w:right="180"/>
              <w:spacing w:after="0"/>
              <w:rPr>
                <w:sz w:val="20"/>
                <w:szCs w:val="20"/>
                <w:color w:val="auto"/>
              </w:rPr>
            </w:pPr>
            <w:r>
              <w:rPr>
                <w:rFonts w:ascii="Arial" w:cs="Arial" w:eastAsia="Arial" w:hAnsi="Arial"/>
                <w:sz w:val="14"/>
                <w:szCs w:val="14"/>
                <w:b w:val="1"/>
                <w:bCs w:val="1"/>
                <w:color w:val="auto"/>
                <w:w w:val="86"/>
              </w:rPr>
              <w:t>For the year ended</w:t>
            </w:r>
          </w:p>
        </w:tc>
        <w:tc>
          <w:tcPr>
            <w:tcW w:w="0" w:type="dxa"/>
            <w:vAlign w:val="bottom"/>
          </w:tcPr>
          <w:p>
            <w:pPr>
              <w:spacing w:after="0"/>
              <w:rPr>
                <w:sz w:val="1"/>
                <w:szCs w:val="1"/>
                <w:color w:val="auto"/>
              </w:rPr>
            </w:pPr>
          </w:p>
        </w:tc>
      </w:tr>
      <w:tr>
        <w:trPr>
          <w:trHeight w:val="161"/>
        </w:trPr>
        <w:tc>
          <w:tcPr>
            <w:tcW w:w="6820" w:type="dxa"/>
            <w:vAlign w:val="bottom"/>
          </w:tcPr>
          <w:p>
            <w:pPr>
              <w:spacing w:after="0"/>
              <w:rPr>
                <w:sz w:val="14"/>
                <w:szCs w:val="14"/>
                <w:color w:val="auto"/>
              </w:rPr>
            </w:pPr>
          </w:p>
        </w:tc>
        <w:tc>
          <w:tcPr>
            <w:tcW w:w="1200" w:type="dxa"/>
            <w:vAlign w:val="bottom"/>
            <w:tcBorders>
              <w:bottom w:val="single" w:sz="8" w:color="auto"/>
            </w:tcBorders>
            <w:gridSpan w:val="4"/>
          </w:tcPr>
          <w:p>
            <w:pPr>
              <w:jc w:val="center"/>
              <w:ind w:left="292"/>
              <w:spacing w:after="0"/>
              <w:rPr>
                <w:sz w:val="20"/>
                <w:szCs w:val="20"/>
                <w:color w:val="auto"/>
              </w:rPr>
            </w:pPr>
            <w:r>
              <w:rPr>
                <w:rFonts w:ascii="Arial" w:cs="Arial" w:eastAsia="Arial" w:hAnsi="Arial"/>
                <w:sz w:val="14"/>
                <w:szCs w:val="14"/>
                <w:b w:val="1"/>
                <w:bCs w:val="1"/>
                <w:color w:val="auto"/>
                <w:w w:val="87"/>
              </w:rPr>
              <w:t>December 31,</w:t>
            </w:r>
          </w:p>
        </w:tc>
        <w:tc>
          <w:tcPr>
            <w:tcW w:w="3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820" w:type="dxa"/>
            <w:vAlign w:val="bottom"/>
          </w:tcPr>
          <w:p>
            <w:pPr>
              <w:spacing w:after="0"/>
              <w:rPr>
                <w:sz w:val="12"/>
                <w:szCs w:val="12"/>
                <w:color w:val="auto"/>
              </w:rPr>
            </w:pPr>
          </w:p>
        </w:tc>
        <w:tc>
          <w:tcPr>
            <w:tcW w:w="420" w:type="dxa"/>
            <w:vAlign w:val="bottom"/>
            <w:tcBorders>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rPr>
              <w:t>2013</w:t>
            </w:r>
          </w:p>
        </w:tc>
        <w:tc>
          <w:tcPr>
            <w:tcW w:w="160" w:type="dxa"/>
            <w:vAlign w:val="bottom"/>
          </w:tcPr>
          <w:p>
            <w:pPr>
              <w:spacing w:after="0"/>
              <w:rPr>
                <w:sz w:val="12"/>
                <w:szCs w:val="12"/>
                <w:color w:val="auto"/>
              </w:rPr>
            </w:pPr>
          </w:p>
        </w:tc>
        <w:tc>
          <w:tcPr>
            <w:tcW w:w="42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89"/>
              </w:rPr>
              <w:t>2012</w:t>
            </w:r>
          </w:p>
        </w:tc>
        <w:tc>
          <w:tcPr>
            <w:tcW w:w="200" w:type="dxa"/>
            <w:vAlign w:val="bottom"/>
          </w:tcPr>
          <w:p>
            <w:pPr>
              <w:spacing w:after="0"/>
              <w:rPr>
                <w:sz w:val="12"/>
                <w:szCs w:val="12"/>
                <w:color w:val="auto"/>
              </w:rPr>
            </w:pPr>
          </w:p>
        </w:tc>
        <w:tc>
          <w:tcPr>
            <w:tcW w:w="380" w:type="dxa"/>
            <w:vAlign w:val="bottom"/>
            <w:tcBorders>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w w:val="89"/>
              </w:rPr>
              <w:t>2011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8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U.S. corporate income tax rate</w:t>
            </w:r>
          </w:p>
        </w:tc>
        <w:tc>
          <w:tcPr>
            <w:tcW w:w="58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b w:val="1"/>
                <w:bCs w:val="1"/>
                <w:color w:val="auto"/>
              </w:rPr>
              <w:t>35%</w:t>
            </w:r>
          </w:p>
        </w:tc>
        <w:tc>
          <w:tcPr>
            <w:tcW w:w="620" w:type="dxa"/>
            <w:vAlign w:val="bottom"/>
            <w:tcBorders>
              <w:right w:val="single" w:sz="8" w:color="CCEEFF"/>
            </w:tcBorders>
            <w:gridSpan w:val="2"/>
            <w:shd w:val="clear" w:color="auto" w:fill="CCEEFF"/>
          </w:tcPr>
          <w:p>
            <w:pPr>
              <w:jc w:val="right"/>
              <w:ind w:right="100"/>
              <w:spacing w:after="0" w:line="142" w:lineRule="exact"/>
              <w:rPr>
                <w:sz w:val="20"/>
                <w:szCs w:val="20"/>
                <w:color w:val="auto"/>
              </w:rPr>
            </w:pPr>
            <w:r>
              <w:rPr>
                <w:rFonts w:ascii="Arial" w:cs="Arial" w:eastAsia="Arial" w:hAnsi="Arial"/>
                <w:sz w:val="14"/>
                <w:szCs w:val="14"/>
                <w:color w:val="auto"/>
              </w:rPr>
              <w:t>35%</w:t>
            </w:r>
          </w:p>
        </w:tc>
        <w:tc>
          <w:tcPr>
            <w:tcW w:w="54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35%</w:t>
            </w:r>
          </w:p>
        </w:tc>
        <w:tc>
          <w:tcPr>
            <w:tcW w:w="0" w:type="dxa"/>
            <w:vAlign w:val="bottom"/>
          </w:tcPr>
          <w:p>
            <w:pPr>
              <w:spacing w:after="0"/>
              <w:rPr>
                <w:sz w:val="1"/>
                <w:szCs w:val="1"/>
                <w:color w:val="auto"/>
              </w:rPr>
            </w:pPr>
          </w:p>
        </w:tc>
      </w:tr>
      <w:tr>
        <w:trPr>
          <w:trHeight w:val="149"/>
        </w:trPr>
        <w:tc>
          <w:tcPr>
            <w:tcW w:w="6820" w:type="dxa"/>
            <w:vAlign w:val="bottom"/>
          </w:tcPr>
          <w:p>
            <w:pPr>
              <w:spacing w:after="0" w:line="149" w:lineRule="exact"/>
              <w:rPr>
                <w:sz w:val="20"/>
                <w:szCs w:val="20"/>
                <w:color w:val="auto"/>
              </w:rPr>
            </w:pPr>
            <w:r>
              <w:rPr>
                <w:rFonts w:ascii="Arial" w:cs="Arial" w:eastAsia="Arial" w:hAnsi="Arial"/>
                <w:sz w:val="14"/>
                <w:szCs w:val="14"/>
                <w:color w:val="auto"/>
              </w:rPr>
              <w:t>Dividends received deduction</w:t>
            </w:r>
          </w:p>
        </w:tc>
        <w:tc>
          <w:tcPr>
            <w:tcW w:w="58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(10)</w:t>
            </w:r>
          </w:p>
        </w:tc>
        <w:tc>
          <w:tcPr>
            <w:tcW w:w="6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(10)</w:t>
            </w:r>
          </w:p>
        </w:tc>
        <w:tc>
          <w:tcPr>
            <w:tcW w:w="5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(9)</w:t>
            </w:r>
          </w:p>
        </w:tc>
        <w:tc>
          <w:tcPr>
            <w:tcW w:w="0" w:type="dxa"/>
            <w:vAlign w:val="bottom"/>
          </w:tcPr>
          <w:p>
            <w:pPr>
              <w:spacing w:after="0"/>
              <w:rPr>
                <w:sz w:val="1"/>
                <w:szCs w:val="1"/>
                <w:color w:val="auto"/>
              </w:rPr>
            </w:pPr>
          </w:p>
        </w:tc>
      </w:tr>
      <w:tr>
        <w:trPr>
          <w:trHeight w:val="149"/>
        </w:trPr>
        <w:tc>
          <w:tcPr>
            <w:tcW w:w="68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Impact of equity method presentation</w:t>
            </w:r>
          </w:p>
        </w:tc>
        <w:tc>
          <w:tcPr>
            <w:tcW w:w="5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(3)</w:t>
            </w:r>
          </w:p>
        </w:tc>
        <w:tc>
          <w:tcPr>
            <w:tcW w:w="620" w:type="dxa"/>
            <w:vAlign w:val="bottom"/>
            <w:tcBorders>
              <w:right w:val="single" w:sz="8" w:color="CCEEFF"/>
            </w:tcBorders>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(4)</w:t>
            </w:r>
          </w:p>
        </w:tc>
        <w:tc>
          <w:tcPr>
            <w:tcW w:w="5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149"/>
        </w:trPr>
        <w:tc>
          <w:tcPr>
            <w:tcW w:w="6820" w:type="dxa"/>
            <w:vAlign w:val="bottom"/>
          </w:tcPr>
          <w:p>
            <w:pPr>
              <w:spacing w:after="0" w:line="149" w:lineRule="exact"/>
              <w:rPr>
                <w:sz w:val="20"/>
                <w:szCs w:val="20"/>
                <w:color w:val="auto"/>
              </w:rPr>
            </w:pPr>
            <w:r>
              <w:rPr>
                <w:rFonts w:ascii="Arial" w:cs="Arial" w:eastAsia="Arial" w:hAnsi="Arial"/>
                <w:sz w:val="14"/>
                <w:szCs w:val="14"/>
                <w:color w:val="auto"/>
              </w:rPr>
              <w:t>Interest exclusion from taxable income</w:t>
            </w:r>
          </w:p>
        </w:tc>
        <w:tc>
          <w:tcPr>
            <w:tcW w:w="58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(2)</w:t>
            </w:r>
          </w:p>
        </w:tc>
        <w:tc>
          <w:tcPr>
            <w:tcW w:w="6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(2)</w:t>
            </w:r>
          </w:p>
        </w:tc>
        <w:tc>
          <w:tcPr>
            <w:tcW w:w="5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149"/>
        </w:trPr>
        <w:tc>
          <w:tcPr>
            <w:tcW w:w="68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Foreign tax rate differential</w:t>
            </w:r>
          </w:p>
        </w:tc>
        <w:tc>
          <w:tcPr>
            <w:tcW w:w="5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(2)</w:t>
            </w:r>
          </w:p>
        </w:tc>
        <w:tc>
          <w:tcPr>
            <w:tcW w:w="620" w:type="dxa"/>
            <w:vAlign w:val="bottom"/>
            <w:tcBorders>
              <w:right w:val="single" w:sz="8" w:color="CCEEFF"/>
            </w:tcBorders>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(2)</w:t>
            </w:r>
          </w:p>
        </w:tc>
        <w:tc>
          <w:tcPr>
            <w:tcW w:w="5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6820" w:type="dxa"/>
            <w:vAlign w:val="bottom"/>
          </w:tcPr>
          <w:p>
            <w:pPr>
              <w:spacing w:after="0" w:line="149" w:lineRule="exact"/>
              <w:rPr>
                <w:sz w:val="20"/>
                <w:szCs w:val="20"/>
                <w:color w:val="auto"/>
              </w:rPr>
            </w:pPr>
            <w:r>
              <w:rPr>
                <w:rFonts w:ascii="Arial" w:cs="Arial" w:eastAsia="Arial" w:hAnsi="Arial"/>
                <w:sz w:val="14"/>
                <w:szCs w:val="14"/>
                <w:color w:val="auto"/>
              </w:rPr>
              <w:t>Impact of court ruling on some uncertain tax positions</w:t>
            </w:r>
          </w:p>
        </w:tc>
        <w:tc>
          <w:tcPr>
            <w:tcW w:w="580" w:type="dxa"/>
            <w:vAlign w:val="bottom"/>
            <w:gridSpan w:val="2"/>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c>
          <w:tcPr>
            <w:tcW w:w="62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380" w:type="dxa"/>
            <w:vAlign w:val="bottom"/>
          </w:tcPr>
          <w:p>
            <w:pPr>
              <w:jc w:val="right"/>
              <w:spacing w:after="0" w:line="149" w:lineRule="exact"/>
              <w:rPr>
                <w:sz w:val="20"/>
                <w:szCs w:val="20"/>
                <w:color w:val="auto"/>
              </w:rPr>
            </w:pPr>
            <w:r>
              <w:rPr>
                <w:rFonts w:ascii="Arial" w:cs="Arial" w:eastAsia="Arial" w:hAnsi="Arial"/>
                <w:sz w:val="14"/>
                <w:szCs w:val="14"/>
                <w:color w:val="auto"/>
              </w:rPr>
              <w:t>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8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w:t>
            </w:r>
          </w:p>
        </w:tc>
        <w:tc>
          <w:tcPr>
            <w:tcW w:w="5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(1)</w:t>
            </w:r>
          </w:p>
        </w:tc>
        <w:tc>
          <w:tcPr>
            <w:tcW w:w="620" w:type="dxa"/>
            <w:vAlign w:val="bottom"/>
            <w:tcBorders>
              <w:right w:val="single" w:sz="8" w:color="CCEEFF"/>
            </w:tcBorders>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(3)</w:t>
            </w:r>
          </w:p>
        </w:tc>
        <w:tc>
          <w:tcPr>
            <w:tcW w:w="5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20"/>
        </w:trPr>
        <w:tc>
          <w:tcPr>
            <w:tcW w:w="6820" w:type="dxa"/>
            <w:vAlign w:val="bottom"/>
            <w:vMerge w:val="restart"/>
          </w:tcPr>
          <w:p>
            <w:pPr>
              <w:spacing w:after="0"/>
              <w:rPr>
                <w:sz w:val="20"/>
                <w:szCs w:val="20"/>
                <w:color w:val="auto"/>
              </w:rPr>
            </w:pPr>
            <w:r>
              <w:rPr>
                <w:rFonts w:ascii="Arial" w:cs="Arial" w:eastAsia="Arial" w:hAnsi="Arial"/>
                <w:sz w:val="14"/>
                <w:szCs w:val="14"/>
                <w:color w:val="auto"/>
              </w:rPr>
              <w:t>Effective income tax rate</w:t>
            </w:r>
          </w:p>
        </w:tc>
        <w:tc>
          <w:tcPr>
            <w:tcW w:w="4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6820" w:type="dxa"/>
            <w:vAlign w:val="bottom"/>
            <w:vMerge w:val="continue"/>
          </w:tcPr>
          <w:p>
            <w:pPr>
              <w:spacing w:after="0"/>
              <w:rPr>
                <w:sz w:val="12"/>
                <w:szCs w:val="12"/>
                <w:color w:val="auto"/>
              </w:rPr>
            </w:pPr>
          </w:p>
        </w:tc>
        <w:tc>
          <w:tcPr>
            <w:tcW w:w="580" w:type="dxa"/>
            <w:vAlign w:val="bottom"/>
            <w:gridSpan w:val="2"/>
          </w:tcPr>
          <w:p>
            <w:pPr>
              <w:jc w:val="right"/>
              <w:ind w:right="40"/>
              <w:spacing w:after="0" w:line="142" w:lineRule="exact"/>
              <w:rPr>
                <w:sz w:val="20"/>
                <w:szCs w:val="20"/>
                <w:color w:val="auto"/>
              </w:rPr>
            </w:pPr>
            <w:r>
              <w:rPr>
                <w:rFonts w:ascii="Arial" w:cs="Arial" w:eastAsia="Arial" w:hAnsi="Arial"/>
                <w:sz w:val="14"/>
                <w:szCs w:val="14"/>
                <w:b w:val="1"/>
                <w:bCs w:val="1"/>
                <w:color w:val="auto"/>
              </w:rPr>
              <w:t>17%</w:t>
            </w:r>
          </w:p>
        </w:tc>
        <w:tc>
          <w:tcPr>
            <w:tcW w:w="620" w:type="dxa"/>
            <w:vAlign w:val="bottom"/>
            <w:gridSpan w:val="2"/>
          </w:tcPr>
          <w:p>
            <w:pPr>
              <w:jc w:val="right"/>
              <w:ind w:right="100"/>
              <w:spacing w:after="0" w:line="142" w:lineRule="exact"/>
              <w:rPr>
                <w:sz w:val="20"/>
                <w:szCs w:val="20"/>
                <w:color w:val="auto"/>
              </w:rPr>
            </w:pPr>
            <w:r>
              <w:rPr>
                <w:rFonts w:ascii="Arial" w:cs="Arial" w:eastAsia="Arial" w:hAnsi="Arial"/>
                <w:sz w:val="14"/>
                <w:szCs w:val="14"/>
                <w:color w:val="auto"/>
              </w:rPr>
              <w:t>14%</w:t>
            </w:r>
          </w:p>
        </w:tc>
        <w:tc>
          <w:tcPr>
            <w:tcW w:w="540" w:type="dxa"/>
            <w:vAlign w:val="bottom"/>
            <w:gridSpan w:val="2"/>
          </w:tcPr>
          <w:p>
            <w:pPr>
              <w:jc w:val="right"/>
              <w:ind w:right="60"/>
              <w:spacing w:after="0" w:line="142" w:lineRule="exact"/>
              <w:rPr>
                <w:sz w:val="20"/>
                <w:szCs w:val="20"/>
                <w:color w:val="auto"/>
              </w:rPr>
            </w:pPr>
            <w:r>
              <w:rPr>
                <w:rFonts w:ascii="Arial" w:cs="Arial" w:eastAsia="Arial" w:hAnsi="Arial"/>
                <w:sz w:val="14"/>
                <w:szCs w:val="14"/>
                <w:color w:val="auto"/>
              </w:rPr>
              <w:t>23%</w:t>
            </w:r>
          </w:p>
        </w:tc>
        <w:tc>
          <w:tcPr>
            <w:tcW w:w="0" w:type="dxa"/>
            <w:vAlign w:val="bottom"/>
          </w:tcPr>
          <w:p>
            <w:pPr>
              <w:spacing w:after="0"/>
              <w:rPr>
                <w:sz w:val="1"/>
                <w:szCs w:val="1"/>
                <w:color w:val="auto"/>
              </w:rPr>
            </w:pPr>
          </w:p>
        </w:tc>
      </w:tr>
      <w:tr>
        <w:trPr>
          <w:trHeight w:val="20"/>
        </w:trPr>
        <w:tc>
          <w:tcPr>
            <w:tcW w:w="682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45" w:name="page146"/>
    <w:bookmarkEnd w:id="14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Income Taxes — (continued)</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Unrecognized Tax Benefits</w:t>
      </w:r>
    </w:p>
    <w:p>
      <w:pPr>
        <w:spacing w:after="0" w:line="23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 summary of the changes in unrecognized tax benefits follows.</w:t>
      </w:r>
    </w:p>
    <w:p>
      <w:pPr>
        <w:spacing w:after="0" w:line="208"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1040" w:type="dxa"/>
            <w:vAlign w:val="bottom"/>
          </w:tcPr>
          <w:p>
            <w:pPr>
              <w:spacing w:after="0"/>
              <w:rPr>
                <w:sz w:val="14"/>
                <w:szCs w:val="14"/>
                <w:color w:val="auto"/>
              </w:rPr>
            </w:pPr>
          </w:p>
        </w:tc>
        <w:tc>
          <w:tcPr>
            <w:tcW w:w="6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60" w:type="dxa"/>
            <w:vAlign w:val="bottom"/>
            <w:gridSpan w:val="6"/>
          </w:tcPr>
          <w:p>
            <w:pPr>
              <w:jc w:val="center"/>
              <w:ind w:right="260"/>
              <w:spacing w:after="0"/>
              <w:rPr>
                <w:sz w:val="20"/>
                <w:szCs w:val="20"/>
                <w:color w:val="auto"/>
              </w:rPr>
            </w:pPr>
            <w:r>
              <w:rPr>
                <w:rFonts w:ascii="Arial" w:cs="Arial" w:eastAsia="Arial" w:hAnsi="Arial"/>
                <w:sz w:val="14"/>
                <w:szCs w:val="14"/>
                <w:b w:val="1"/>
                <w:bCs w:val="1"/>
                <w:color w:val="auto"/>
                <w:w w:val="89"/>
              </w:rPr>
              <w:t>For the year</w:t>
            </w:r>
          </w:p>
        </w:tc>
      </w:tr>
      <w:tr>
        <w:trPr>
          <w:trHeight w:val="149"/>
        </w:trPr>
        <w:tc>
          <w:tcPr>
            <w:tcW w:w="1040" w:type="dxa"/>
            <w:vAlign w:val="bottom"/>
          </w:tcPr>
          <w:p>
            <w:pPr>
              <w:spacing w:after="0"/>
              <w:rPr>
                <w:sz w:val="12"/>
                <w:szCs w:val="12"/>
                <w:color w:val="auto"/>
              </w:rPr>
            </w:pPr>
          </w:p>
        </w:tc>
        <w:tc>
          <w:tcPr>
            <w:tcW w:w="6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4"/>
          </w:tcPr>
          <w:p>
            <w:pPr>
              <w:jc w:val="center"/>
              <w:ind w:left="232"/>
              <w:spacing w:after="0" w:line="149" w:lineRule="exact"/>
              <w:rPr>
                <w:sz w:val="20"/>
                <w:szCs w:val="20"/>
                <w:color w:val="auto"/>
              </w:rPr>
            </w:pPr>
            <w:r>
              <w:rPr>
                <w:rFonts w:ascii="Arial" w:cs="Arial" w:eastAsia="Arial" w:hAnsi="Arial"/>
                <w:sz w:val="14"/>
                <w:szCs w:val="14"/>
                <w:b w:val="1"/>
                <w:bCs w:val="1"/>
                <w:color w:val="auto"/>
                <w:w w:val="82"/>
              </w:rPr>
              <w:t>ended</w:t>
            </w: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61"/>
        </w:trPr>
        <w:tc>
          <w:tcPr>
            <w:tcW w:w="1040" w:type="dxa"/>
            <w:vAlign w:val="bottom"/>
          </w:tcPr>
          <w:p>
            <w:pPr>
              <w:spacing w:after="0"/>
              <w:rPr>
                <w:sz w:val="14"/>
                <w:szCs w:val="14"/>
                <w:color w:val="auto"/>
              </w:rPr>
            </w:pPr>
          </w:p>
        </w:tc>
        <w:tc>
          <w:tcPr>
            <w:tcW w:w="6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60" w:type="dxa"/>
            <w:vAlign w:val="bottom"/>
            <w:gridSpan w:val="6"/>
          </w:tcPr>
          <w:p>
            <w:pPr>
              <w:jc w:val="center"/>
              <w:ind w:right="280"/>
              <w:spacing w:after="0"/>
              <w:rPr>
                <w:sz w:val="20"/>
                <w:szCs w:val="20"/>
                <w:color w:val="auto"/>
              </w:rPr>
            </w:pPr>
            <w:r>
              <w:rPr>
                <w:rFonts w:ascii="Arial" w:cs="Arial" w:eastAsia="Arial" w:hAnsi="Arial"/>
                <w:sz w:val="14"/>
                <w:szCs w:val="14"/>
                <w:b w:val="1"/>
                <w:bCs w:val="1"/>
                <w:color w:val="auto"/>
                <w:w w:val="85"/>
              </w:rPr>
              <w:t>December 31,</w:t>
            </w:r>
          </w:p>
        </w:tc>
      </w:tr>
      <w:tr>
        <w:trPr>
          <w:trHeight w:val="142"/>
        </w:trPr>
        <w:tc>
          <w:tcPr>
            <w:tcW w:w="1040" w:type="dxa"/>
            <w:vAlign w:val="bottom"/>
          </w:tcPr>
          <w:p>
            <w:pPr>
              <w:spacing w:after="0"/>
              <w:rPr>
                <w:sz w:val="12"/>
                <w:szCs w:val="12"/>
                <w:color w:val="auto"/>
              </w:rPr>
            </w:pPr>
          </w:p>
        </w:tc>
        <w:tc>
          <w:tcPr>
            <w:tcW w:w="6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420" w:type="dxa"/>
            <w:vAlign w:val="bottom"/>
            <w:tcBorders>
              <w:top w:val="single" w:sz="8" w:color="auto"/>
              <w:bottom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9"/>
              </w:rPr>
              <w:t>2013</w:t>
            </w: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20" w:type="dxa"/>
            <w:vAlign w:val="bottom"/>
            <w:tcBorders>
              <w:top w:val="single" w:sz="8" w:color="auto"/>
              <w:bottom w:val="single" w:sz="8" w:color="auto"/>
            </w:tcBorders>
          </w:tcPr>
          <w:p>
            <w:pPr>
              <w:jc w:val="right"/>
              <w:ind w:right="72"/>
              <w:spacing w:after="0" w:line="142" w:lineRule="exact"/>
              <w:rPr>
                <w:sz w:val="20"/>
                <w:szCs w:val="20"/>
                <w:color w:val="auto"/>
              </w:rPr>
            </w:pPr>
            <w:r>
              <w:rPr>
                <w:rFonts w:ascii="Arial" w:cs="Arial" w:eastAsia="Arial" w:hAnsi="Arial"/>
                <w:sz w:val="14"/>
                <w:szCs w:val="14"/>
                <w:b w:val="1"/>
                <w:bCs w:val="1"/>
                <w:color w:val="auto"/>
                <w:w w:val="83"/>
              </w:rPr>
              <w:t>2012</w:t>
            </w:r>
          </w:p>
        </w:tc>
        <w:tc>
          <w:tcPr>
            <w:tcW w:w="160" w:type="dxa"/>
            <w:vAlign w:val="bottom"/>
          </w:tcPr>
          <w:p>
            <w:pPr>
              <w:spacing w:after="0"/>
              <w:rPr>
                <w:sz w:val="12"/>
                <w:szCs w:val="12"/>
                <w:color w:val="auto"/>
              </w:rPr>
            </w:pPr>
          </w:p>
        </w:tc>
      </w:tr>
      <w:tr>
        <w:trPr>
          <w:trHeight w:val="142"/>
        </w:trPr>
        <w:tc>
          <w:tcPr>
            <w:tcW w:w="1040" w:type="dxa"/>
            <w:vAlign w:val="bottom"/>
          </w:tcPr>
          <w:p>
            <w:pPr>
              <w:spacing w:after="0"/>
              <w:rPr>
                <w:sz w:val="12"/>
                <w:szCs w:val="12"/>
                <w:color w:val="auto"/>
              </w:rPr>
            </w:pPr>
          </w:p>
        </w:tc>
        <w:tc>
          <w:tcPr>
            <w:tcW w:w="6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ind w:right="5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680" w:type="dxa"/>
            <w:vAlign w:val="bottom"/>
            <w:gridSpan w:val="4"/>
          </w:tcPr>
          <w:p>
            <w:pPr>
              <w:jc w:val="right"/>
              <w:ind w:right="192"/>
              <w:spacing w:after="0"/>
              <w:rPr>
                <w:sz w:val="20"/>
                <w:szCs w:val="20"/>
                <w:color w:val="auto"/>
              </w:rPr>
            </w:pPr>
            <w:r>
              <w:rPr>
                <w:rFonts w:ascii="Arial" w:cs="Arial" w:eastAsia="Arial" w:hAnsi="Arial"/>
                <w:sz w:val="12"/>
                <w:szCs w:val="12"/>
                <w:b w:val="1"/>
                <w:bCs w:val="1"/>
                <w:i w:val="1"/>
                <w:iCs w:val="1"/>
                <w:color w:val="auto"/>
                <w:w w:val="80"/>
              </w:rPr>
              <w:t>millions)</w:t>
            </w:r>
          </w:p>
        </w:tc>
        <w:tc>
          <w:tcPr>
            <w:tcW w:w="160" w:type="dxa"/>
            <w:vAlign w:val="bottom"/>
          </w:tcPr>
          <w:p>
            <w:pPr>
              <w:spacing w:after="0"/>
              <w:rPr>
                <w:sz w:val="12"/>
                <w:szCs w:val="12"/>
                <w:color w:val="auto"/>
              </w:rPr>
            </w:pPr>
          </w:p>
        </w:tc>
      </w:tr>
      <w:tr>
        <w:trPr>
          <w:trHeight w:val="149"/>
        </w:trPr>
        <w:tc>
          <w:tcPr>
            <w:tcW w:w="72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Balance at beginning of period</w:t>
            </w:r>
          </w:p>
        </w:tc>
        <w:tc>
          <w:tcPr>
            <w:tcW w:w="100" w:type="dxa"/>
            <w:vAlign w:val="bottom"/>
            <w:gridSpan w:val="2"/>
            <w:shd w:val="clear" w:color="auto" w:fill="CCEEFF"/>
          </w:tcPr>
          <w:p>
            <w:pPr>
              <w:jc w:val="right"/>
              <w:ind w:right="17"/>
              <w:spacing w:after="0"/>
              <w:rPr>
                <w:sz w:val="20"/>
                <w:szCs w:val="20"/>
                <w:color w:val="auto"/>
              </w:rPr>
            </w:pPr>
            <w:r>
              <w:rPr>
                <w:rFonts w:ascii="Arial" w:cs="Arial" w:eastAsia="Arial" w:hAnsi="Arial"/>
                <w:sz w:val="10"/>
                <w:szCs w:val="10"/>
                <w:b w:val="1"/>
                <w:bCs w:val="1"/>
                <w:color w:val="auto"/>
                <w:w w:val="71"/>
              </w:rPr>
              <w:t>$</w:t>
            </w: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119.5</w:t>
            </w:r>
          </w:p>
        </w:tc>
        <w:tc>
          <w:tcPr>
            <w:tcW w:w="10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114.3</w:t>
            </w:r>
          </w:p>
        </w:tc>
        <w:tc>
          <w:tcPr>
            <w:tcW w:w="160" w:type="dxa"/>
            <w:vAlign w:val="bottom"/>
            <w:shd w:val="clear" w:color="auto" w:fill="CCEEFF"/>
          </w:tcPr>
          <w:p>
            <w:pPr>
              <w:spacing w:after="0"/>
              <w:rPr>
                <w:sz w:val="12"/>
                <w:szCs w:val="12"/>
                <w:color w:val="auto"/>
              </w:rPr>
            </w:pPr>
          </w:p>
        </w:tc>
      </w:tr>
      <w:tr>
        <w:trPr>
          <w:trHeight w:val="149"/>
        </w:trPr>
        <w:tc>
          <w:tcPr>
            <w:tcW w:w="720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Additions based on tax positions related to the current year</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10.5</w:t>
            </w:r>
          </w:p>
        </w:tc>
        <w:tc>
          <w:tcPr>
            <w:tcW w:w="160" w:type="dxa"/>
            <w:vAlign w:val="bottom"/>
          </w:tcPr>
          <w:p>
            <w:pPr>
              <w:spacing w:after="0"/>
              <w:rPr>
                <w:sz w:val="12"/>
                <w:szCs w:val="12"/>
                <w:color w:val="auto"/>
              </w:rPr>
            </w:pPr>
          </w:p>
        </w:tc>
      </w:tr>
      <w:tr>
        <w:trPr>
          <w:trHeight w:val="149"/>
        </w:trPr>
        <w:tc>
          <w:tcPr>
            <w:tcW w:w="720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Additions for tax positions of prior years</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10.9</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4.4</w:t>
            </w:r>
          </w:p>
        </w:tc>
        <w:tc>
          <w:tcPr>
            <w:tcW w:w="160" w:type="dxa"/>
            <w:vAlign w:val="bottom"/>
            <w:shd w:val="clear" w:color="auto" w:fill="CCEEFF"/>
          </w:tcPr>
          <w:p>
            <w:pPr>
              <w:spacing w:after="0"/>
              <w:rPr>
                <w:sz w:val="12"/>
                <w:szCs w:val="12"/>
                <w:color w:val="auto"/>
              </w:rPr>
            </w:pPr>
          </w:p>
        </w:tc>
      </w:tr>
      <w:tr>
        <w:trPr>
          <w:trHeight w:val="149"/>
        </w:trPr>
        <w:tc>
          <w:tcPr>
            <w:tcW w:w="720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Reductions for tax positions related to the current year</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(3.3)</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(4.2)</w:t>
            </w:r>
          </w:p>
        </w:tc>
      </w:tr>
      <w:tr>
        <w:trPr>
          <w:trHeight w:val="149"/>
        </w:trPr>
        <w:tc>
          <w:tcPr>
            <w:tcW w:w="720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Reductions for tax positions of prior years</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(28.7)</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(5.5)</w:t>
            </w:r>
          </w:p>
        </w:tc>
      </w:tr>
      <w:tr>
        <w:trPr>
          <w:trHeight w:val="142"/>
        </w:trPr>
        <w:tc>
          <w:tcPr>
            <w:tcW w:w="7200" w:type="dxa"/>
            <w:vAlign w:val="bottom"/>
            <w:gridSpan w:val="2"/>
          </w:tcPr>
          <w:p>
            <w:pPr>
              <w:spacing w:after="0" w:line="142" w:lineRule="exact"/>
              <w:rPr>
                <w:sz w:val="20"/>
                <w:szCs w:val="20"/>
                <w:color w:val="auto"/>
              </w:rPr>
            </w:pPr>
            <w:r>
              <w:rPr>
                <w:rFonts w:ascii="Arial" w:cs="Arial" w:eastAsia="Arial" w:hAnsi="Arial"/>
                <w:sz w:val="14"/>
                <w:szCs w:val="14"/>
                <w:color w:val="auto"/>
              </w:rPr>
              <w:t>Balance at end of period (1)</w:t>
            </w:r>
          </w:p>
        </w:tc>
        <w:tc>
          <w:tcPr>
            <w:tcW w:w="20" w:type="dxa"/>
            <w:vAlign w:val="bottom"/>
            <w:tcBorders>
              <w:bottom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jc w:val="right"/>
              <w:ind w:right="17"/>
              <w:spacing w:after="0"/>
              <w:rPr>
                <w:sz w:val="20"/>
                <w:szCs w:val="20"/>
                <w:color w:val="auto"/>
              </w:rPr>
            </w:pPr>
            <w:r>
              <w:rPr>
                <w:rFonts w:ascii="Arial" w:cs="Arial" w:eastAsia="Arial" w:hAnsi="Arial"/>
                <w:sz w:val="5"/>
                <w:szCs w:val="5"/>
                <w:b w:val="1"/>
                <w:bCs w:val="1"/>
                <w:color w:val="auto"/>
                <w:w w:val="70"/>
              </w:rPr>
              <w:t>$</w:t>
            </w:r>
          </w:p>
        </w:tc>
        <w:tc>
          <w:tcPr>
            <w:tcW w:w="4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108.9</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119.5</w:t>
            </w:r>
          </w:p>
        </w:tc>
        <w:tc>
          <w:tcPr>
            <w:tcW w:w="160" w:type="dxa"/>
            <w:vAlign w:val="bottom"/>
          </w:tcPr>
          <w:p>
            <w:pPr>
              <w:spacing w:after="0"/>
              <w:rPr>
                <w:sz w:val="12"/>
                <w:szCs w:val="12"/>
                <w:color w:val="auto"/>
              </w:rPr>
            </w:pPr>
          </w:p>
        </w:tc>
      </w:tr>
      <w:tr>
        <w:trPr>
          <w:trHeight w:val="20"/>
        </w:trPr>
        <w:tc>
          <w:tcPr>
            <w:tcW w:w="1040" w:type="dxa"/>
            <w:vAlign w:val="bottom"/>
          </w:tcPr>
          <w:p>
            <w:pPr>
              <w:spacing w:after="0" w:line="20" w:lineRule="exact"/>
              <w:rPr>
                <w:sz w:val="1"/>
                <w:szCs w:val="1"/>
                <w:color w:val="auto"/>
              </w:rPr>
            </w:pPr>
          </w:p>
        </w:tc>
        <w:tc>
          <w:tcPr>
            <w:tcW w:w="6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89"/>
        </w:trPr>
        <w:tc>
          <w:tcPr>
            <w:tcW w:w="1040" w:type="dxa"/>
            <w:vAlign w:val="bottom"/>
            <w:tcBorders>
              <w:bottom w:val="single" w:sz="8" w:color="auto"/>
            </w:tcBorders>
          </w:tcPr>
          <w:p>
            <w:pPr>
              <w:spacing w:after="0"/>
              <w:rPr>
                <w:sz w:val="7"/>
                <w:szCs w:val="7"/>
                <w:color w:val="auto"/>
              </w:rPr>
            </w:pPr>
          </w:p>
        </w:tc>
        <w:tc>
          <w:tcPr>
            <w:tcW w:w="616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20" w:type="dxa"/>
            <w:vAlign w:val="bottom"/>
          </w:tcPr>
          <w:p>
            <w:pPr>
              <w:spacing w:after="0"/>
              <w:rPr>
                <w:sz w:val="7"/>
                <w:szCs w:val="7"/>
                <w:color w:val="auto"/>
              </w:rPr>
            </w:pPr>
          </w:p>
        </w:tc>
        <w:tc>
          <w:tcPr>
            <w:tcW w:w="160" w:type="dxa"/>
            <w:vAlign w:val="bottom"/>
          </w:tcPr>
          <w:p>
            <w:pPr>
              <w:spacing w:after="0"/>
              <w:rPr>
                <w:sz w:val="7"/>
                <w:szCs w:val="7"/>
                <w:color w:val="auto"/>
              </w:rPr>
            </w:pPr>
          </w:p>
        </w:tc>
      </w:tr>
    </w:tbl>
    <w:p>
      <w:pPr>
        <w:spacing w:after="0" w:line="192" w:lineRule="exact"/>
        <w:rPr>
          <w:sz w:val="20"/>
          <w:szCs w:val="20"/>
          <w:color w:val="auto"/>
        </w:rPr>
      </w:pPr>
    </w:p>
    <w:p>
      <w:pPr>
        <w:ind w:left="1920" w:right="20" w:hanging="543"/>
        <w:spacing w:after="0" w:line="239" w:lineRule="auto"/>
        <w:tabs>
          <w:tab w:leader="none" w:pos="1920" w:val="left"/>
        </w:tabs>
        <w:numPr>
          <w:ilvl w:val="0"/>
          <w:numId w:val="63"/>
        </w:numPr>
        <w:rPr>
          <w:rFonts w:ascii="Arial" w:cs="Arial" w:eastAsia="Arial" w:hAnsi="Arial"/>
          <w:sz w:val="14"/>
          <w:szCs w:val="14"/>
          <w:color w:val="auto"/>
        </w:rPr>
      </w:pPr>
      <w:r>
        <w:rPr>
          <w:rFonts w:ascii="Arial" w:cs="Arial" w:eastAsia="Arial" w:hAnsi="Arial"/>
          <w:sz w:val="14"/>
          <w:szCs w:val="14"/>
          <w:color w:val="auto"/>
        </w:rPr>
        <w:t>Of this amount, $55.4 million, if recognized, would reduce the 2013 effective income tax rate. We recognize interest and penalties related to uncertain tax positions in operating expenses.</w:t>
      </w:r>
    </w:p>
    <w:p>
      <w:pPr>
        <w:spacing w:after="0" w:line="195" w:lineRule="exact"/>
        <w:rPr>
          <w:sz w:val="20"/>
          <w:szCs w:val="20"/>
          <w:color w:val="auto"/>
        </w:rPr>
      </w:pPr>
    </w:p>
    <w:p>
      <w:pPr>
        <w:jc w:val="both"/>
        <w:ind w:firstLine="341"/>
        <w:spacing w:after="0" w:line="268" w:lineRule="auto"/>
        <w:rPr>
          <w:sz w:val="20"/>
          <w:szCs w:val="20"/>
          <w:color w:val="auto"/>
        </w:rPr>
      </w:pPr>
      <w:r>
        <w:rPr>
          <w:rFonts w:ascii="Arial" w:cs="Arial" w:eastAsia="Arial" w:hAnsi="Arial"/>
          <w:sz w:val="18"/>
          <w:szCs w:val="18"/>
          <w:color w:val="auto"/>
        </w:rPr>
        <w:t>As of December 31, 2013 and 2012, we had recognized $37.0 million and $44.1 million of accumulated pre-tax interest and penalties related to unrecognized tax benefits, respectively.</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Deferred Income Taxes</w:t>
      </w:r>
    </w:p>
    <w:p>
      <w:pPr>
        <w:spacing w:after="0" w:line="231" w:lineRule="exact"/>
        <w:rPr>
          <w:sz w:val="20"/>
          <w:szCs w:val="20"/>
          <w:color w:val="auto"/>
        </w:rPr>
      </w:pPr>
    </w:p>
    <w:p>
      <w:pPr>
        <w:jc w:val="both"/>
        <w:ind w:firstLine="496"/>
        <w:spacing w:after="0" w:line="294" w:lineRule="auto"/>
        <w:rPr>
          <w:sz w:val="20"/>
          <w:szCs w:val="20"/>
          <w:color w:val="auto"/>
        </w:rPr>
      </w:pPr>
      <w:r>
        <w:rPr>
          <w:rFonts w:ascii="Arial" w:cs="Arial" w:eastAsia="Arial" w:hAnsi="Arial"/>
          <w:sz w:val="16"/>
          <w:szCs w:val="16"/>
          <w:color w:val="auto"/>
        </w:rPr>
        <w:t>Deferred income taxes reflect the net tax effects of temporary differences between the carrying amounts of assets and liabilities for financial reporting purposes and the amounts used for income tax purposes. We reclassified certain components of deferred income taxes for the year ended December 31, 2012, to conform with December 31, 2013, presentation. The reclassification resulted in an increase in gross deferred income tax assets of $138.9 million and a corresponding increase in gross deferred tax liabilities of $138.9 million. The reclassification had no impact on the amount of valuation allowance established by us and, as a result, the net deferred tax liability remains unchanged. Significant components of our net deferred income taxes were as follows:</w:t>
      </w:r>
    </w:p>
    <w:p>
      <w:pPr>
        <w:spacing w:after="0" w:line="165"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68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40" w:type="dxa"/>
            <w:vAlign w:val="bottom"/>
            <w:gridSpan w:val="6"/>
          </w:tcPr>
          <w:p>
            <w:pPr>
              <w:jc w:val="right"/>
              <w:ind w:right="540"/>
              <w:spacing w:after="0"/>
              <w:rPr>
                <w:sz w:val="20"/>
                <w:szCs w:val="20"/>
                <w:color w:val="auto"/>
              </w:rPr>
            </w:pPr>
            <w:r>
              <w:rPr>
                <w:rFonts w:ascii="Arial" w:cs="Arial" w:eastAsia="Arial" w:hAnsi="Arial"/>
                <w:sz w:val="14"/>
                <w:szCs w:val="14"/>
                <w:b w:val="1"/>
                <w:bCs w:val="1"/>
                <w:color w:val="auto"/>
              </w:rPr>
              <w:t>December 31,</w:t>
            </w:r>
          </w:p>
        </w:tc>
      </w:tr>
      <w:tr>
        <w:trPr>
          <w:trHeight w:val="142"/>
        </w:trPr>
        <w:tc>
          <w:tcPr>
            <w:tcW w:w="68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152"/>
              <w:spacing w:after="0" w:line="142" w:lineRule="exact"/>
              <w:rPr>
                <w:sz w:val="20"/>
                <w:szCs w:val="20"/>
                <w:color w:val="auto"/>
              </w:rPr>
            </w:pPr>
            <w:r>
              <w:rPr>
                <w:rFonts w:ascii="Arial" w:cs="Arial" w:eastAsia="Arial" w:hAnsi="Arial"/>
                <w:sz w:val="14"/>
                <w:szCs w:val="14"/>
                <w:b w:val="1"/>
                <w:bCs w:val="1"/>
                <w:color w:val="auto"/>
                <w:w w:val="96"/>
              </w:rPr>
              <w:t>2013</w:t>
            </w: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52"/>
              <w:spacing w:after="0" w:line="142" w:lineRule="exact"/>
              <w:rPr>
                <w:sz w:val="20"/>
                <w:szCs w:val="20"/>
                <w:color w:val="auto"/>
              </w:rPr>
            </w:pPr>
            <w:r>
              <w:rPr>
                <w:rFonts w:ascii="Arial" w:cs="Arial" w:eastAsia="Arial" w:hAnsi="Arial"/>
                <w:sz w:val="14"/>
                <w:szCs w:val="14"/>
                <w:b w:val="1"/>
                <w:bCs w:val="1"/>
                <w:color w:val="auto"/>
              </w:rPr>
              <w:t>2012</w:t>
            </w:r>
          </w:p>
        </w:tc>
        <w:tc>
          <w:tcPr>
            <w:tcW w:w="160" w:type="dxa"/>
            <w:vAlign w:val="bottom"/>
          </w:tcPr>
          <w:p>
            <w:pPr>
              <w:spacing w:after="0"/>
              <w:rPr>
                <w:sz w:val="12"/>
                <w:szCs w:val="12"/>
                <w:color w:val="auto"/>
              </w:rPr>
            </w:pPr>
          </w:p>
        </w:tc>
      </w:tr>
      <w:tr>
        <w:trPr>
          <w:trHeight w:val="142"/>
        </w:trPr>
        <w:tc>
          <w:tcPr>
            <w:tcW w:w="68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ind w:right="5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840" w:type="dxa"/>
            <w:vAlign w:val="bottom"/>
            <w:gridSpan w:val="4"/>
          </w:tcPr>
          <w:p>
            <w:pPr>
              <w:spacing w:after="0" w:line="142" w:lineRule="exact"/>
              <w:rPr>
                <w:sz w:val="20"/>
                <w:szCs w:val="20"/>
                <w:color w:val="auto"/>
              </w:rPr>
            </w:pPr>
            <w:r>
              <w:rPr>
                <w:rFonts w:ascii="Arial" w:cs="Arial" w:eastAsia="Arial" w:hAnsi="Arial"/>
                <w:sz w:val="14"/>
                <w:szCs w:val="14"/>
                <w:b w:val="1"/>
                <w:bCs w:val="1"/>
                <w:i w:val="1"/>
                <w:iCs w:val="1"/>
                <w:color w:val="auto"/>
              </w:rPr>
              <w:t>millions)</w:t>
            </w:r>
          </w:p>
        </w:tc>
        <w:tc>
          <w:tcPr>
            <w:tcW w:w="160" w:type="dxa"/>
            <w:vAlign w:val="bottom"/>
          </w:tcPr>
          <w:p>
            <w:pPr>
              <w:spacing w:after="0"/>
              <w:rPr>
                <w:sz w:val="12"/>
                <w:szCs w:val="12"/>
                <w:color w:val="auto"/>
              </w:rPr>
            </w:pPr>
          </w:p>
        </w:tc>
      </w:tr>
      <w:tr>
        <w:trPr>
          <w:trHeight w:val="149"/>
        </w:trPr>
        <w:tc>
          <w:tcPr>
            <w:tcW w:w="68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Deferred income tax assets:</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6880" w:type="dxa"/>
            <w:vAlign w:val="bottom"/>
          </w:tcPr>
          <w:p>
            <w:pPr>
              <w:ind w:left="140"/>
              <w:spacing w:after="0" w:line="149" w:lineRule="exact"/>
              <w:rPr>
                <w:sz w:val="20"/>
                <w:szCs w:val="20"/>
                <w:color w:val="auto"/>
              </w:rPr>
            </w:pPr>
            <w:r>
              <w:rPr>
                <w:rFonts w:ascii="Arial" w:cs="Arial" w:eastAsia="Arial" w:hAnsi="Arial"/>
                <w:sz w:val="14"/>
                <w:szCs w:val="14"/>
                <w:color w:val="auto"/>
              </w:rPr>
              <w:t>Insurance liabilities</w:t>
            </w:r>
          </w:p>
        </w:tc>
        <w:tc>
          <w:tcPr>
            <w:tcW w:w="140" w:type="dxa"/>
            <w:vAlign w:val="bottom"/>
            <w:gridSpan w:val="2"/>
          </w:tcPr>
          <w:p>
            <w:pPr>
              <w:jc w:val="right"/>
              <w:ind w:right="57"/>
              <w:spacing w:after="0"/>
              <w:rPr>
                <w:sz w:val="20"/>
                <w:szCs w:val="20"/>
                <w:color w:val="auto"/>
              </w:rPr>
            </w:pPr>
            <w:r>
              <w:rPr>
                <w:rFonts w:ascii="Arial" w:cs="Arial" w:eastAsia="Arial" w:hAnsi="Arial"/>
                <w:sz w:val="10"/>
                <w:szCs w:val="10"/>
                <w:b w:val="1"/>
                <w:bCs w:val="1"/>
                <w:color w:val="auto"/>
                <w:w w:val="71"/>
              </w:rPr>
              <w:t>$</w:t>
            </w: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241.1</w:t>
            </w:r>
          </w:p>
        </w:tc>
        <w:tc>
          <w:tcPr>
            <w:tcW w:w="100" w:type="dxa"/>
            <w:vAlign w:val="bottom"/>
          </w:tcPr>
          <w:p>
            <w:pPr>
              <w:spacing w:after="0"/>
              <w:rPr>
                <w:sz w:val="12"/>
                <w:szCs w:val="12"/>
                <w:color w:val="auto"/>
              </w:rPr>
            </w:pPr>
          </w:p>
        </w:tc>
        <w:tc>
          <w:tcPr>
            <w:tcW w:w="18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544.0</w:t>
            </w:r>
          </w:p>
        </w:tc>
        <w:tc>
          <w:tcPr>
            <w:tcW w:w="160" w:type="dxa"/>
            <w:vAlign w:val="bottom"/>
          </w:tcPr>
          <w:p>
            <w:pPr>
              <w:spacing w:after="0"/>
              <w:rPr>
                <w:sz w:val="12"/>
                <w:szCs w:val="12"/>
                <w:color w:val="auto"/>
              </w:rPr>
            </w:pPr>
          </w:p>
        </w:tc>
      </w:tr>
      <w:tr>
        <w:trPr>
          <w:trHeight w:val="149"/>
        </w:trPr>
        <w:tc>
          <w:tcPr>
            <w:tcW w:w="68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Investments, including derivatives</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464.2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530.5</w:t>
            </w:r>
          </w:p>
        </w:tc>
        <w:tc>
          <w:tcPr>
            <w:tcW w:w="160" w:type="dxa"/>
            <w:vAlign w:val="bottom"/>
            <w:shd w:val="clear" w:color="auto" w:fill="CCEEFF"/>
          </w:tcPr>
          <w:p>
            <w:pPr>
              <w:spacing w:after="0"/>
              <w:rPr>
                <w:sz w:val="12"/>
                <w:szCs w:val="12"/>
                <w:color w:val="auto"/>
              </w:rPr>
            </w:pPr>
          </w:p>
        </w:tc>
      </w:tr>
      <w:tr>
        <w:trPr>
          <w:trHeight w:val="149"/>
        </w:trPr>
        <w:tc>
          <w:tcPr>
            <w:tcW w:w="6880" w:type="dxa"/>
            <w:vAlign w:val="bottom"/>
          </w:tcPr>
          <w:p>
            <w:pPr>
              <w:ind w:left="140"/>
              <w:spacing w:after="0" w:line="149" w:lineRule="exact"/>
              <w:rPr>
                <w:sz w:val="20"/>
                <w:szCs w:val="20"/>
                <w:color w:val="auto"/>
              </w:rPr>
            </w:pPr>
            <w:r>
              <w:rPr>
                <w:rFonts w:ascii="Arial" w:cs="Arial" w:eastAsia="Arial" w:hAnsi="Arial"/>
                <w:sz w:val="14"/>
                <w:szCs w:val="14"/>
                <w:color w:val="auto"/>
              </w:rPr>
              <w:t>Net operating and capital loss carryforwards</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339.8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386.2</w:t>
            </w:r>
          </w:p>
        </w:tc>
        <w:tc>
          <w:tcPr>
            <w:tcW w:w="160" w:type="dxa"/>
            <w:vAlign w:val="bottom"/>
          </w:tcPr>
          <w:p>
            <w:pPr>
              <w:spacing w:after="0"/>
              <w:rPr>
                <w:sz w:val="12"/>
                <w:szCs w:val="12"/>
                <w:color w:val="auto"/>
              </w:rPr>
            </w:pPr>
          </w:p>
        </w:tc>
      </w:tr>
      <w:tr>
        <w:trPr>
          <w:trHeight w:val="149"/>
        </w:trPr>
        <w:tc>
          <w:tcPr>
            <w:tcW w:w="68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Employee benefits</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320.6</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491.9</w:t>
            </w:r>
          </w:p>
        </w:tc>
        <w:tc>
          <w:tcPr>
            <w:tcW w:w="160" w:type="dxa"/>
            <w:vAlign w:val="bottom"/>
            <w:shd w:val="clear" w:color="auto" w:fill="CCEEFF"/>
          </w:tcPr>
          <w:p>
            <w:pPr>
              <w:spacing w:after="0"/>
              <w:rPr>
                <w:sz w:val="12"/>
                <w:szCs w:val="12"/>
                <w:color w:val="auto"/>
              </w:rPr>
            </w:pPr>
          </w:p>
        </w:tc>
      </w:tr>
      <w:tr>
        <w:trPr>
          <w:trHeight w:val="149"/>
        </w:trPr>
        <w:tc>
          <w:tcPr>
            <w:tcW w:w="6880" w:type="dxa"/>
            <w:vAlign w:val="bottom"/>
          </w:tcPr>
          <w:p>
            <w:pPr>
              <w:ind w:left="140"/>
              <w:spacing w:after="0" w:line="149" w:lineRule="exact"/>
              <w:rPr>
                <w:sz w:val="20"/>
                <w:szCs w:val="20"/>
                <w:color w:val="auto"/>
              </w:rPr>
            </w:pPr>
            <w:r>
              <w:rPr>
                <w:rFonts w:ascii="Arial" w:cs="Arial" w:eastAsia="Arial" w:hAnsi="Arial"/>
                <w:sz w:val="14"/>
                <w:szCs w:val="14"/>
                <w:color w:val="auto"/>
              </w:rPr>
              <w:t>Other deferred income tax assets</w:t>
            </w:r>
          </w:p>
        </w:tc>
        <w:tc>
          <w:tcPr>
            <w:tcW w:w="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90.4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55.9</w:t>
            </w:r>
          </w:p>
        </w:tc>
        <w:tc>
          <w:tcPr>
            <w:tcW w:w="160" w:type="dxa"/>
            <w:vAlign w:val="bottom"/>
          </w:tcPr>
          <w:p>
            <w:pPr>
              <w:spacing w:after="0"/>
              <w:rPr>
                <w:sz w:val="12"/>
                <w:szCs w:val="12"/>
                <w:color w:val="auto"/>
              </w:rPr>
            </w:pPr>
          </w:p>
        </w:tc>
      </w:tr>
      <w:tr>
        <w:trPr>
          <w:trHeight w:val="142"/>
        </w:trPr>
        <w:tc>
          <w:tcPr>
            <w:tcW w:w="6880" w:type="dxa"/>
            <w:vAlign w:val="bottom"/>
            <w:shd w:val="clear" w:color="auto" w:fill="CCEEFF"/>
          </w:tcPr>
          <w:p>
            <w:pPr>
              <w:ind w:left="300"/>
              <w:spacing w:after="0" w:line="142" w:lineRule="exact"/>
              <w:rPr>
                <w:sz w:val="20"/>
                <w:szCs w:val="20"/>
                <w:color w:val="auto"/>
              </w:rPr>
            </w:pPr>
            <w:r>
              <w:rPr>
                <w:rFonts w:ascii="Arial" w:cs="Arial" w:eastAsia="Arial" w:hAnsi="Arial"/>
                <w:sz w:val="14"/>
                <w:szCs w:val="14"/>
                <w:color w:val="auto"/>
              </w:rPr>
              <w:t>Gross deferred income tax assets</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1,456.1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2,008.5</w:t>
            </w:r>
          </w:p>
        </w:tc>
        <w:tc>
          <w:tcPr>
            <w:tcW w:w="160" w:type="dxa"/>
            <w:vAlign w:val="bottom"/>
            <w:shd w:val="clear" w:color="auto" w:fill="CCEEFF"/>
          </w:tcPr>
          <w:p>
            <w:pPr>
              <w:spacing w:after="0"/>
              <w:rPr>
                <w:sz w:val="12"/>
                <w:szCs w:val="12"/>
                <w:color w:val="auto"/>
              </w:rPr>
            </w:pPr>
          </w:p>
        </w:tc>
      </w:tr>
      <w:tr>
        <w:trPr>
          <w:trHeight w:val="149"/>
        </w:trPr>
        <w:tc>
          <w:tcPr>
            <w:tcW w:w="6880" w:type="dxa"/>
            <w:vAlign w:val="bottom"/>
          </w:tcPr>
          <w:p>
            <w:pPr>
              <w:ind w:left="300"/>
              <w:spacing w:after="0" w:line="149" w:lineRule="exact"/>
              <w:rPr>
                <w:sz w:val="20"/>
                <w:szCs w:val="20"/>
                <w:color w:val="auto"/>
              </w:rPr>
            </w:pPr>
            <w:r>
              <w:rPr>
                <w:rFonts w:ascii="Arial" w:cs="Arial" w:eastAsia="Arial" w:hAnsi="Arial"/>
                <w:sz w:val="14"/>
                <w:szCs w:val="14"/>
                <w:color w:val="auto"/>
              </w:rPr>
              <w:t>Valuation allowance</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(0.7)</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(2.7)</w:t>
            </w:r>
          </w:p>
        </w:tc>
      </w:tr>
      <w:tr>
        <w:trPr>
          <w:trHeight w:val="142"/>
        </w:trPr>
        <w:tc>
          <w:tcPr>
            <w:tcW w:w="6880" w:type="dxa"/>
            <w:vAlign w:val="bottom"/>
            <w:shd w:val="clear" w:color="auto" w:fill="CCEEFF"/>
          </w:tcPr>
          <w:p>
            <w:pPr>
              <w:ind w:left="300"/>
              <w:spacing w:after="0" w:line="142" w:lineRule="exact"/>
              <w:rPr>
                <w:sz w:val="20"/>
                <w:szCs w:val="20"/>
                <w:color w:val="auto"/>
              </w:rPr>
            </w:pPr>
            <w:r>
              <w:rPr>
                <w:rFonts w:ascii="Arial" w:cs="Arial" w:eastAsia="Arial" w:hAnsi="Arial"/>
                <w:sz w:val="14"/>
                <w:szCs w:val="14"/>
                <w:color w:val="auto"/>
              </w:rPr>
              <w:t>Total deferred income tax assets</w:t>
            </w:r>
          </w:p>
        </w:tc>
        <w:tc>
          <w:tcPr>
            <w:tcW w:w="20" w:type="dxa"/>
            <w:vAlign w:val="bottom"/>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54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1,455.4</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56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2,005.8</w:t>
            </w:r>
          </w:p>
        </w:tc>
        <w:tc>
          <w:tcPr>
            <w:tcW w:w="160" w:type="dxa"/>
            <w:vAlign w:val="bottom"/>
            <w:shd w:val="clear" w:color="auto" w:fill="CCEEFF"/>
          </w:tcPr>
          <w:p>
            <w:pPr>
              <w:spacing w:after="0"/>
              <w:rPr>
                <w:sz w:val="12"/>
                <w:szCs w:val="12"/>
                <w:color w:val="auto"/>
              </w:rPr>
            </w:pPr>
          </w:p>
        </w:tc>
      </w:tr>
      <w:tr>
        <w:trPr>
          <w:trHeight w:val="149"/>
        </w:trPr>
        <w:tc>
          <w:tcPr>
            <w:tcW w:w="6880" w:type="dxa"/>
            <w:vAlign w:val="bottom"/>
          </w:tcPr>
          <w:p>
            <w:pPr>
              <w:spacing w:after="0" w:line="149" w:lineRule="exact"/>
              <w:rPr>
                <w:sz w:val="20"/>
                <w:szCs w:val="20"/>
                <w:color w:val="auto"/>
              </w:rPr>
            </w:pPr>
            <w:r>
              <w:rPr>
                <w:rFonts w:ascii="Arial" w:cs="Arial" w:eastAsia="Arial" w:hAnsi="Arial"/>
                <w:sz w:val="14"/>
                <w:szCs w:val="14"/>
                <w:color w:val="auto"/>
              </w:rPr>
              <w:t>Deferred income tax liabilities:</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68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Deferred acquisition costs</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(807.2)</w:t>
            </w: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(635.3)</w:t>
            </w:r>
          </w:p>
        </w:tc>
      </w:tr>
      <w:tr>
        <w:trPr>
          <w:trHeight w:val="149"/>
        </w:trPr>
        <w:tc>
          <w:tcPr>
            <w:tcW w:w="6880" w:type="dxa"/>
            <w:vAlign w:val="bottom"/>
          </w:tcPr>
          <w:p>
            <w:pPr>
              <w:ind w:left="140"/>
              <w:spacing w:after="0" w:line="149" w:lineRule="exact"/>
              <w:rPr>
                <w:sz w:val="20"/>
                <w:szCs w:val="20"/>
                <w:color w:val="auto"/>
              </w:rPr>
            </w:pPr>
            <w:r>
              <w:rPr>
                <w:rFonts w:ascii="Arial" w:cs="Arial" w:eastAsia="Arial" w:hAnsi="Arial"/>
                <w:sz w:val="14"/>
                <w:szCs w:val="14"/>
                <w:color w:val="auto"/>
              </w:rPr>
              <w:t>Investments, including derivatives</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(418.3)</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(562.7)</w:t>
            </w:r>
          </w:p>
        </w:tc>
      </w:tr>
      <w:tr>
        <w:trPr>
          <w:trHeight w:val="149"/>
        </w:trPr>
        <w:tc>
          <w:tcPr>
            <w:tcW w:w="68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Net unrealized gains on available-for-sale securities</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(584.5)</w:t>
            </w: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(1,114.9)</w:t>
            </w:r>
          </w:p>
        </w:tc>
      </w:tr>
      <w:tr>
        <w:trPr>
          <w:trHeight w:val="149"/>
        </w:trPr>
        <w:tc>
          <w:tcPr>
            <w:tcW w:w="6880" w:type="dxa"/>
            <w:vAlign w:val="bottom"/>
          </w:tcPr>
          <w:p>
            <w:pPr>
              <w:ind w:left="140"/>
              <w:spacing w:after="0" w:line="149" w:lineRule="exact"/>
              <w:rPr>
                <w:sz w:val="20"/>
                <w:szCs w:val="20"/>
                <w:color w:val="auto"/>
              </w:rPr>
            </w:pPr>
            <w:r>
              <w:rPr>
                <w:rFonts w:ascii="Arial" w:cs="Arial" w:eastAsia="Arial" w:hAnsi="Arial"/>
                <w:sz w:val="14"/>
                <w:szCs w:val="14"/>
                <w:color w:val="auto"/>
              </w:rPr>
              <w:t>Real estate</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(117.3)</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(102.0)</w:t>
            </w:r>
          </w:p>
        </w:tc>
      </w:tr>
      <w:tr>
        <w:trPr>
          <w:trHeight w:val="149"/>
        </w:trPr>
        <w:tc>
          <w:tcPr>
            <w:tcW w:w="68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Intangible assets</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(297.7)</w:t>
            </w: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(160.0)</w:t>
            </w:r>
          </w:p>
        </w:tc>
      </w:tr>
      <w:tr>
        <w:trPr>
          <w:trHeight w:val="149"/>
        </w:trPr>
        <w:tc>
          <w:tcPr>
            <w:tcW w:w="6880" w:type="dxa"/>
            <w:vAlign w:val="bottom"/>
          </w:tcPr>
          <w:p>
            <w:pPr>
              <w:ind w:left="140"/>
              <w:spacing w:after="0" w:line="149" w:lineRule="exact"/>
              <w:rPr>
                <w:sz w:val="20"/>
                <w:szCs w:val="20"/>
                <w:color w:val="auto"/>
              </w:rPr>
            </w:pPr>
            <w:r>
              <w:rPr>
                <w:rFonts w:ascii="Arial" w:cs="Arial" w:eastAsia="Arial" w:hAnsi="Arial"/>
                <w:sz w:val="14"/>
                <w:szCs w:val="14"/>
                <w:color w:val="auto"/>
              </w:rPr>
              <w:t>Other deferred income tax liabilities</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(4.8)</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(10.1)</w:t>
            </w:r>
          </w:p>
        </w:tc>
      </w:tr>
      <w:tr>
        <w:trPr>
          <w:trHeight w:val="20"/>
        </w:trPr>
        <w:tc>
          <w:tcPr>
            <w:tcW w:w="68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42"/>
        </w:trPr>
        <w:tc>
          <w:tcPr>
            <w:tcW w:w="6880" w:type="dxa"/>
            <w:vAlign w:val="bottom"/>
            <w:shd w:val="clear" w:color="auto" w:fill="CCEEFF"/>
          </w:tcPr>
          <w:p>
            <w:pPr>
              <w:ind w:left="300"/>
              <w:spacing w:after="0" w:line="142" w:lineRule="exact"/>
              <w:rPr>
                <w:sz w:val="20"/>
                <w:szCs w:val="20"/>
                <w:color w:val="auto"/>
              </w:rPr>
            </w:pPr>
            <w:r>
              <w:rPr>
                <w:rFonts w:ascii="Arial" w:cs="Arial" w:eastAsia="Arial" w:hAnsi="Arial"/>
                <w:sz w:val="14"/>
                <w:szCs w:val="14"/>
                <w:color w:val="auto"/>
              </w:rPr>
              <w:t>Total deferred income tax liabilities</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99"/>
              </w:rPr>
              <w:t>(2,229.8)</w:t>
            </w: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(2,585.0)</w:t>
            </w:r>
          </w:p>
        </w:tc>
      </w:tr>
      <w:tr>
        <w:trPr>
          <w:trHeight w:val="142"/>
        </w:trPr>
        <w:tc>
          <w:tcPr>
            <w:tcW w:w="6880" w:type="dxa"/>
            <w:vAlign w:val="bottom"/>
          </w:tcPr>
          <w:p>
            <w:pPr>
              <w:ind w:left="300"/>
              <w:spacing w:after="0" w:line="142" w:lineRule="exact"/>
              <w:rPr>
                <w:sz w:val="20"/>
                <w:szCs w:val="20"/>
                <w:color w:val="auto"/>
              </w:rPr>
            </w:pPr>
            <w:r>
              <w:rPr>
                <w:rFonts w:ascii="Arial" w:cs="Arial" w:eastAsia="Arial" w:hAnsi="Arial"/>
                <w:sz w:val="14"/>
                <w:szCs w:val="14"/>
                <w:color w:val="auto"/>
              </w:rPr>
              <w:t>Total net deferred income tax liabilities</w:t>
            </w:r>
          </w:p>
        </w:tc>
        <w:tc>
          <w:tcPr>
            <w:tcW w:w="20" w:type="dxa"/>
            <w:vAlign w:val="bottom"/>
            <w:tcBorders>
              <w:bottom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jc w:val="right"/>
              <w:ind w:right="57"/>
              <w:spacing w:after="0"/>
              <w:rPr>
                <w:sz w:val="20"/>
                <w:szCs w:val="20"/>
                <w:color w:val="auto"/>
              </w:rPr>
            </w:pPr>
            <w:r>
              <w:rPr>
                <w:rFonts w:ascii="Arial" w:cs="Arial" w:eastAsia="Arial" w:hAnsi="Arial"/>
                <w:sz w:val="5"/>
                <w:szCs w:val="5"/>
                <w:b w:val="1"/>
                <w:bCs w:val="1"/>
                <w:color w:val="auto"/>
                <w:w w:val="70"/>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(774.4</w:t>
            </w:r>
          </w:p>
        </w:tc>
        <w:tc>
          <w:tcPr>
            <w:tcW w:w="100" w:type="dxa"/>
            <w:vAlign w:val="bottom"/>
          </w:tcPr>
          <w:p>
            <w:pPr>
              <w:spacing w:after="0" w:line="142"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5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(579.2)</w:t>
            </w:r>
          </w:p>
        </w:tc>
        <w:tc>
          <w:tcPr>
            <w:tcW w:w="160" w:type="dxa"/>
            <w:vAlign w:val="bottom"/>
          </w:tcPr>
          <w:p>
            <w:pPr>
              <w:spacing w:after="0"/>
              <w:rPr>
                <w:sz w:val="12"/>
                <w:szCs w:val="12"/>
                <w:color w:val="auto"/>
              </w:rPr>
            </w:pPr>
          </w:p>
        </w:tc>
      </w:tr>
      <w:tr>
        <w:trPr>
          <w:trHeight w:val="20"/>
        </w:trPr>
        <w:tc>
          <w:tcPr>
            <w:tcW w:w="68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6" w:name="page147"/>
    <w:bookmarkEnd w:id="14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Income Taxes — (continued)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Net deferred income taxes by jurisdiction were as follows:</w:t>
      </w:r>
    </w:p>
    <w:p>
      <w:pPr>
        <w:spacing w:after="0" w:line="221"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7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60" w:type="dxa"/>
            <w:vAlign w:val="bottom"/>
            <w:gridSpan w:val="6"/>
          </w:tcPr>
          <w:p>
            <w:pPr>
              <w:jc w:val="right"/>
              <w:ind w:right="381"/>
              <w:spacing w:after="0"/>
              <w:rPr>
                <w:sz w:val="20"/>
                <w:szCs w:val="20"/>
                <w:color w:val="auto"/>
              </w:rPr>
            </w:pPr>
            <w:r>
              <w:rPr>
                <w:rFonts w:ascii="Arial" w:cs="Arial" w:eastAsia="Arial" w:hAnsi="Arial"/>
                <w:sz w:val="14"/>
                <w:szCs w:val="14"/>
                <w:b w:val="1"/>
                <w:bCs w:val="1"/>
                <w:color w:val="auto"/>
              </w:rPr>
              <w:t>December 31,</w:t>
            </w:r>
          </w:p>
        </w:tc>
      </w:tr>
      <w:tr>
        <w:trPr>
          <w:trHeight w:val="142"/>
        </w:trPr>
        <w:tc>
          <w:tcPr>
            <w:tcW w:w="7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ind w:right="72"/>
              <w:spacing w:after="0" w:line="142" w:lineRule="exact"/>
              <w:rPr>
                <w:sz w:val="20"/>
                <w:szCs w:val="20"/>
                <w:color w:val="auto"/>
              </w:rPr>
            </w:pPr>
            <w:r>
              <w:rPr>
                <w:rFonts w:ascii="Arial" w:cs="Arial" w:eastAsia="Arial" w:hAnsi="Arial"/>
                <w:sz w:val="14"/>
                <w:szCs w:val="14"/>
                <w:b w:val="1"/>
                <w:bCs w:val="1"/>
                <w:color w:val="auto"/>
                <w:w w:val="96"/>
              </w:rPr>
              <w:t>2013</w:t>
            </w: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80" w:type="dxa"/>
            <w:vAlign w:val="bottom"/>
            <w:tcBorders>
              <w:top w:val="single" w:sz="8" w:color="auto"/>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96"/>
              </w:rPr>
              <w:t>2012</w:t>
            </w:r>
          </w:p>
        </w:tc>
        <w:tc>
          <w:tcPr>
            <w:tcW w:w="160" w:type="dxa"/>
            <w:vAlign w:val="bottom"/>
          </w:tcPr>
          <w:p>
            <w:pPr>
              <w:spacing w:after="0"/>
              <w:rPr>
                <w:sz w:val="12"/>
                <w:szCs w:val="12"/>
                <w:color w:val="auto"/>
              </w:rPr>
            </w:pPr>
          </w:p>
        </w:tc>
      </w:tr>
      <w:tr>
        <w:trPr>
          <w:trHeight w:val="142"/>
        </w:trPr>
        <w:tc>
          <w:tcPr>
            <w:tcW w:w="7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tcPr>
          <w:p>
            <w:pPr>
              <w:jc w:val="right"/>
              <w:ind w:right="3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740" w:type="dxa"/>
            <w:vAlign w:val="bottom"/>
            <w:gridSpan w:val="4"/>
          </w:tcPr>
          <w:p>
            <w:pPr>
              <w:jc w:val="center"/>
              <w:ind w:right="252"/>
              <w:spacing w:after="0" w:line="142" w:lineRule="exact"/>
              <w:rPr>
                <w:sz w:val="20"/>
                <w:szCs w:val="20"/>
                <w:color w:val="auto"/>
              </w:rPr>
            </w:pPr>
            <w:r>
              <w:rPr>
                <w:rFonts w:ascii="Arial" w:cs="Arial" w:eastAsia="Arial" w:hAnsi="Arial"/>
                <w:sz w:val="14"/>
                <w:szCs w:val="14"/>
                <w:b w:val="1"/>
                <w:bCs w:val="1"/>
                <w:i w:val="1"/>
                <w:iCs w:val="1"/>
                <w:color w:val="auto"/>
                <w:w w:val="72"/>
              </w:rPr>
              <w:t>millions)</w:t>
            </w:r>
          </w:p>
        </w:tc>
        <w:tc>
          <w:tcPr>
            <w:tcW w:w="160" w:type="dxa"/>
            <w:vAlign w:val="bottom"/>
          </w:tcPr>
          <w:p>
            <w:pPr>
              <w:spacing w:after="0"/>
              <w:rPr>
                <w:sz w:val="12"/>
                <w:szCs w:val="12"/>
                <w:color w:val="auto"/>
              </w:rPr>
            </w:pPr>
          </w:p>
        </w:tc>
      </w:tr>
      <w:tr>
        <w:trPr>
          <w:trHeight w:val="149"/>
        </w:trPr>
        <w:tc>
          <w:tcPr>
            <w:tcW w:w="7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Deferred income tax assets:</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7100" w:type="dxa"/>
            <w:vAlign w:val="bottom"/>
          </w:tcPr>
          <w:p>
            <w:pPr>
              <w:ind w:left="140"/>
              <w:spacing w:after="0" w:line="149" w:lineRule="exact"/>
              <w:rPr>
                <w:sz w:val="20"/>
                <w:szCs w:val="20"/>
                <w:color w:val="auto"/>
              </w:rPr>
            </w:pPr>
            <w:r>
              <w:rPr>
                <w:rFonts w:ascii="Arial" w:cs="Arial" w:eastAsia="Arial" w:hAnsi="Arial"/>
                <w:sz w:val="14"/>
                <w:szCs w:val="14"/>
                <w:color w:val="auto"/>
              </w:rPr>
              <w:t>State</w:t>
            </w:r>
          </w:p>
        </w:tc>
        <w:tc>
          <w:tcPr>
            <w:tcW w:w="100" w:type="dxa"/>
            <w:vAlign w:val="bottom"/>
            <w:gridSpan w:val="2"/>
          </w:tcPr>
          <w:p>
            <w:pPr>
              <w:jc w:val="right"/>
              <w:ind w:right="17"/>
              <w:spacing w:after="0"/>
              <w:rPr>
                <w:sz w:val="20"/>
                <w:szCs w:val="20"/>
                <w:color w:val="auto"/>
              </w:rPr>
            </w:pPr>
            <w:r>
              <w:rPr>
                <w:rFonts w:ascii="Arial" w:cs="Arial" w:eastAsia="Arial" w:hAnsi="Arial"/>
                <w:sz w:val="10"/>
                <w:szCs w:val="10"/>
                <w:b w:val="1"/>
                <w:bCs w:val="1"/>
                <w:color w:val="auto"/>
                <w:w w:val="71"/>
              </w:rPr>
              <w:t>$</w:t>
            </w:r>
          </w:p>
        </w:tc>
        <w:tc>
          <w:tcPr>
            <w:tcW w:w="560" w:type="dxa"/>
            <w:vAlign w:val="bottom"/>
            <w:gridSpan w:val="2"/>
          </w:tcPr>
          <w:p>
            <w:pPr>
              <w:jc w:val="right"/>
              <w:ind w:right="47"/>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gridSpan w:val="2"/>
          </w:tcPr>
          <w:p>
            <w:pPr>
              <w:jc w:val="center"/>
              <w:spacing w:after="0" w:line="149" w:lineRule="exact"/>
              <w:rPr>
                <w:sz w:val="20"/>
                <w:szCs w:val="20"/>
                <w:color w:val="auto"/>
              </w:rPr>
            </w:pPr>
            <w:r>
              <w:rPr>
                <w:rFonts w:ascii="Arial" w:cs="Arial" w:eastAsia="Arial" w:hAnsi="Arial"/>
                <w:sz w:val="14"/>
                <w:szCs w:val="14"/>
                <w:color w:val="auto"/>
                <w:w w:val="76"/>
              </w:rPr>
              <w:t>$</w:t>
            </w:r>
          </w:p>
        </w:tc>
        <w:tc>
          <w:tcPr>
            <w:tcW w:w="480" w:type="dxa"/>
            <w:vAlign w:val="bottom"/>
          </w:tcPr>
          <w:p>
            <w:pPr>
              <w:jc w:val="right"/>
              <w:spacing w:after="0" w:line="149" w:lineRule="exact"/>
              <w:rPr>
                <w:sz w:val="20"/>
                <w:szCs w:val="20"/>
                <w:color w:val="auto"/>
              </w:rPr>
            </w:pPr>
            <w:r>
              <w:rPr>
                <w:rFonts w:ascii="Arial" w:cs="Arial" w:eastAsia="Arial" w:hAnsi="Arial"/>
                <w:sz w:val="14"/>
                <w:szCs w:val="14"/>
                <w:color w:val="auto"/>
              </w:rPr>
              <w:t>3.9</w:t>
            </w:r>
          </w:p>
        </w:tc>
        <w:tc>
          <w:tcPr>
            <w:tcW w:w="160" w:type="dxa"/>
            <w:vAlign w:val="bottom"/>
          </w:tcPr>
          <w:p>
            <w:pPr>
              <w:spacing w:after="0"/>
              <w:rPr>
                <w:sz w:val="12"/>
                <w:szCs w:val="12"/>
                <w:color w:val="auto"/>
              </w:rPr>
            </w:pPr>
          </w:p>
        </w:tc>
      </w:tr>
      <w:tr>
        <w:trPr>
          <w:trHeight w:val="149"/>
        </w:trPr>
        <w:tc>
          <w:tcPr>
            <w:tcW w:w="71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Foreign</w:t>
            </w:r>
          </w:p>
        </w:tc>
        <w:tc>
          <w:tcPr>
            <w:tcW w:w="2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4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49.6</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4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16.9</w:t>
            </w:r>
          </w:p>
        </w:tc>
        <w:tc>
          <w:tcPr>
            <w:tcW w:w="160" w:type="dxa"/>
            <w:vAlign w:val="bottom"/>
            <w:shd w:val="clear" w:color="auto" w:fill="CCEEFF"/>
          </w:tcPr>
          <w:p>
            <w:pPr>
              <w:spacing w:after="0"/>
              <w:rPr>
                <w:sz w:val="12"/>
                <w:szCs w:val="12"/>
                <w:color w:val="auto"/>
              </w:rPr>
            </w:pPr>
          </w:p>
        </w:tc>
      </w:tr>
      <w:tr>
        <w:trPr>
          <w:trHeight w:val="142"/>
        </w:trPr>
        <w:tc>
          <w:tcPr>
            <w:tcW w:w="7100" w:type="dxa"/>
            <w:vAlign w:val="bottom"/>
          </w:tcPr>
          <w:p>
            <w:pPr>
              <w:ind w:left="300"/>
              <w:spacing w:after="0" w:line="142" w:lineRule="exact"/>
              <w:rPr>
                <w:sz w:val="20"/>
                <w:szCs w:val="20"/>
                <w:color w:val="auto"/>
              </w:rPr>
            </w:pPr>
            <w:r>
              <w:rPr>
                <w:rFonts w:ascii="Arial" w:cs="Arial" w:eastAsia="Arial" w:hAnsi="Arial"/>
                <w:sz w:val="14"/>
                <w:szCs w:val="14"/>
                <w:color w:val="auto"/>
              </w:rPr>
              <w:t>Net deferred income tax assets</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49.6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spacing w:after="0" w:line="142" w:lineRule="exact"/>
              <w:rPr>
                <w:sz w:val="20"/>
                <w:szCs w:val="20"/>
                <w:color w:val="auto"/>
              </w:rPr>
            </w:pPr>
            <w:r>
              <w:rPr>
                <w:rFonts w:ascii="Arial" w:cs="Arial" w:eastAsia="Arial" w:hAnsi="Arial"/>
                <w:sz w:val="14"/>
                <w:szCs w:val="14"/>
                <w:color w:val="auto"/>
              </w:rPr>
              <w:t>20.8</w:t>
            </w:r>
          </w:p>
        </w:tc>
        <w:tc>
          <w:tcPr>
            <w:tcW w:w="160" w:type="dxa"/>
            <w:vAlign w:val="bottom"/>
          </w:tcPr>
          <w:p>
            <w:pPr>
              <w:spacing w:after="0"/>
              <w:rPr>
                <w:sz w:val="12"/>
                <w:szCs w:val="12"/>
                <w:color w:val="auto"/>
              </w:rPr>
            </w:pPr>
          </w:p>
        </w:tc>
      </w:tr>
      <w:tr>
        <w:trPr>
          <w:trHeight w:val="149"/>
        </w:trPr>
        <w:tc>
          <w:tcPr>
            <w:tcW w:w="7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Deferred income tax liabilities:</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7100" w:type="dxa"/>
            <w:vAlign w:val="bottom"/>
          </w:tcPr>
          <w:p>
            <w:pPr>
              <w:ind w:left="140"/>
              <w:spacing w:after="0" w:line="149" w:lineRule="exact"/>
              <w:rPr>
                <w:sz w:val="20"/>
                <w:szCs w:val="20"/>
                <w:color w:val="auto"/>
              </w:rPr>
            </w:pPr>
            <w:r>
              <w:rPr>
                <w:rFonts w:ascii="Arial" w:cs="Arial" w:eastAsia="Arial" w:hAnsi="Arial"/>
                <w:sz w:val="14"/>
                <w:szCs w:val="14"/>
                <w:color w:val="auto"/>
              </w:rPr>
              <w:t>U.S. Federal</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7"/>
              <w:spacing w:after="0" w:line="149" w:lineRule="exact"/>
              <w:rPr>
                <w:sz w:val="20"/>
                <w:szCs w:val="20"/>
                <w:color w:val="auto"/>
              </w:rPr>
            </w:pPr>
            <w:r>
              <w:rPr>
                <w:rFonts w:ascii="Arial" w:cs="Arial" w:eastAsia="Arial" w:hAnsi="Arial"/>
                <w:sz w:val="14"/>
                <w:szCs w:val="14"/>
                <w:b w:val="1"/>
                <w:bCs w:val="1"/>
                <w:color w:val="auto"/>
              </w:rPr>
              <w:t>(503.4)</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gridSpan w:val="2"/>
          </w:tcPr>
          <w:p>
            <w:pPr>
              <w:jc w:val="right"/>
              <w:ind w:right="81"/>
              <w:spacing w:after="0" w:line="149" w:lineRule="exact"/>
              <w:rPr>
                <w:sz w:val="20"/>
                <w:szCs w:val="20"/>
                <w:color w:val="auto"/>
              </w:rPr>
            </w:pPr>
            <w:r>
              <w:rPr>
                <w:rFonts w:ascii="Arial" w:cs="Arial" w:eastAsia="Arial" w:hAnsi="Arial"/>
                <w:sz w:val="14"/>
                <w:szCs w:val="14"/>
                <w:color w:val="auto"/>
              </w:rPr>
              <w:t>(446.2)</w:t>
            </w:r>
          </w:p>
        </w:tc>
      </w:tr>
      <w:tr>
        <w:trPr>
          <w:trHeight w:val="149"/>
        </w:trPr>
        <w:tc>
          <w:tcPr>
            <w:tcW w:w="71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State</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7"/>
              <w:spacing w:after="0" w:line="149" w:lineRule="exact"/>
              <w:rPr>
                <w:sz w:val="20"/>
                <w:szCs w:val="20"/>
                <w:color w:val="auto"/>
              </w:rPr>
            </w:pPr>
            <w:r>
              <w:rPr>
                <w:rFonts w:ascii="Arial" w:cs="Arial" w:eastAsia="Arial" w:hAnsi="Arial"/>
                <w:sz w:val="14"/>
                <w:szCs w:val="14"/>
                <w:b w:val="1"/>
                <w:bCs w:val="1"/>
                <w:color w:val="auto"/>
              </w:rPr>
              <w:t>(1.5)</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1"/>
              <w:spacing w:after="0" w:line="149" w:lineRule="exact"/>
              <w:rPr>
                <w:sz w:val="20"/>
                <w:szCs w:val="20"/>
                <w:color w:val="auto"/>
              </w:rPr>
            </w:pPr>
            <w:r>
              <w:rPr>
                <w:rFonts w:ascii="Arial" w:cs="Arial" w:eastAsia="Arial" w:hAnsi="Arial"/>
                <w:sz w:val="14"/>
                <w:szCs w:val="14"/>
                <w:color w:val="auto"/>
              </w:rPr>
              <w:t>—</w:t>
            </w:r>
          </w:p>
        </w:tc>
      </w:tr>
      <w:tr>
        <w:trPr>
          <w:trHeight w:val="149"/>
        </w:trPr>
        <w:tc>
          <w:tcPr>
            <w:tcW w:w="7100" w:type="dxa"/>
            <w:vAlign w:val="bottom"/>
          </w:tcPr>
          <w:p>
            <w:pPr>
              <w:ind w:left="140"/>
              <w:spacing w:after="0" w:line="149" w:lineRule="exact"/>
              <w:rPr>
                <w:sz w:val="20"/>
                <w:szCs w:val="20"/>
                <w:color w:val="auto"/>
              </w:rPr>
            </w:pPr>
            <w:r>
              <w:rPr>
                <w:rFonts w:ascii="Arial" w:cs="Arial" w:eastAsia="Arial" w:hAnsi="Arial"/>
                <w:sz w:val="14"/>
                <w:szCs w:val="14"/>
                <w:color w:val="auto"/>
              </w:rPr>
              <w:t>Foreign</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7"/>
              <w:spacing w:after="0" w:line="149" w:lineRule="exact"/>
              <w:rPr>
                <w:sz w:val="20"/>
                <w:szCs w:val="20"/>
                <w:color w:val="auto"/>
              </w:rPr>
            </w:pPr>
            <w:r>
              <w:rPr>
                <w:rFonts w:ascii="Arial" w:cs="Arial" w:eastAsia="Arial" w:hAnsi="Arial"/>
                <w:sz w:val="14"/>
                <w:szCs w:val="14"/>
                <w:b w:val="1"/>
                <w:bCs w:val="1"/>
                <w:color w:val="auto"/>
              </w:rPr>
              <w:t>(319.1)</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gridSpan w:val="2"/>
          </w:tcPr>
          <w:p>
            <w:pPr>
              <w:jc w:val="right"/>
              <w:ind w:right="81"/>
              <w:spacing w:after="0" w:line="149" w:lineRule="exact"/>
              <w:rPr>
                <w:sz w:val="20"/>
                <w:szCs w:val="20"/>
                <w:color w:val="auto"/>
              </w:rPr>
            </w:pPr>
            <w:r>
              <w:rPr>
                <w:rFonts w:ascii="Arial" w:cs="Arial" w:eastAsia="Arial" w:hAnsi="Arial"/>
                <w:sz w:val="14"/>
                <w:szCs w:val="14"/>
                <w:color w:val="auto"/>
              </w:rPr>
              <w:t>(153.8)</w:t>
            </w:r>
          </w:p>
        </w:tc>
      </w:tr>
      <w:tr>
        <w:trPr>
          <w:trHeight w:val="20"/>
        </w:trPr>
        <w:tc>
          <w:tcPr>
            <w:tcW w:w="7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42"/>
        </w:trPr>
        <w:tc>
          <w:tcPr>
            <w:tcW w:w="7100" w:type="dxa"/>
            <w:vAlign w:val="bottom"/>
            <w:shd w:val="clear" w:color="auto" w:fill="CCEEFF"/>
          </w:tcPr>
          <w:p>
            <w:pPr>
              <w:ind w:left="300"/>
              <w:spacing w:after="0" w:line="142" w:lineRule="exact"/>
              <w:rPr>
                <w:sz w:val="20"/>
                <w:szCs w:val="20"/>
                <w:color w:val="auto"/>
              </w:rPr>
            </w:pPr>
            <w:r>
              <w:rPr>
                <w:rFonts w:ascii="Arial" w:cs="Arial" w:eastAsia="Arial" w:hAnsi="Arial"/>
                <w:sz w:val="14"/>
                <w:szCs w:val="14"/>
                <w:color w:val="auto"/>
              </w:rPr>
              <w:t>Net deferred income tax liabilities</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7"/>
              <w:spacing w:after="0" w:line="142" w:lineRule="exact"/>
              <w:rPr>
                <w:sz w:val="20"/>
                <w:szCs w:val="20"/>
                <w:color w:val="auto"/>
              </w:rPr>
            </w:pPr>
            <w:r>
              <w:rPr>
                <w:rFonts w:ascii="Arial" w:cs="Arial" w:eastAsia="Arial" w:hAnsi="Arial"/>
                <w:sz w:val="14"/>
                <w:szCs w:val="14"/>
                <w:b w:val="1"/>
                <w:bCs w:val="1"/>
                <w:color w:val="auto"/>
              </w:rPr>
              <w:t>(824.0)</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81"/>
              <w:spacing w:after="0" w:line="142" w:lineRule="exact"/>
              <w:rPr>
                <w:sz w:val="20"/>
                <w:szCs w:val="20"/>
                <w:color w:val="auto"/>
              </w:rPr>
            </w:pPr>
            <w:r>
              <w:rPr>
                <w:rFonts w:ascii="Arial" w:cs="Arial" w:eastAsia="Arial" w:hAnsi="Arial"/>
                <w:sz w:val="14"/>
                <w:szCs w:val="14"/>
                <w:color w:val="auto"/>
              </w:rPr>
              <w:t>(600.0)</w:t>
            </w:r>
          </w:p>
        </w:tc>
      </w:tr>
      <w:tr>
        <w:trPr>
          <w:trHeight w:val="142"/>
        </w:trPr>
        <w:tc>
          <w:tcPr>
            <w:tcW w:w="7100" w:type="dxa"/>
            <w:vAlign w:val="bottom"/>
          </w:tcPr>
          <w:p>
            <w:pPr>
              <w:spacing w:after="0" w:line="142" w:lineRule="exact"/>
              <w:rPr>
                <w:sz w:val="20"/>
                <w:szCs w:val="20"/>
                <w:color w:val="auto"/>
              </w:rPr>
            </w:pPr>
            <w:r>
              <w:rPr>
                <w:rFonts w:ascii="Arial" w:cs="Arial" w:eastAsia="Arial" w:hAnsi="Arial"/>
                <w:sz w:val="14"/>
                <w:szCs w:val="14"/>
                <w:color w:val="auto"/>
              </w:rPr>
              <w:t>Total net deferred income tax liabilities</w:t>
            </w:r>
          </w:p>
        </w:tc>
        <w:tc>
          <w:tcPr>
            <w:tcW w:w="20" w:type="dxa"/>
            <w:vAlign w:val="bottom"/>
            <w:tcBorders>
              <w:bottom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jc w:val="right"/>
              <w:ind w:right="17"/>
              <w:spacing w:after="0"/>
              <w:rPr>
                <w:sz w:val="20"/>
                <w:szCs w:val="20"/>
                <w:color w:val="auto"/>
              </w:rPr>
            </w:pPr>
            <w:r>
              <w:rPr>
                <w:rFonts w:ascii="Arial" w:cs="Arial" w:eastAsia="Arial" w:hAnsi="Arial"/>
                <w:sz w:val="5"/>
                <w:szCs w:val="5"/>
                <w:b w:val="1"/>
                <w:bCs w:val="1"/>
                <w:color w:val="auto"/>
                <w:w w:val="70"/>
              </w:rPr>
              <w:t>$</w:t>
            </w: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(774.4</w:t>
            </w:r>
          </w:p>
        </w:tc>
        <w:tc>
          <w:tcPr>
            <w:tcW w:w="100" w:type="dxa"/>
            <w:vAlign w:val="bottom"/>
          </w:tcPr>
          <w:p>
            <w:pPr>
              <w:jc w:val="right"/>
              <w:ind w:right="7"/>
              <w:spacing w:after="0"/>
              <w:rPr>
                <w:sz w:val="20"/>
                <w:szCs w:val="20"/>
                <w:color w:val="auto"/>
              </w:rPr>
            </w:pPr>
            <w:r>
              <w:rPr>
                <w:rFonts w:ascii="Arial" w:cs="Arial" w:eastAsia="Arial" w:hAnsi="Arial"/>
                <w:sz w:val="8"/>
                <w:szCs w:val="8"/>
                <w:b w:val="1"/>
                <w:bCs w:val="1"/>
                <w:color w:val="auto"/>
                <w:w w:val="73"/>
              </w:rPr>
              <w:t>)</w:t>
            </w:r>
          </w:p>
        </w:tc>
        <w:tc>
          <w:tcPr>
            <w:tcW w:w="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center"/>
              <w:spacing w:after="0" w:line="142" w:lineRule="exact"/>
              <w:rPr>
                <w:sz w:val="20"/>
                <w:szCs w:val="20"/>
                <w:color w:val="auto"/>
              </w:rPr>
            </w:pPr>
            <w:r>
              <w:rPr>
                <w:rFonts w:ascii="Arial" w:cs="Arial" w:eastAsia="Arial" w:hAnsi="Arial"/>
                <w:sz w:val="14"/>
                <w:szCs w:val="14"/>
                <w:color w:val="auto"/>
                <w:w w:val="76"/>
              </w:rPr>
              <w:t>$</w:t>
            </w:r>
          </w:p>
        </w:tc>
        <w:tc>
          <w:tcPr>
            <w:tcW w:w="4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(579.2</w:t>
            </w:r>
          </w:p>
        </w:tc>
        <w:tc>
          <w:tcPr>
            <w:tcW w:w="160" w:type="dxa"/>
            <w:vAlign w:val="bottom"/>
          </w:tcPr>
          <w:p>
            <w:pPr>
              <w:jc w:val="right"/>
              <w:ind w:right="81"/>
              <w:spacing w:after="0"/>
              <w:rPr>
                <w:sz w:val="20"/>
                <w:szCs w:val="20"/>
                <w:color w:val="auto"/>
              </w:rPr>
            </w:pPr>
            <w:r>
              <w:rPr>
                <w:rFonts w:ascii="Arial" w:cs="Arial" w:eastAsia="Arial" w:hAnsi="Arial"/>
                <w:sz w:val="8"/>
                <w:szCs w:val="8"/>
                <w:color w:val="auto"/>
                <w:w w:val="73"/>
              </w:rPr>
              <w:t>)</w:t>
            </w:r>
          </w:p>
        </w:tc>
      </w:tr>
      <w:tr>
        <w:trPr>
          <w:trHeight w:val="20"/>
        </w:trPr>
        <w:tc>
          <w:tcPr>
            <w:tcW w:w="7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firstLine="517"/>
        <w:spacing w:after="0" w:line="291" w:lineRule="auto"/>
        <w:rPr>
          <w:sz w:val="20"/>
          <w:szCs w:val="20"/>
          <w:color w:val="auto"/>
        </w:rPr>
      </w:pPr>
      <w:r>
        <w:rPr>
          <w:rFonts w:ascii="Arial" w:cs="Arial" w:eastAsia="Arial" w:hAnsi="Arial"/>
          <w:sz w:val="16"/>
          <w:szCs w:val="16"/>
          <w:color w:val="auto"/>
        </w:rPr>
        <w:t>In management's judgment, total deferred income tax assets are more likely than not to be realized. Included in the deferred income tax asset are net operating loss and tax credit carryforwards for tax purposes available to offset future taxable income. We have net operating loss and tax credit carryforwards for U.S. federal income tax purposes of $670.8 million and $988.1 million at December 31, 2013 and 2012, respectively, primarily attributable to our captive reinsurance companies that joined our consolidated U.S. federal income tax return in 2012 and 2013. These U.S. federal net operating loss and tax credit carryforwards will expire between 2021 and 2034. All accumulated U.S. federal net operating loss and tax credit carryforwards are anticipated to be utilized before expiration; therefore, no valuation allowance has been provided for the related deferred income tax assets.</w:t>
      </w:r>
    </w:p>
    <w:p>
      <w:pPr>
        <w:spacing w:after="0" w:line="174" w:lineRule="exact"/>
        <w:rPr>
          <w:sz w:val="20"/>
          <w:szCs w:val="20"/>
          <w:color w:val="auto"/>
        </w:rPr>
      </w:pPr>
    </w:p>
    <w:p>
      <w:pPr>
        <w:jc w:val="both"/>
        <w:ind w:firstLine="434"/>
        <w:spacing w:after="0" w:line="290" w:lineRule="auto"/>
        <w:rPr>
          <w:sz w:val="20"/>
          <w:szCs w:val="20"/>
          <w:color w:val="auto"/>
        </w:rPr>
      </w:pPr>
      <w:r>
        <w:rPr>
          <w:rFonts w:ascii="Arial" w:cs="Arial" w:eastAsia="Arial" w:hAnsi="Arial"/>
          <w:sz w:val="16"/>
          <w:szCs w:val="16"/>
          <w:color w:val="auto"/>
        </w:rPr>
        <w:t>Domestic state net operating loss carryforwards were $397.7 million and $328.6 million as of December 31, 2013 and 2012, respectively, and will expire between 2015 and 2033. Foreign net operating loss carryforwards generated in various foreign countries were $95.7 million and $70.6 million as of December 31, 2013 and 2012, respectively, with some net operating loss carryforwards expiring in 2014 while others never expire. We maintain valuation allowances by jurisdiction against the deferred income tax assets related to certain of these carryforwards, as utilization of these income tax benefits fail the more likely than not criteria in certain jurisdictions. As of December 31, 2013 and 2012, valuation allowances of $0.7 million and $2.3 million, respectively, have been recorded on income tax benefits associated with foreign net operating loss carryforwards. Adjustments to the valuation allowance will be made if there is a change in management's assessment of the amount of the deferred income tax assets that are more likely than not to be realized.</w:t>
      </w:r>
    </w:p>
    <w:p>
      <w:pPr>
        <w:spacing w:after="0" w:line="172" w:lineRule="exact"/>
        <w:rPr>
          <w:sz w:val="20"/>
          <w:szCs w:val="20"/>
          <w:color w:val="auto"/>
        </w:rPr>
      </w:pPr>
    </w:p>
    <w:p>
      <w:pPr>
        <w:jc w:val="both"/>
        <w:ind w:firstLine="400"/>
        <w:spacing w:after="0" w:line="291" w:lineRule="auto"/>
        <w:rPr>
          <w:sz w:val="20"/>
          <w:szCs w:val="20"/>
          <w:color w:val="auto"/>
        </w:rPr>
      </w:pPr>
      <w:r>
        <w:rPr>
          <w:rFonts w:ascii="Arial" w:cs="Arial" w:eastAsia="Arial" w:hAnsi="Arial"/>
          <w:sz w:val="16"/>
          <w:szCs w:val="16"/>
          <w:color w:val="auto"/>
        </w:rPr>
        <w:t>U.S. federal and state deferred income taxes have not been provided on approximately $693.7 million and $551.1 million of accumulated but undistributed earnings from operations of foreign subsidiaries at December 31, 2013 and 2012, respectively. These earnings are considered to be indefinitely reinvested in the business. It is not practicable to determine the amount of the unrecognized deferred tax liability that would arise if these earnings were remitted due to foreign tax credits and exclusions that may become available at the time of remittance. At December 31, 2013, deferred taxes were also not provided on the approximately $106.2 million of excess book carrying value over tax basis with respect to the original investment of our foreign subsidiaries. A tax liability will be recognized when we no longer plan to indefinitely reinvest these earnings or when we plan to sell all or a portion of our ownership interest.</w:t>
      </w:r>
    </w:p>
    <w:p>
      <w:pPr>
        <w:spacing w:after="0" w:line="3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Tax Information</w:t>
      </w:r>
    </w:p>
    <w:p>
      <w:pPr>
        <w:spacing w:after="0" w:line="231" w:lineRule="exact"/>
        <w:rPr>
          <w:sz w:val="20"/>
          <w:szCs w:val="20"/>
          <w:color w:val="auto"/>
        </w:rPr>
      </w:pPr>
    </w:p>
    <w:p>
      <w:pPr>
        <w:jc w:val="both"/>
        <w:ind w:firstLine="380"/>
        <w:spacing w:after="0" w:line="291" w:lineRule="auto"/>
        <w:rPr>
          <w:sz w:val="20"/>
          <w:szCs w:val="20"/>
          <w:color w:val="auto"/>
        </w:rPr>
      </w:pPr>
      <w:r>
        <w:rPr>
          <w:rFonts w:ascii="Arial" w:cs="Arial" w:eastAsia="Arial" w:hAnsi="Arial"/>
          <w:sz w:val="16"/>
          <w:szCs w:val="16"/>
          <w:color w:val="auto"/>
        </w:rPr>
        <w:t>Income tax returns are filed in the U.S. federal jurisdiction, as well as, various states and foreign jurisdictions where we and one or more of our subsidiaries conduct business. Although determined by jurisdiction, with few exceptions our tax uncertainties relate primarily to the U.S. federal jurisdiction. The Internal Revenue Service ("IRS") has completed examination of our consolidated U.S. federal income tax returns for years prior to 2004. We are contesting certain issues and have filed suit in the Court of Federal Claims, requesting refunds for the years 1995-2003. We do not expect litigation to be resolved within the next twelve months. We had $329.9 million and $334.6 million of current income tax receivables associated with outstanding audit issues reported as other assets in our consolidated statements of financial position as of December 31, 2013 and 2012, respectively.</w:t>
      </w:r>
    </w:p>
    <w:p>
      <w:pPr>
        <w:spacing w:after="0" w:line="174" w:lineRule="exact"/>
        <w:rPr>
          <w:sz w:val="20"/>
          <w:szCs w:val="20"/>
          <w:color w:val="auto"/>
        </w:rPr>
      </w:pPr>
    </w:p>
    <w:p>
      <w:pPr>
        <w:jc w:val="both"/>
        <w:ind w:firstLine="354"/>
        <w:spacing w:after="0" w:line="259" w:lineRule="auto"/>
        <w:rPr>
          <w:sz w:val="20"/>
          <w:szCs w:val="20"/>
          <w:color w:val="auto"/>
        </w:rPr>
      </w:pPr>
      <w:r>
        <w:rPr>
          <w:rFonts w:ascii="Arial" w:cs="Arial" w:eastAsia="Arial" w:hAnsi="Arial"/>
          <w:sz w:val="18"/>
          <w:szCs w:val="18"/>
          <w:color w:val="auto"/>
        </w:rPr>
        <w:t>The IRS completed its examinations of tax years 2004 through 2008. We filed claims for refund for tax years 2004 and 2005 during 2012 and will file claims for refund relating to disputed adjustments for tax years 2006 through 2008 in 2014. The IRS commenced audit of our U.S. federal income tax return for 2009 during the fourth quarter of 2011, for</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7" w:name="page148"/>
    <w:bookmarkEnd w:id="14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Income Taxes — (continued)</w:t>
      </w:r>
    </w:p>
    <w:p>
      <w:pPr>
        <w:spacing w:after="0" w:line="23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2010 during the first quarter of 2012 and for 2011 during the first quarter of 2013. We do not expect the results of these audits or developments in other tax areas for all open tax years to significantly change the possible increase in the amount of unrecognized tax benefits, but the outcome of tax reviews is uncertain and unforeseen results can occur.</w:t>
      </w:r>
    </w:p>
    <w:p>
      <w:pPr>
        <w:spacing w:after="0" w:line="194" w:lineRule="exact"/>
        <w:rPr>
          <w:sz w:val="20"/>
          <w:szCs w:val="20"/>
          <w:color w:val="auto"/>
        </w:rPr>
      </w:pPr>
    </w:p>
    <w:p>
      <w:pPr>
        <w:jc w:val="both"/>
        <w:ind w:firstLine="429"/>
        <w:spacing w:after="0" w:line="291" w:lineRule="auto"/>
        <w:rPr>
          <w:sz w:val="20"/>
          <w:szCs w:val="20"/>
          <w:color w:val="auto"/>
        </w:rPr>
      </w:pPr>
      <w:r>
        <w:rPr>
          <w:rFonts w:ascii="Arial" w:cs="Arial" w:eastAsia="Arial" w:hAnsi="Arial"/>
          <w:sz w:val="16"/>
          <w:szCs w:val="16"/>
          <w:color w:val="auto"/>
        </w:rPr>
        <w:t>We do not believe there is a reasonable possibility the total amount of unrecognized tax benefits will significantly increase or decrease in the next twelve months. The range disclosed in our 2012 financial statements was prior to the January 2013 expiration of the right to appeal the U.S. District Court for the Southern District of Iowa decision in the case of Pritired 1, LLC. We believe that we have adequate defenses against, or sufficient provisions for, the contested issues, but final resolution of the contested issues could take several years while legal remedies are pursued. Consequently, we do not expect the ultimate resolution of issues from tax years 1995-2003 to have a material impact on our net income. Similarly, we believe there are adequate defenses against, or sufficient provisions for, any challenges that might arise in tax years subsequent to 2003.</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Employee and Agent Benefits</w:t>
      </w:r>
    </w:p>
    <w:p>
      <w:pPr>
        <w:spacing w:after="0" w:line="231" w:lineRule="exact"/>
        <w:rPr>
          <w:sz w:val="20"/>
          <w:szCs w:val="20"/>
          <w:color w:val="auto"/>
        </w:rPr>
      </w:pPr>
    </w:p>
    <w:p>
      <w:pPr>
        <w:jc w:val="both"/>
        <w:ind w:firstLine="501"/>
        <w:spacing w:after="0" w:line="285" w:lineRule="auto"/>
        <w:rPr>
          <w:sz w:val="20"/>
          <w:szCs w:val="20"/>
          <w:color w:val="auto"/>
        </w:rPr>
      </w:pPr>
      <w:r>
        <w:rPr>
          <w:rFonts w:ascii="Arial" w:cs="Arial" w:eastAsia="Arial" w:hAnsi="Arial"/>
          <w:sz w:val="16"/>
          <w:szCs w:val="16"/>
          <w:color w:val="auto"/>
        </w:rPr>
        <w:t>We have defined benefit pension plans covering substantially all of our U.S. employees and certain agents. Some of these plans provide supplemental pension benefits to employees and agents with salaries and/or pension benefits in excess of the qualified plan limits imposed by federal tax law. The employees and agents are generally first eligible for the pension plans when they reach age 21. For plan participants employed prior to January 1, 2002, the pension benefits are based on the greater of a final average pay benefit or a cash balance benefit. The final average pay benefit is based on the years of service and generally the employee's or agent's average annual compensation during the last five years of employment. Partial benefit accrual of final average pay benefits is recognized from first eligibility until retirement based on attained service divided by potential service to age 65 with a minimum of 35 years of potential service. The cash balance portion of the plan started on January 1, 2002. An employee's account is credited with an amount based on the employee's salary, age and service. These credits accrue with interest. For plan participants hired on and after January 1, 2002, only the cash balance plan applies. Our policy is to fund the cost of providing pension benefits in the years that the employees and agents are providing service to us. Our funding policy for the qualified defined benefit plan is to contribute an amount annually at least equal to the minimum annual contribution required under the Employee Retirement Income Security Act ("ERISA"), and, generally, not greater than the maximum amount that can be deducted for federal income tax purposes. Our funding policy for the nonqualified benefit plan is to fund the plan in the years that the employees are providing service, taking into account the funded status of the trust. While we designate assets to cover the computed liability of the nonqualified plan, the assets are not included as part of the asset balances presented in this footnote as they do not qualify as plan assets in accordance with U.S. GAAP.</w:t>
      </w:r>
    </w:p>
    <w:p>
      <w:pPr>
        <w:spacing w:after="0" w:line="182" w:lineRule="exact"/>
        <w:rPr>
          <w:sz w:val="20"/>
          <w:szCs w:val="20"/>
          <w:color w:val="auto"/>
        </w:rPr>
      </w:pPr>
    </w:p>
    <w:p>
      <w:pPr>
        <w:jc w:val="both"/>
        <w:ind w:firstLine="471"/>
        <w:spacing w:after="0" w:line="290" w:lineRule="auto"/>
        <w:rPr>
          <w:sz w:val="20"/>
          <w:szCs w:val="20"/>
          <w:color w:val="auto"/>
        </w:rPr>
      </w:pPr>
      <w:r>
        <w:rPr>
          <w:rFonts w:ascii="Arial" w:cs="Arial" w:eastAsia="Arial" w:hAnsi="Arial"/>
          <w:sz w:val="16"/>
          <w:szCs w:val="16"/>
          <w:color w:val="auto"/>
        </w:rPr>
        <w:t>We also provide certain health care, life insurance and long-term care benefits for retired employees. Subsidized retiree health benefits are provided for employees hired prior to January 1, 2002. Employees hired after December 31, 2001, have access to retiree health benefits but it is intended that they pay for the full cost of the coverage. The health care plans are contributory with participants' contributions adjusted annually. The contributions are based on the number of years of service and age at retirement for those hired prior to January 1, 2002, who retired prior to January 1, 2011. For employees hired prior to January 1, 2002, who retired on or after January 1, 2011, the contributions are 60% of the expected cost. As part of the substantive plan, the retiree health contributions are assumed to be adjusted in the future as claim levels change. The life insurance plans are contributory for a small group of previously grandfathered participants that have elected supplemental coverage and dependent coverage.</w:t>
      </w:r>
    </w:p>
    <w:p>
      <w:pPr>
        <w:spacing w:after="0" w:line="172" w:lineRule="exact"/>
        <w:rPr>
          <w:sz w:val="20"/>
          <w:szCs w:val="20"/>
          <w:color w:val="auto"/>
        </w:rPr>
      </w:pPr>
    </w:p>
    <w:p>
      <w:pPr>
        <w:jc w:val="both"/>
        <w:ind w:firstLine="387"/>
        <w:spacing w:after="0" w:line="306" w:lineRule="auto"/>
        <w:rPr>
          <w:sz w:val="20"/>
          <w:szCs w:val="20"/>
          <w:color w:val="auto"/>
        </w:rPr>
      </w:pPr>
      <w:r>
        <w:rPr>
          <w:rFonts w:ascii="Arial" w:cs="Arial" w:eastAsia="Arial" w:hAnsi="Arial"/>
          <w:sz w:val="16"/>
          <w:szCs w:val="16"/>
          <w:color w:val="auto"/>
        </w:rPr>
        <w:t>Covered employees are first eligible for the health and life postretirement benefits when they reach age 57 and have completed ten years of service with us. Retiree long-term care benefits are provided for employees whose retirement was effective prior to July 1, 2000. Our policy is to fund the cost of providing retiree benefits in the years that the employees are providing service, taking into account the funded status of the trust.</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8" w:name="page149"/>
    <w:bookmarkEnd w:id="14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ind w:right="7820" w:firstLine="8"/>
        <w:spacing w:after="0" w:line="567" w:lineRule="auto"/>
        <w:tabs>
          <w:tab w:leader="none" w:pos="263" w:val="left"/>
        </w:tabs>
        <w:numPr>
          <w:ilvl w:val="0"/>
          <w:numId w:val="64"/>
        </w:numPr>
        <w:rPr>
          <w:rFonts w:ascii="Arial" w:cs="Arial" w:eastAsia="Arial" w:hAnsi="Arial"/>
          <w:sz w:val="16"/>
          <w:szCs w:val="16"/>
          <w:b w:val="1"/>
          <w:bCs w:val="1"/>
          <w:color w:val="auto"/>
        </w:rPr>
      </w:pPr>
      <w:r>
        <w:rPr>
          <w:rFonts w:ascii="Arial" w:cs="Arial" w:eastAsia="Arial" w:hAnsi="Arial"/>
          <w:sz w:val="16"/>
          <w:szCs w:val="16"/>
          <w:b w:val="1"/>
          <w:bCs w:val="1"/>
          <w:color w:val="auto"/>
        </w:rPr>
        <w:t>Employee and Agent Benefits — (continued) Obligations and Funded Status</w:t>
      </w:r>
    </w:p>
    <w:p>
      <w:pPr>
        <w:spacing w:after="0" w:line="1" w:lineRule="exact"/>
        <w:rPr>
          <w:sz w:val="20"/>
          <w:szCs w:val="20"/>
          <w:color w:val="auto"/>
        </w:rPr>
      </w:pPr>
    </w:p>
    <w:p>
      <w:pPr>
        <w:jc w:val="both"/>
        <w:ind w:firstLine="456"/>
        <w:spacing w:after="0" w:line="268" w:lineRule="auto"/>
        <w:rPr>
          <w:sz w:val="20"/>
          <w:szCs w:val="20"/>
          <w:color w:val="auto"/>
        </w:rPr>
      </w:pPr>
      <w:r>
        <w:rPr>
          <w:rFonts w:ascii="Arial" w:cs="Arial" w:eastAsia="Arial" w:hAnsi="Arial"/>
          <w:sz w:val="18"/>
          <w:szCs w:val="18"/>
          <w:color w:val="auto"/>
        </w:rPr>
        <w:t>The plans' combined funded status, reconciled to amounts recognized in the consolidated statements of financial position and consolidated statements of operations, was as follows:</w:t>
      </w:r>
    </w:p>
    <w:p>
      <w:pPr>
        <w:spacing w:after="0" w:line="169"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9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gridSpan w:val="4"/>
          </w:tcPr>
          <w:p>
            <w:pPr>
              <w:jc w:val="center"/>
              <w:ind w:left="252"/>
              <w:spacing w:after="0"/>
              <w:rPr>
                <w:sz w:val="20"/>
                <w:szCs w:val="20"/>
                <w:color w:val="auto"/>
              </w:rPr>
            </w:pPr>
            <w:r>
              <w:rPr>
                <w:rFonts w:ascii="Arial" w:cs="Arial" w:eastAsia="Arial" w:hAnsi="Arial"/>
                <w:sz w:val="14"/>
                <w:szCs w:val="14"/>
                <w:b w:val="1"/>
                <w:bCs w:val="1"/>
                <w:color w:val="auto"/>
                <w:w w:val="90"/>
              </w:rPr>
              <w:t>Other</w:t>
            </w:r>
          </w:p>
        </w:tc>
        <w:tc>
          <w:tcPr>
            <w:tcW w:w="4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6"/>
          </w:tcPr>
          <w:p>
            <w:pPr>
              <w:jc w:val="center"/>
              <w:ind w:right="221"/>
              <w:spacing w:after="0" w:line="149" w:lineRule="exact"/>
              <w:rPr>
                <w:sz w:val="20"/>
                <w:szCs w:val="20"/>
                <w:color w:val="auto"/>
              </w:rPr>
            </w:pPr>
            <w:r>
              <w:rPr>
                <w:rFonts w:ascii="Arial" w:cs="Arial" w:eastAsia="Arial" w:hAnsi="Arial"/>
                <w:sz w:val="14"/>
                <w:szCs w:val="14"/>
                <w:b w:val="1"/>
                <w:bCs w:val="1"/>
                <w:color w:val="auto"/>
                <w:w w:val="87"/>
              </w:rPr>
              <w:t>postretirement</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59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80" w:type="dxa"/>
            <w:vAlign w:val="bottom"/>
            <w:gridSpan w:val="6"/>
          </w:tcPr>
          <w:p>
            <w:pPr>
              <w:jc w:val="right"/>
              <w:ind w:right="400"/>
              <w:spacing w:after="0"/>
              <w:rPr>
                <w:sz w:val="20"/>
                <w:szCs w:val="20"/>
                <w:color w:val="auto"/>
              </w:rPr>
            </w:pPr>
            <w:r>
              <w:rPr>
                <w:rFonts w:ascii="Arial" w:cs="Arial" w:eastAsia="Arial" w:hAnsi="Arial"/>
                <w:sz w:val="14"/>
                <w:szCs w:val="14"/>
                <w:b w:val="1"/>
                <w:bCs w:val="1"/>
                <w:color w:val="auto"/>
                <w:w w:val="94"/>
              </w:rPr>
              <w:t>Pension benefits</w:t>
            </w: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gridSpan w:val="4"/>
          </w:tcPr>
          <w:p>
            <w:pPr>
              <w:jc w:val="center"/>
              <w:ind w:left="252"/>
              <w:spacing w:after="0"/>
              <w:rPr>
                <w:sz w:val="20"/>
                <w:szCs w:val="20"/>
                <w:color w:val="auto"/>
              </w:rPr>
            </w:pPr>
            <w:r>
              <w:rPr>
                <w:rFonts w:ascii="Arial" w:cs="Arial" w:eastAsia="Arial" w:hAnsi="Arial"/>
                <w:sz w:val="14"/>
                <w:szCs w:val="14"/>
                <w:b w:val="1"/>
                <w:bCs w:val="1"/>
                <w:color w:val="auto"/>
                <w:w w:val="85"/>
              </w:rPr>
              <w:t>benefits</w:t>
            </w:r>
          </w:p>
        </w:tc>
        <w:tc>
          <w:tcPr>
            <w:tcW w:w="4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9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1380" w:type="dxa"/>
            <w:vAlign w:val="bottom"/>
            <w:tcBorders>
              <w:top w:val="single" w:sz="8" w:color="auto"/>
              <w:bottom w:val="single" w:sz="8" w:color="auto"/>
            </w:tcBorders>
            <w:gridSpan w:val="5"/>
          </w:tcPr>
          <w:p>
            <w:pPr>
              <w:jc w:val="right"/>
              <w:ind w:right="292"/>
              <w:spacing w:after="0" w:line="142" w:lineRule="exact"/>
              <w:rPr>
                <w:sz w:val="20"/>
                <w:szCs w:val="20"/>
                <w:color w:val="auto"/>
              </w:rPr>
            </w:pPr>
            <w:r>
              <w:rPr>
                <w:rFonts w:ascii="Arial" w:cs="Arial" w:eastAsia="Arial" w:hAnsi="Arial"/>
                <w:sz w:val="14"/>
                <w:szCs w:val="14"/>
                <w:b w:val="1"/>
                <w:bCs w:val="1"/>
                <w:color w:val="auto"/>
              </w:rPr>
              <w:t>December 31,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1200" w:type="dxa"/>
            <w:vAlign w:val="bottom"/>
            <w:tcBorders>
              <w:top w:val="single" w:sz="8" w:color="auto"/>
              <w:bottom w:val="single" w:sz="8" w:color="auto"/>
            </w:tcBorders>
            <w:gridSpan w:val="5"/>
          </w:tcPr>
          <w:p>
            <w:pPr>
              <w:jc w:val="center"/>
              <w:ind w:right="32"/>
              <w:spacing w:after="0" w:line="142" w:lineRule="exact"/>
              <w:rPr>
                <w:sz w:val="20"/>
                <w:szCs w:val="20"/>
                <w:color w:val="auto"/>
              </w:rPr>
            </w:pPr>
            <w:r>
              <w:rPr>
                <w:rFonts w:ascii="Arial" w:cs="Arial" w:eastAsia="Arial" w:hAnsi="Arial"/>
                <w:sz w:val="14"/>
                <w:szCs w:val="14"/>
                <w:b w:val="1"/>
                <w:bCs w:val="1"/>
                <w:color w:val="auto"/>
                <w:w w:val="85"/>
              </w:rPr>
              <w:t>December 31,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9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32"/>
              <w:spacing w:after="0" w:line="142" w:lineRule="exact"/>
              <w:rPr>
                <w:sz w:val="20"/>
                <w:szCs w:val="20"/>
                <w:color w:val="auto"/>
              </w:rPr>
            </w:pPr>
            <w:r>
              <w:rPr>
                <w:rFonts w:ascii="Arial" w:cs="Arial" w:eastAsia="Arial" w:hAnsi="Arial"/>
                <w:sz w:val="14"/>
                <w:szCs w:val="14"/>
                <w:b w:val="1"/>
                <w:bCs w:val="1"/>
                <w:color w:val="auto"/>
              </w:rPr>
              <w:t>2013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32"/>
              <w:spacing w:after="0" w:line="142" w:lineRule="exact"/>
              <w:rPr>
                <w:sz w:val="20"/>
                <w:szCs w:val="20"/>
                <w:color w:val="auto"/>
              </w:rPr>
            </w:pPr>
            <w:r>
              <w:rPr>
                <w:rFonts w:ascii="Arial" w:cs="Arial" w:eastAsia="Arial" w:hAnsi="Arial"/>
                <w:sz w:val="14"/>
                <w:szCs w:val="14"/>
                <w:b w:val="1"/>
                <w:bCs w:val="1"/>
                <w:color w:val="auto"/>
              </w:rPr>
              <w:t>2012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96"/>
              </w:rPr>
              <w:t>2013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76"/>
              </w:rPr>
              <w:t>2012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9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80" w:type="dxa"/>
            <w:vAlign w:val="bottom"/>
            <w:gridSpan w:val="6"/>
          </w:tcPr>
          <w:p>
            <w:pPr>
              <w:jc w:val="right"/>
              <w:ind w:right="481"/>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Change in benefit obligation</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80" w:type="dxa"/>
            <w:vAlign w:val="bottom"/>
          </w:tcPr>
          <w:p>
            <w:pPr>
              <w:spacing w:after="0" w:line="149" w:lineRule="exact"/>
              <w:rPr>
                <w:sz w:val="20"/>
                <w:szCs w:val="20"/>
                <w:color w:val="auto"/>
              </w:rPr>
            </w:pPr>
            <w:r>
              <w:rPr>
                <w:rFonts w:ascii="Arial" w:cs="Arial" w:eastAsia="Arial" w:hAnsi="Arial"/>
                <w:sz w:val="14"/>
                <w:szCs w:val="14"/>
                <w:color w:val="auto"/>
              </w:rPr>
              <w:t>Benefit obligation at beginning of year</w:t>
            </w:r>
          </w:p>
        </w:tc>
        <w:tc>
          <w:tcPr>
            <w:tcW w:w="140" w:type="dxa"/>
            <w:vAlign w:val="bottom"/>
            <w:gridSpan w:val="2"/>
          </w:tcPr>
          <w:p>
            <w:pPr>
              <w:jc w:val="right"/>
              <w:ind w:right="9"/>
              <w:spacing w:after="0" w:line="149" w:lineRule="exact"/>
              <w:rPr>
                <w:sz w:val="20"/>
                <w:szCs w:val="20"/>
                <w:color w:val="auto"/>
              </w:rPr>
            </w:pPr>
            <w:r>
              <w:rPr>
                <w:rFonts w:ascii="Arial" w:cs="Arial" w:eastAsia="Arial" w:hAnsi="Arial"/>
                <w:sz w:val="14"/>
                <w:szCs w:val="14"/>
                <w:b w:val="1"/>
                <w:bCs w:val="1"/>
                <w:color w:val="auto"/>
                <w:w w:val="76"/>
              </w:rPr>
              <w:t>$</w:t>
            </w:r>
          </w:p>
        </w:tc>
        <w:tc>
          <w:tcPr>
            <w:tcW w:w="640" w:type="dxa"/>
            <w:vAlign w:val="bottom"/>
            <w:gridSpan w:val="2"/>
          </w:tcPr>
          <w:p>
            <w:pPr>
              <w:jc w:val="right"/>
              <w:ind w:right="21"/>
              <w:spacing w:after="0" w:line="149" w:lineRule="exact"/>
              <w:rPr>
                <w:sz w:val="20"/>
                <w:szCs w:val="20"/>
                <w:color w:val="auto"/>
              </w:rPr>
            </w:pPr>
            <w:r>
              <w:rPr>
                <w:rFonts w:ascii="Arial" w:cs="Arial" w:eastAsia="Arial" w:hAnsi="Arial"/>
                <w:sz w:val="14"/>
                <w:szCs w:val="14"/>
                <w:b w:val="1"/>
                <w:bCs w:val="1"/>
                <w:color w:val="auto"/>
                <w:w w:val="99"/>
              </w:rPr>
              <w:t>(2,638.0)</w:t>
            </w:r>
          </w:p>
        </w:tc>
        <w:tc>
          <w:tcPr>
            <w:tcW w:w="20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w w:val="99"/>
              </w:rPr>
              <w:t>(2,158.4)</w:t>
            </w: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80" w:type="dxa"/>
            <w:vAlign w:val="bottom"/>
            <w:gridSpan w:val="2"/>
          </w:tcPr>
          <w:p>
            <w:pPr>
              <w:jc w:val="right"/>
              <w:ind w:right="21"/>
              <w:spacing w:after="0" w:line="149" w:lineRule="exact"/>
              <w:rPr>
                <w:sz w:val="20"/>
                <w:szCs w:val="20"/>
                <w:color w:val="auto"/>
              </w:rPr>
            </w:pPr>
            <w:r>
              <w:rPr>
                <w:rFonts w:ascii="Arial" w:cs="Arial" w:eastAsia="Arial" w:hAnsi="Arial"/>
                <w:sz w:val="14"/>
                <w:szCs w:val="14"/>
                <w:b w:val="1"/>
                <w:bCs w:val="1"/>
                <w:color w:val="auto"/>
              </w:rPr>
              <w:t>(147.8)</w:t>
            </w:r>
          </w:p>
        </w:tc>
        <w:tc>
          <w:tcPr>
            <w:tcW w:w="200" w:type="dxa"/>
            <w:vAlign w:val="bottom"/>
            <w:gridSpan w:val="2"/>
          </w:tcPr>
          <w:p>
            <w:pPr>
              <w:jc w:val="right"/>
              <w:ind w:right="29"/>
              <w:spacing w:after="0" w:line="149" w:lineRule="exact"/>
              <w:rPr>
                <w:sz w:val="20"/>
                <w:szCs w:val="20"/>
                <w:color w:val="auto"/>
              </w:rPr>
            </w:pPr>
            <w:r>
              <w:rPr>
                <w:rFonts w:ascii="Arial" w:cs="Arial" w:eastAsia="Arial" w:hAnsi="Arial"/>
                <w:sz w:val="14"/>
                <w:szCs w:val="14"/>
                <w:color w:val="auto"/>
              </w:rPr>
              <w:t>$</w:t>
            </w:r>
          </w:p>
        </w:tc>
        <w:tc>
          <w:tcPr>
            <w:tcW w:w="580" w:type="dxa"/>
            <w:vAlign w:val="bottom"/>
            <w:gridSpan w:val="2"/>
          </w:tcPr>
          <w:p>
            <w:pPr>
              <w:jc w:val="right"/>
              <w:ind w:right="81"/>
              <w:spacing w:after="0" w:line="149" w:lineRule="exact"/>
              <w:rPr>
                <w:sz w:val="20"/>
                <w:szCs w:val="20"/>
                <w:color w:val="auto"/>
              </w:rPr>
            </w:pPr>
            <w:r>
              <w:rPr>
                <w:rFonts w:ascii="Arial" w:cs="Arial" w:eastAsia="Arial" w:hAnsi="Arial"/>
                <w:sz w:val="14"/>
                <w:szCs w:val="14"/>
                <w:color w:val="auto"/>
                <w:w w:val="99"/>
              </w:rPr>
              <w:t>(165.1)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Service cost</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21"/>
              <w:spacing w:after="0" w:line="149" w:lineRule="exact"/>
              <w:rPr>
                <w:sz w:val="20"/>
                <w:szCs w:val="20"/>
                <w:color w:val="auto"/>
              </w:rPr>
            </w:pPr>
            <w:r>
              <w:rPr>
                <w:rFonts w:ascii="Arial" w:cs="Arial" w:eastAsia="Arial" w:hAnsi="Arial"/>
                <w:sz w:val="14"/>
                <w:szCs w:val="14"/>
                <w:b w:val="1"/>
                <w:bCs w:val="1"/>
                <w:color w:val="auto"/>
              </w:rPr>
              <w:t>(57.1)</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(47.0)</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21"/>
              <w:spacing w:after="0" w:line="149" w:lineRule="exact"/>
              <w:rPr>
                <w:sz w:val="20"/>
                <w:szCs w:val="20"/>
                <w:color w:val="auto"/>
              </w:rPr>
            </w:pPr>
            <w:r>
              <w:rPr>
                <w:rFonts w:ascii="Arial" w:cs="Arial" w:eastAsia="Arial" w:hAnsi="Arial"/>
                <w:sz w:val="14"/>
                <w:szCs w:val="14"/>
                <w:b w:val="1"/>
                <w:bCs w:val="1"/>
                <w:color w:val="auto"/>
              </w:rPr>
              <w:t>(1.0)</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81"/>
              <w:spacing w:after="0" w:line="149" w:lineRule="exact"/>
              <w:rPr>
                <w:sz w:val="20"/>
                <w:szCs w:val="20"/>
                <w:color w:val="auto"/>
              </w:rPr>
            </w:pPr>
            <w:r>
              <w:rPr>
                <w:rFonts w:ascii="Arial" w:cs="Arial" w:eastAsia="Arial" w:hAnsi="Arial"/>
                <w:sz w:val="14"/>
                <w:szCs w:val="14"/>
                <w:color w:val="auto"/>
              </w:rPr>
              <w:t>(1.3)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80" w:type="dxa"/>
            <w:vAlign w:val="bottom"/>
          </w:tcPr>
          <w:p>
            <w:pPr>
              <w:spacing w:after="0" w:line="149" w:lineRule="exact"/>
              <w:rPr>
                <w:sz w:val="20"/>
                <w:szCs w:val="20"/>
                <w:color w:val="auto"/>
              </w:rPr>
            </w:pPr>
            <w:r>
              <w:rPr>
                <w:rFonts w:ascii="Arial" w:cs="Arial" w:eastAsia="Arial" w:hAnsi="Arial"/>
                <w:sz w:val="14"/>
                <w:szCs w:val="14"/>
                <w:color w:val="auto"/>
              </w:rPr>
              <w:t>Interest cost</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ind w:right="21"/>
              <w:spacing w:after="0" w:line="149" w:lineRule="exact"/>
              <w:rPr>
                <w:sz w:val="20"/>
                <w:szCs w:val="20"/>
                <w:color w:val="auto"/>
              </w:rPr>
            </w:pPr>
            <w:r>
              <w:rPr>
                <w:rFonts w:ascii="Arial" w:cs="Arial" w:eastAsia="Arial" w:hAnsi="Arial"/>
                <w:sz w:val="14"/>
                <w:szCs w:val="14"/>
                <w:b w:val="1"/>
                <w:bCs w:val="1"/>
                <w:color w:val="auto"/>
              </w:rPr>
              <w:t>(103.8)</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(109.1)</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right"/>
              <w:ind w:right="21"/>
              <w:spacing w:after="0" w:line="149" w:lineRule="exact"/>
              <w:rPr>
                <w:sz w:val="20"/>
                <w:szCs w:val="20"/>
                <w:color w:val="auto"/>
              </w:rPr>
            </w:pPr>
            <w:r>
              <w:rPr>
                <w:rFonts w:ascii="Arial" w:cs="Arial" w:eastAsia="Arial" w:hAnsi="Arial"/>
                <w:sz w:val="14"/>
                <w:szCs w:val="14"/>
                <w:b w:val="1"/>
                <w:bCs w:val="1"/>
                <w:color w:val="auto"/>
              </w:rPr>
              <w:t>(5.7)</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gridSpan w:val="2"/>
          </w:tcPr>
          <w:p>
            <w:pPr>
              <w:jc w:val="right"/>
              <w:ind w:right="81"/>
              <w:spacing w:after="0" w:line="149" w:lineRule="exact"/>
              <w:rPr>
                <w:sz w:val="20"/>
                <w:szCs w:val="20"/>
                <w:color w:val="auto"/>
              </w:rPr>
            </w:pPr>
            <w:r>
              <w:rPr>
                <w:rFonts w:ascii="Arial" w:cs="Arial" w:eastAsia="Arial" w:hAnsi="Arial"/>
                <w:sz w:val="14"/>
                <w:szCs w:val="14"/>
                <w:color w:val="auto"/>
              </w:rPr>
              <w:t>(8.2)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Actuarial gain (loss)</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279.2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(407.1)</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7.9</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80" w:type="dxa"/>
            <w:vAlign w:val="bottom"/>
          </w:tcPr>
          <w:p>
            <w:pPr>
              <w:spacing w:after="0" w:line="149" w:lineRule="exact"/>
              <w:rPr>
                <w:sz w:val="20"/>
                <w:szCs w:val="20"/>
                <w:color w:val="auto"/>
              </w:rPr>
            </w:pPr>
            <w:r>
              <w:rPr>
                <w:rFonts w:ascii="Arial" w:cs="Arial" w:eastAsia="Arial" w:hAnsi="Arial"/>
                <w:sz w:val="14"/>
                <w:szCs w:val="14"/>
                <w:color w:val="auto"/>
              </w:rPr>
              <w:t>Participant contribution</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ind w:right="61"/>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right"/>
              <w:ind w:right="21"/>
              <w:spacing w:after="0" w:line="149" w:lineRule="exact"/>
              <w:rPr>
                <w:sz w:val="20"/>
                <w:szCs w:val="20"/>
                <w:color w:val="auto"/>
              </w:rPr>
            </w:pPr>
            <w:r>
              <w:rPr>
                <w:rFonts w:ascii="Arial" w:cs="Arial" w:eastAsia="Arial" w:hAnsi="Arial"/>
                <w:sz w:val="14"/>
                <w:szCs w:val="14"/>
                <w:b w:val="1"/>
                <w:bCs w:val="1"/>
                <w:color w:val="auto"/>
              </w:rPr>
              <w:t>(6.8)</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gridSpan w:val="2"/>
          </w:tcPr>
          <w:p>
            <w:pPr>
              <w:jc w:val="right"/>
              <w:ind w:right="81"/>
              <w:spacing w:after="0" w:line="149" w:lineRule="exact"/>
              <w:rPr>
                <w:sz w:val="20"/>
                <w:szCs w:val="20"/>
                <w:color w:val="auto"/>
              </w:rPr>
            </w:pPr>
            <w:r>
              <w:rPr>
                <w:rFonts w:ascii="Arial" w:cs="Arial" w:eastAsia="Arial" w:hAnsi="Arial"/>
                <w:sz w:val="14"/>
                <w:szCs w:val="14"/>
                <w:color w:val="auto"/>
              </w:rPr>
              <w:t>(6.6)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Benefits paid</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79.5</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76.4</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13.6</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80" w:type="dxa"/>
            <w:vAlign w:val="bottom"/>
          </w:tcPr>
          <w:p>
            <w:pPr>
              <w:spacing w:after="0" w:line="149" w:lineRule="exact"/>
              <w:rPr>
                <w:sz w:val="20"/>
                <w:szCs w:val="20"/>
                <w:color w:val="auto"/>
              </w:rPr>
            </w:pPr>
            <w:r>
              <w:rPr>
                <w:rFonts w:ascii="Arial" w:cs="Arial" w:eastAsia="Arial" w:hAnsi="Arial"/>
                <w:sz w:val="14"/>
                <w:szCs w:val="14"/>
                <w:color w:val="auto"/>
              </w:rPr>
              <w:t>Other</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ind w:right="61"/>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7.2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right"/>
              <w:ind w:right="21"/>
              <w:spacing w:after="0" w:line="149" w:lineRule="exact"/>
              <w:rPr>
                <w:sz w:val="20"/>
                <w:szCs w:val="20"/>
                <w:color w:val="auto"/>
              </w:rPr>
            </w:pPr>
            <w:r>
              <w:rPr>
                <w:rFonts w:ascii="Arial" w:cs="Arial" w:eastAsia="Arial" w:hAnsi="Arial"/>
                <w:sz w:val="14"/>
                <w:szCs w:val="14"/>
                <w:b w:val="1"/>
                <w:bCs w:val="1"/>
                <w:color w:val="auto"/>
              </w:rPr>
              <w:t>(0.8)</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gridSpan w:val="2"/>
          </w:tcPr>
          <w:p>
            <w:pPr>
              <w:jc w:val="right"/>
              <w:ind w:right="81"/>
              <w:spacing w:after="0" w:line="149" w:lineRule="exact"/>
              <w:rPr>
                <w:sz w:val="20"/>
                <w:szCs w:val="20"/>
                <w:color w:val="auto"/>
              </w:rPr>
            </w:pPr>
            <w:r>
              <w:rPr>
                <w:rFonts w:ascii="Arial" w:cs="Arial" w:eastAsia="Arial" w:hAnsi="Arial"/>
                <w:sz w:val="14"/>
                <w:szCs w:val="14"/>
                <w:color w:val="auto"/>
              </w:rPr>
              <w:t>(0.8)</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59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59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Benefit obligation at end of year</w:t>
            </w:r>
          </w:p>
        </w:tc>
        <w:tc>
          <w:tcPr>
            <w:tcW w:w="140" w:type="dxa"/>
            <w:vAlign w:val="bottom"/>
            <w:gridSpan w:val="2"/>
            <w:shd w:val="clear" w:color="auto" w:fill="CCEEFF"/>
          </w:tcPr>
          <w:p>
            <w:pPr>
              <w:jc w:val="right"/>
              <w:ind w:right="9"/>
              <w:spacing w:after="0" w:line="142" w:lineRule="exact"/>
              <w:rPr>
                <w:sz w:val="20"/>
                <w:szCs w:val="20"/>
                <w:color w:val="auto"/>
              </w:rPr>
            </w:pPr>
            <w:r>
              <w:rPr>
                <w:rFonts w:ascii="Arial" w:cs="Arial" w:eastAsia="Arial" w:hAnsi="Arial"/>
                <w:sz w:val="14"/>
                <w:szCs w:val="14"/>
                <w:b w:val="1"/>
                <w:bCs w:val="1"/>
                <w:color w:val="auto"/>
                <w:w w:val="76"/>
              </w:rPr>
              <w:t>$</w:t>
            </w:r>
          </w:p>
        </w:tc>
        <w:tc>
          <w:tcPr>
            <w:tcW w:w="640" w:type="dxa"/>
            <w:vAlign w:val="bottom"/>
            <w:gridSpan w:val="2"/>
            <w:shd w:val="clear" w:color="auto" w:fill="CCEEFF"/>
          </w:tcPr>
          <w:p>
            <w:pPr>
              <w:jc w:val="right"/>
              <w:ind w:right="21"/>
              <w:spacing w:after="0" w:line="142" w:lineRule="exact"/>
              <w:rPr>
                <w:sz w:val="20"/>
                <w:szCs w:val="20"/>
                <w:color w:val="auto"/>
              </w:rPr>
            </w:pPr>
            <w:r>
              <w:rPr>
                <w:rFonts w:ascii="Arial" w:cs="Arial" w:eastAsia="Arial" w:hAnsi="Arial"/>
                <w:sz w:val="14"/>
                <w:szCs w:val="14"/>
                <w:b w:val="1"/>
                <w:bCs w:val="1"/>
                <w:color w:val="auto"/>
                <w:w w:val="99"/>
              </w:rPr>
              <w:t>(2,440.2)</w:t>
            </w:r>
          </w:p>
        </w:tc>
        <w:tc>
          <w:tcPr>
            <w:tcW w:w="20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64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w w:val="99"/>
              </w:rPr>
              <w:t>(2,638.0)</w:t>
            </w:r>
          </w:p>
        </w:tc>
        <w:tc>
          <w:tcPr>
            <w:tcW w:w="1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580" w:type="dxa"/>
            <w:vAlign w:val="bottom"/>
            <w:gridSpan w:val="2"/>
            <w:shd w:val="clear" w:color="auto" w:fill="CCEEFF"/>
          </w:tcPr>
          <w:p>
            <w:pPr>
              <w:jc w:val="right"/>
              <w:ind w:right="21"/>
              <w:spacing w:after="0" w:line="142" w:lineRule="exact"/>
              <w:rPr>
                <w:sz w:val="20"/>
                <w:szCs w:val="20"/>
                <w:color w:val="auto"/>
              </w:rPr>
            </w:pPr>
            <w:r>
              <w:rPr>
                <w:rFonts w:ascii="Arial" w:cs="Arial" w:eastAsia="Arial" w:hAnsi="Arial"/>
                <w:sz w:val="14"/>
                <w:szCs w:val="14"/>
                <w:b w:val="1"/>
                <w:bCs w:val="1"/>
                <w:color w:val="auto"/>
              </w:rPr>
              <w:t>(140.6)</w:t>
            </w:r>
          </w:p>
        </w:tc>
        <w:tc>
          <w:tcPr>
            <w:tcW w:w="200" w:type="dxa"/>
            <w:vAlign w:val="bottom"/>
            <w:gridSpan w:val="2"/>
            <w:shd w:val="clear" w:color="auto" w:fill="CCEEFF"/>
          </w:tcPr>
          <w:p>
            <w:pPr>
              <w:jc w:val="right"/>
              <w:ind w:right="29"/>
              <w:spacing w:after="0" w:line="142" w:lineRule="exact"/>
              <w:rPr>
                <w:sz w:val="20"/>
                <w:szCs w:val="20"/>
                <w:color w:val="auto"/>
              </w:rPr>
            </w:pPr>
            <w:r>
              <w:rPr>
                <w:rFonts w:ascii="Arial" w:cs="Arial" w:eastAsia="Arial" w:hAnsi="Arial"/>
                <w:sz w:val="14"/>
                <w:szCs w:val="14"/>
                <w:color w:val="auto"/>
              </w:rPr>
              <w:t>$</w:t>
            </w:r>
          </w:p>
        </w:tc>
        <w:tc>
          <w:tcPr>
            <w:tcW w:w="580" w:type="dxa"/>
            <w:vAlign w:val="bottom"/>
            <w:gridSpan w:val="2"/>
            <w:shd w:val="clear" w:color="auto" w:fill="CCEEFF"/>
          </w:tcPr>
          <w:p>
            <w:pPr>
              <w:jc w:val="right"/>
              <w:ind w:right="81"/>
              <w:spacing w:after="0" w:line="142" w:lineRule="exact"/>
              <w:rPr>
                <w:sz w:val="20"/>
                <w:szCs w:val="20"/>
                <w:color w:val="auto"/>
              </w:rPr>
            </w:pPr>
            <w:r>
              <w:rPr>
                <w:rFonts w:ascii="Arial" w:cs="Arial" w:eastAsia="Arial" w:hAnsi="Arial"/>
                <w:sz w:val="14"/>
                <w:szCs w:val="14"/>
                <w:color w:val="auto"/>
                <w:w w:val="99"/>
              </w:rPr>
              <w:t>(147.8)</w:t>
            </w:r>
          </w:p>
        </w:tc>
        <w:tc>
          <w:tcPr>
            <w:tcW w:w="0" w:type="dxa"/>
            <w:vAlign w:val="bottom"/>
          </w:tcPr>
          <w:p>
            <w:pPr>
              <w:spacing w:after="0"/>
              <w:rPr>
                <w:sz w:val="1"/>
                <w:szCs w:val="1"/>
                <w:color w:val="auto"/>
              </w:rPr>
            </w:pPr>
          </w:p>
        </w:tc>
      </w:tr>
      <w:tr>
        <w:trPr>
          <w:trHeight w:val="20"/>
        </w:trPr>
        <w:tc>
          <w:tcPr>
            <w:tcW w:w="60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Change in plan assets</w:t>
            </w:r>
          </w:p>
        </w:tc>
        <w:tc>
          <w:tcPr>
            <w:tcW w:w="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6000" w:type="dxa"/>
            <w:vAlign w:val="bottom"/>
            <w:gridSpan w:val="2"/>
            <w:vMerge w:val="continue"/>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Fair value of plan assets at beginning of year</w:t>
            </w:r>
          </w:p>
        </w:tc>
        <w:tc>
          <w:tcPr>
            <w:tcW w:w="14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b w:val="1"/>
                <w:bCs w:val="1"/>
                <w:color w:val="auto"/>
                <w:w w:val="76"/>
              </w:rPr>
              <w:t>$</w:t>
            </w: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1,682.1</w:t>
            </w:r>
          </w:p>
        </w:tc>
        <w:tc>
          <w:tcPr>
            <w:tcW w:w="100" w:type="dxa"/>
            <w:vAlign w:val="bottom"/>
            <w:shd w:val="clear" w:color="auto" w:fill="CCEEFF"/>
          </w:tcPr>
          <w:p>
            <w:pPr>
              <w:spacing w:after="0"/>
              <w:rPr>
                <w:sz w:val="12"/>
                <w:szCs w:val="12"/>
                <w:color w:val="auto"/>
              </w:rPr>
            </w:pPr>
          </w:p>
        </w:tc>
        <w:tc>
          <w:tcPr>
            <w:tcW w:w="2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1,429.0</w:t>
            </w:r>
          </w:p>
        </w:tc>
        <w:tc>
          <w:tcPr>
            <w:tcW w:w="10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519.7</w:t>
            </w:r>
          </w:p>
        </w:tc>
        <w:tc>
          <w:tcPr>
            <w:tcW w:w="100" w:type="dxa"/>
            <w:vAlign w:val="bottom"/>
            <w:shd w:val="clear" w:color="auto" w:fill="CCEEFF"/>
          </w:tcPr>
          <w:p>
            <w:pPr>
              <w:spacing w:after="0"/>
              <w:rPr>
                <w:sz w:val="12"/>
                <w:szCs w:val="12"/>
                <w:color w:val="auto"/>
              </w:rPr>
            </w:pPr>
          </w:p>
        </w:tc>
        <w:tc>
          <w:tcPr>
            <w:tcW w:w="200" w:type="dxa"/>
            <w:vAlign w:val="bottom"/>
            <w:gridSpan w:val="2"/>
            <w:shd w:val="clear" w:color="auto" w:fill="CCEEFF"/>
          </w:tcPr>
          <w:p>
            <w:pPr>
              <w:jc w:val="right"/>
              <w:ind w:right="29"/>
              <w:spacing w:after="0" w:line="149" w:lineRule="exact"/>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466.6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80" w:type="dxa"/>
            <w:vAlign w:val="bottom"/>
          </w:tcPr>
          <w:p>
            <w:pPr>
              <w:spacing w:after="0" w:line="149" w:lineRule="exact"/>
              <w:rPr>
                <w:sz w:val="20"/>
                <w:szCs w:val="20"/>
                <w:color w:val="auto"/>
              </w:rPr>
            </w:pPr>
            <w:r>
              <w:rPr>
                <w:rFonts w:ascii="Arial" w:cs="Arial" w:eastAsia="Arial" w:hAnsi="Arial"/>
                <w:sz w:val="14"/>
                <w:szCs w:val="14"/>
                <w:color w:val="auto"/>
              </w:rPr>
              <w:t>Actual return on plan assets</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199.8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222.6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95.9</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58.6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Employer contribution</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123.2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106.9</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80" w:type="dxa"/>
            <w:vAlign w:val="bottom"/>
          </w:tcPr>
          <w:p>
            <w:pPr>
              <w:spacing w:after="0" w:line="149" w:lineRule="exact"/>
              <w:rPr>
                <w:sz w:val="20"/>
                <w:szCs w:val="20"/>
                <w:color w:val="auto"/>
              </w:rPr>
            </w:pPr>
            <w:r>
              <w:rPr>
                <w:rFonts w:ascii="Arial" w:cs="Arial" w:eastAsia="Arial" w:hAnsi="Arial"/>
                <w:sz w:val="14"/>
                <w:szCs w:val="14"/>
                <w:color w:val="auto"/>
              </w:rPr>
              <w:t>Participant contributions</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ind w:right="61"/>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6.6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Benefits paid</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21"/>
              <w:spacing w:after="0" w:line="149" w:lineRule="exact"/>
              <w:rPr>
                <w:sz w:val="20"/>
                <w:szCs w:val="20"/>
                <w:color w:val="auto"/>
              </w:rPr>
            </w:pPr>
            <w:r>
              <w:rPr>
                <w:rFonts w:ascii="Arial" w:cs="Arial" w:eastAsia="Arial" w:hAnsi="Arial"/>
                <w:sz w:val="14"/>
                <w:szCs w:val="14"/>
                <w:b w:val="1"/>
                <w:bCs w:val="1"/>
                <w:color w:val="auto"/>
              </w:rPr>
              <w:t>(79.5)</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(76.4)</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21"/>
              <w:spacing w:after="0" w:line="149" w:lineRule="exact"/>
              <w:rPr>
                <w:sz w:val="20"/>
                <w:szCs w:val="20"/>
                <w:color w:val="auto"/>
              </w:rPr>
            </w:pPr>
            <w:r>
              <w:rPr>
                <w:rFonts w:ascii="Arial" w:cs="Arial" w:eastAsia="Arial" w:hAnsi="Arial"/>
                <w:sz w:val="14"/>
                <w:szCs w:val="14"/>
                <w:b w:val="1"/>
                <w:bCs w:val="1"/>
                <w:color w:val="auto"/>
              </w:rPr>
              <w:t>(13.6)</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81"/>
              <w:spacing w:after="0" w:line="149" w:lineRule="exact"/>
              <w:rPr>
                <w:sz w:val="20"/>
                <w:szCs w:val="20"/>
                <w:color w:val="auto"/>
              </w:rPr>
            </w:pPr>
            <w:r>
              <w:rPr>
                <w:rFonts w:ascii="Arial" w:cs="Arial" w:eastAsia="Arial" w:hAnsi="Arial"/>
                <w:sz w:val="14"/>
                <w:szCs w:val="14"/>
                <w:color w:val="auto"/>
              </w:rPr>
              <w:t>(13.0)</w:t>
            </w:r>
          </w:p>
        </w:tc>
        <w:tc>
          <w:tcPr>
            <w:tcW w:w="0" w:type="dxa"/>
            <w:vAlign w:val="bottom"/>
          </w:tcPr>
          <w:p>
            <w:pPr>
              <w:spacing w:after="0"/>
              <w:rPr>
                <w:sz w:val="1"/>
                <w:szCs w:val="1"/>
                <w:color w:val="auto"/>
              </w:rPr>
            </w:pPr>
          </w:p>
        </w:tc>
      </w:tr>
      <w:tr>
        <w:trPr>
          <w:trHeight w:val="142"/>
        </w:trPr>
        <w:tc>
          <w:tcPr>
            <w:tcW w:w="6000" w:type="dxa"/>
            <w:vAlign w:val="bottom"/>
            <w:gridSpan w:val="2"/>
          </w:tcPr>
          <w:p>
            <w:pPr>
              <w:spacing w:after="0" w:line="142" w:lineRule="exact"/>
              <w:rPr>
                <w:sz w:val="20"/>
                <w:szCs w:val="20"/>
                <w:color w:val="auto"/>
              </w:rPr>
            </w:pPr>
            <w:r>
              <w:rPr>
                <w:rFonts w:ascii="Arial" w:cs="Arial" w:eastAsia="Arial" w:hAnsi="Arial"/>
                <w:sz w:val="14"/>
                <w:szCs w:val="14"/>
                <w:color w:val="auto"/>
              </w:rPr>
              <w:t>Fair value of plan assets at end of year</w:t>
            </w:r>
          </w:p>
        </w:tc>
        <w:tc>
          <w:tcPr>
            <w:tcW w:w="2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1,925.6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1,682.1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4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613.0</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0"/>
                <w:szCs w:val="10"/>
                <w:color w:val="auto"/>
                <w:w w:val="71"/>
              </w:rPr>
              <w:t>$</w:t>
            </w:r>
          </w:p>
        </w:tc>
        <w:tc>
          <w:tcPr>
            <w:tcW w:w="4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519.7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5980" w:type="dxa"/>
            <w:vAlign w:val="bottom"/>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Amount recognized in statement of financial position</w:t>
            </w: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80" w:type="dxa"/>
            <w:vAlign w:val="bottom"/>
          </w:tcPr>
          <w:p>
            <w:pPr>
              <w:spacing w:after="0" w:line="149" w:lineRule="exact"/>
              <w:rPr>
                <w:sz w:val="20"/>
                <w:szCs w:val="20"/>
                <w:color w:val="auto"/>
              </w:rPr>
            </w:pPr>
            <w:r>
              <w:rPr>
                <w:rFonts w:ascii="Arial" w:cs="Arial" w:eastAsia="Arial" w:hAnsi="Arial"/>
                <w:sz w:val="14"/>
                <w:szCs w:val="14"/>
                <w:color w:val="auto"/>
              </w:rPr>
              <w:t>Other assets</w:t>
            </w:r>
          </w:p>
        </w:tc>
        <w:tc>
          <w:tcPr>
            <w:tcW w:w="140" w:type="dxa"/>
            <w:vAlign w:val="bottom"/>
            <w:gridSpan w:val="2"/>
          </w:tcPr>
          <w:p>
            <w:pPr>
              <w:jc w:val="right"/>
              <w:ind w:right="9"/>
              <w:spacing w:after="0" w:line="149" w:lineRule="exact"/>
              <w:rPr>
                <w:sz w:val="20"/>
                <w:szCs w:val="20"/>
                <w:color w:val="auto"/>
              </w:rPr>
            </w:pPr>
            <w:r>
              <w:rPr>
                <w:rFonts w:ascii="Arial" w:cs="Arial" w:eastAsia="Arial" w:hAnsi="Arial"/>
                <w:sz w:val="14"/>
                <w:szCs w:val="14"/>
                <w:b w:val="1"/>
                <w:bCs w:val="1"/>
                <w:color w:val="auto"/>
                <w:w w:val="76"/>
              </w:rPr>
              <w:t>$</w:t>
            </w:r>
          </w:p>
        </w:tc>
        <w:tc>
          <w:tcPr>
            <w:tcW w:w="640" w:type="dxa"/>
            <w:vAlign w:val="bottom"/>
            <w:gridSpan w:val="2"/>
          </w:tcPr>
          <w:p>
            <w:pPr>
              <w:jc w:val="right"/>
              <w:ind w:right="61"/>
              <w:spacing w:after="0" w:line="149" w:lineRule="exact"/>
              <w:rPr>
                <w:sz w:val="20"/>
                <w:szCs w:val="20"/>
                <w:color w:val="auto"/>
              </w:rPr>
            </w:pPr>
            <w:r>
              <w:rPr>
                <w:rFonts w:ascii="Arial" w:cs="Arial" w:eastAsia="Arial" w:hAnsi="Arial"/>
                <w:sz w:val="14"/>
                <w:szCs w:val="14"/>
                <w:b w:val="1"/>
                <w:bCs w:val="1"/>
                <w:color w:val="auto"/>
              </w:rPr>
              <w:t>—</w:t>
            </w:r>
          </w:p>
        </w:tc>
        <w:tc>
          <w:tcPr>
            <w:tcW w:w="20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4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473.0</w:t>
            </w:r>
          </w:p>
        </w:tc>
        <w:tc>
          <w:tcPr>
            <w:tcW w:w="100" w:type="dxa"/>
            <w:vAlign w:val="bottom"/>
          </w:tcPr>
          <w:p>
            <w:pPr>
              <w:spacing w:after="0"/>
              <w:rPr>
                <w:sz w:val="12"/>
                <w:szCs w:val="12"/>
                <w:color w:val="auto"/>
              </w:rPr>
            </w:pPr>
          </w:p>
        </w:tc>
        <w:tc>
          <w:tcPr>
            <w:tcW w:w="200" w:type="dxa"/>
            <w:vAlign w:val="bottom"/>
            <w:gridSpan w:val="2"/>
          </w:tcPr>
          <w:p>
            <w:pPr>
              <w:jc w:val="right"/>
              <w:ind w:right="29"/>
              <w:spacing w:after="0" w:line="149" w:lineRule="exact"/>
              <w:rPr>
                <w:sz w:val="20"/>
                <w:szCs w:val="20"/>
                <w:color w:val="auto"/>
              </w:rPr>
            </w:pPr>
            <w:r>
              <w:rPr>
                <w:rFonts w:ascii="Arial" w:cs="Arial" w:eastAsia="Arial" w:hAnsi="Arial"/>
                <w:sz w:val="14"/>
                <w:szCs w:val="14"/>
                <w:color w:val="auto"/>
              </w:rPr>
              <w:t>$</w:t>
            </w: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372.5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liabilities</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21"/>
              <w:spacing w:after="0" w:line="149" w:lineRule="exact"/>
              <w:rPr>
                <w:sz w:val="20"/>
                <w:szCs w:val="20"/>
                <w:color w:val="auto"/>
              </w:rPr>
            </w:pPr>
            <w:r>
              <w:rPr>
                <w:rFonts w:ascii="Arial" w:cs="Arial" w:eastAsia="Arial" w:hAnsi="Arial"/>
                <w:sz w:val="14"/>
                <w:szCs w:val="14"/>
                <w:b w:val="1"/>
                <w:bCs w:val="1"/>
                <w:color w:val="auto"/>
              </w:rPr>
              <w:t>(514.6)</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(955.9)</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21"/>
              <w:spacing w:after="0" w:line="149" w:lineRule="exact"/>
              <w:rPr>
                <w:sz w:val="20"/>
                <w:szCs w:val="20"/>
                <w:color w:val="auto"/>
              </w:rPr>
            </w:pPr>
            <w:r>
              <w:rPr>
                <w:rFonts w:ascii="Arial" w:cs="Arial" w:eastAsia="Arial" w:hAnsi="Arial"/>
                <w:sz w:val="14"/>
                <w:szCs w:val="14"/>
                <w:b w:val="1"/>
                <w:bCs w:val="1"/>
                <w:color w:val="auto"/>
              </w:rPr>
              <w:t>(0.6)</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81"/>
              <w:spacing w:after="0" w:line="149" w:lineRule="exact"/>
              <w:rPr>
                <w:sz w:val="20"/>
                <w:szCs w:val="20"/>
                <w:color w:val="auto"/>
              </w:rPr>
            </w:pPr>
            <w:r>
              <w:rPr>
                <w:rFonts w:ascii="Arial" w:cs="Arial" w:eastAsia="Arial" w:hAnsi="Arial"/>
                <w:sz w:val="14"/>
                <w:szCs w:val="14"/>
                <w:color w:val="auto"/>
              </w:rPr>
              <w:t>(0.6)</w:t>
            </w:r>
          </w:p>
        </w:tc>
        <w:tc>
          <w:tcPr>
            <w:tcW w:w="0" w:type="dxa"/>
            <w:vAlign w:val="bottom"/>
          </w:tcPr>
          <w:p>
            <w:pPr>
              <w:spacing w:after="0"/>
              <w:rPr>
                <w:sz w:val="1"/>
                <w:szCs w:val="1"/>
                <w:color w:val="auto"/>
              </w:rPr>
            </w:pPr>
          </w:p>
        </w:tc>
      </w:tr>
      <w:tr>
        <w:trPr>
          <w:trHeight w:val="142"/>
        </w:trPr>
        <w:tc>
          <w:tcPr>
            <w:tcW w:w="6000" w:type="dxa"/>
            <w:vAlign w:val="bottom"/>
            <w:gridSpan w:val="2"/>
          </w:tcPr>
          <w:p>
            <w:pPr>
              <w:spacing w:after="0" w:line="142" w:lineRule="exact"/>
              <w:rPr>
                <w:sz w:val="20"/>
                <w:szCs w:val="20"/>
                <w:color w:val="auto"/>
              </w:rPr>
            </w:pPr>
            <w:r>
              <w:rPr>
                <w:rFonts w:ascii="Arial" w:cs="Arial" w:eastAsia="Arial" w:hAnsi="Arial"/>
                <w:sz w:val="14"/>
                <w:szCs w:val="14"/>
                <w:color w:val="auto"/>
              </w:rPr>
              <w:t>Total</w:t>
            </w:r>
          </w:p>
        </w:tc>
        <w:tc>
          <w:tcPr>
            <w:tcW w:w="2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(514.6</w:t>
            </w:r>
          </w:p>
        </w:tc>
        <w:tc>
          <w:tcPr>
            <w:tcW w:w="100" w:type="dxa"/>
            <w:vAlign w:val="bottom"/>
          </w:tcPr>
          <w:p>
            <w:pPr>
              <w:jc w:val="right"/>
              <w:ind w:right="21"/>
              <w:spacing w:after="0"/>
              <w:rPr>
                <w:sz w:val="20"/>
                <w:szCs w:val="20"/>
                <w:color w:val="auto"/>
              </w:rPr>
            </w:pPr>
            <w:r>
              <w:rPr>
                <w:rFonts w:ascii="Arial" w:cs="Arial" w:eastAsia="Arial" w:hAnsi="Arial"/>
                <w:sz w:val="8"/>
                <w:szCs w:val="8"/>
                <w:b w:val="1"/>
                <w:bCs w:val="1"/>
                <w:color w:val="auto"/>
                <w:w w:val="73"/>
              </w:rPr>
              <w:t>)</w:t>
            </w:r>
          </w:p>
        </w:tc>
        <w:tc>
          <w:tcPr>
            <w:tcW w:w="6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(955.9)</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4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472.4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0"/>
                <w:szCs w:val="10"/>
                <w:color w:val="auto"/>
                <w:w w:val="71"/>
              </w:rPr>
              <w:t>$</w:t>
            </w:r>
          </w:p>
        </w:tc>
        <w:tc>
          <w:tcPr>
            <w:tcW w:w="4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371.9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5980" w:type="dxa"/>
            <w:vAlign w:val="bottom"/>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Amount recognized in accumulated other comprehensive (income) loss</w:t>
            </w: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80" w:type="dxa"/>
            <w:vAlign w:val="bottom"/>
          </w:tcPr>
          <w:p>
            <w:pPr>
              <w:spacing w:after="0" w:line="149" w:lineRule="exact"/>
              <w:rPr>
                <w:sz w:val="20"/>
                <w:szCs w:val="20"/>
                <w:color w:val="auto"/>
              </w:rPr>
            </w:pPr>
            <w:r>
              <w:rPr>
                <w:rFonts w:ascii="Arial" w:cs="Arial" w:eastAsia="Arial" w:hAnsi="Arial"/>
                <w:sz w:val="14"/>
                <w:szCs w:val="14"/>
                <w:color w:val="auto"/>
              </w:rPr>
              <w:t>Total net actuarial (gain) loss</w:t>
            </w:r>
          </w:p>
        </w:tc>
        <w:tc>
          <w:tcPr>
            <w:tcW w:w="140" w:type="dxa"/>
            <w:vAlign w:val="bottom"/>
            <w:gridSpan w:val="2"/>
          </w:tcPr>
          <w:p>
            <w:pPr>
              <w:jc w:val="right"/>
              <w:ind w:right="9"/>
              <w:spacing w:after="0" w:line="149" w:lineRule="exact"/>
              <w:rPr>
                <w:sz w:val="20"/>
                <w:szCs w:val="20"/>
                <w:color w:val="auto"/>
              </w:rPr>
            </w:pPr>
            <w:r>
              <w:rPr>
                <w:rFonts w:ascii="Arial" w:cs="Arial" w:eastAsia="Arial" w:hAnsi="Arial"/>
                <w:sz w:val="14"/>
                <w:szCs w:val="14"/>
                <w:b w:val="1"/>
                <w:bCs w:val="1"/>
                <w:color w:val="auto"/>
                <w:w w:val="76"/>
              </w:rPr>
              <w:t>$</w:t>
            </w: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391.1</w:t>
            </w:r>
          </w:p>
        </w:tc>
        <w:tc>
          <w:tcPr>
            <w:tcW w:w="100" w:type="dxa"/>
            <w:vAlign w:val="bottom"/>
          </w:tcPr>
          <w:p>
            <w:pPr>
              <w:spacing w:after="0"/>
              <w:rPr>
                <w:sz w:val="12"/>
                <w:szCs w:val="12"/>
                <w:color w:val="auto"/>
              </w:rPr>
            </w:pPr>
          </w:p>
        </w:tc>
        <w:tc>
          <w:tcPr>
            <w:tcW w:w="20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861.2</w:t>
            </w:r>
          </w:p>
        </w:tc>
        <w:tc>
          <w:tcPr>
            <w:tcW w:w="100" w:type="dxa"/>
            <w:vAlign w:val="bottom"/>
          </w:tcPr>
          <w:p>
            <w:pPr>
              <w:spacing w:after="0"/>
              <w:rPr>
                <w:sz w:val="12"/>
                <w:szCs w:val="12"/>
                <w:color w:val="auto"/>
              </w:rPr>
            </w:pP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80" w:type="dxa"/>
            <w:vAlign w:val="bottom"/>
            <w:gridSpan w:val="2"/>
          </w:tcPr>
          <w:p>
            <w:pPr>
              <w:jc w:val="right"/>
              <w:ind w:right="21"/>
              <w:spacing w:after="0" w:line="149" w:lineRule="exact"/>
              <w:rPr>
                <w:sz w:val="20"/>
                <w:szCs w:val="20"/>
                <w:color w:val="auto"/>
              </w:rPr>
            </w:pPr>
            <w:r>
              <w:rPr>
                <w:rFonts w:ascii="Arial" w:cs="Arial" w:eastAsia="Arial" w:hAnsi="Arial"/>
                <w:sz w:val="14"/>
                <w:szCs w:val="14"/>
                <w:b w:val="1"/>
                <w:bCs w:val="1"/>
                <w:color w:val="auto"/>
              </w:rPr>
              <w:t>(83.1)</w:t>
            </w:r>
          </w:p>
        </w:tc>
        <w:tc>
          <w:tcPr>
            <w:tcW w:w="200" w:type="dxa"/>
            <w:vAlign w:val="bottom"/>
            <w:gridSpan w:val="2"/>
          </w:tcPr>
          <w:p>
            <w:pPr>
              <w:jc w:val="right"/>
              <w:ind w:right="29"/>
              <w:spacing w:after="0" w:line="149" w:lineRule="exact"/>
              <w:rPr>
                <w:sz w:val="20"/>
                <w:szCs w:val="20"/>
                <w:color w:val="auto"/>
              </w:rPr>
            </w:pPr>
            <w:r>
              <w:rPr>
                <w:rFonts w:ascii="Arial" w:cs="Arial" w:eastAsia="Arial" w:hAnsi="Arial"/>
                <w:sz w:val="14"/>
                <w:szCs w:val="14"/>
                <w:color w:val="auto"/>
              </w:rPr>
              <w:t>$</w:t>
            </w:r>
          </w:p>
        </w:tc>
        <w:tc>
          <w:tcPr>
            <w:tcW w:w="580" w:type="dxa"/>
            <w:vAlign w:val="bottom"/>
            <w:gridSpan w:val="2"/>
          </w:tcPr>
          <w:p>
            <w:pPr>
              <w:jc w:val="right"/>
              <w:ind w:right="81"/>
              <w:spacing w:after="0" w:line="149" w:lineRule="exact"/>
              <w:rPr>
                <w:sz w:val="20"/>
                <w:szCs w:val="20"/>
                <w:color w:val="auto"/>
              </w:rPr>
            </w:pPr>
            <w:r>
              <w:rPr>
                <w:rFonts w:ascii="Arial" w:cs="Arial" w:eastAsia="Arial" w:hAnsi="Arial"/>
                <w:sz w:val="14"/>
                <w:szCs w:val="14"/>
                <w:color w:val="auto"/>
              </w:rPr>
              <w:t>(7.1)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Prior service benefit</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21"/>
              <w:spacing w:after="0" w:line="149" w:lineRule="exact"/>
              <w:rPr>
                <w:sz w:val="20"/>
                <w:szCs w:val="20"/>
                <w:color w:val="auto"/>
              </w:rPr>
            </w:pPr>
            <w:r>
              <w:rPr>
                <w:rFonts w:ascii="Arial" w:cs="Arial" w:eastAsia="Arial" w:hAnsi="Arial"/>
                <w:sz w:val="14"/>
                <w:szCs w:val="14"/>
                <w:b w:val="1"/>
                <w:bCs w:val="1"/>
                <w:color w:val="auto"/>
              </w:rPr>
              <w:t>(11.8)</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(20.4)</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21"/>
              <w:spacing w:after="0" w:line="149" w:lineRule="exact"/>
              <w:rPr>
                <w:sz w:val="20"/>
                <w:szCs w:val="20"/>
                <w:color w:val="auto"/>
              </w:rPr>
            </w:pPr>
            <w:r>
              <w:rPr>
                <w:rFonts w:ascii="Arial" w:cs="Arial" w:eastAsia="Arial" w:hAnsi="Arial"/>
                <w:sz w:val="14"/>
                <w:szCs w:val="14"/>
                <w:b w:val="1"/>
                <w:bCs w:val="1"/>
                <w:color w:val="auto"/>
              </w:rPr>
              <w:t>(56.2)</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81"/>
              <w:spacing w:after="0" w:line="149" w:lineRule="exact"/>
              <w:rPr>
                <w:sz w:val="20"/>
                <w:szCs w:val="20"/>
                <w:color w:val="auto"/>
              </w:rPr>
            </w:pPr>
            <w:r>
              <w:rPr>
                <w:rFonts w:ascii="Arial" w:cs="Arial" w:eastAsia="Arial" w:hAnsi="Arial"/>
                <w:sz w:val="14"/>
                <w:szCs w:val="14"/>
                <w:color w:val="auto"/>
              </w:rPr>
              <w:t>(82.1)</w:t>
            </w:r>
          </w:p>
        </w:tc>
        <w:tc>
          <w:tcPr>
            <w:tcW w:w="0" w:type="dxa"/>
            <w:vAlign w:val="bottom"/>
          </w:tcPr>
          <w:p>
            <w:pPr>
              <w:spacing w:after="0"/>
              <w:rPr>
                <w:sz w:val="1"/>
                <w:szCs w:val="1"/>
                <w:color w:val="auto"/>
              </w:rPr>
            </w:pPr>
          </w:p>
        </w:tc>
      </w:tr>
      <w:tr>
        <w:trPr>
          <w:trHeight w:val="142"/>
        </w:trPr>
        <w:tc>
          <w:tcPr>
            <w:tcW w:w="6000" w:type="dxa"/>
            <w:vAlign w:val="bottom"/>
            <w:gridSpan w:val="2"/>
          </w:tcPr>
          <w:p>
            <w:pPr>
              <w:spacing w:after="0" w:line="142" w:lineRule="exact"/>
              <w:rPr>
                <w:sz w:val="20"/>
                <w:szCs w:val="20"/>
                <w:color w:val="auto"/>
              </w:rPr>
            </w:pPr>
            <w:r>
              <w:rPr>
                <w:rFonts w:ascii="Arial" w:cs="Arial" w:eastAsia="Arial" w:hAnsi="Arial"/>
                <w:sz w:val="14"/>
                <w:szCs w:val="14"/>
                <w:color w:val="auto"/>
              </w:rPr>
              <w:t>Pre-tax accumulated other comprehensive (income) loss</w:t>
            </w:r>
          </w:p>
        </w:tc>
        <w:tc>
          <w:tcPr>
            <w:tcW w:w="20" w:type="dxa"/>
            <w:vAlign w:val="bottom"/>
            <w:tcBorders>
              <w:bottom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379.3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5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840.8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4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(139.3</w:t>
            </w:r>
          </w:p>
        </w:tc>
        <w:tc>
          <w:tcPr>
            <w:tcW w:w="100" w:type="dxa"/>
            <w:vAlign w:val="bottom"/>
          </w:tcPr>
          <w:p>
            <w:pPr>
              <w:jc w:val="right"/>
              <w:ind w:right="21"/>
              <w:spacing w:after="0"/>
              <w:rPr>
                <w:sz w:val="20"/>
                <w:szCs w:val="20"/>
                <w:color w:val="auto"/>
              </w:rPr>
            </w:pPr>
            <w:r>
              <w:rPr>
                <w:rFonts w:ascii="Arial" w:cs="Arial" w:eastAsia="Arial" w:hAnsi="Arial"/>
                <w:sz w:val="8"/>
                <w:szCs w:val="8"/>
                <w:b w:val="1"/>
                <w:bCs w:val="1"/>
                <w:color w:val="auto"/>
                <w:w w:val="73"/>
              </w:rPr>
              <w:t>)</w:t>
            </w:r>
          </w:p>
        </w:tc>
        <w:tc>
          <w:tcPr>
            <w:tcW w:w="6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0"/>
                <w:szCs w:val="10"/>
                <w:color w:val="auto"/>
                <w:w w:val="71"/>
              </w:rPr>
              <w:t>$</w:t>
            </w:r>
          </w:p>
        </w:tc>
        <w:tc>
          <w:tcPr>
            <w:tcW w:w="4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(89.2</w:t>
            </w:r>
          </w:p>
        </w:tc>
        <w:tc>
          <w:tcPr>
            <w:tcW w:w="160" w:type="dxa"/>
            <w:vAlign w:val="bottom"/>
          </w:tcPr>
          <w:p>
            <w:pPr>
              <w:jc w:val="right"/>
              <w:ind w:right="81"/>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firstLine="523"/>
        <w:spacing w:after="0" w:line="268" w:lineRule="auto"/>
        <w:rPr>
          <w:sz w:val="20"/>
          <w:szCs w:val="20"/>
          <w:color w:val="auto"/>
        </w:rPr>
      </w:pPr>
      <w:r>
        <w:rPr>
          <w:rFonts w:ascii="Arial" w:cs="Arial" w:eastAsia="Arial" w:hAnsi="Arial"/>
          <w:sz w:val="18"/>
          <w:szCs w:val="18"/>
          <w:color w:val="auto"/>
        </w:rPr>
        <w:t>The accumulated benefit obligation for all defined benefit pension plans was $2,287.4 million and $2,469.1 million at December 31, 2013 and 2012, respectively.</w:t>
      </w:r>
    </w:p>
    <w:p>
      <w:pPr>
        <w:spacing w:after="0" w:line="186" w:lineRule="exact"/>
        <w:rPr>
          <w:sz w:val="20"/>
          <w:szCs w:val="20"/>
          <w:color w:val="auto"/>
        </w:rPr>
      </w:pPr>
    </w:p>
    <w:p>
      <w:pPr>
        <w:jc w:val="both"/>
        <w:ind w:firstLine="382"/>
        <w:spacing w:after="0" w:line="291" w:lineRule="auto"/>
        <w:rPr>
          <w:sz w:val="20"/>
          <w:szCs w:val="20"/>
          <w:color w:val="auto"/>
        </w:rPr>
      </w:pPr>
      <w:r>
        <w:rPr>
          <w:rFonts w:ascii="Arial" w:cs="Arial" w:eastAsia="Arial" w:hAnsi="Arial"/>
          <w:sz w:val="16"/>
          <w:szCs w:val="16"/>
          <w:color w:val="auto"/>
        </w:rPr>
        <w:t>Employer contributions to the pension plans include contributions made directly to the qualified pension plan assets and contributions from corporate assets to pay nonqualified pension benefits. Benefits paid from the pension plans include both qualified and nonqualified plan benefits. Nonqualified pension plan assets are not included as part of the asset balances presented in this footnote. The nonqualified pension plan assets are held in Rabbi trusts for the benefit of all nonqualified plan participants. The assets held in a Rabbi trust are available to satisfy the claims of general creditors only in the event of bankruptcy. Therefore, these assets are fully consolidated in our consolidated statements of financial position and are not reflected in our funded status as they do not qualify as plan assets under U.S. GAAP. The market value of assets held in these trusts was $304.3 million and $300.8 million as of December 31, 2013 and 2012, respectively.</w:t>
      </w:r>
    </w:p>
    <w:p>
      <w:pPr>
        <w:spacing w:after="0" w:line="3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Pension Plan Changes and Plan Gains/Losses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On January 1, 2010, benefits under the Principal Pension Plan were frozen for certain participants.</w:t>
      </w:r>
    </w:p>
    <w:p>
      <w:pPr>
        <w:spacing w:after="0" w:line="225" w:lineRule="exact"/>
        <w:rPr>
          <w:sz w:val="20"/>
          <w:szCs w:val="20"/>
          <w:color w:val="auto"/>
        </w:rPr>
      </w:pPr>
    </w:p>
    <w:p>
      <w:pPr>
        <w:jc w:val="both"/>
        <w:ind w:firstLine="450"/>
        <w:spacing w:after="0" w:line="332" w:lineRule="auto"/>
        <w:rPr>
          <w:sz w:val="20"/>
          <w:szCs w:val="20"/>
          <w:color w:val="auto"/>
        </w:rPr>
      </w:pPr>
      <w:r>
        <w:rPr>
          <w:rFonts w:ascii="Arial" w:cs="Arial" w:eastAsia="Arial" w:hAnsi="Arial"/>
          <w:sz w:val="16"/>
          <w:szCs w:val="16"/>
          <w:color w:val="auto"/>
        </w:rPr>
        <w:t>For the year ended December 31, 2013, the pension plans had a gain primarily due to an increase in the discount rate. For the year ended December 31, 2012, the pension plans had a loss primarily due to a decrease in the discount rate, partially offset by higher than expected asset returns.</w:t>
      </w: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Postretirement Plan Changes and Plan Gains/Losses</w:t>
      </w:r>
    </w:p>
    <w:p>
      <w:pPr>
        <w:spacing w:after="0" w:line="231" w:lineRule="exact"/>
        <w:rPr>
          <w:sz w:val="20"/>
          <w:szCs w:val="20"/>
          <w:color w:val="auto"/>
        </w:rPr>
      </w:pPr>
    </w:p>
    <w:p>
      <w:pPr>
        <w:jc w:val="both"/>
        <w:ind w:right="20" w:firstLine="401"/>
        <w:spacing w:after="0" w:line="268" w:lineRule="auto"/>
        <w:rPr>
          <w:sz w:val="20"/>
          <w:szCs w:val="20"/>
          <w:color w:val="auto"/>
        </w:rPr>
      </w:pPr>
      <w:r>
        <w:rPr>
          <w:rFonts w:ascii="Arial" w:cs="Arial" w:eastAsia="Arial" w:hAnsi="Arial"/>
          <w:sz w:val="18"/>
          <w:szCs w:val="18"/>
          <w:color w:val="auto"/>
        </w:rPr>
        <w:t>On December 8, 2003, the Medicare Prescription Drug, Improvement and Modernization Act of 2003 (the "Medicare Modernization Act") was signed into law. The Medicare Modernization Act introduced a prescription drug</w:t>
      </w:r>
    </w:p>
    <w:p>
      <w:pPr>
        <w:sectPr>
          <w:pgSz w:w="11900" w:h="16838" w:orient="portrait"/>
          <w:cols w:equalWidth="0" w:num="1">
            <w:col w:w="11420"/>
          </w:cols>
          <w:pgMar w:left="240" w:top="131" w:right="239" w:bottom="1440" w:gutter="0" w:footer="0" w:header="0"/>
        </w:sectPr>
      </w:pP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49" w:name="page150"/>
    <w:bookmarkEnd w:id="14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Employee and Agent Benefits — (continued)</w:t>
      </w:r>
    </w:p>
    <w:p>
      <w:pPr>
        <w:spacing w:after="0" w:line="231" w:lineRule="exact"/>
        <w:rPr>
          <w:sz w:val="20"/>
          <w:szCs w:val="20"/>
          <w:color w:val="auto"/>
        </w:rPr>
      </w:pPr>
    </w:p>
    <w:p>
      <w:pPr>
        <w:jc w:val="both"/>
        <w:spacing w:after="0" w:line="332" w:lineRule="auto"/>
        <w:rPr>
          <w:sz w:val="20"/>
          <w:szCs w:val="20"/>
          <w:color w:val="auto"/>
        </w:rPr>
      </w:pPr>
      <w:r>
        <w:rPr>
          <w:rFonts w:ascii="Arial" w:cs="Arial" w:eastAsia="Arial" w:hAnsi="Arial"/>
          <w:sz w:val="16"/>
          <w:szCs w:val="16"/>
          <w:color w:val="auto"/>
        </w:rPr>
        <w:t>benefit under Medicare ("Medicare Part D") as well as a federal subsidy to sponsors of retiree medical benefit plans. During each of the years ended December 31, 2013, 2012 and 2011, the Medicare subsidies we received and accrued for were $0.8 million, $0.8 million and $0.9 million, respectively.</w:t>
      </w:r>
    </w:p>
    <w:p>
      <w:pPr>
        <w:spacing w:after="0" w:line="139" w:lineRule="exact"/>
        <w:rPr>
          <w:sz w:val="20"/>
          <w:szCs w:val="20"/>
          <w:color w:val="auto"/>
        </w:rPr>
      </w:pPr>
    </w:p>
    <w:p>
      <w:pPr>
        <w:jc w:val="both"/>
        <w:ind w:firstLine="384"/>
        <w:spacing w:after="0" w:line="256" w:lineRule="auto"/>
        <w:rPr>
          <w:sz w:val="20"/>
          <w:szCs w:val="20"/>
          <w:color w:val="auto"/>
        </w:rPr>
      </w:pPr>
      <w:r>
        <w:rPr>
          <w:rFonts w:ascii="Arial" w:cs="Arial" w:eastAsia="Arial" w:hAnsi="Arial"/>
          <w:sz w:val="18"/>
          <w:szCs w:val="18"/>
          <w:color w:val="auto"/>
        </w:rPr>
        <w:t>An actuarial gain occurred during 2013 for the other postretirement benefit plans. This was due to an increase in the discount rate and trend assumption for post-65 retirees and a change in assumptions for retirees who voluntarily drop medical coverage at age 65 or older. An actuarial gain occurred during 2012 for the other postretirement benefit plans. This was due to a decrease in the trend and claim cost assumptions. This was partially offset by the decrease in the discount rate.</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Impact from Exit of Group Medical Insurance Business</w:t>
      </w:r>
    </w:p>
    <w:p>
      <w:pPr>
        <w:spacing w:after="0" w:line="231" w:lineRule="exact"/>
        <w:rPr>
          <w:sz w:val="20"/>
          <w:szCs w:val="20"/>
          <w:color w:val="auto"/>
        </w:rPr>
      </w:pPr>
    </w:p>
    <w:p>
      <w:pPr>
        <w:jc w:val="both"/>
        <w:ind w:firstLine="456"/>
        <w:spacing w:after="0" w:line="291" w:lineRule="auto"/>
        <w:rPr>
          <w:sz w:val="20"/>
          <w:szCs w:val="20"/>
          <w:color w:val="auto"/>
        </w:rPr>
      </w:pPr>
      <w:r>
        <w:rPr>
          <w:rFonts w:ascii="Arial" w:cs="Arial" w:eastAsia="Arial" w:hAnsi="Arial"/>
          <w:sz w:val="16"/>
          <w:szCs w:val="16"/>
          <w:color w:val="auto"/>
        </w:rPr>
        <w:t>On September 30, 2010, we announced our decision to exit the group medical insurance business and entered into an agreement with United Healthcare Services, Inc. to renew medical insurance coverage for our customers as the business transitions. Our exit from the group medical insurance business resulted in a curtailment gain associated with the pension and other postretirement benefits of the impacted employees, which was recognized in our consolidated financial statements as impacted employees were terminated. For the year ended December 31, 2011, the curtailment gain recognized was $1.4 million for the pension benefits and $5.1 million for the other postretirement benefits, respectively, from the accelerated recognition of the existing prior service benefits. One final recognition of the curtailment in 2012 resulted in a curtailment gain of $0.7 million for the pension plan and $3.5 million for the other postretirement benefits.</w:t>
      </w:r>
    </w:p>
    <w:p>
      <w:pPr>
        <w:spacing w:after="0" w:line="3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Information for Pension Plans With an Accumulated Benefit Obligation in Excess of Plan Assets</w:t>
      </w:r>
    </w:p>
    <w:p>
      <w:pPr>
        <w:spacing w:after="0" w:line="231" w:lineRule="exact"/>
        <w:rPr>
          <w:sz w:val="20"/>
          <w:szCs w:val="20"/>
          <w:color w:val="auto"/>
        </w:rPr>
      </w:pPr>
    </w:p>
    <w:p>
      <w:pPr>
        <w:jc w:val="both"/>
        <w:ind w:firstLine="538"/>
        <w:spacing w:after="0" w:line="259" w:lineRule="auto"/>
        <w:rPr>
          <w:sz w:val="20"/>
          <w:szCs w:val="20"/>
          <w:color w:val="auto"/>
        </w:rPr>
      </w:pPr>
      <w:r>
        <w:rPr>
          <w:rFonts w:ascii="Arial" w:cs="Arial" w:eastAsia="Arial" w:hAnsi="Arial"/>
          <w:sz w:val="18"/>
          <w:szCs w:val="18"/>
          <w:color w:val="auto"/>
        </w:rPr>
        <w:t>For 2013 and 2012, both the qualified and nonqualified plans had accumulated benefit obligations in excess of plan assets. As noted previously, the nonqualified plans have assets that are deposited in trusts that fail to meet the U.S. GAAP requirements to be included in plan assets; however, these assets are included in our consolidated statements of financial position.</w:t>
      </w:r>
    </w:p>
    <w:p>
      <w:pPr>
        <w:spacing w:after="0" w:line="190"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620" w:type="dxa"/>
            <w:vAlign w:val="bottom"/>
          </w:tcPr>
          <w:p>
            <w:pPr>
              <w:spacing w:after="0"/>
              <w:rPr>
                <w:sz w:val="14"/>
                <w:szCs w:val="14"/>
                <w:color w:val="auto"/>
              </w:rPr>
            </w:pPr>
          </w:p>
        </w:tc>
        <w:tc>
          <w:tcPr>
            <w:tcW w:w="2940" w:type="dxa"/>
            <w:vAlign w:val="bottom"/>
          </w:tcPr>
          <w:p>
            <w:pPr>
              <w:spacing w:after="0"/>
              <w:rPr>
                <w:sz w:val="14"/>
                <w:szCs w:val="14"/>
                <w:color w:val="auto"/>
              </w:rPr>
            </w:pPr>
          </w:p>
        </w:tc>
        <w:tc>
          <w:tcPr>
            <w:tcW w:w="1560" w:type="dxa"/>
            <w:vAlign w:val="bottom"/>
            <w:gridSpan w:val="4"/>
          </w:tcPr>
          <w:p>
            <w:pPr>
              <w:ind w:left="300"/>
              <w:spacing w:after="0"/>
              <w:rPr>
                <w:sz w:val="20"/>
                <w:szCs w:val="20"/>
                <w:color w:val="auto"/>
              </w:rPr>
            </w:pPr>
            <w:r>
              <w:rPr>
                <w:rFonts w:ascii="Arial" w:cs="Arial" w:eastAsia="Arial" w:hAnsi="Arial"/>
                <w:sz w:val="14"/>
                <w:szCs w:val="14"/>
                <w:b w:val="1"/>
                <w:bCs w:val="1"/>
                <w:color w:val="auto"/>
              </w:rPr>
              <w:t>December 31,</w:t>
            </w:r>
          </w:p>
        </w:tc>
      </w:tr>
      <w:tr>
        <w:trPr>
          <w:trHeight w:val="142"/>
        </w:trPr>
        <w:tc>
          <w:tcPr>
            <w:tcW w:w="20" w:type="dxa"/>
            <w:vAlign w:val="bottom"/>
          </w:tcPr>
          <w:p>
            <w:pPr>
              <w:spacing w:after="0"/>
              <w:rPr>
                <w:sz w:val="12"/>
                <w:szCs w:val="12"/>
                <w:color w:val="auto"/>
              </w:rPr>
            </w:pPr>
          </w:p>
        </w:tc>
        <w:tc>
          <w:tcPr>
            <w:tcW w:w="4620" w:type="dxa"/>
            <w:vAlign w:val="bottom"/>
          </w:tcPr>
          <w:p>
            <w:pPr>
              <w:spacing w:after="0"/>
              <w:rPr>
                <w:sz w:val="12"/>
                <w:szCs w:val="12"/>
                <w:color w:val="auto"/>
              </w:rPr>
            </w:pPr>
          </w:p>
        </w:tc>
        <w:tc>
          <w:tcPr>
            <w:tcW w:w="2940" w:type="dxa"/>
            <w:vAlign w:val="bottom"/>
          </w:tcPr>
          <w:p>
            <w:pPr>
              <w:spacing w:after="0"/>
              <w:rPr>
                <w:sz w:val="12"/>
                <w:szCs w:val="12"/>
                <w:color w:val="auto"/>
              </w:rPr>
            </w:pPr>
          </w:p>
        </w:tc>
        <w:tc>
          <w:tcPr>
            <w:tcW w:w="620" w:type="dxa"/>
            <w:vAlign w:val="bottom"/>
            <w:tcBorders>
              <w:top w:val="single" w:sz="8" w:color="auto"/>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rPr>
              <w:t>2013</w:t>
            </w:r>
          </w:p>
        </w:tc>
        <w:tc>
          <w:tcPr>
            <w:tcW w:w="160" w:type="dxa"/>
            <w:vAlign w:val="bottom"/>
            <w:tcBorders>
              <w:top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rPr>
              <w:t>2012</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4620" w:type="dxa"/>
            <w:vAlign w:val="bottom"/>
          </w:tcPr>
          <w:p>
            <w:pPr>
              <w:spacing w:after="0"/>
              <w:rPr>
                <w:sz w:val="12"/>
                <w:szCs w:val="12"/>
                <w:color w:val="auto"/>
              </w:rPr>
            </w:pPr>
          </w:p>
        </w:tc>
        <w:tc>
          <w:tcPr>
            <w:tcW w:w="2940" w:type="dxa"/>
            <w:vAlign w:val="bottom"/>
          </w:tcPr>
          <w:p>
            <w:pPr>
              <w:spacing w:after="0"/>
              <w:rPr>
                <w:sz w:val="12"/>
                <w:szCs w:val="12"/>
                <w:color w:val="auto"/>
              </w:rPr>
            </w:pPr>
          </w:p>
        </w:tc>
        <w:tc>
          <w:tcPr>
            <w:tcW w:w="620" w:type="dxa"/>
            <w:vAlign w:val="bottom"/>
          </w:tcPr>
          <w:p>
            <w:pPr>
              <w:jc w:val="right"/>
              <w:ind w:right="5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780" w:type="dxa"/>
            <w:vAlign w:val="bottom"/>
            <w:gridSpan w:val="2"/>
          </w:tcPr>
          <w:p>
            <w:pPr>
              <w:jc w:val="right"/>
              <w:ind w:right="292"/>
              <w:spacing w:after="0"/>
              <w:rPr>
                <w:sz w:val="20"/>
                <w:szCs w:val="20"/>
                <w:color w:val="auto"/>
              </w:rPr>
            </w:pPr>
            <w:r>
              <w:rPr>
                <w:rFonts w:ascii="Arial" w:cs="Arial" w:eastAsia="Arial" w:hAnsi="Arial"/>
                <w:sz w:val="12"/>
                <w:szCs w:val="12"/>
                <w:b w:val="1"/>
                <w:bCs w:val="1"/>
                <w:i w:val="1"/>
                <w:iCs w:val="1"/>
                <w:color w:val="auto"/>
                <w:w w:val="80"/>
              </w:rPr>
              <w:t>millions)</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Projected benefit obligation</w:t>
            </w:r>
          </w:p>
        </w:tc>
        <w:tc>
          <w:tcPr>
            <w:tcW w:w="35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  2,440.2</w:t>
            </w:r>
          </w:p>
        </w:tc>
        <w:tc>
          <w:tcPr>
            <w:tcW w:w="7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  2,638.0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20" w:type="dxa"/>
            <w:vAlign w:val="bottom"/>
          </w:tcPr>
          <w:p>
            <w:pPr>
              <w:spacing w:after="0" w:line="149" w:lineRule="exact"/>
              <w:rPr>
                <w:sz w:val="20"/>
                <w:szCs w:val="20"/>
                <w:color w:val="auto"/>
              </w:rPr>
            </w:pPr>
            <w:r>
              <w:rPr>
                <w:rFonts w:ascii="Arial" w:cs="Arial" w:eastAsia="Arial" w:hAnsi="Arial"/>
                <w:sz w:val="14"/>
                <w:szCs w:val="14"/>
                <w:color w:val="auto"/>
              </w:rPr>
              <w:t>Accumulated benefit obligation</w:t>
            </w:r>
          </w:p>
        </w:tc>
        <w:tc>
          <w:tcPr>
            <w:tcW w:w="35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2,287.4</w:t>
            </w:r>
          </w:p>
        </w:tc>
        <w:tc>
          <w:tcPr>
            <w:tcW w:w="7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2,469.1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6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Fair value of plan assets</w:t>
            </w:r>
          </w:p>
        </w:tc>
        <w:tc>
          <w:tcPr>
            <w:tcW w:w="35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1,925.6</w:t>
            </w:r>
          </w:p>
        </w:tc>
        <w:tc>
          <w:tcPr>
            <w:tcW w:w="7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1,682.1</w:t>
            </w:r>
          </w:p>
        </w:tc>
        <w:tc>
          <w:tcPr>
            <w:tcW w:w="160" w:type="dxa"/>
            <w:vAlign w:val="bottom"/>
            <w:shd w:val="clear" w:color="auto" w:fill="CCEEFF"/>
          </w:tcPr>
          <w:p>
            <w:pPr>
              <w:spacing w:after="0"/>
              <w:rPr>
                <w:sz w:val="12"/>
                <w:szCs w:val="12"/>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Information for Other Postretirement Benefit Plans With an Accumulated Postretirement Benefit Obligation in Excess of Plan Assets</w:t>
      </w:r>
    </w:p>
    <w:p>
      <w:pPr>
        <w:spacing w:after="0" w:line="227"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200" w:type="dxa"/>
            <w:vAlign w:val="bottom"/>
          </w:tcPr>
          <w:p>
            <w:pPr>
              <w:spacing w:after="0"/>
              <w:rPr>
                <w:sz w:val="14"/>
                <w:szCs w:val="14"/>
                <w:color w:val="auto"/>
              </w:rPr>
            </w:pPr>
          </w:p>
        </w:tc>
        <w:tc>
          <w:tcPr>
            <w:tcW w:w="2720" w:type="dxa"/>
            <w:vAlign w:val="bottom"/>
          </w:tcPr>
          <w:p>
            <w:pPr>
              <w:spacing w:after="0"/>
              <w:rPr>
                <w:sz w:val="14"/>
                <w:szCs w:val="14"/>
                <w:color w:val="auto"/>
              </w:rPr>
            </w:pPr>
          </w:p>
        </w:tc>
        <w:tc>
          <w:tcPr>
            <w:tcW w:w="1200" w:type="dxa"/>
            <w:vAlign w:val="bottom"/>
            <w:gridSpan w:val="4"/>
          </w:tcPr>
          <w:p>
            <w:pPr>
              <w:ind w:left="120"/>
              <w:spacing w:after="0"/>
              <w:rPr>
                <w:sz w:val="20"/>
                <w:szCs w:val="20"/>
                <w:color w:val="auto"/>
              </w:rPr>
            </w:pPr>
            <w:r>
              <w:rPr>
                <w:rFonts w:ascii="Arial" w:cs="Arial" w:eastAsia="Arial" w:hAnsi="Arial"/>
                <w:sz w:val="14"/>
                <w:szCs w:val="14"/>
                <w:b w:val="1"/>
                <w:bCs w:val="1"/>
                <w:color w:val="auto"/>
              </w:rPr>
              <w:t>December 31,</w:t>
            </w:r>
          </w:p>
        </w:tc>
      </w:tr>
      <w:tr>
        <w:trPr>
          <w:trHeight w:val="142"/>
        </w:trPr>
        <w:tc>
          <w:tcPr>
            <w:tcW w:w="20" w:type="dxa"/>
            <w:vAlign w:val="bottom"/>
          </w:tcPr>
          <w:p>
            <w:pPr>
              <w:spacing w:after="0"/>
              <w:rPr>
                <w:sz w:val="12"/>
                <w:szCs w:val="12"/>
                <w:color w:val="auto"/>
              </w:rPr>
            </w:pPr>
          </w:p>
        </w:tc>
        <w:tc>
          <w:tcPr>
            <w:tcW w:w="5200" w:type="dxa"/>
            <w:vAlign w:val="bottom"/>
          </w:tcPr>
          <w:p>
            <w:pPr>
              <w:spacing w:after="0"/>
              <w:rPr>
                <w:sz w:val="12"/>
                <w:szCs w:val="12"/>
                <w:color w:val="auto"/>
              </w:rPr>
            </w:pPr>
          </w:p>
        </w:tc>
        <w:tc>
          <w:tcPr>
            <w:tcW w:w="2720" w:type="dxa"/>
            <w:vAlign w:val="bottom"/>
          </w:tcPr>
          <w:p>
            <w:pPr>
              <w:spacing w:after="0"/>
              <w:rPr>
                <w:sz w:val="12"/>
                <w:szCs w:val="12"/>
                <w:color w:val="auto"/>
              </w:rPr>
            </w:pPr>
          </w:p>
        </w:tc>
        <w:tc>
          <w:tcPr>
            <w:tcW w:w="40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w w:val="96"/>
              </w:rPr>
              <w:t>2013</w:t>
            </w:r>
          </w:p>
        </w:tc>
        <w:tc>
          <w:tcPr>
            <w:tcW w:w="220" w:type="dxa"/>
            <w:vAlign w:val="bottom"/>
            <w:tcBorders>
              <w:top w:val="single" w:sz="8" w:color="auto"/>
            </w:tcBorders>
          </w:tcPr>
          <w:p>
            <w:pPr>
              <w:spacing w:after="0"/>
              <w:rPr>
                <w:sz w:val="12"/>
                <w:szCs w:val="12"/>
                <w:color w:val="auto"/>
              </w:rPr>
            </w:pPr>
          </w:p>
        </w:tc>
        <w:tc>
          <w:tcPr>
            <w:tcW w:w="42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rPr>
              <w:t>2012</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5200" w:type="dxa"/>
            <w:vAlign w:val="bottom"/>
          </w:tcPr>
          <w:p>
            <w:pPr>
              <w:spacing w:after="0"/>
              <w:rPr>
                <w:sz w:val="12"/>
                <w:szCs w:val="12"/>
                <w:color w:val="auto"/>
              </w:rPr>
            </w:pPr>
          </w:p>
        </w:tc>
        <w:tc>
          <w:tcPr>
            <w:tcW w:w="2720" w:type="dxa"/>
            <w:vAlign w:val="bottom"/>
          </w:tcPr>
          <w:p>
            <w:pPr>
              <w:spacing w:after="0"/>
              <w:rPr>
                <w:sz w:val="12"/>
                <w:szCs w:val="12"/>
                <w:color w:val="auto"/>
              </w:rPr>
            </w:pPr>
          </w:p>
        </w:tc>
        <w:tc>
          <w:tcPr>
            <w:tcW w:w="400" w:type="dxa"/>
            <w:vAlign w:val="bottom"/>
          </w:tcPr>
          <w:p>
            <w:pPr>
              <w:jc w:val="right"/>
              <w:ind w:right="1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640" w:type="dxa"/>
            <w:vAlign w:val="bottom"/>
            <w:gridSpan w:val="2"/>
          </w:tcPr>
          <w:p>
            <w:pPr>
              <w:jc w:val="right"/>
              <w:ind w:right="112"/>
              <w:spacing w:after="0" w:line="142" w:lineRule="exact"/>
              <w:rPr>
                <w:sz w:val="20"/>
                <w:szCs w:val="20"/>
                <w:color w:val="auto"/>
              </w:rPr>
            </w:pPr>
            <w:r>
              <w:rPr>
                <w:rFonts w:ascii="Arial" w:cs="Arial" w:eastAsia="Arial" w:hAnsi="Arial"/>
                <w:sz w:val="14"/>
                <w:szCs w:val="14"/>
                <w:b w:val="1"/>
                <w:bCs w:val="1"/>
                <w:i w:val="1"/>
                <w:iCs w:val="1"/>
                <w:color w:val="auto"/>
                <w:w w:val="76"/>
              </w:rPr>
              <w:t>millions)</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2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Accumulated postretirement benefit obligation</w:t>
            </w:r>
          </w:p>
        </w:tc>
        <w:tc>
          <w:tcPr>
            <w:tcW w:w="31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   1.5</w:t>
            </w:r>
          </w:p>
        </w:tc>
        <w:tc>
          <w:tcPr>
            <w:tcW w:w="6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   1.7</w:t>
            </w:r>
          </w:p>
        </w:tc>
        <w:tc>
          <w:tcPr>
            <w:tcW w:w="160" w:type="dxa"/>
            <w:vAlign w:val="bottom"/>
            <w:shd w:val="clear" w:color="auto" w:fill="CCEEFF"/>
          </w:tcPr>
          <w:p>
            <w:pPr>
              <w:spacing w:after="0"/>
              <w:rPr>
                <w:sz w:val="12"/>
                <w:szCs w:val="12"/>
                <w:color w:val="auto"/>
              </w:rPr>
            </w:pPr>
          </w:p>
        </w:tc>
      </w:tr>
      <w:tr>
        <w:trPr>
          <w:trHeight w:val="174"/>
        </w:trPr>
        <w:tc>
          <w:tcPr>
            <w:tcW w:w="20" w:type="dxa"/>
            <w:vAlign w:val="bottom"/>
          </w:tcPr>
          <w:p>
            <w:pPr>
              <w:spacing w:after="0"/>
              <w:rPr>
                <w:sz w:val="15"/>
                <w:szCs w:val="15"/>
                <w:color w:val="auto"/>
              </w:rPr>
            </w:pPr>
          </w:p>
        </w:tc>
        <w:tc>
          <w:tcPr>
            <w:tcW w:w="5200" w:type="dxa"/>
            <w:vAlign w:val="bottom"/>
          </w:tcPr>
          <w:p>
            <w:pPr>
              <w:spacing w:after="0"/>
              <w:rPr>
                <w:sz w:val="20"/>
                <w:szCs w:val="20"/>
                <w:color w:val="auto"/>
              </w:rPr>
            </w:pPr>
            <w:r>
              <w:rPr>
                <w:rFonts w:ascii="Arial" w:cs="Arial" w:eastAsia="Arial" w:hAnsi="Arial"/>
                <w:sz w:val="14"/>
                <w:szCs w:val="14"/>
                <w:color w:val="auto"/>
              </w:rPr>
              <w:t>Fair value of plan assets</w:t>
            </w:r>
          </w:p>
        </w:tc>
        <w:tc>
          <w:tcPr>
            <w:tcW w:w="3120" w:type="dxa"/>
            <w:vAlign w:val="bottom"/>
            <w:gridSpan w:val="2"/>
          </w:tcPr>
          <w:p>
            <w:pPr>
              <w:jc w:val="right"/>
              <w:spacing w:after="0"/>
              <w:rPr>
                <w:sz w:val="20"/>
                <w:szCs w:val="20"/>
                <w:color w:val="auto"/>
              </w:rPr>
            </w:pPr>
            <w:r>
              <w:rPr>
                <w:rFonts w:ascii="Arial" w:cs="Arial" w:eastAsia="Arial" w:hAnsi="Arial"/>
                <w:sz w:val="14"/>
                <w:szCs w:val="14"/>
                <w:b w:val="1"/>
                <w:bCs w:val="1"/>
                <w:color w:val="auto"/>
              </w:rPr>
              <w:t>0.9</w:t>
            </w:r>
          </w:p>
        </w:tc>
        <w:tc>
          <w:tcPr>
            <w:tcW w:w="640" w:type="dxa"/>
            <w:vAlign w:val="bottom"/>
            <w:gridSpan w:val="2"/>
          </w:tcPr>
          <w:p>
            <w:pPr>
              <w:jc w:val="right"/>
              <w:spacing w:after="0"/>
              <w:rPr>
                <w:sz w:val="20"/>
                <w:szCs w:val="20"/>
                <w:color w:val="auto"/>
              </w:rPr>
            </w:pPr>
            <w:r>
              <w:rPr>
                <w:rFonts w:ascii="Arial" w:cs="Arial" w:eastAsia="Arial" w:hAnsi="Arial"/>
                <w:sz w:val="14"/>
                <w:szCs w:val="14"/>
                <w:color w:val="auto"/>
              </w:rPr>
              <w:t>1.1</w:t>
            </w:r>
          </w:p>
        </w:tc>
        <w:tc>
          <w:tcPr>
            <w:tcW w:w="160" w:type="dxa"/>
            <w:vAlign w:val="bottom"/>
          </w:tcPr>
          <w:p>
            <w:pPr>
              <w:spacing w:after="0"/>
              <w:rPr>
                <w:sz w:val="15"/>
                <w:szCs w:val="15"/>
                <w:color w:val="auto"/>
              </w:rPr>
            </w:pPr>
          </w:p>
        </w:tc>
      </w:tr>
    </w:tbl>
    <w:p>
      <w:pPr>
        <w:spacing w:after="0" w:line="3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Components of Net Periodic Benefit Cost</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60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900" w:type="dxa"/>
            <w:vAlign w:val="bottom"/>
            <w:gridSpan w:val="10"/>
          </w:tcPr>
          <w:p>
            <w:pPr>
              <w:jc w:val="center"/>
              <w:ind w:right="240"/>
              <w:spacing w:after="0"/>
              <w:rPr>
                <w:sz w:val="20"/>
                <w:szCs w:val="20"/>
                <w:color w:val="auto"/>
              </w:rPr>
            </w:pPr>
            <w:r>
              <w:rPr>
                <w:rFonts w:ascii="Arial" w:cs="Arial" w:eastAsia="Arial" w:hAnsi="Arial"/>
                <w:sz w:val="14"/>
                <w:szCs w:val="14"/>
                <w:b w:val="1"/>
                <w:bCs w:val="1"/>
                <w:color w:val="auto"/>
                <w:w w:val="87"/>
              </w:rPr>
              <w:t>Other postretirement</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60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gridSpan w:val="8"/>
          </w:tcPr>
          <w:p>
            <w:pPr>
              <w:jc w:val="right"/>
              <w:ind w:right="100"/>
              <w:spacing w:after="0"/>
              <w:rPr>
                <w:sz w:val="20"/>
                <w:szCs w:val="20"/>
                <w:color w:val="auto"/>
              </w:rPr>
            </w:pPr>
            <w:r>
              <w:rPr>
                <w:rFonts w:ascii="Arial" w:cs="Arial" w:eastAsia="Arial" w:hAnsi="Arial"/>
                <w:sz w:val="14"/>
                <w:szCs w:val="14"/>
                <w:b w:val="1"/>
                <w:bCs w:val="1"/>
                <w:color w:val="auto"/>
              </w:rPr>
              <w:t>Pension benefits</w:t>
            </w:r>
          </w:p>
        </w:tc>
        <w:tc>
          <w:tcPr>
            <w:tcW w:w="4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gridSpan w:val="3"/>
          </w:tcPr>
          <w:p>
            <w:pPr>
              <w:jc w:val="center"/>
              <w:ind w:right="100"/>
              <w:spacing w:after="0"/>
              <w:rPr>
                <w:sz w:val="20"/>
                <w:szCs w:val="20"/>
                <w:color w:val="auto"/>
              </w:rPr>
            </w:pPr>
            <w:r>
              <w:rPr>
                <w:rFonts w:ascii="Arial" w:cs="Arial" w:eastAsia="Arial" w:hAnsi="Arial"/>
                <w:sz w:val="14"/>
                <w:szCs w:val="14"/>
                <w:b w:val="1"/>
                <w:bCs w:val="1"/>
                <w:color w:val="auto"/>
                <w:w w:val="85"/>
              </w:rPr>
              <w:t>benefits</w:t>
            </w:r>
          </w:p>
        </w:tc>
        <w:tc>
          <w:tcPr>
            <w:tcW w:w="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60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2120" w:type="dxa"/>
            <w:vAlign w:val="bottom"/>
            <w:tcBorders>
              <w:bottom w:val="single" w:sz="8" w:color="auto"/>
            </w:tcBorders>
            <w:gridSpan w:val="12"/>
          </w:tcPr>
          <w:p>
            <w:pPr>
              <w:jc w:val="right"/>
              <w:spacing w:after="0" w:line="142" w:lineRule="exact"/>
              <w:rPr>
                <w:sz w:val="20"/>
                <w:szCs w:val="20"/>
                <w:color w:val="auto"/>
              </w:rPr>
            </w:pPr>
            <w:r>
              <w:rPr>
                <w:rFonts w:ascii="Arial" w:cs="Arial" w:eastAsia="Arial" w:hAnsi="Arial"/>
                <w:sz w:val="14"/>
                <w:szCs w:val="14"/>
                <w:b w:val="1"/>
                <w:bCs w:val="1"/>
                <w:color w:val="auto"/>
                <w:w w:val="95"/>
              </w:rPr>
              <w:t>For the year ended December 31,</w:t>
            </w:r>
          </w:p>
        </w:tc>
        <w:tc>
          <w:tcPr>
            <w:tcW w:w="40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60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89"/>
              </w:rPr>
              <w:t>2013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right"/>
              <w:ind w:right="72"/>
              <w:spacing w:after="0" w:line="142" w:lineRule="exact"/>
              <w:rPr>
                <w:sz w:val="20"/>
                <w:szCs w:val="20"/>
                <w:color w:val="auto"/>
              </w:rPr>
            </w:pPr>
            <w:r>
              <w:rPr>
                <w:rFonts w:ascii="Arial" w:cs="Arial" w:eastAsia="Arial" w:hAnsi="Arial"/>
                <w:sz w:val="14"/>
                <w:szCs w:val="14"/>
                <w:b w:val="1"/>
                <w:bCs w:val="1"/>
                <w:color w:val="auto"/>
                <w:w w:val="96"/>
              </w:rPr>
              <w:t>2012</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89"/>
              </w:rPr>
              <w:t>2011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9"/>
              </w:rPr>
              <w:t>2013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jc w:val="center"/>
              <w:ind w:right="32"/>
              <w:spacing w:after="0" w:line="142" w:lineRule="exact"/>
              <w:rPr>
                <w:sz w:val="20"/>
                <w:szCs w:val="20"/>
                <w:color w:val="auto"/>
              </w:rPr>
            </w:pPr>
            <w:r>
              <w:rPr>
                <w:rFonts w:ascii="Arial" w:cs="Arial" w:eastAsia="Arial" w:hAnsi="Arial"/>
                <w:sz w:val="14"/>
                <w:szCs w:val="14"/>
                <w:b w:val="1"/>
                <w:bCs w:val="1"/>
                <w:color w:val="auto"/>
                <w:w w:val="83"/>
              </w:rPr>
              <w:t>2012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60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gridSpan w:val="6"/>
          </w:tcPr>
          <w:p>
            <w:pPr>
              <w:jc w:val="right"/>
              <w:ind w:right="440"/>
              <w:spacing w:after="0" w:line="142" w:lineRule="exact"/>
              <w:rPr>
                <w:sz w:val="20"/>
                <w:szCs w:val="20"/>
                <w:color w:val="auto"/>
              </w:rPr>
            </w:pPr>
            <w:r>
              <w:rPr>
                <w:rFonts w:ascii="Arial" w:cs="Arial" w:eastAsia="Arial" w:hAnsi="Arial"/>
                <w:sz w:val="14"/>
                <w:szCs w:val="14"/>
                <w:b w:val="1"/>
                <w:bCs w:val="1"/>
                <w:i w:val="1"/>
                <w:iCs w:val="1"/>
                <w:color w:val="auto"/>
                <w:w w:val="96"/>
              </w:rPr>
              <w:t>(in millions)</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Service cost</w:t>
            </w:r>
          </w:p>
        </w:tc>
        <w:tc>
          <w:tcPr>
            <w:tcW w:w="14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b w:val="1"/>
                <w:bCs w:val="1"/>
                <w:color w:val="auto"/>
              </w:rPr>
              <w:t>$</w:t>
            </w: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57.1</w:t>
            </w:r>
          </w:p>
        </w:tc>
        <w:tc>
          <w:tcPr>
            <w:tcW w:w="10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47.0</w:t>
            </w:r>
          </w:p>
        </w:tc>
        <w:tc>
          <w:tcPr>
            <w:tcW w:w="10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44.0</w:t>
            </w:r>
          </w:p>
        </w:tc>
        <w:tc>
          <w:tcPr>
            <w:tcW w:w="10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w:t>
            </w:r>
          </w:p>
        </w:tc>
        <w:tc>
          <w:tcPr>
            <w:tcW w:w="10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w:t>
            </w:r>
          </w:p>
        </w:tc>
        <w:tc>
          <w:tcPr>
            <w:tcW w:w="10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00" w:type="dxa"/>
            <w:vAlign w:val="bottom"/>
          </w:tcPr>
          <w:p>
            <w:pPr>
              <w:spacing w:after="0" w:line="149" w:lineRule="exact"/>
              <w:rPr>
                <w:sz w:val="20"/>
                <w:szCs w:val="20"/>
                <w:color w:val="auto"/>
              </w:rPr>
            </w:pPr>
            <w:r>
              <w:rPr>
                <w:rFonts w:ascii="Arial" w:cs="Arial" w:eastAsia="Arial" w:hAnsi="Arial"/>
                <w:sz w:val="14"/>
                <w:szCs w:val="14"/>
                <w:color w:val="auto"/>
              </w:rPr>
              <w:t>Interest cost</w:t>
            </w:r>
          </w:p>
        </w:tc>
        <w:tc>
          <w:tcPr>
            <w:tcW w:w="1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103.8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109.1</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108.5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jc w:val="right"/>
              <w:spacing w:after="0" w:line="149" w:lineRule="exact"/>
              <w:rPr>
                <w:sz w:val="20"/>
                <w:szCs w:val="20"/>
                <w:color w:val="auto"/>
              </w:rPr>
            </w:pPr>
            <w:r>
              <w:rPr>
                <w:rFonts w:ascii="Arial" w:cs="Arial" w:eastAsia="Arial" w:hAnsi="Arial"/>
                <w:sz w:val="14"/>
                <w:szCs w:val="14"/>
                <w:color w:val="auto"/>
              </w:rPr>
              <w:t>8.2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jc w:val="right"/>
              <w:spacing w:after="0" w:line="149" w:lineRule="exact"/>
              <w:rPr>
                <w:sz w:val="20"/>
                <w:szCs w:val="20"/>
                <w:color w:val="auto"/>
              </w:rPr>
            </w:pPr>
            <w:r>
              <w:rPr>
                <w:rFonts w:ascii="Arial" w:cs="Arial" w:eastAsia="Arial" w:hAnsi="Arial"/>
                <w:sz w:val="14"/>
                <w:szCs w:val="14"/>
                <w:color w:val="auto"/>
              </w:rPr>
              <w:t>8.9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Expected return on plan assets</w:t>
            </w:r>
          </w:p>
        </w:tc>
        <w:tc>
          <w:tcPr>
            <w:tcW w:w="13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(127.4)</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(114.6)</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(114.4)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(28.8)</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(33.5)</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(34.1)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00" w:type="dxa"/>
            <w:vAlign w:val="bottom"/>
          </w:tcPr>
          <w:p>
            <w:pPr>
              <w:spacing w:after="0" w:line="149" w:lineRule="exact"/>
              <w:rPr>
                <w:sz w:val="20"/>
                <w:szCs w:val="20"/>
                <w:color w:val="auto"/>
              </w:rPr>
            </w:pPr>
            <w:r>
              <w:rPr>
                <w:rFonts w:ascii="Arial" w:cs="Arial" w:eastAsia="Arial" w:hAnsi="Arial"/>
                <w:sz w:val="14"/>
                <w:szCs w:val="14"/>
                <w:color w:val="auto"/>
              </w:rPr>
              <w:t>Amortization of prior service benefit</w:t>
            </w:r>
          </w:p>
        </w:tc>
        <w:tc>
          <w:tcPr>
            <w:tcW w:w="1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(8.7)</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(9.4)</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(9.7)</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(25.9)</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(28.6)</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(29.3)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Recognized net actuarial loss</w:t>
            </w:r>
          </w:p>
        </w:tc>
        <w:tc>
          <w:tcPr>
            <w:tcW w:w="13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118.5</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90.9</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65.8</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0.9</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00" w:type="dxa"/>
            <w:vAlign w:val="bottom"/>
          </w:tcPr>
          <w:p>
            <w:pPr>
              <w:spacing w:after="0" w:line="149" w:lineRule="exact"/>
              <w:rPr>
                <w:sz w:val="20"/>
                <w:szCs w:val="20"/>
                <w:color w:val="auto"/>
              </w:rPr>
            </w:pPr>
            <w:r>
              <w:rPr>
                <w:rFonts w:ascii="Arial" w:cs="Arial" w:eastAsia="Arial" w:hAnsi="Arial"/>
                <w:sz w:val="14"/>
                <w:szCs w:val="14"/>
                <w:color w:val="auto"/>
              </w:rPr>
              <w:t>Amounts recognized due to special events</w:t>
            </w:r>
          </w:p>
        </w:tc>
        <w:tc>
          <w:tcPr>
            <w:tcW w:w="1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(0.7)</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(1.4)</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(3.5)</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(5.1)</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6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360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periodic benefit cost (income)</w:t>
            </w:r>
          </w:p>
        </w:tc>
        <w:tc>
          <w:tcPr>
            <w:tcW w:w="146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b w:val="1"/>
                <w:bCs w:val="1"/>
                <w:color w:val="auto"/>
              </w:rPr>
              <w:t>$</w:t>
            </w:r>
          </w:p>
        </w:tc>
        <w:tc>
          <w:tcPr>
            <w:tcW w:w="4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143.3</w:t>
            </w:r>
          </w:p>
        </w:tc>
        <w:tc>
          <w:tcPr>
            <w:tcW w:w="10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122.3</w:t>
            </w:r>
          </w:p>
        </w:tc>
        <w:tc>
          <w:tcPr>
            <w:tcW w:w="10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92.8</w:t>
            </w:r>
          </w:p>
        </w:tc>
        <w:tc>
          <w:tcPr>
            <w:tcW w:w="10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5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(47.0)</w:t>
            </w:r>
          </w:p>
        </w:tc>
        <w:tc>
          <w:tcPr>
            <w:tcW w:w="1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50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(55.2)</w:t>
            </w:r>
          </w:p>
        </w:tc>
        <w:tc>
          <w:tcPr>
            <w:tcW w:w="16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56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(58.0)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6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31" w:right="239" w:bottom="1440" w:gutter="0" w:footer="0" w:header="0"/>
        </w:sectPr>
      </w:pPr>
    </w:p>
    <w:p>
      <w:pPr>
        <w:spacing w:after="0" w:line="8"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50" w:name="page151"/>
    <w:bookmarkEnd w:id="15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Employee and Agent Benefits — (continued)</w:t>
      </w:r>
    </w:p>
    <w:p>
      <w:pPr>
        <w:spacing w:after="0" w:line="231" w:lineRule="exact"/>
        <w:rPr>
          <w:sz w:val="20"/>
          <w:szCs w:val="20"/>
          <w:color w:val="auto"/>
        </w:rPr>
      </w:pPr>
    </w:p>
    <w:p>
      <w:pPr>
        <w:jc w:val="both"/>
        <w:ind w:firstLine="471"/>
        <w:spacing w:after="0" w:line="259" w:lineRule="auto"/>
        <w:rPr>
          <w:sz w:val="20"/>
          <w:szCs w:val="20"/>
          <w:color w:val="auto"/>
        </w:rPr>
      </w:pPr>
      <w:r>
        <w:rPr>
          <w:rFonts w:ascii="Arial" w:cs="Arial" w:eastAsia="Arial" w:hAnsi="Arial"/>
          <w:sz w:val="18"/>
          <w:szCs w:val="18"/>
          <w:color w:val="auto"/>
        </w:rPr>
        <w:t>The pension plans' actuarial gains and losses are amortized using a straight-line amortization method over the average remaining service period of plan participants. For the qualified pension plan, gains and losses are amortized without use of the 10% allowable corridor. For the nonqualified pension plans and other postretirement benefit plans, the corridors allowed are used.</w:t>
      </w:r>
    </w:p>
    <w:p>
      <w:pPr>
        <w:spacing w:after="0" w:line="177"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2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gridSpan w:val="4"/>
          </w:tcPr>
          <w:p>
            <w:pPr>
              <w:jc w:val="right"/>
              <w:spacing w:after="0"/>
              <w:rPr>
                <w:sz w:val="20"/>
                <w:szCs w:val="20"/>
                <w:color w:val="auto"/>
              </w:rPr>
            </w:pPr>
            <w:r>
              <w:rPr>
                <w:rFonts w:ascii="Arial" w:cs="Arial" w:eastAsia="Arial" w:hAnsi="Arial"/>
                <w:sz w:val="14"/>
                <w:szCs w:val="14"/>
                <w:b w:val="1"/>
                <w:bCs w:val="1"/>
                <w:color w:val="auto"/>
              </w:rPr>
              <w:t>Other</w:t>
            </w:r>
          </w:p>
        </w:tc>
        <w:tc>
          <w:tcPr>
            <w:tcW w:w="4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gridSpan w:val="4"/>
          </w:tcPr>
          <w:p>
            <w:pPr>
              <w:jc w:val="right"/>
              <w:spacing w:after="0" w:line="149" w:lineRule="exact"/>
              <w:rPr>
                <w:sz w:val="20"/>
                <w:szCs w:val="20"/>
                <w:color w:val="auto"/>
              </w:rPr>
            </w:pPr>
            <w:r>
              <w:rPr>
                <w:rFonts w:ascii="Arial" w:cs="Arial" w:eastAsia="Arial" w:hAnsi="Arial"/>
                <w:sz w:val="14"/>
                <w:szCs w:val="14"/>
                <w:b w:val="1"/>
                <w:bCs w:val="1"/>
                <w:color w:val="auto"/>
              </w:rPr>
              <w:t>Pension</w:t>
            </w: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6"/>
          </w:tcPr>
          <w:p>
            <w:pPr>
              <w:jc w:val="right"/>
              <w:ind w:right="301"/>
              <w:spacing w:after="0" w:line="149" w:lineRule="exact"/>
              <w:rPr>
                <w:sz w:val="20"/>
                <w:szCs w:val="20"/>
                <w:color w:val="auto"/>
              </w:rPr>
            </w:pPr>
            <w:r>
              <w:rPr>
                <w:rFonts w:ascii="Arial" w:cs="Arial" w:eastAsia="Arial" w:hAnsi="Arial"/>
                <w:sz w:val="14"/>
                <w:szCs w:val="14"/>
                <w:b w:val="1"/>
                <w:bCs w:val="1"/>
                <w:color w:val="auto"/>
                <w:w w:val="93"/>
              </w:rPr>
              <w:t>postretirement</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62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benefits</w:t>
            </w:r>
          </w:p>
        </w:tc>
        <w:tc>
          <w:tcPr>
            <w:tcW w:w="4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gridSpan w:val="5"/>
          </w:tcPr>
          <w:p>
            <w:pPr>
              <w:jc w:val="right"/>
              <w:ind w:right="312"/>
              <w:spacing w:after="0"/>
              <w:rPr>
                <w:sz w:val="20"/>
                <w:szCs w:val="20"/>
                <w:color w:val="auto"/>
              </w:rPr>
            </w:pPr>
            <w:r>
              <w:rPr>
                <w:rFonts w:ascii="Arial" w:cs="Arial" w:eastAsia="Arial" w:hAnsi="Arial"/>
                <w:sz w:val="14"/>
                <w:szCs w:val="14"/>
                <w:b w:val="1"/>
                <w:bCs w:val="1"/>
                <w:color w:val="auto"/>
              </w:rPr>
              <w:t>benefits</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2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720" w:type="dxa"/>
            <w:vAlign w:val="bottom"/>
            <w:gridSpan w:val="14"/>
          </w:tcPr>
          <w:p>
            <w:pPr>
              <w:jc w:val="right"/>
              <w:ind w:right="501"/>
              <w:spacing w:after="0" w:line="142" w:lineRule="exact"/>
              <w:rPr>
                <w:sz w:val="20"/>
                <w:szCs w:val="20"/>
                <w:color w:val="auto"/>
              </w:rPr>
            </w:pPr>
            <w:r>
              <w:rPr>
                <w:rFonts w:ascii="Arial" w:cs="Arial" w:eastAsia="Arial" w:hAnsi="Arial"/>
                <w:sz w:val="14"/>
                <w:szCs w:val="14"/>
                <w:b w:val="1"/>
                <w:bCs w:val="1"/>
                <w:color w:val="auto"/>
                <w:w w:val="98"/>
              </w:rPr>
              <w:t>For the year ended December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2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89"/>
              </w:rPr>
              <w:t>2013</w:t>
            </w:r>
          </w:p>
        </w:tc>
        <w:tc>
          <w:tcPr>
            <w:tcW w:w="10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00" w:type="dxa"/>
            <w:vAlign w:val="bottom"/>
            <w:tcBorders>
              <w:top w:val="single" w:sz="8" w:color="auto"/>
              <w:bottom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3"/>
              </w:rPr>
              <w:t>2012</w:t>
            </w:r>
          </w:p>
        </w:tc>
        <w:tc>
          <w:tcPr>
            <w:tcW w:w="10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00" w:type="dxa"/>
            <w:vAlign w:val="bottom"/>
            <w:tcBorders>
              <w:top w:val="single" w:sz="8" w:color="auto"/>
              <w:bottom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3"/>
              </w:rPr>
              <w:t>2013</w:t>
            </w:r>
          </w:p>
        </w:tc>
        <w:tc>
          <w:tcPr>
            <w:tcW w:w="14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420" w:type="dxa"/>
            <w:vAlign w:val="bottom"/>
            <w:tcBorders>
              <w:top w:val="single" w:sz="8" w:color="auto"/>
              <w:bottom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9"/>
              </w:rPr>
              <w:t>2012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2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0" w:type="dxa"/>
            <w:vAlign w:val="bottom"/>
          </w:tcPr>
          <w:p>
            <w:pPr>
              <w:jc w:val="right"/>
              <w:ind w:right="5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680" w:type="dxa"/>
            <w:vAlign w:val="bottom"/>
            <w:gridSpan w:val="4"/>
          </w:tcPr>
          <w:p>
            <w:pPr>
              <w:jc w:val="center"/>
              <w:ind w:right="212"/>
              <w:spacing w:after="0"/>
              <w:rPr>
                <w:sz w:val="20"/>
                <w:szCs w:val="20"/>
                <w:color w:val="auto"/>
              </w:rPr>
            </w:pPr>
            <w:r>
              <w:rPr>
                <w:rFonts w:ascii="Arial" w:cs="Arial" w:eastAsia="Arial" w:hAnsi="Arial"/>
                <w:sz w:val="12"/>
                <w:szCs w:val="12"/>
                <w:b w:val="1"/>
                <w:bCs w:val="1"/>
                <w:i w:val="1"/>
                <w:iCs w:val="1"/>
                <w:color w:val="auto"/>
                <w:w w:val="80"/>
              </w:rPr>
              <w:t>millions)</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Other changes recognized in accumulated other comprehensive (income) loss</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80" w:type="dxa"/>
            <w:vAlign w:val="bottom"/>
          </w:tcPr>
          <w:p>
            <w:pPr>
              <w:spacing w:after="0" w:line="149" w:lineRule="exact"/>
              <w:rPr>
                <w:sz w:val="20"/>
                <w:szCs w:val="20"/>
                <w:color w:val="auto"/>
              </w:rPr>
            </w:pPr>
            <w:r>
              <w:rPr>
                <w:rFonts w:ascii="Arial" w:cs="Arial" w:eastAsia="Arial" w:hAnsi="Arial"/>
                <w:sz w:val="14"/>
                <w:szCs w:val="14"/>
                <w:color w:val="auto"/>
              </w:rPr>
              <w:t>Net actuarial (gain) loss</w:t>
            </w:r>
          </w:p>
        </w:tc>
        <w:tc>
          <w:tcPr>
            <w:tcW w:w="1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560" w:type="dxa"/>
            <w:vAlign w:val="bottom"/>
            <w:gridSpan w:val="2"/>
          </w:tcPr>
          <w:p>
            <w:pPr>
              <w:jc w:val="right"/>
              <w:ind w:right="21"/>
              <w:spacing w:after="0" w:line="149" w:lineRule="exact"/>
              <w:rPr>
                <w:sz w:val="20"/>
                <w:szCs w:val="20"/>
                <w:color w:val="auto"/>
              </w:rPr>
            </w:pPr>
            <w:r>
              <w:rPr>
                <w:rFonts w:ascii="Arial" w:cs="Arial" w:eastAsia="Arial" w:hAnsi="Arial"/>
                <w:sz w:val="14"/>
                <w:szCs w:val="14"/>
                <w:b w:val="1"/>
                <w:bCs w:val="1"/>
                <w:color w:val="auto"/>
              </w:rPr>
              <w:t>(351.7)</w:t>
            </w:r>
          </w:p>
        </w:tc>
        <w:tc>
          <w:tcPr>
            <w:tcW w:w="20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400" w:type="dxa"/>
            <w:vAlign w:val="bottom"/>
          </w:tcPr>
          <w:p>
            <w:pPr>
              <w:jc w:val="right"/>
              <w:spacing w:after="0" w:line="149" w:lineRule="exact"/>
              <w:rPr>
                <w:sz w:val="20"/>
                <w:szCs w:val="20"/>
                <w:color w:val="auto"/>
              </w:rPr>
            </w:pPr>
            <w:r>
              <w:rPr>
                <w:rFonts w:ascii="Arial" w:cs="Arial" w:eastAsia="Arial" w:hAnsi="Arial"/>
                <w:sz w:val="14"/>
                <w:szCs w:val="14"/>
                <w:color w:val="auto"/>
              </w:rPr>
              <w:t>292.1</w:t>
            </w:r>
          </w:p>
        </w:tc>
        <w:tc>
          <w:tcPr>
            <w:tcW w:w="100" w:type="dxa"/>
            <w:vAlign w:val="bottom"/>
          </w:tcPr>
          <w:p>
            <w:pPr>
              <w:spacing w:after="0"/>
              <w:rPr>
                <w:sz w:val="12"/>
                <w:szCs w:val="12"/>
                <w:color w:val="auto"/>
              </w:rPr>
            </w:pPr>
          </w:p>
        </w:tc>
        <w:tc>
          <w:tcPr>
            <w:tcW w:w="1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76"/>
              </w:rPr>
              <w:t>$</w:t>
            </w:r>
          </w:p>
        </w:tc>
        <w:tc>
          <w:tcPr>
            <w:tcW w:w="540" w:type="dxa"/>
            <w:vAlign w:val="bottom"/>
            <w:gridSpan w:val="2"/>
          </w:tcPr>
          <w:p>
            <w:pPr>
              <w:jc w:val="right"/>
              <w:ind w:right="61"/>
              <w:spacing w:after="0" w:line="149" w:lineRule="exact"/>
              <w:rPr>
                <w:sz w:val="20"/>
                <w:szCs w:val="20"/>
                <w:color w:val="auto"/>
              </w:rPr>
            </w:pPr>
            <w:r>
              <w:rPr>
                <w:rFonts w:ascii="Arial" w:cs="Arial" w:eastAsia="Arial" w:hAnsi="Arial"/>
                <w:sz w:val="14"/>
                <w:szCs w:val="14"/>
                <w:b w:val="1"/>
                <w:bCs w:val="1"/>
                <w:color w:val="auto"/>
              </w:rPr>
              <w:t>(75.0)</w:t>
            </w: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580" w:type="dxa"/>
            <w:vAlign w:val="bottom"/>
            <w:gridSpan w:val="2"/>
          </w:tcPr>
          <w:p>
            <w:pPr>
              <w:jc w:val="right"/>
              <w:ind w:right="81"/>
              <w:spacing w:after="0" w:line="149" w:lineRule="exact"/>
              <w:rPr>
                <w:sz w:val="20"/>
                <w:szCs w:val="20"/>
                <w:color w:val="auto"/>
              </w:rPr>
            </w:pPr>
            <w:r>
              <w:rPr>
                <w:rFonts w:ascii="Arial" w:cs="Arial" w:eastAsia="Arial" w:hAnsi="Arial"/>
                <w:sz w:val="14"/>
                <w:szCs w:val="14"/>
                <w:color w:val="auto"/>
              </w:rPr>
              <w:t>(46.4)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Amortization of net loss</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1"/>
              <w:spacing w:after="0" w:line="149" w:lineRule="exact"/>
              <w:rPr>
                <w:sz w:val="20"/>
                <w:szCs w:val="20"/>
                <w:color w:val="auto"/>
              </w:rPr>
            </w:pPr>
            <w:r>
              <w:rPr>
                <w:rFonts w:ascii="Arial" w:cs="Arial" w:eastAsia="Arial" w:hAnsi="Arial"/>
                <w:sz w:val="14"/>
                <w:szCs w:val="14"/>
                <w:b w:val="1"/>
                <w:bCs w:val="1"/>
                <w:color w:val="auto"/>
              </w:rPr>
              <w:t>(118.5)</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(90.9)</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61"/>
              <w:spacing w:after="0" w:line="149" w:lineRule="exact"/>
              <w:rPr>
                <w:sz w:val="20"/>
                <w:szCs w:val="20"/>
                <w:color w:val="auto"/>
              </w:rPr>
            </w:pPr>
            <w:r>
              <w:rPr>
                <w:rFonts w:ascii="Arial" w:cs="Arial" w:eastAsia="Arial" w:hAnsi="Arial"/>
                <w:sz w:val="14"/>
                <w:szCs w:val="14"/>
                <w:b w:val="1"/>
                <w:bCs w:val="1"/>
                <w:color w:val="auto"/>
              </w:rPr>
              <w:t>(1.0)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81"/>
              <w:spacing w:after="0" w:line="149" w:lineRule="exact"/>
              <w:rPr>
                <w:sz w:val="20"/>
                <w:szCs w:val="20"/>
                <w:color w:val="auto"/>
              </w:rPr>
            </w:pPr>
            <w:r>
              <w:rPr>
                <w:rFonts w:ascii="Arial" w:cs="Arial" w:eastAsia="Arial" w:hAnsi="Arial"/>
                <w:sz w:val="14"/>
                <w:szCs w:val="14"/>
                <w:color w:val="auto"/>
              </w:rPr>
              <w:t>(0.9)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80" w:type="dxa"/>
            <w:vAlign w:val="bottom"/>
          </w:tcPr>
          <w:p>
            <w:pPr>
              <w:spacing w:after="0" w:line="149" w:lineRule="exact"/>
              <w:rPr>
                <w:sz w:val="20"/>
                <w:szCs w:val="20"/>
                <w:color w:val="auto"/>
              </w:rPr>
            </w:pPr>
            <w:r>
              <w:rPr>
                <w:rFonts w:ascii="Arial" w:cs="Arial" w:eastAsia="Arial" w:hAnsi="Arial"/>
                <w:sz w:val="14"/>
                <w:szCs w:val="14"/>
                <w:color w:val="auto"/>
              </w:rPr>
              <w:t>Amortization of prior service benefit</w:t>
            </w:r>
          </w:p>
        </w:tc>
        <w:tc>
          <w:tcPr>
            <w:tcW w:w="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8.7</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10.1</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25.9</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32.1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2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 recognized in pre-tax accumulated other comprehensive (income) loss</w:t>
            </w:r>
          </w:p>
        </w:tc>
        <w:tc>
          <w:tcPr>
            <w:tcW w:w="1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560" w:type="dxa"/>
            <w:vAlign w:val="bottom"/>
            <w:gridSpan w:val="2"/>
            <w:shd w:val="clear" w:color="auto" w:fill="CCEEFF"/>
          </w:tcPr>
          <w:p>
            <w:pPr>
              <w:jc w:val="right"/>
              <w:ind w:right="21"/>
              <w:spacing w:after="0" w:line="142" w:lineRule="exact"/>
              <w:rPr>
                <w:sz w:val="20"/>
                <w:szCs w:val="20"/>
                <w:color w:val="auto"/>
              </w:rPr>
            </w:pPr>
            <w:r>
              <w:rPr>
                <w:rFonts w:ascii="Arial" w:cs="Arial" w:eastAsia="Arial" w:hAnsi="Arial"/>
                <w:sz w:val="14"/>
                <w:szCs w:val="14"/>
                <w:b w:val="1"/>
                <w:bCs w:val="1"/>
                <w:color w:val="auto"/>
              </w:rPr>
              <w:t>(461.5)</w:t>
            </w:r>
          </w:p>
        </w:tc>
        <w:tc>
          <w:tcPr>
            <w:tcW w:w="200" w:type="dxa"/>
            <w:vAlign w:val="bottom"/>
            <w:gridSpan w:val="2"/>
            <w:shd w:val="clear" w:color="auto" w:fill="CCEEFF"/>
          </w:tcPr>
          <w:p>
            <w:pPr>
              <w:jc w:val="right"/>
              <w:ind w:right="9"/>
              <w:spacing w:after="0" w:line="142" w:lineRule="exact"/>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211.3</w:t>
            </w:r>
          </w:p>
        </w:tc>
        <w:tc>
          <w:tcPr>
            <w:tcW w:w="10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center"/>
              <w:spacing w:after="0" w:line="142" w:lineRule="exact"/>
              <w:rPr>
                <w:sz w:val="20"/>
                <w:szCs w:val="20"/>
                <w:color w:val="auto"/>
              </w:rPr>
            </w:pPr>
            <w:r>
              <w:rPr>
                <w:rFonts w:ascii="Arial" w:cs="Arial" w:eastAsia="Arial" w:hAnsi="Arial"/>
                <w:sz w:val="14"/>
                <w:szCs w:val="14"/>
                <w:b w:val="1"/>
                <w:bCs w:val="1"/>
                <w:color w:val="auto"/>
                <w:w w:val="76"/>
              </w:rPr>
              <w:t>$</w:t>
            </w:r>
          </w:p>
        </w:tc>
        <w:tc>
          <w:tcPr>
            <w:tcW w:w="540" w:type="dxa"/>
            <w:vAlign w:val="bottom"/>
            <w:gridSpan w:val="2"/>
            <w:shd w:val="clear" w:color="auto" w:fill="CCEEFF"/>
          </w:tcPr>
          <w:p>
            <w:pPr>
              <w:jc w:val="right"/>
              <w:ind w:right="61"/>
              <w:spacing w:after="0" w:line="142" w:lineRule="exact"/>
              <w:rPr>
                <w:sz w:val="20"/>
                <w:szCs w:val="20"/>
                <w:color w:val="auto"/>
              </w:rPr>
            </w:pPr>
            <w:r>
              <w:rPr>
                <w:rFonts w:ascii="Arial" w:cs="Arial" w:eastAsia="Arial" w:hAnsi="Arial"/>
                <w:sz w:val="14"/>
                <w:szCs w:val="14"/>
                <w:b w:val="1"/>
                <w:bCs w:val="1"/>
                <w:color w:val="auto"/>
              </w:rPr>
              <w:t>(50.1)</w:t>
            </w:r>
          </w:p>
        </w:tc>
        <w:tc>
          <w:tcPr>
            <w:tcW w:w="1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580" w:type="dxa"/>
            <w:vAlign w:val="bottom"/>
            <w:gridSpan w:val="2"/>
            <w:shd w:val="clear" w:color="auto" w:fill="CCEEFF"/>
          </w:tcPr>
          <w:p>
            <w:pPr>
              <w:jc w:val="right"/>
              <w:ind w:right="81"/>
              <w:spacing w:after="0" w:line="142" w:lineRule="exact"/>
              <w:rPr>
                <w:sz w:val="20"/>
                <w:szCs w:val="20"/>
                <w:color w:val="auto"/>
              </w:rPr>
            </w:pPr>
            <w:r>
              <w:rPr>
                <w:rFonts w:ascii="Arial" w:cs="Arial" w:eastAsia="Arial" w:hAnsi="Arial"/>
                <w:sz w:val="14"/>
                <w:szCs w:val="14"/>
                <w:color w:val="auto"/>
              </w:rPr>
              <w:t>(15.2)</w:t>
            </w:r>
          </w:p>
        </w:tc>
        <w:tc>
          <w:tcPr>
            <w:tcW w:w="0" w:type="dxa"/>
            <w:vAlign w:val="bottom"/>
          </w:tcPr>
          <w:p>
            <w:pPr>
              <w:spacing w:after="0"/>
              <w:rPr>
                <w:sz w:val="1"/>
                <w:szCs w:val="1"/>
                <w:color w:val="auto"/>
              </w:rPr>
            </w:pPr>
          </w:p>
        </w:tc>
      </w:tr>
      <w:tr>
        <w:trPr>
          <w:trHeight w:val="20"/>
        </w:trPr>
        <w:tc>
          <w:tcPr>
            <w:tcW w:w="630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89"/>
              </w:rPr>
              <w:t>Total recognized in net periodic benefit cost and pre-tax accumulated other comprehensive (income) loss</w:t>
            </w:r>
          </w:p>
        </w:tc>
        <w:tc>
          <w:tcPr>
            <w:tcW w:w="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6300" w:type="dxa"/>
            <w:vAlign w:val="bottom"/>
            <w:gridSpan w:val="2"/>
            <w:vMerge w:val="continue"/>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46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rPr>
              <w:t>(318.2</w:t>
            </w:r>
          </w:p>
        </w:tc>
        <w:tc>
          <w:tcPr>
            <w:tcW w:w="100" w:type="dxa"/>
            <w:vAlign w:val="bottom"/>
          </w:tcPr>
          <w:p>
            <w:pPr>
              <w:jc w:val="right"/>
              <w:ind w:right="21"/>
              <w:spacing w:after="0"/>
              <w:rPr>
                <w:sz w:val="20"/>
                <w:szCs w:val="20"/>
                <w:color w:val="auto"/>
              </w:rPr>
            </w:pPr>
            <w:r>
              <w:rPr>
                <w:rFonts w:ascii="Arial" w:cs="Arial" w:eastAsia="Arial" w:hAnsi="Arial"/>
                <w:sz w:val="8"/>
                <w:szCs w:val="8"/>
                <w:b w:val="1"/>
                <w:bCs w:val="1"/>
                <w:color w:val="auto"/>
                <w:w w:val="73"/>
              </w:rPr>
              <w:t>)</w:t>
            </w:r>
          </w:p>
        </w:tc>
        <w:tc>
          <w:tcPr>
            <w:tcW w:w="80" w:type="dxa"/>
            <w:vAlign w:val="bottom"/>
          </w:tcPr>
          <w:p>
            <w:pPr>
              <w:spacing w:after="0"/>
              <w:rPr>
                <w:sz w:val="11"/>
                <w:szCs w:val="11"/>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40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color w:val="auto"/>
              </w:rPr>
              <w:t>333.6</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Borders>
              <w:bottom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76"/>
              </w:rPr>
              <w:t>$</w:t>
            </w:r>
          </w:p>
        </w:tc>
        <w:tc>
          <w:tcPr>
            <w:tcW w:w="40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rPr>
              <w:t>(97.1</w:t>
            </w:r>
          </w:p>
        </w:tc>
        <w:tc>
          <w:tcPr>
            <w:tcW w:w="140" w:type="dxa"/>
            <w:vAlign w:val="bottom"/>
          </w:tcPr>
          <w:p>
            <w:pPr>
              <w:jc w:val="right"/>
              <w:ind w:right="61"/>
              <w:spacing w:after="0"/>
              <w:rPr>
                <w:sz w:val="20"/>
                <w:szCs w:val="20"/>
                <w:color w:val="auto"/>
              </w:rPr>
            </w:pPr>
            <w:r>
              <w:rPr>
                <w:rFonts w:ascii="Arial" w:cs="Arial" w:eastAsia="Arial" w:hAnsi="Arial"/>
                <w:sz w:val="8"/>
                <w:szCs w:val="8"/>
                <w:b w:val="1"/>
                <w:bCs w:val="1"/>
                <w:color w:val="auto"/>
                <w:w w:val="73"/>
              </w:rPr>
              <w:t>)</w:t>
            </w:r>
          </w:p>
        </w:tc>
        <w:tc>
          <w:tcPr>
            <w:tcW w:w="80" w:type="dxa"/>
            <w:vAlign w:val="bottom"/>
          </w:tcPr>
          <w:p>
            <w:pPr>
              <w:spacing w:after="0"/>
              <w:rPr>
                <w:sz w:val="11"/>
                <w:szCs w:val="11"/>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2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color w:val="auto"/>
              </w:rPr>
              <w:t>(70.4</w:t>
            </w:r>
          </w:p>
        </w:tc>
        <w:tc>
          <w:tcPr>
            <w:tcW w:w="160" w:type="dxa"/>
            <w:vAlign w:val="bottom"/>
          </w:tcPr>
          <w:p>
            <w:pPr>
              <w:jc w:val="right"/>
              <w:ind w:right="81"/>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Net actuarial (gain) loss and net prior service cost benefit have been recognized in AOCI.</w:t>
      </w:r>
    </w:p>
    <w:p>
      <w:pPr>
        <w:spacing w:after="0" w:line="225" w:lineRule="exact"/>
        <w:rPr>
          <w:sz w:val="20"/>
          <w:szCs w:val="20"/>
          <w:color w:val="auto"/>
        </w:rPr>
      </w:pPr>
    </w:p>
    <w:p>
      <w:pPr>
        <w:jc w:val="both"/>
        <w:ind w:firstLine="348"/>
        <w:spacing w:after="0" w:line="256" w:lineRule="auto"/>
        <w:rPr>
          <w:sz w:val="20"/>
          <w:szCs w:val="20"/>
          <w:color w:val="auto"/>
        </w:rPr>
      </w:pPr>
      <w:r>
        <w:rPr>
          <w:rFonts w:ascii="Arial" w:cs="Arial" w:eastAsia="Arial" w:hAnsi="Arial"/>
          <w:sz w:val="18"/>
          <w:szCs w:val="18"/>
          <w:color w:val="auto"/>
        </w:rPr>
        <w:t>The estimated net actuarial (gain) loss and prior service cost (benefit) that will be amortized from AOCI into net periodic benefit cost for the pension benefits during the 2014 fiscal year are $50.6 million and $(4.8) million, respectively. The estimated net actuarial (gain) loss and prior service cost (benefit) for the postretirement benefits that will be amortized from AOCI into net periodic benefit cost during the 2014 fiscal year are $(3.4) million and $(20.3) million, respectively.</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Assumptions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Weighted-average assumptions used to determine benefit obligations as disclosed under the Obligations and Funded Status section</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56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40" w:type="dxa"/>
            <w:vAlign w:val="bottom"/>
            <w:gridSpan w:val="4"/>
          </w:tcPr>
          <w:p>
            <w:pPr>
              <w:jc w:val="center"/>
              <w:ind w:left="112"/>
              <w:spacing w:after="0"/>
              <w:rPr>
                <w:sz w:val="20"/>
                <w:szCs w:val="20"/>
                <w:color w:val="auto"/>
              </w:rPr>
            </w:pPr>
            <w:r>
              <w:rPr>
                <w:rFonts w:ascii="Arial" w:cs="Arial" w:eastAsia="Arial" w:hAnsi="Arial"/>
                <w:sz w:val="14"/>
                <w:szCs w:val="14"/>
                <w:b w:val="1"/>
                <w:bCs w:val="1"/>
                <w:color w:val="auto"/>
                <w:w w:val="90"/>
              </w:rPr>
              <w:t>Other</w:t>
            </w:r>
          </w:p>
        </w:tc>
        <w:tc>
          <w:tcPr>
            <w:tcW w:w="36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49"/>
        </w:trPr>
        <w:tc>
          <w:tcPr>
            <w:tcW w:w="1160" w:type="dxa"/>
            <w:vAlign w:val="bottom"/>
          </w:tcPr>
          <w:p>
            <w:pPr>
              <w:spacing w:after="0"/>
              <w:rPr>
                <w:sz w:val="12"/>
                <w:szCs w:val="12"/>
                <w:color w:val="auto"/>
              </w:rPr>
            </w:pPr>
          </w:p>
        </w:tc>
        <w:tc>
          <w:tcPr>
            <w:tcW w:w="56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gridSpan w:val="4"/>
          </w:tcPr>
          <w:p>
            <w:pPr>
              <w:ind w:left="100"/>
              <w:spacing w:after="0" w:line="149" w:lineRule="exact"/>
              <w:rPr>
                <w:sz w:val="20"/>
                <w:szCs w:val="20"/>
                <w:color w:val="auto"/>
              </w:rPr>
            </w:pPr>
            <w:r>
              <w:rPr>
                <w:rFonts w:ascii="Arial" w:cs="Arial" w:eastAsia="Arial" w:hAnsi="Arial"/>
                <w:sz w:val="14"/>
                <w:szCs w:val="14"/>
                <w:b w:val="1"/>
                <w:bCs w:val="1"/>
                <w:color w:val="auto"/>
                <w:w w:val="84"/>
              </w:rPr>
              <w:t>Pension</w:t>
            </w: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80" w:type="dxa"/>
            <w:vAlign w:val="bottom"/>
            <w:gridSpan w:val="7"/>
          </w:tcPr>
          <w:p>
            <w:pPr>
              <w:jc w:val="center"/>
              <w:ind w:right="300"/>
              <w:spacing w:after="0" w:line="149" w:lineRule="exact"/>
              <w:rPr>
                <w:sz w:val="20"/>
                <w:szCs w:val="20"/>
                <w:color w:val="auto"/>
              </w:rPr>
            </w:pPr>
            <w:r>
              <w:rPr>
                <w:rFonts w:ascii="Arial" w:cs="Arial" w:eastAsia="Arial" w:hAnsi="Arial"/>
                <w:sz w:val="14"/>
                <w:szCs w:val="14"/>
                <w:b w:val="1"/>
                <w:bCs w:val="1"/>
                <w:color w:val="auto"/>
                <w:w w:val="85"/>
              </w:rPr>
              <w:t>postretirement</w:t>
            </w:r>
          </w:p>
        </w:tc>
      </w:tr>
      <w:tr>
        <w:trPr>
          <w:trHeight w:val="161"/>
        </w:trPr>
        <w:tc>
          <w:tcPr>
            <w:tcW w:w="1160" w:type="dxa"/>
            <w:vAlign w:val="bottom"/>
          </w:tcPr>
          <w:p>
            <w:pPr>
              <w:spacing w:after="0"/>
              <w:rPr>
                <w:sz w:val="14"/>
                <w:szCs w:val="14"/>
                <w:color w:val="auto"/>
              </w:rPr>
            </w:pPr>
          </w:p>
        </w:tc>
        <w:tc>
          <w:tcPr>
            <w:tcW w:w="56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gridSpan w:val="4"/>
          </w:tcPr>
          <w:p>
            <w:pPr>
              <w:ind w:left="100"/>
              <w:spacing w:after="0"/>
              <w:rPr>
                <w:sz w:val="20"/>
                <w:szCs w:val="20"/>
                <w:color w:val="auto"/>
              </w:rPr>
            </w:pPr>
            <w:r>
              <w:rPr>
                <w:rFonts w:ascii="Arial" w:cs="Arial" w:eastAsia="Arial" w:hAnsi="Arial"/>
                <w:sz w:val="14"/>
                <w:szCs w:val="14"/>
                <w:b w:val="1"/>
                <w:bCs w:val="1"/>
                <w:color w:val="auto"/>
                <w:w w:val="85"/>
              </w:rPr>
              <w:t>benefits</w:t>
            </w:r>
          </w:p>
        </w:tc>
        <w:tc>
          <w:tcPr>
            <w:tcW w:w="16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gridSpan w:val="4"/>
          </w:tcPr>
          <w:p>
            <w:pPr>
              <w:ind w:left="200"/>
              <w:spacing w:after="0"/>
              <w:rPr>
                <w:sz w:val="20"/>
                <w:szCs w:val="20"/>
                <w:color w:val="auto"/>
              </w:rPr>
            </w:pPr>
            <w:r>
              <w:rPr>
                <w:rFonts w:ascii="Arial" w:cs="Arial" w:eastAsia="Arial" w:hAnsi="Arial"/>
                <w:sz w:val="14"/>
                <w:szCs w:val="14"/>
                <w:b w:val="1"/>
                <w:bCs w:val="1"/>
                <w:color w:val="auto"/>
                <w:w w:val="78"/>
              </w:rPr>
              <w:t>benefits</w:t>
            </w:r>
          </w:p>
        </w:tc>
        <w:tc>
          <w:tcPr>
            <w:tcW w:w="3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1160" w:type="dxa"/>
            <w:vAlign w:val="bottom"/>
          </w:tcPr>
          <w:p>
            <w:pPr>
              <w:spacing w:after="0"/>
              <w:rPr>
                <w:sz w:val="12"/>
                <w:szCs w:val="12"/>
                <w:color w:val="auto"/>
              </w:rPr>
            </w:pPr>
          </w:p>
        </w:tc>
        <w:tc>
          <w:tcPr>
            <w:tcW w:w="56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gridSpan w:val="7"/>
          </w:tcPr>
          <w:p>
            <w:pPr>
              <w:ind w:left="100"/>
              <w:spacing w:after="0" w:line="142" w:lineRule="exact"/>
              <w:rPr>
                <w:sz w:val="20"/>
                <w:szCs w:val="20"/>
                <w:color w:val="auto"/>
              </w:rPr>
            </w:pPr>
            <w:r>
              <w:rPr>
                <w:rFonts w:ascii="Arial" w:cs="Arial" w:eastAsia="Arial" w:hAnsi="Arial"/>
                <w:sz w:val="14"/>
                <w:szCs w:val="14"/>
                <w:b w:val="1"/>
                <w:bCs w:val="1"/>
                <w:color w:val="auto"/>
                <w:w w:val="89"/>
              </w:rPr>
              <w:t>For the year</w:t>
            </w:r>
          </w:p>
        </w:tc>
        <w:tc>
          <w:tcPr>
            <w:tcW w:w="3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72"/>
              </w:rPr>
              <w:t>ended</w:t>
            </w:r>
          </w:p>
        </w:tc>
        <w:tc>
          <w:tcPr>
            <w:tcW w:w="1160" w:type="dxa"/>
            <w:vAlign w:val="bottom"/>
            <w:tcBorders>
              <w:bottom w:val="single" w:sz="8" w:color="auto"/>
            </w:tcBorders>
            <w:gridSpan w:val="7"/>
          </w:tcPr>
          <w:p>
            <w:pPr>
              <w:ind w:left="80"/>
              <w:spacing w:after="0" w:line="142" w:lineRule="exact"/>
              <w:rPr>
                <w:sz w:val="20"/>
                <w:szCs w:val="20"/>
                <w:color w:val="auto"/>
              </w:rPr>
            </w:pPr>
            <w:r>
              <w:rPr>
                <w:rFonts w:ascii="Arial" w:cs="Arial" w:eastAsia="Arial" w:hAnsi="Arial"/>
                <w:sz w:val="14"/>
                <w:szCs w:val="14"/>
                <w:b w:val="1"/>
                <w:bCs w:val="1"/>
                <w:color w:val="auto"/>
              </w:rPr>
              <w:t>December 31,</w:t>
            </w:r>
          </w:p>
        </w:tc>
        <w:tc>
          <w:tcPr>
            <w:tcW w:w="160" w:type="dxa"/>
            <w:vAlign w:val="bottom"/>
          </w:tcPr>
          <w:p>
            <w:pPr>
              <w:spacing w:after="0"/>
              <w:rPr>
                <w:sz w:val="12"/>
                <w:szCs w:val="12"/>
                <w:color w:val="auto"/>
              </w:rPr>
            </w:pPr>
          </w:p>
        </w:tc>
      </w:tr>
      <w:tr>
        <w:trPr>
          <w:trHeight w:val="142"/>
        </w:trPr>
        <w:tc>
          <w:tcPr>
            <w:tcW w:w="1160" w:type="dxa"/>
            <w:vAlign w:val="bottom"/>
          </w:tcPr>
          <w:p>
            <w:pPr>
              <w:spacing w:after="0"/>
              <w:rPr>
                <w:sz w:val="12"/>
                <w:szCs w:val="12"/>
                <w:color w:val="auto"/>
              </w:rPr>
            </w:pPr>
          </w:p>
        </w:tc>
        <w:tc>
          <w:tcPr>
            <w:tcW w:w="56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4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6"/>
              </w:rPr>
              <w:t>2013</w:t>
            </w:r>
          </w:p>
        </w:tc>
        <w:tc>
          <w:tcPr>
            <w:tcW w:w="80" w:type="dxa"/>
            <w:vAlign w:val="bottom"/>
            <w:tcBorders>
              <w:bottom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360" w:type="dxa"/>
            <w:vAlign w:val="bottom"/>
            <w:tcBorders>
              <w:bottom w:val="single" w:sz="8" w:color="auto"/>
            </w:tcBorders>
            <w:gridSpan w:val="3"/>
          </w:tcPr>
          <w:p>
            <w:pPr>
              <w:jc w:val="right"/>
              <w:ind w:right="20"/>
              <w:spacing w:after="0" w:line="142" w:lineRule="exact"/>
              <w:rPr>
                <w:sz w:val="20"/>
                <w:szCs w:val="20"/>
                <w:color w:val="auto"/>
              </w:rPr>
            </w:pPr>
            <w:r>
              <w:rPr>
                <w:rFonts w:ascii="Arial" w:cs="Arial" w:eastAsia="Arial" w:hAnsi="Arial"/>
                <w:sz w:val="14"/>
                <w:szCs w:val="14"/>
                <w:b w:val="1"/>
                <w:bCs w:val="1"/>
                <w:color w:val="auto"/>
              </w:rPr>
              <w:t>2012</w:t>
            </w:r>
          </w:p>
        </w:tc>
        <w:tc>
          <w:tcPr>
            <w:tcW w:w="60" w:type="dxa"/>
            <w:vAlign w:val="bottom"/>
            <w:tcBorders>
              <w:bottom w:val="single" w:sz="8" w:color="auto"/>
            </w:tcBorders>
          </w:tcPr>
          <w:p>
            <w:pPr>
              <w:spacing w:after="0"/>
              <w:rPr>
                <w:sz w:val="12"/>
                <w:szCs w:val="12"/>
                <w:color w:val="auto"/>
              </w:rPr>
            </w:pPr>
          </w:p>
        </w:tc>
        <w:tc>
          <w:tcPr>
            <w:tcW w:w="320" w:type="dxa"/>
            <w:vAlign w:val="bottom"/>
          </w:tcPr>
          <w:p>
            <w:pPr>
              <w:spacing w:after="0"/>
              <w:rPr>
                <w:sz w:val="12"/>
                <w:szCs w:val="12"/>
                <w:color w:val="auto"/>
              </w:rPr>
            </w:pPr>
          </w:p>
        </w:tc>
        <w:tc>
          <w:tcPr>
            <w:tcW w:w="420" w:type="dxa"/>
            <w:vAlign w:val="bottom"/>
            <w:tcBorders>
              <w:bottom w:val="single" w:sz="8" w:color="auto"/>
            </w:tcBorders>
            <w:gridSpan w:val="3"/>
          </w:tcPr>
          <w:p>
            <w:pPr>
              <w:ind w:left="60"/>
              <w:spacing w:after="0" w:line="142" w:lineRule="exact"/>
              <w:rPr>
                <w:sz w:val="20"/>
                <w:szCs w:val="20"/>
                <w:color w:val="auto"/>
              </w:rPr>
            </w:pPr>
            <w:r>
              <w:rPr>
                <w:rFonts w:ascii="Arial" w:cs="Arial" w:eastAsia="Arial" w:hAnsi="Arial"/>
                <w:sz w:val="14"/>
                <w:szCs w:val="14"/>
                <w:b w:val="1"/>
                <w:bCs w:val="1"/>
                <w:color w:val="auto"/>
              </w:rPr>
              <w:t>2013</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w w:val="83"/>
              </w:rPr>
              <w:t>2012</w:t>
            </w:r>
          </w:p>
        </w:tc>
        <w:tc>
          <w:tcPr>
            <w:tcW w:w="160" w:type="dxa"/>
            <w:vAlign w:val="bottom"/>
          </w:tcPr>
          <w:p>
            <w:pPr>
              <w:spacing w:after="0"/>
              <w:rPr>
                <w:sz w:val="12"/>
                <w:szCs w:val="12"/>
                <w:color w:val="auto"/>
              </w:rPr>
            </w:pPr>
          </w:p>
        </w:tc>
      </w:tr>
      <w:tr>
        <w:trPr>
          <w:trHeight w:val="142"/>
        </w:trPr>
        <w:tc>
          <w:tcPr>
            <w:tcW w:w="1160" w:type="dxa"/>
            <w:vAlign w:val="bottom"/>
          </w:tcPr>
          <w:p>
            <w:pPr>
              <w:spacing w:after="0"/>
              <w:rPr>
                <w:sz w:val="12"/>
                <w:szCs w:val="12"/>
                <w:color w:val="auto"/>
              </w:rPr>
            </w:pPr>
          </w:p>
        </w:tc>
        <w:tc>
          <w:tcPr>
            <w:tcW w:w="564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Discount rate</w:t>
            </w:r>
          </w:p>
        </w:tc>
        <w:tc>
          <w:tcPr>
            <w:tcW w:w="4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40" w:type="dxa"/>
            <w:vAlign w:val="bottom"/>
            <w:gridSpan w:val="5"/>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4.90%</w:t>
            </w:r>
          </w:p>
        </w:tc>
        <w:tc>
          <w:tcPr>
            <w:tcW w:w="160" w:type="dxa"/>
            <w:vAlign w:val="bottom"/>
            <w:shd w:val="clear" w:color="auto" w:fill="CCEEFF"/>
          </w:tcPr>
          <w:p>
            <w:pPr>
              <w:spacing w:after="0"/>
              <w:rPr>
                <w:sz w:val="12"/>
                <w:szCs w:val="12"/>
                <w:color w:val="auto"/>
              </w:rPr>
            </w:pPr>
          </w:p>
        </w:tc>
        <w:tc>
          <w:tcPr>
            <w:tcW w:w="580" w:type="dxa"/>
            <w:vAlign w:val="bottom"/>
            <w:gridSpan w:val="4"/>
            <w:shd w:val="clear" w:color="auto" w:fill="CCEEFF"/>
          </w:tcPr>
          <w:p>
            <w:pPr>
              <w:jc w:val="right"/>
              <w:ind w:right="152"/>
              <w:spacing w:after="0" w:line="142" w:lineRule="exact"/>
              <w:rPr>
                <w:sz w:val="20"/>
                <w:szCs w:val="20"/>
                <w:color w:val="auto"/>
              </w:rPr>
            </w:pPr>
            <w:r>
              <w:rPr>
                <w:rFonts w:ascii="Arial" w:cs="Arial" w:eastAsia="Arial" w:hAnsi="Arial"/>
                <w:sz w:val="14"/>
                <w:szCs w:val="14"/>
                <w:color w:val="auto"/>
                <w:w w:val="85"/>
              </w:rPr>
              <w:t>4.00%</w:t>
            </w:r>
          </w:p>
        </w:tc>
        <w:tc>
          <w:tcPr>
            <w:tcW w:w="140" w:type="dxa"/>
            <w:vAlign w:val="bottom"/>
            <w:shd w:val="clear" w:color="auto" w:fill="CCEEFF"/>
          </w:tcPr>
          <w:p>
            <w:pPr>
              <w:spacing w:after="0"/>
              <w:rPr>
                <w:sz w:val="12"/>
                <w:szCs w:val="12"/>
                <w:color w:val="auto"/>
              </w:rPr>
            </w:pPr>
          </w:p>
        </w:tc>
        <w:tc>
          <w:tcPr>
            <w:tcW w:w="440" w:type="dxa"/>
            <w:vAlign w:val="bottom"/>
            <w:gridSpan w:val="3"/>
            <w:shd w:val="clear" w:color="auto" w:fill="CCEEFF"/>
          </w:tcPr>
          <w:p>
            <w:pPr>
              <w:jc w:val="center"/>
              <w:spacing w:after="0" w:line="142" w:lineRule="exact"/>
              <w:rPr>
                <w:sz w:val="20"/>
                <w:szCs w:val="20"/>
                <w:color w:val="auto"/>
              </w:rPr>
            </w:pPr>
            <w:r>
              <w:rPr>
                <w:rFonts w:ascii="Arial" w:cs="Arial" w:eastAsia="Arial" w:hAnsi="Arial"/>
                <w:sz w:val="14"/>
                <w:szCs w:val="14"/>
                <w:b w:val="1"/>
                <w:bCs w:val="1"/>
                <w:color w:val="auto"/>
                <w:w w:val="90"/>
              </w:rPr>
              <w:t>4.90%</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4.00%</w:t>
            </w:r>
          </w:p>
        </w:tc>
      </w:tr>
      <w:tr>
        <w:trPr>
          <w:trHeight w:val="174"/>
        </w:trPr>
        <w:tc>
          <w:tcPr>
            <w:tcW w:w="1160" w:type="dxa"/>
            <w:vAlign w:val="bottom"/>
          </w:tcPr>
          <w:p>
            <w:pPr>
              <w:spacing w:after="0"/>
              <w:rPr>
                <w:sz w:val="15"/>
                <w:szCs w:val="15"/>
                <w:color w:val="auto"/>
              </w:rPr>
            </w:pPr>
          </w:p>
        </w:tc>
        <w:tc>
          <w:tcPr>
            <w:tcW w:w="5640" w:type="dxa"/>
            <w:vAlign w:val="bottom"/>
          </w:tcPr>
          <w:p>
            <w:pPr>
              <w:spacing w:after="0"/>
              <w:rPr>
                <w:sz w:val="20"/>
                <w:szCs w:val="20"/>
                <w:color w:val="auto"/>
              </w:rPr>
            </w:pPr>
            <w:r>
              <w:rPr>
                <w:rFonts w:ascii="Arial" w:cs="Arial" w:eastAsia="Arial" w:hAnsi="Arial"/>
                <w:sz w:val="14"/>
                <w:szCs w:val="14"/>
                <w:color w:val="auto"/>
              </w:rPr>
              <w:t>Rate of compensation increase</w:t>
            </w:r>
          </w:p>
        </w:tc>
        <w:tc>
          <w:tcPr>
            <w:tcW w:w="4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40" w:type="dxa"/>
            <w:vAlign w:val="bottom"/>
            <w:gridSpan w:val="5"/>
          </w:tcPr>
          <w:p>
            <w:pPr>
              <w:jc w:val="right"/>
              <w:spacing w:after="0"/>
              <w:rPr>
                <w:sz w:val="20"/>
                <w:szCs w:val="20"/>
                <w:color w:val="auto"/>
              </w:rPr>
            </w:pPr>
            <w:r>
              <w:rPr>
                <w:rFonts w:ascii="Arial" w:cs="Arial" w:eastAsia="Arial" w:hAnsi="Arial"/>
                <w:sz w:val="14"/>
                <w:szCs w:val="14"/>
                <w:b w:val="1"/>
                <w:bCs w:val="1"/>
                <w:color w:val="auto"/>
              </w:rPr>
              <w:t>4.80%</w:t>
            </w:r>
          </w:p>
        </w:tc>
        <w:tc>
          <w:tcPr>
            <w:tcW w:w="160" w:type="dxa"/>
            <w:vAlign w:val="bottom"/>
          </w:tcPr>
          <w:p>
            <w:pPr>
              <w:spacing w:after="0"/>
              <w:rPr>
                <w:sz w:val="15"/>
                <w:szCs w:val="15"/>
                <w:color w:val="auto"/>
              </w:rPr>
            </w:pPr>
          </w:p>
        </w:tc>
        <w:tc>
          <w:tcPr>
            <w:tcW w:w="580" w:type="dxa"/>
            <w:vAlign w:val="bottom"/>
            <w:gridSpan w:val="4"/>
          </w:tcPr>
          <w:p>
            <w:pPr>
              <w:jc w:val="right"/>
              <w:ind w:right="152"/>
              <w:spacing w:after="0"/>
              <w:rPr>
                <w:sz w:val="20"/>
                <w:szCs w:val="20"/>
                <w:color w:val="auto"/>
              </w:rPr>
            </w:pPr>
            <w:r>
              <w:rPr>
                <w:rFonts w:ascii="Arial" w:cs="Arial" w:eastAsia="Arial" w:hAnsi="Arial"/>
                <w:sz w:val="14"/>
                <w:szCs w:val="14"/>
                <w:color w:val="auto"/>
                <w:w w:val="85"/>
              </w:rPr>
              <w:t>4.80%</w:t>
            </w:r>
          </w:p>
        </w:tc>
        <w:tc>
          <w:tcPr>
            <w:tcW w:w="140" w:type="dxa"/>
            <w:vAlign w:val="bottom"/>
          </w:tcPr>
          <w:p>
            <w:pPr>
              <w:spacing w:after="0"/>
              <w:rPr>
                <w:sz w:val="15"/>
                <w:szCs w:val="15"/>
                <w:color w:val="auto"/>
              </w:rPr>
            </w:pPr>
          </w:p>
        </w:tc>
        <w:tc>
          <w:tcPr>
            <w:tcW w:w="440" w:type="dxa"/>
            <w:vAlign w:val="bottom"/>
            <w:gridSpan w:val="3"/>
          </w:tcPr>
          <w:p>
            <w:pPr>
              <w:jc w:val="center"/>
              <w:spacing w:after="0"/>
              <w:rPr>
                <w:sz w:val="20"/>
                <w:szCs w:val="20"/>
                <w:color w:val="auto"/>
              </w:rPr>
            </w:pPr>
            <w:r>
              <w:rPr>
                <w:rFonts w:ascii="Arial" w:cs="Arial" w:eastAsia="Arial" w:hAnsi="Arial"/>
                <w:sz w:val="14"/>
                <w:szCs w:val="14"/>
                <w:b w:val="1"/>
                <w:bCs w:val="1"/>
                <w:color w:val="auto"/>
                <w:w w:val="90"/>
              </w:rPr>
              <w:t>4.83%</w:t>
            </w:r>
          </w:p>
        </w:tc>
        <w:tc>
          <w:tcPr>
            <w:tcW w:w="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20" w:type="dxa"/>
            <w:vAlign w:val="bottom"/>
            <w:gridSpan w:val="2"/>
          </w:tcPr>
          <w:p>
            <w:pPr>
              <w:jc w:val="right"/>
              <w:ind w:right="60"/>
              <w:spacing w:after="0"/>
              <w:rPr>
                <w:sz w:val="20"/>
                <w:szCs w:val="20"/>
                <w:color w:val="auto"/>
              </w:rPr>
            </w:pPr>
            <w:r>
              <w:rPr>
                <w:rFonts w:ascii="Arial" w:cs="Arial" w:eastAsia="Arial" w:hAnsi="Arial"/>
                <w:sz w:val="14"/>
                <w:szCs w:val="14"/>
                <w:color w:val="auto"/>
              </w:rPr>
              <w:t>4.83%</w:t>
            </w:r>
          </w:p>
        </w:tc>
      </w:tr>
      <w:tr>
        <w:trPr>
          <w:trHeight w:val="404"/>
        </w:trPr>
        <w:tc>
          <w:tcPr>
            <w:tcW w:w="6800" w:type="dxa"/>
            <w:vAlign w:val="bottom"/>
            <w:gridSpan w:val="2"/>
          </w:tcPr>
          <w:p>
            <w:pPr>
              <w:spacing w:after="0"/>
              <w:rPr>
                <w:sz w:val="20"/>
                <w:szCs w:val="20"/>
                <w:color w:val="auto"/>
              </w:rPr>
            </w:pPr>
            <w:r>
              <w:rPr>
                <w:rFonts w:ascii="Arial" w:cs="Arial" w:eastAsia="Arial" w:hAnsi="Arial"/>
                <w:sz w:val="18"/>
                <w:szCs w:val="18"/>
                <w:b w:val="1"/>
                <w:bCs w:val="1"/>
                <w:i w:val="1"/>
                <w:iCs w:val="1"/>
                <w:color w:val="auto"/>
              </w:rPr>
              <w:t>Weighted average assumptions used to determine net periodic benefit cost</w:t>
            </w: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354"/>
        </w:trPr>
        <w:tc>
          <w:tcPr>
            <w:tcW w:w="1160" w:type="dxa"/>
            <w:vAlign w:val="bottom"/>
          </w:tcPr>
          <w:p>
            <w:pPr>
              <w:spacing w:after="0"/>
              <w:rPr>
                <w:sz w:val="24"/>
                <w:szCs w:val="24"/>
                <w:color w:val="auto"/>
              </w:rPr>
            </w:pPr>
          </w:p>
        </w:tc>
        <w:tc>
          <w:tcPr>
            <w:tcW w:w="56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40" w:type="dxa"/>
            <w:vAlign w:val="bottom"/>
            <w:gridSpan w:val="4"/>
          </w:tcPr>
          <w:p>
            <w:pPr>
              <w:jc w:val="center"/>
              <w:ind w:right="220"/>
              <w:spacing w:after="0"/>
              <w:rPr>
                <w:sz w:val="20"/>
                <w:szCs w:val="20"/>
                <w:color w:val="auto"/>
              </w:rPr>
            </w:pPr>
            <w:r>
              <w:rPr>
                <w:rFonts w:ascii="Arial" w:cs="Arial" w:eastAsia="Arial" w:hAnsi="Arial"/>
                <w:sz w:val="14"/>
                <w:szCs w:val="14"/>
                <w:b w:val="1"/>
                <w:bCs w:val="1"/>
                <w:color w:val="auto"/>
                <w:w w:val="90"/>
              </w:rPr>
              <w:t>Other</w:t>
            </w: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149"/>
        </w:trPr>
        <w:tc>
          <w:tcPr>
            <w:tcW w:w="1160" w:type="dxa"/>
            <w:vAlign w:val="bottom"/>
          </w:tcPr>
          <w:p>
            <w:pPr>
              <w:spacing w:after="0"/>
              <w:rPr>
                <w:sz w:val="12"/>
                <w:szCs w:val="12"/>
                <w:color w:val="auto"/>
              </w:rPr>
            </w:pPr>
          </w:p>
        </w:tc>
        <w:tc>
          <w:tcPr>
            <w:tcW w:w="56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gridSpan w:val="7"/>
          </w:tcPr>
          <w:p>
            <w:pPr>
              <w:jc w:val="center"/>
              <w:ind w:left="192"/>
              <w:spacing w:after="0" w:line="149" w:lineRule="exact"/>
              <w:rPr>
                <w:sz w:val="20"/>
                <w:szCs w:val="20"/>
                <w:color w:val="auto"/>
              </w:rPr>
            </w:pPr>
            <w:r>
              <w:rPr>
                <w:rFonts w:ascii="Arial" w:cs="Arial" w:eastAsia="Arial" w:hAnsi="Arial"/>
                <w:sz w:val="14"/>
                <w:szCs w:val="14"/>
                <w:b w:val="1"/>
                <w:bCs w:val="1"/>
                <w:color w:val="auto"/>
                <w:w w:val="87"/>
              </w:rPr>
              <w:t>postretirement</w:t>
            </w:r>
          </w:p>
        </w:tc>
        <w:tc>
          <w:tcPr>
            <w:tcW w:w="36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61"/>
        </w:trPr>
        <w:tc>
          <w:tcPr>
            <w:tcW w:w="1160" w:type="dxa"/>
            <w:vAlign w:val="bottom"/>
          </w:tcPr>
          <w:p>
            <w:pPr>
              <w:spacing w:after="0"/>
              <w:rPr>
                <w:sz w:val="14"/>
                <w:szCs w:val="14"/>
                <w:color w:val="auto"/>
              </w:rPr>
            </w:pPr>
          </w:p>
        </w:tc>
        <w:tc>
          <w:tcPr>
            <w:tcW w:w="5640" w:type="dxa"/>
            <w:vAlign w:val="bottom"/>
          </w:tcPr>
          <w:p>
            <w:pPr>
              <w:spacing w:after="0"/>
              <w:rPr>
                <w:sz w:val="14"/>
                <w:szCs w:val="14"/>
                <w:color w:val="auto"/>
              </w:rPr>
            </w:pPr>
          </w:p>
        </w:tc>
        <w:tc>
          <w:tcPr>
            <w:tcW w:w="1580" w:type="dxa"/>
            <w:vAlign w:val="bottom"/>
            <w:tcBorders>
              <w:bottom w:val="single" w:sz="8" w:color="auto"/>
            </w:tcBorders>
            <w:gridSpan w:val="8"/>
          </w:tcPr>
          <w:p>
            <w:pPr>
              <w:jc w:val="center"/>
              <w:spacing w:after="0"/>
              <w:rPr>
                <w:sz w:val="20"/>
                <w:szCs w:val="20"/>
                <w:color w:val="auto"/>
              </w:rPr>
            </w:pPr>
            <w:r>
              <w:rPr>
                <w:rFonts w:ascii="Arial" w:cs="Arial" w:eastAsia="Arial" w:hAnsi="Arial"/>
                <w:sz w:val="14"/>
                <w:szCs w:val="14"/>
                <w:b w:val="1"/>
                <w:bCs w:val="1"/>
                <w:color w:val="auto"/>
                <w:w w:val="83"/>
              </w:rPr>
              <w:t>Pension benefits</w:t>
            </w:r>
          </w:p>
        </w:tc>
        <w:tc>
          <w:tcPr>
            <w:tcW w:w="160" w:type="dxa"/>
            <w:vAlign w:val="bottom"/>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gridSpan w:val="5"/>
          </w:tcPr>
          <w:p>
            <w:pPr>
              <w:jc w:val="center"/>
              <w:ind w:right="200"/>
              <w:spacing w:after="0"/>
              <w:rPr>
                <w:sz w:val="20"/>
                <w:szCs w:val="20"/>
                <w:color w:val="auto"/>
              </w:rPr>
            </w:pPr>
            <w:r>
              <w:rPr>
                <w:rFonts w:ascii="Arial" w:cs="Arial" w:eastAsia="Arial" w:hAnsi="Arial"/>
                <w:sz w:val="14"/>
                <w:szCs w:val="14"/>
                <w:b w:val="1"/>
                <w:bCs w:val="1"/>
                <w:color w:val="auto"/>
                <w:w w:val="85"/>
              </w:rPr>
              <w:t>benefits</w:t>
            </w:r>
          </w:p>
        </w:tc>
        <w:tc>
          <w:tcPr>
            <w:tcW w:w="3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1160" w:type="dxa"/>
            <w:vAlign w:val="bottom"/>
          </w:tcPr>
          <w:p>
            <w:pPr>
              <w:spacing w:after="0"/>
              <w:rPr>
                <w:sz w:val="12"/>
                <w:szCs w:val="12"/>
                <w:color w:val="auto"/>
              </w:rPr>
            </w:pPr>
          </w:p>
        </w:tc>
        <w:tc>
          <w:tcPr>
            <w:tcW w:w="5640" w:type="dxa"/>
            <w:vAlign w:val="bottom"/>
          </w:tcPr>
          <w:p>
            <w:pPr>
              <w:spacing w:after="0"/>
              <w:rPr>
                <w:sz w:val="12"/>
                <w:szCs w:val="12"/>
                <w:color w:val="auto"/>
              </w:rPr>
            </w:pPr>
          </w:p>
        </w:tc>
        <w:tc>
          <w:tcPr>
            <w:tcW w:w="420" w:type="dxa"/>
            <w:vAlign w:val="bottom"/>
            <w:tcBorders>
              <w:bottom w:val="single" w:sz="8" w:color="auto"/>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2380" w:type="dxa"/>
            <w:vAlign w:val="bottom"/>
            <w:tcBorders>
              <w:bottom w:val="single" w:sz="8" w:color="auto"/>
            </w:tcBorders>
            <w:gridSpan w:val="16"/>
          </w:tcPr>
          <w:p>
            <w:pPr>
              <w:ind w:left="120"/>
              <w:spacing w:after="0" w:line="142" w:lineRule="exact"/>
              <w:rPr>
                <w:sz w:val="20"/>
                <w:szCs w:val="20"/>
                <w:color w:val="auto"/>
              </w:rPr>
            </w:pPr>
            <w:r>
              <w:rPr>
                <w:rFonts w:ascii="Arial" w:cs="Arial" w:eastAsia="Arial" w:hAnsi="Arial"/>
                <w:sz w:val="14"/>
                <w:szCs w:val="14"/>
                <w:b w:val="1"/>
                <w:bCs w:val="1"/>
                <w:color w:val="auto"/>
              </w:rPr>
              <w:t>For the year ended December 31,</w:t>
            </w:r>
          </w:p>
        </w:tc>
        <w:tc>
          <w:tcPr>
            <w:tcW w:w="36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42"/>
        </w:trPr>
        <w:tc>
          <w:tcPr>
            <w:tcW w:w="1160" w:type="dxa"/>
            <w:vAlign w:val="bottom"/>
          </w:tcPr>
          <w:p>
            <w:pPr>
              <w:spacing w:after="0"/>
              <w:rPr>
                <w:sz w:val="12"/>
                <w:szCs w:val="12"/>
                <w:color w:val="auto"/>
              </w:rPr>
            </w:pPr>
          </w:p>
        </w:tc>
        <w:tc>
          <w:tcPr>
            <w:tcW w:w="5640" w:type="dxa"/>
            <w:vAlign w:val="bottom"/>
          </w:tcPr>
          <w:p>
            <w:pPr>
              <w:spacing w:after="0"/>
              <w:rPr>
                <w:sz w:val="12"/>
                <w:szCs w:val="12"/>
                <w:color w:val="auto"/>
              </w:rPr>
            </w:pPr>
          </w:p>
        </w:tc>
        <w:tc>
          <w:tcPr>
            <w:tcW w:w="420" w:type="dxa"/>
            <w:vAlign w:val="bottom"/>
            <w:tcBorders>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rPr>
              <w:t>2013</w:t>
            </w:r>
          </w:p>
        </w:tc>
        <w:tc>
          <w:tcPr>
            <w:tcW w:w="160" w:type="dxa"/>
            <w:vAlign w:val="bottom"/>
          </w:tcPr>
          <w:p>
            <w:pPr>
              <w:spacing w:after="0"/>
              <w:rPr>
                <w:sz w:val="12"/>
                <w:szCs w:val="12"/>
                <w:color w:val="auto"/>
              </w:rPr>
            </w:pPr>
          </w:p>
        </w:tc>
        <w:tc>
          <w:tcPr>
            <w:tcW w:w="420" w:type="dxa"/>
            <w:vAlign w:val="bottom"/>
            <w:tcBorders>
              <w:bottom w:val="single" w:sz="8" w:color="auto"/>
            </w:tcBorders>
            <w:gridSpan w:val="2"/>
          </w:tcPr>
          <w:p>
            <w:pPr>
              <w:jc w:val="right"/>
              <w:ind w:right="12"/>
              <w:spacing w:after="0" w:line="142" w:lineRule="exact"/>
              <w:rPr>
                <w:sz w:val="20"/>
                <w:szCs w:val="20"/>
                <w:color w:val="auto"/>
              </w:rPr>
            </w:pPr>
            <w:r>
              <w:rPr>
                <w:rFonts w:ascii="Arial" w:cs="Arial" w:eastAsia="Arial" w:hAnsi="Arial"/>
                <w:sz w:val="14"/>
                <w:szCs w:val="14"/>
                <w:b w:val="1"/>
                <w:bCs w:val="1"/>
                <w:color w:val="auto"/>
              </w:rPr>
              <w:t>2012</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gridSpan w:val="2"/>
          </w:tcPr>
          <w:p>
            <w:pPr>
              <w:jc w:val="right"/>
              <w:ind w:right="12"/>
              <w:spacing w:after="0" w:line="142" w:lineRule="exact"/>
              <w:rPr>
                <w:sz w:val="20"/>
                <w:szCs w:val="20"/>
                <w:color w:val="auto"/>
              </w:rPr>
            </w:pPr>
            <w:r>
              <w:rPr>
                <w:rFonts w:ascii="Arial" w:cs="Arial" w:eastAsia="Arial" w:hAnsi="Arial"/>
                <w:sz w:val="14"/>
                <w:szCs w:val="14"/>
                <w:b w:val="1"/>
                <w:bCs w:val="1"/>
                <w:color w:val="auto"/>
                <w:w w:val="76"/>
              </w:rPr>
              <w:t>2011</w:t>
            </w:r>
          </w:p>
        </w:tc>
        <w:tc>
          <w:tcPr>
            <w:tcW w:w="160" w:type="dxa"/>
            <w:vAlign w:val="bottom"/>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gridSpan w:val="2"/>
          </w:tcPr>
          <w:p>
            <w:pPr>
              <w:jc w:val="right"/>
              <w:ind w:right="12"/>
              <w:spacing w:after="0" w:line="142" w:lineRule="exact"/>
              <w:rPr>
                <w:sz w:val="20"/>
                <w:szCs w:val="20"/>
                <w:color w:val="auto"/>
              </w:rPr>
            </w:pPr>
            <w:r>
              <w:rPr>
                <w:rFonts w:ascii="Arial" w:cs="Arial" w:eastAsia="Arial" w:hAnsi="Arial"/>
                <w:sz w:val="14"/>
                <w:szCs w:val="14"/>
                <w:b w:val="1"/>
                <w:bCs w:val="1"/>
                <w:color w:val="auto"/>
                <w:w w:val="89"/>
              </w:rPr>
              <w:t>2013</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20" w:type="dxa"/>
            <w:vAlign w:val="bottom"/>
            <w:tcBorders>
              <w:bottom w:val="single" w:sz="8" w:color="auto"/>
            </w:tcBorders>
            <w:gridSpan w:val="2"/>
          </w:tcPr>
          <w:p>
            <w:pPr>
              <w:jc w:val="center"/>
              <w:spacing w:after="0" w:line="142" w:lineRule="exact"/>
              <w:rPr>
                <w:sz w:val="20"/>
                <w:szCs w:val="20"/>
                <w:color w:val="auto"/>
              </w:rPr>
            </w:pPr>
            <w:r>
              <w:rPr>
                <w:rFonts w:ascii="Arial" w:cs="Arial" w:eastAsia="Arial" w:hAnsi="Arial"/>
                <w:sz w:val="14"/>
                <w:szCs w:val="14"/>
                <w:b w:val="1"/>
                <w:bCs w:val="1"/>
                <w:color w:val="auto"/>
                <w:w w:val="83"/>
              </w:rPr>
              <w:t>2012</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2"/>
                <w:szCs w:val="12"/>
                <w:color w:val="auto"/>
              </w:rPr>
            </w:pPr>
          </w:p>
        </w:tc>
      </w:tr>
      <w:tr>
        <w:trPr>
          <w:trHeight w:val="142"/>
        </w:trPr>
        <w:tc>
          <w:tcPr>
            <w:tcW w:w="1160" w:type="dxa"/>
            <w:vAlign w:val="bottom"/>
          </w:tcPr>
          <w:p>
            <w:pPr>
              <w:spacing w:after="0"/>
              <w:rPr>
                <w:sz w:val="12"/>
                <w:szCs w:val="12"/>
                <w:color w:val="auto"/>
              </w:rPr>
            </w:pPr>
          </w:p>
        </w:tc>
        <w:tc>
          <w:tcPr>
            <w:tcW w:w="564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Discount rate</w:t>
            </w:r>
          </w:p>
        </w:tc>
        <w:tc>
          <w:tcPr>
            <w:tcW w:w="58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b w:val="1"/>
                <w:bCs w:val="1"/>
                <w:color w:val="auto"/>
              </w:rPr>
              <w:t>4.00%</w:t>
            </w:r>
          </w:p>
        </w:tc>
        <w:tc>
          <w:tcPr>
            <w:tcW w:w="580" w:type="dxa"/>
            <w:vAlign w:val="bottom"/>
            <w:gridSpan w:val="3"/>
            <w:shd w:val="clear" w:color="auto" w:fill="CCEEFF"/>
          </w:tcPr>
          <w:p>
            <w:pPr>
              <w:jc w:val="right"/>
              <w:spacing w:after="0" w:line="142" w:lineRule="exact"/>
              <w:rPr>
                <w:sz w:val="20"/>
                <w:szCs w:val="20"/>
                <w:color w:val="auto"/>
              </w:rPr>
            </w:pPr>
            <w:r>
              <w:rPr>
                <w:rFonts w:ascii="Arial" w:cs="Arial" w:eastAsia="Arial" w:hAnsi="Arial"/>
                <w:sz w:val="14"/>
                <w:szCs w:val="14"/>
                <w:color w:val="auto"/>
              </w:rPr>
              <w:t>5.15%</w:t>
            </w:r>
          </w:p>
        </w:tc>
        <w:tc>
          <w:tcPr>
            <w:tcW w:w="80" w:type="dxa"/>
            <w:vAlign w:val="bottom"/>
            <w:shd w:val="clear" w:color="auto" w:fill="CCEEFF"/>
          </w:tcPr>
          <w:p>
            <w:pPr>
              <w:spacing w:after="0"/>
              <w:rPr>
                <w:sz w:val="12"/>
                <w:szCs w:val="12"/>
                <w:color w:val="auto"/>
              </w:rPr>
            </w:pPr>
          </w:p>
        </w:tc>
        <w:tc>
          <w:tcPr>
            <w:tcW w:w="500" w:type="dxa"/>
            <w:vAlign w:val="bottom"/>
            <w:gridSpan w:val="3"/>
            <w:shd w:val="clear" w:color="auto" w:fill="CCEEFF"/>
          </w:tcPr>
          <w:p>
            <w:pPr>
              <w:jc w:val="right"/>
              <w:spacing w:after="0" w:line="142" w:lineRule="exact"/>
              <w:rPr>
                <w:sz w:val="20"/>
                <w:szCs w:val="20"/>
                <w:color w:val="auto"/>
              </w:rPr>
            </w:pPr>
            <w:r>
              <w:rPr>
                <w:rFonts w:ascii="Arial" w:cs="Arial" w:eastAsia="Arial" w:hAnsi="Arial"/>
                <w:sz w:val="14"/>
                <w:szCs w:val="14"/>
                <w:color w:val="auto"/>
              </w:rPr>
              <w:t>5.65%</w:t>
            </w:r>
          </w:p>
        </w:tc>
        <w:tc>
          <w:tcPr>
            <w:tcW w:w="40" w:type="dxa"/>
            <w:vAlign w:val="bottom"/>
            <w:shd w:val="clear" w:color="auto" w:fill="CCEEFF"/>
          </w:tcPr>
          <w:p>
            <w:pPr>
              <w:spacing w:after="0"/>
              <w:rPr>
                <w:sz w:val="12"/>
                <w:szCs w:val="12"/>
                <w:color w:val="auto"/>
              </w:rPr>
            </w:pPr>
          </w:p>
        </w:tc>
        <w:tc>
          <w:tcPr>
            <w:tcW w:w="520" w:type="dxa"/>
            <w:vAlign w:val="bottom"/>
            <w:gridSpan w:val="3"/>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4.00%</w:t>
            </w:r>
          </w:p>
        </w:tc>
        <w:tc>
          <w:tcPr>
            <w:tcW w:w="600" w:type="dxa"/>
            <w:vAlign w:val="bottom"/>
            <w:gridSpan w:val="4"/>
            <w:shd w:val="clear" w:color="auto" w:fill="CCEEFF"/>
          </w:tcPr>
          <w:p>
            <w:pPr>
              <w:ind w:left="200"/>
              <w:spacing w:after="0" w:line="142" w:lineRule="exact"/>
              <w:rPr>
                <w:sz w:val="20"/>
                <w:szCs w:val="20"/>
                <w:color w:val="auto"/>
              </w:rPr>
            </w:pPr>
            <w:r>
              <w:rPr>
                <w:rFonts w:ascii="Arial" w:cs="Arial" w:eastAsia="Arial" w:hAnsi="Arial"/>
                <w:sz w:val="14"/>
                <w:szCs w:val="14"/>
                <w:color w:val="auto"/>
                <w:w w:val="95"/>
              </w:rPr>
              <w:t>5.15%</w:t>
            </w: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5.65%</w:t>
            </w:r>
          </w:p>
        </w:tc>
      </w:tr>
      <w:tr>
        <w:trPr>
          <w:trHeight w:val="149"/>
        </w:trPr>
        <w:tc>
          <w:tcPr>
            <w:tcW w:w="1160" w:type="dxa"/>
            <w:vAlign w:val="bottom"/>
          </w:tcPr>
          <w:p>
            <w:pPr>
              <w:spacing w:after="0"/>
              <w:rPr>
                <w:sz w:val="12"/>
                <w:szCs w:val="12"/>
                <w:color w:val="auto"/>
              </w:rPr>
            </w:pPr>
          </w:p>
        </w:tc>
        <w:tc>
          <w:tcPr>
            <w:tcW w:w="5640" w:type="dxa"/>
            <w:vAlign w:val="bottom"/>
          </w:tcPr>
          <w:p>
            <w:pPr>
              <w:spacing w:after="0" w:line="149" w:lineRule="exact"/>
              <w:rPr>
                <w:sz w:val="20"/>
                <w:szCs w:val="20"/>
                <w:color w:val="auto"/>
              </w:rPr>
            </w:pPr>
            <w:r>
              <w:rPr>
                <w:rFonts w:ascii="Arial" w:cs="Arial" w:eastAsia="Arial" w:hAnsi="Arial"/>
                <w:sz w:val="14"/>
                <w:szCs w:val="14"/>
                <w:color w:val="auto"/>
              </w:rPr>
              <w:t>Expected long-term return on plan assets</w:t>
            </w:r>
          </w:p>
        </w:tc>
        <w:tc>
          <w:tcPr>
            <w:tcW w:w="580" w:type="dxa"/>
            <w:vAlign w:val="bottom"/>
            <w:gridSpan w:val="2"/>
          </w:tcPr>
          <w:p>
            <w:pPr>
              <w:jc w:val="right"/>
              <w:ind w:right="40"/>
              <w:spacing w:after="0" w:line="149" w:lineRule="exact"/>
              <w:rPr>
                <w:sz w:val="20"/>
                <w:szCs w:val="20"/>
                <w:color w:val="auto"/>
              </w:rPr>
            </w:pPr>
            <w:r>
              <w:rPr>
                <w:rFonts w:ascii="Arial" w:cs="Arial" w:eastAsia="Arial" w:hAnsi="Arial"/>
                <w:sz w:val="14"/>
                <w:szCs w:val="14"/>
                <w:b w:val="1"/>
                <w:bCs w:val="1"/>
                <w:color w:val="auto"/>
              </w:rPr>
              <w:t>7.50%</w:t>
            </w:r>
          </w:p>
        </w:tc>
        <w:tc>
          <w:tcPr>
            <w:tcW w:w="580" w:type="dxa"/>
            <w:vAlign w:val="bottom"/>
            <w:gridSpan w:val="3"/>
          </w:tcPr>
          <w:p>
            <w:pPr>
              <w:jc w:val="right"/>
              <w:spacing w:after="0" w:line="149" w:lineRule="exact"/>
              <w:rPr>
                <w:sz w:val="20"/>
                <w:szCs w:val="20"/>
                <w:color w:val="auto"/>
              </w:rPr>
            </w:pPr>
            <w:r>
              <w:rPr>
                <w:rFonts w:ascii="Arial" w:cs="Arial" w:eastAsia="Arial" w:hAnsi="Arial"/>
                <w:sz w:val="14"/>
                <w:szCs w:val="14"/>
                <w:color w:val="auto"/>
              </w:rPr>
              <w:t>8.00%</w:t>
            </w:r>
          </w:p>
        </w:tc>
        <w:tc>
          <w:tcPr>
            <w:tcW w:w="80" w:type="dxa"/>
            <w:vAlign w:val="bottom"/>
          </w:tcPr>
          <w:p>
            <w:pPr>
              <w:spacing w:after="0"/>
              <w:rPr>
                <w:sz w:val="12"/>
                <w:szCs w:val="12"/>
                <w:color w:val="auto"/>
              </w:rPr>
            </w:pPr>
          </w:p>
        </w:tc>
        <w:tc>
          <w:tcPr>
            <w:tcW w:w="500" w:type="dxa"/>
            <w:vAlign w:val="bottom"/>
            <w:gridSpan w:val="3"/>
          </w:tcPr>
          <w:p>
            <w:pPr>
              <w:jc w:val="right"/>
              <w:spacing w:after="0" w:line="149" w:lineRule="exact"/>
              <w:rPr>
                <w:sz w:val="20"/>
                <w:szCs w:val="20"/>
                <w:color w:val="auto"/>
              </w:rPr>
            </w:pPr>
            <w:r>
              <w:rPr>
                <w:rFonts w:ascii="Arial" w:cs="Arial" w:eastAsia="Arial" w:hAnsi="Arial"/>
                <w:sz w:val="14"/>
                <w:szCs w:val="14"/>
                <w:color w:val="auto"/>
              </w:rPr>
              <w:t>8.00%</w:t>
            </w:r>
          </w:p>
        </w:tc>
        <w:tc>
          <w:tcPr>
            <w:tcW w:w="40" w:type="dxa"/>
            <w:vAlign w:val="bottom"/>
          </w:tcPr>
          <w:p>
            <w:pPr>
              <w:spacing w:after="0"/>
              <w:rPr>
                <w:sz w:val="12"/>
                <w:szCs w:val="12"/>
                <w:color w:val="auto"/>
              </w:rPr>
            </w:pPr>
          </w:p>
        </w:tc>
        <w:tc>
          <w:tcPr>
            <w:tcW w:w="520" w:type="dxa"/>
            <w:vAlign w:val="bottom"/>
            <w:gridSpan w:val="3"/>
          </w:tcPr>
          <w:p>
            <w:pPr>
              <w:jc w:val="right"/>
              <w:spacing w:after="0" w:line="149" w:lineRule="exact"/>
              <w:rPr>
                <w:sz w:val="20"/>
                <w:szCs w:val="20"/>
                <w:color w:val="auto"/>
              </w:rPr>
            </w:pPr>
            <w:r>
              <w:rPr>
                <w:rFonts w:ascii="Arial" w:cs="Arial" w:eastAsia="Arial" w:hAnsi="Arial"/>
                <w:sz w:val="14"/>
                <w:szCs w:val="14"/>
                <w:b w:val="1"/>
                <w:bCs w:val="1"/>
                <w:color w:val="auto"/>
              </w:rPr>
              <w:t>5.62%</w:t>
            </w:r>
          </w:p>
        </w:tc>
        <w:tc>
          <w:tcPr>
            <w:tcW w:w="600" w:type="dxa"/>
            <w:vAlign w:val="bottom"/>
            <w:gridSpan w:val="4"/>
          </w:tcPr>
          <w:p>
            <w:pPr>
              <w:ind w:left="200"/>
              <w:spacing w:after="0" w:line="149" w:lineRule="exact"/>
              <w:rPr>
                <w:sz w:val="20"/>
                <w:szCs w:val="20"/>
                <w:color w:val="auto"/>
              </w:rPr>
            </w:pPr>
            <w:r>
              <w:rPr>
                <w:rFonts w:ascii="Arial" w:cs="Arial" w:eastAsia="Arial" w:hAnsi="Arial"/>
                <w:sz w:val="14"/>
                <w:szCs w:val="14"/>
                <w:color w:val="auto"/>
                <w:w w:val="95"/>
              </w:rPr>
              <w:t>7.30%</w:t>
            </w:r>
          </w:p>
        </w:tc>
        <w:tc>
          <w:tcPr>
            <w:tcW w:w="60" w:type="dxa"/>
            <w:vAlign w:val="bottom"/>
          </w:tcPr>
          <w:p>
            <w:pPr>
              <w:spacing w:after="0"/>
              <w:rPr>
                <w:sz w:val="12"/>
                <w:szCs w:val="12"/>
                <w:color w:val="auto"/>
              </w:rPr>
            </w:pPr>
          </w:p>
        </w:tc>
        <w:tc>
          <w:tcPr>
            <w:tcW w:w="5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7.30%</w:t>
            </w:r>
          </w:p>
        </w:tc>
      </w:tr>
      <w:tr>
        <w:trPr>
          <w:trHeight w:val="149"/>
        </w:trPr>
        <w:tc>
          <w:tcPr>
            <w:tcW w:w="1160" w:type="dxa"/>
            <w:vAlign w:val="bottom"/>
          </w:tcPr>
          <w:p>
            <w:pPr>
              <w:spacing w:after="0"/>
              <w:rPr>
                <w:sz w:val="12"/>
                <w:szCs w:val="12"/>
                <w:color w:val="auto"/>
              </w:rPr>
            </w:pPr>
          </w:p>
        </w:tc>
        <w:tc>
          <w:tcPr>
            <w:tcW w:w="56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Rate of compensation increase</w:t>
            </w:r>
          </w:p>
        </w:tc>
        <w:tc>
          <w:tcPr>
            <w:tcW w:w="58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b w:val="1"/>
                <w:bCs w:val="1"/>
                <w:color w:val="auto"/>
              </w:rPr>
              <w:t>4.80%</w:t>
            </w:r>
          </w:p>
        </w:tc>
        <w:tc>
          <w:tcPr>
            <w:tcW w:w="580" w:type="dxa"/>
            <w:vAlign w:val="bottom"/>
            <w:gridSpan w:val="3"/>
            <w:shd w:val="clear" w:color="auto" w:fill="CCEEFF"/>
          </w:tcPr>
          <w:p>
            <w:pPr>
              <w:jc w:val="right"/>
              <w:spacing w:after="0" w:line="149" w:lineRule="exact"/>
              <w:rPr>
                <w:sz w:val="20"/>
                <w:szCs w:val="20"/>
                <w:color w:val="auto"/>
              </w:rPr>
            </w:pPr>
            <w:r>
              <w:rPr>
                <w:rFonts w:ascii="Arial" w:cs="Arial" w:eastAsia="Arial" w:hAnsi="Arial"/>
                <w:sz w:val="14"/>
                <w:szCs w:val="14"/>
                <w:color w:val="auto"/>
              </w:rPr>
              <w:t>5.00%</w:t>
            </w:r>
          </w:p>
        </w:tc>
        <w:tc>
          <w:tcPr>
            <w:tcW w:w="80" w:type="dxa"/>
            <w:vAlign w:val="bottom"/>
            <w:shd w:val="clear" w:color="auto" w:fill="CCEEFF"/>
          </w:tcPr>
          <w:p>
            <w:pPr>
              <w:spacing w:after="0"/>
              <w:rPr>
                <w:sz w:val="12"/>
                <w:szCs w:val="12"/>
                <w:color w:val="auto"/>
              </w:rPr>
            </w:pPr>
          </w:p>
        </w:tc>
        <w:tc>
          <w:tcPr>
            <w:tcW w:w="500" w:type="dxa"/>
            <w:vAlign w:val="bottom"/>
            <w:gridSpan w:val="3"/>
            <w:shd w:val="clear" w:color="auto" w:fill="CCEEFF"/>
          </w:tcPr>
          <w:p>
            <w:pPr>
              <w:jc w:val="right"/>
              <w:spacing w:after="0" w:line="149" w:lineRule="exact"/>
              <w:rPr>
                <w:sz w:val="20"/>
                <w:szCs w:val="20"/>
                <w:color w:val="auto"/>
              </w:rPr>
            </w:pPr>
            <w:r>
              <w:rPr>
                <w:rFonts w:ascii="Arial" w:cs="Arial" w:eastAsia="Arial" w:hAnsi="Arial"/>
                <w:sz w:val="14"/>
                <w:szCs w:val="14"/>
                <w:color w:val="auto"/>
              </w:rPr>
              <w:t>5.00%</w:t>
            </w:r>
          </w:p>
        </w:tc>
        <w:tc>
          <w:tcPr>
            <w:tcW w:w="40" w:type="dxa"/>
            <w:vAlign w:val="bottom"/>
            <w:shd w:val="clear" w:color="auto" w:fill="CCEEFF"/>
          </w:tcPr>
          <w:p>
            <w:pPr>
              <w:spacing w:after="0"/>
              <w:rPr>
                <w:sz w:val="12"/>
                <w:szCs w:val="12"/>
                <w:color w:val="auto"/>
              </w:rPr>
            </w:pPr>
          </w:p>
        </w:tc>
        <w:tc>
          <w:tcPr>
            <w:tcW w:w="520" w:type="dxa"/>
            <w:vAlign w:val="bottom"/>
            <w:gridSpan w:val="3"/>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4.83%</w:t>
            </w:r>
          </w:p>
        </w:tc>
        <w:tc>
          <w:tcPr>
            <w:tcW w:w="600" w:type="dxa"/>
            <w:vAlign w:val="bottom"/>
            <w:gridSpan w:val="4"/>
            <w:shd w:val="clear" w:color="auto" w:fill="CCEEFF"/>
          </w:tcPr>
          <w:p>
            <w:pPr>
              <w:ind w:left="200"/>
              <w:spacing w:after="0" w:line="149" w:lineRule="exact"/>
              <w:rPr>
                <w:sz w:val="20"/>
                <w:szCs w:val="20"/>
                <w:color w:val="auto"/>
              </w:rPr>
            </w:pPr>
            <w:r>
              <w:rPr>
                <w:rFonts w:ascii="Arial" w:cs="Arial" w:eastAsia="Arial" w:hAnsi="Arial"/>
                <w:sz w:val="14"/>
                <w:szCs w:val="14"/>
                <w:color w:val="auto"/>
                <w:w w:val="95"/>
              </w:rPr>
              <w:t>5.00%</w:t>
            </w: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5.00%</w:t>
            </w:r>
          </w:p>
        </w:tc>
      </w:tr>
    </w:tbl>
    <w:p>
      <w:pPr>
        <w:spacing w:after="0" w:line="208" w:lineRule="exact"/>
        <w:rPr>
          <w:sz w:val="20"/>
          <w:szCs w:val="20"/>
          <w:color w:val="auto"/>
        </w:rPr>
      </w:pPr>
    </w:p>
    <w:p>
      <w:pPr>
        <w:jc w:val="both"/>
        <w:ind w:firstLine="415"/>
        <w:spacing w:after="0" w:line="254" w:lineRule="auto"/>
        <w:rPr>
          <w:sz w:val="20"/>
          <w:szCs w:val="20"/>
          <w:color w:val="auto"/>
        </w:rPr>
      </w:pPr>
      <w:r>
        <w:rPr>
          <w:rFonts w:ascii="Arial" w:cs="Arial" w:eastAsia="Arial" w:hAnsi="Arial"/>
          <w:sz w:val="18"/>
          <w:szCs w:val="18"/>
          <w:color w:val="auto"/>
        </w:rPr>
        <w:t>For the pension benefits, the discount rate is determined by projecting future benefit payments inherent in the projected benefit obligation and discounting those cash flows using a spot yield curve for high quality corporate bonds. The plans' expected benefit payments are discounted to determine a present value using the yield curve and the discount rate is the level rate that produces the same present value. The expected return on plan assets is the long-term rate we expect to be earned based on the plans' investment strategy. Historical and expected future returns of multiple asset classes were analyzed to develop a risk free rate of return and risk premiums for each asset class. The overall rate for each asset class was developed by combining a long-term inflation component, the risk free real rate of return and the</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51" w:name="page152"/>
    <w:bookmarkEnd w:id="15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Employee and Agent Benefits —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associated risk premium. A weighted average rate was developed based on those overall rates and the target asset allocation of the plans.</w:t>
      </w:r>
    </w:p>
    <w:p>
      <w:pPr>
        <w:spacing w:after="0" w:line="225" w:lineRule="exact"/>
        <w:rPr>
          <w:sz w:val="20"/>
          <w:szCs w:val="20"/>
          <w:color w:val="auto"/>
        </w:rPr>
      </w:pPr>
    </w:p>
    <w:p>
      <w:pPr>
        <w:jc w:val="both"/>
        <w:ind w:firstLine="423"/>
        <w:spacing w:after="0" w:line="259" w:lineRule="auto"/>
        <w:rPr>
          <w:sz w:val="20"/>
          <w:szCs w:val="20"/>
          <w:color w:val="auto"/>
        </w:rPr>
      </w:pPr>
      <w:r>
        <w:rPr>
          <w:rFonts w:ascii="Arial" w:cs="Arial" w:eastAsia="Arial" w:hAnsi="Arial"/>
          <w:sz w:val="18"/>
          <w:szCs w:val="18"/>
          <w:color w:val="auto"/>
        </w:rPr>
        <w:t>For other postretirement benefits, the 5.62% expected long-term return on plan assets for 2013 is based on the weighted average expected long-term asset returns for the medical, life and long-term care plans. The expected long-term rates for the medical, life and long-term care plans are 5.4%, 7.75% and 5.85%, respectively.</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Assumed Health Care Cost Trend Rates</w:t>
      </w:r>
    </w:p>
    <w:p>
      <w:pPr>
        <w:spacing w:after="0" w:line="227"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920" w:type="dxa"/>
            <w:vAlign w:val="bottom"/>
          </w:tcPr>
          <w:p>
            <w:pPr>
              <w:spacing w:after="0"/>
              <w:rPr>
                <w:sz w:val="14"/>
                <w:szCs w:val="14"/>
                <w:color w:val="auto"/>
              </w:rPr>
            </w:pPr>
          </w:p>
        </w:tc>
        <w:tc>
          <w:tcPr>
            <w:tcW w:w="1200" w:type="dxa"/>
            <w:vAlign w:val="bottom"/>
            <w:gridSpan w:val="4"/>
          </w:tcPr>
          <w:p>
            <w:pPr>
              <w:jc w:val="right"/>
              <w:ind w:right="300"/>
              <w:spacing w:after="0"/>
              <w:rPr>
                <w:sz w:val="20"/>
                <w:szCs w:val="20"/>
                <w:color w:val="auto"/>
              </w:rPr>
            </w:pPr>
            <w:r>
              <w:rPr>
                <w:rFonts w:ascii="Arial" w:cs="Arial" w:eastAsia="Arial" w:hAnsi="Arial"/>
                <w:sz w:val="14"/>
                <w:szCs w:val="14"/>
                <w:b w:val="1"/>
                <w:bCs w:val="1"/>
                <w:color w:val="auto"/>
                <w:w w:val="96"/>
              </w:rPr>
              <w:t>December 31,</w:t>
            </w:r>
          </w:p>
        </w:tc>
      </w:tr>
      <w:tr>
        <w:trPr>
          <w:trHeight w:val="142"/>
        </w:trPr>
        <w:tc>
          <w:tcPr>
            <w:tcW w:w="20" w:type="dxa"/>
            <w:vAlign w:val="bottom"/>
          </w:tcPr>
          <w:p>
            <w:pPr>
              <w:spacing w:after="0"/>
              <w:rPr>
                <w:sz w:val="12"/>
                <w:szCs w:val="12"/>
                <w:color w:val="auto"/>
              </w:rPr>
            </w:pPr>
          </w:p>
        </w:tc>
        <w:tc>
          <w:tcPr>
            <w:tcW w:w="7920" w:type="dxa"/>
            <w:vAlign w:val="bottom"/>
          </w:tcPr>
          <w:p>
            <w:pPr>
              <w:spacing w:after="0"/>
              <w:rPr>
                <w:sz w:val="12"/>
                <w:szCs w:val="12"/>
                <w:color w:val="auto"/>
              </w:rPr>
            </w:pPr>
          </w:p>
        </w:tc>
        <w:tc>
          <w:tcPr>
            <w:tcW w:w="40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w w:val="96"/>
              </w:rPr>
              <w:t>2013</w:t>
            </w:r>
          </w:p>
        </w:tc>
        <w:tc>
          <w:tcPr>
            <w:tcW w:w="220" w:type="dxa"/>
            <w:vAlign w:val="bottom"/>
            <w:tcBorders>
              <w:top w:val="single" w:sz="8" w:color="auto"/>
            </w:tcBorders>
          </w:tcPr>
          <w:p>
            <w:pPr>
              <w:spacing w:after="0"/>
              <w:rPr>
                <w:sz w:val="12"/>
                <w:szCs w:val="12"/>
                <w:color w:val="auto"/>
              </w:rPr>
            </w:pPr>
          </w:p>
        </w:tc>
        <w:tc>
          <w:tcPr>
            <w:tcW w:w="42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rPr>
              <w:t>2012</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79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Health care cost trend rate assumed for next year under age 65</w:t>
            </w:r>
          </w:p>
        </w:tc>
        <w:tc>
          <w:tcPr>
            <w:tcW w:w="620" w:type="dxa"/>
            <w:vAlign w:val="bottom"/>
            <w:gridSpan w:val="2"/>
            <w:shd w:val="clear" w:color="auto" w:fill="CCEEFF"/>
          </w:tcPr>
          <w:p>
            <w:pPr>
              <w:jc w:val="right"/>
              <w:ind w:right="80"/>
              <w:spacing w:after="0" w:line="142" w:lineRule="exact"/>
              <w:rPr>
                <w:sz w:val="20"/>
                <w:szCs w:val="20"/>
                <w:color w:val="auto"/>
              </w:rPr>
            </w:pPr>
            <w:r>
              <w:rPr>
                <w:rFonts w:ascii="Arial" w:cs="Arial" w:eastAsia="Arial" w:hAnsi="Arial"/>
                <w:sz w:val="14"/>
                <w:szCs w:val="14"/>
                <w:b w:val="1"/>
                <w:bCs w:val="1"/>
                <w:color w:val="auto"/>
              </w:rPr>
              <w:t>8.0%</w:t>
            </w:r>
          </w:p>
        </w:tc>
        <w:tc>
          <w:tcPr>
            <w:tcW w:w="58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8.0%</w:t>
            </w:r>
          </w:p>
        </w:tc>
      </w:tr>
      <w:tr>
        <w:trPr>
          <w:trHeight w:val="149"/>
        </w:trPr>
        <w:tc>
          <w:tcPr>
            <w:tcW w:w="20" w:type="dxa"/>
            <w:vAlign w:val="bottom"/>
          </w:tcPr>
          <w:p>
            <w:pPr>
              <w:spacing w:after="0"/>
              <w:rPr>
                <w:sz w:val="12"/>
                <w:szCs w:val="12"/>
                <w:color w:val="auto"/>
              </w:rPr>
            </w:pPr>
          </w:p>
        </w:tc>
        <w:tc>
          <w:tcPr>
            <w:tcW w:w="7920" w:type="dxa"/>
            <w:vAlign w:val="bottom"/>
          </w:tcPr>
          <w:p>
            <w:pPr>
              <w:spacing w:after="0" w:line="149" w:lineRule="exact"/>
              <w:rPr>
                <w:sz w:val="20"/>
                <w:szCs w:val="20"/>
                <w:color w:val="auto"/>
              </w:rPr>
            </w:pPr>
            <w:r>
              <w:rPr>
                <w:rFonts w:ascii="Arial" w:cs="Arial" w:eastAsia="Arial" w:hAnsi="Arial"/>
                <w:sz w:val="14"/>
                <w:szCs w:val="14"/>
                <w:color w:val="auto"/>
              </w:rPr>
              <w:t>Health care cost trend rate assumed for next year age 65 and over</w:t>
            </w:r>
          </w:p>
        </w:tc>
        <w:tc>
          <w:tcPr>
            <w:tcW w:w="620" w:type="dxa"/>
            <w:vAlign w:val="bottom"/>
            <w:gridSpan w:val="2"/>
          </w:tcPr>
          <w:p>
            <w:pPr>
              <w:jc w:val="right"/>
              <w:ind w:right="80"/>
              <w:spacing w:after="0" w:line="149" w:lineRule="exact"/>
              <w:rPr>
                <w:sz w:val="20"/>
                <w:szCs w:val="20"/>
                <w:color w:val="auto"/>
              </w:rPr>
            </w:pPr>
            <w:r>
              <w:rPr>
                <w:rFonts w:ascii="Arial" w:cs="Arial" w:eastAsia="Arial" w:hAnsi="Arial"/>
                <w:sz w:val="14"/>
                <w:szCs w:val="14"/>
                <w:b w:val="1"/>
                <w:bCs w:val="1"/>
                <w:color w:val="auto"/>
              </w:rPr>
              <w:t>6.0%</w:t>
            </w:r>
          </w:p>
        </w:tc>
        <w:tc>
          <w:tcPr>
            <w:tcW w:w="5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7.0%</w:t>
            </w:r>
          </w:p>
        </w:tc>
      </w:tr>
      <w:tr>
        <w:trPr>
          <w:trHeight w:val="149"/>
        </w:trPr>
        <w:tc>
          <w:tcPr>
            <w:tcW w:w="20" w:type="dxa"/>
            <w:vAlign w:val="bottom"/>
          </w:tcPr>
          <w:p>
            <w:pPr>
              <w:spacing w:after="0"/>
              <w:rPr>
                <w:sz w:val="12"/>
                <w:szCs w:val="12"/>
                <w:color w:val="auto"/>
              </w:rPr>
            </w:pPr>
          </w:p>
        </w:tc>
        <w:tc>
          <w:tcPr>
            <w:tcW w:w="79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Rate to which the cost trend rate is assumed to decline (the ultimate trend rate)</w:t>
            </w:r>
          </w:p>
        </w:tc>
        <w:tc>
          <w:tcPr>
            <w:tcW w:w="6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b w:val="1"/>
                <w:bCs w:val="1"/>
                <w:color w:val="auto"/>
              </w:rPr>
              <w:t>4.5%</w:t>
            </w:r>
          </w:p>
        </w:tc>
        <w:tc>
          <w:tcPr>
            <w:tcW w:w="5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4.5%</w:t>
            </w:r>
          </w:p>
        </w:tc>
      </w:tr>
      <w:tr>
        <w:trPr>
          <w:trHeight w:val="149"/>
        </w:trPr>
        <w:tc>
          <w:tcPr>
            <w:tcW w:w="20" w:type="dxa"/>
            <w:vAlign w:val="bottom"/>
          </w:tcPr>
          <w:p>
            <w:pPr>
              <w:spacing w:after="0"/>
              <w:rPr>
                <w:sz w:val="12"/>
                <w:szCs w:val="12"/>
                <w:color w:val="auto"/>
              </w:rPr>
            </w:pPr>
          </w:p>
        </w:tc>
        <w:tc>
          <w:tcPr>
            <w:tcW w:w="7920" w:type="dxa"/>
            <w:vAlign w:val="bottom"/>
          </w:tcPr>
          <w:p>
            <w:pPr>
              <w:spacing w:after="0" w:line="149" w:lineRule="exact"/>
              <w:rPr>
                <w:sz w:val="20"/>
                <w:szCs w:val="20"/>
                <w:color w:val="auto"/>
              </w:rPr>
            </w:pPr>
            <w:r>
              <w:rPr>
                <w:rFonts w:ascii="Arial" w:cs="Arial" w:eastAsia="Arial" w:hAnsi="Arial"/>
                <w:sz w:val="14"/>
                <w:szCs w:val="14"/>
                <w:color w:val="auto"/>
              </w:rPr>
              <w:t>Year that the rate reaches the ultimate trend rate (under age 65)</w:t>
            </w:r>
          </w:p>
        </w:tc>
        <w:tc>
          <w:tcPr>
            <w:tcW w:w="4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2020</w:t>
            </w:r>
          </w:p>
        </w:tc>
        <w:tc>
          <w:tcPr>
            <w:tcW w:w="22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2019</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79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Year that the rate reaches the ultimate trend rate (65 and older)</w:t>
            </w: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2019</w:t>
            </w:r>
          </w:p>
        </w:tc>
        <w:tc>
          <w:tcPr>
            <w:tcW w:w="22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2017</w:t>
            </w:r>
          </w:p>
        </w:tc>
        <w:tc>
          <w:tcPr>
            <w:tcW w:w="160" w:type="dxa"/>
            <w:vAlign w:val="bottom"/>
            <w:shd w:val="clear" w:color="auto" w:fill="CCEEFF"/>
          </w:tcPr>
          <w:p>
            <w:pPr>
              <w:spacing w:after="0"/>
              <w:rPr>
                <w:sz w:val="12"/>
                <w:szCs w:val="12"/>
                <w:color w:val="auto"/>
              </w:rPr>
            </w:pPr>
          </w:p>
        </w:tc>
      </w:tr>
    </w:tbl>
    <w:p>
      <w:pPr>
        <w:spacing w:after="0" w:line="208" w:lineRule="exact"/>
        <w:rPr>
          <w:sz w:val="20"/>
          <w:szCs w:val="20"/>
          <w:color w:val="auto"/>
        </w:rPr>
      </w:pPr>
    </w:p>
    <w:p>
      <w:pPr>
        <w:ind w:firstLine="387"/>
        <w:spacing w:after="0" w:line="268" w:lineRule="auto"/>
        <w:rPr>
          <w:sz w:val="20"/>
          <w:szCs w:val="20"/>
          <w:color w:val="auto"/>
        </w:rPr>
      </w:pPr>
      <w:r>
        <w:rPr>
          <w:rFonts w:ascii="Arial" w:cs="Arial" w:eastAsia="Arial" w:hAnsi="Arial"/>
          <w:sz w:val="18"/>
          <w:szCs w:val="18"/>
          <w:color w:val="auto"/>
        </w:rPr>
        <w:t>Assumed health care cost trend rates have a significant effect on the amounts reported for the health care plans. A one-percentage-point change in assumed health care cost trend rates would have the following effects:</w:t>
      </w:r>
    </w:p>
    <w:p>
      <w:pPr>
        <w:spacing w:after="0" w:line="169"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00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20" w:type="dxa"/>
            <w:vAlign w:val="bottom"/>
            <w:gridSpan w:val="2"/>
          </w:tcPr>
          <w:p>
            <w:pPr>
              <w:jc w:val="right"/>
              <w:ind w:right="158"/>
              <w:spacing w:after="0"/>
              <w:rPr>
                <w:sz w:val="20"/>
                <w:szCs w:val="20"/>
                <w:color w:val="auto"/>
              </w:rPr>
            </w:pPr>
            <w:r>
              <w:rPr>
                <w:rFonts w:ascii="Arial" w:cs="Arial" w:eastAsia="Arial" w:hAnsi="Arial"/>
                <w:sz w:val="14"/>
                <w:szCs w:val="14"/>
                <w:b w:val="1"/>
                <w:bCs w:val="1"/>
                <w:color w:val="auto"/>
                <w:w w:val="89"/>
              </w:rPr>
              <w:t>1-percentage</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80" w:type="dxa"/>
            <w:vAlign w:val="bottom"/>
            <w:gridSpan w:val="2"/>
          </w:tcPr>
          <w:p>
            <w:pPr>
              <w:jc w:val="right"/>
              <w:ind w:right="300"/>
              <w:spacing w:after="0"/>
              <w:rPr>
                <w:sz w:val="20"/>
                <w:szCs w:val="20"/>
                <w:color w:val="auto"/>
              </w:rPr>
            </w:pPr>
            <w:r>
              <w:rPr>
                <w:rFonts w:ascii="Arial" w:cs="Arial" w:eastAsia="Arial" w:hAnsi="Arial"/>
                <w:sz w:val="14"/>
                <w:szCs w:val="14"/>
                <w:b w:val="1"/>
                <w:bCs w:val="1"/>
                <w:color w:val="auto"/>
                <w:w w:val="87"/>
              </w:rPr>
              <w:t>1-percentage</w:t>
            </w:r>
          </w:p>
        </w:tc>
      </w:tr>
      <w:tr>
        <w:trPr>
          <w:trHeight w:val="161"/>
        </w:trPr>
        <w:tc>
          <w:tcPr>
            <w:tcW w:w="20" w:type="dxa"/>
            <w:vAlign w:val="bottom"/>
          </w:tcPr>
          <w:p>
            <w:pPr>
              <w:spacing w:after="0"/>
              <w:rPr>
                <w:sz w:val="14"/>
                <w:szCs w:val="14"/>
                <w:color w:val="auto"/>
              </w:rPr>
            </w:pPr>
          </w:p>
        </w:tc>
        <w:tc>
          <w:tcPr>
            <w:tcW w:w="500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4"/>
              </w:rPr>
              <w:t>point increase</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2"/>
              </w:rPr>
              <w:t>point decrease</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5000" w:type="dxa"/>
            <w:vAlign w:val="bottom"/>
          </w:tcPr>
          <w:p>
            <w:pPr>
              <w:spacing w:after="0"/>
              <w:rPr>
                <w:sz w:val="12"/>
                <w:szCs w:val="12"/>
                <w:color w:val="auto"/>
              </w:rPr>
            </w:pPr>
          </w:p>
        </w:tc>
        <w:tc>
          <w:tcPr>
            <w:tcW w:w="18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tcPr>
          <w:p>
            <w:pPr>
              <w:jc w:val="right"/>
              <w:ind w:right="3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1160" w:type="dxa"/>
            <w:vAlign w:val="bottom"/>
            <w:gridSpan w:val="4"/>
          </w:tcPr>
          <w:p>
            <w:pPr>
              <w:jc w:val="right"/>
              <w:ind w:right="672"/>
              <w:spacing w:after="0"/>
              <w:rPr>
                <w:sz w:val="20"/>
                <w:szCs w:val="20"/>
                <w:color w:val="auto"/>
              </w:rPr>
            </w:pPr>
            <w:r>
              <w:rPr>
                <w:rFonts w:ascii="Arial" w:cs="Arial" w:eastAsia="Arial" w:hAnsi="Arial"/>
                <w:sz w:val="12"/>
                <w:szCs w:val="12"/>
                <w:b w:val="1"/>
                <w:bCs w:val="1"/>
                <w:i w:val="1"/>
                <w:iCs w:val="1"/>
                <w:color w:val="auto"/>
                <w:w w:val="80"/>
              </w:rPr>
              <w:t>millions)</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0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Effect on total of service cost and interest cost components</w:t>
            </w:r>
          </w:p>
        </w:tc>
        <w:tc>
          <w:tcPr>
            <w:tcW w:w="1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0.3</w:t>
            </w:r>
          </w:p>
        </w:tc>
        <w:tc>
          <w:tcPr>
            <w:tcW w:w="10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0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(0.3)</w:t>
            </w:r>
          </w:p>
        </w:tc>
      </w:tr>
      <w:tr>
        <w:trPr>
          <w:trHeight w:val="174"/>
        </w:trPr>
        <w:tc>
          <w:tcPr>
            <w:tcW w:w="20" w:type="dxa"/>
            <w:vAlign w:val="bottom"/>
          </w:tcPr>
          <w:p>
            <w:pPr>
              <w:spacing w:after="0"/>
              <w:rPr>
                <w:sz w:val="15"/>
                <w:szCs w:val="15"/>
                <w:color w:val="auto"/>
              </w:rPr>
            </w:pPr>
          </w:p>
        </w:tc>
        <w:tc>
          <w:tcPr>
            <w:tcW w:w="5000" w:type="dxa"/>
            <w:vAlign w:val="bottom"/>
          </w:tcPr>
          <w:p>
            <w:pPr>
              <w:spacing w:after="0"/>
              <w:rPr>
                <w:sz w:val="20"/>
                <w:szCs w:val="20"/>
                <w:color w:val="auto"/>
              </w:rPr>
            </w:pPr>
            <w:r>
              <w:rPr>
                <w:rFonts w:ascii="Arial" w:cs="Arial" w:eastAsia="Arial" w:hAnsi="Arial"/>
                <w:sz w:val="14"/>
                <w:szCs w:val="14"/>
                <w:color w:val="auto"/>
              </w:rPr>
              <w:t>Effect on accumulated postretirement benefit obligation</w:t>
            </w:r>
          </w:p>
        </w:tc>
        <w:tc>
          <w:tcPr>
            <w:tcW w:w="18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20" w:type="dxa"/>
            <w:vAlign w:val="bottom"/>
            <w:gridSpan w:val="2"/>
          </w:tcPr>
          <w:p>
            <w:pPr>
              <w:jc w:val="right"/>
              <w:spacing w:after="0"/>
              <w:rPr>
                <w:sz w:val="20"/>
                <w:szCs w:val="20"/>
                <w:color w:val="auto"/>
              </w:rPr>
            </w:pPr>
            <w:r>
              <w:rPr>
                <w:rFonts w:ascii="Arial" w:cs="Arial" w:eastAsia="Arial" w:hAnsi="Arial"/>
                <w:sz w:val="14"/>
                <w:szCs w:val="14"/>
                <w:b w:val="1"/>
                <w:bCs w:val="1"/>
                <w:color w:val="auto"/>
              </w:rPr>
              <w:t>(6.1)</w:t>
            </w: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b w:val="1"/>
                <w:bCs w:val="1"/>
                <w:color w:val="auto"/>
              </w:rPr>
              <w:t>5.3</w:t>
            </w:r>
          </w:p>
        </w:tc>
        <w:tc>
          <w:tcPr>
            <w:tcW w:w="160" w:type="dxa"/>
            <w:vAlign w:val="bottom"/>
          </w:tcPr>
          <w:p>
            <w:pPr>
              <w:spacing w:after="0"/>
              <w:rPr>
                <w:sz w:val="15"/>
                <w:szCs w:val="15"/>
                <w:color w:val="auto"/>
              </w:rPr>
            </w:pPr>
          </w:p>
        </w:tc>
      </w:tr>
    </w:tbl>
    <w:p>
      <w:pPr>
        <w:spacing w:after="0" w:line="3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Pension Plan and Other Postretirement Benefit Plan Assets</w:t>
      </w:r>
    </w:p>
    <w:p>
      <w:pPr>
        <w:spacing w:after="0" w:line="231" w:lineRule="exact"/>
        <w:rPr>
          <w:sz w:val="20"/>
          <w:szCs w:val="20"/>
          <w:color w:val="auto"/>
        </w:rPr>
      </w:pPr>
    </w:p>
    <w:p>
      <w:pPr>
        <w:ind w:firstLine="418"/>
        <w:spacing w:after="0" w:line="332" w:lineRule="auto"/>
        <w:rPr>
          <w:sz w:val="20"/>
          <w:szCs w:val="20"/>
          <w:color w:val="auto"/>
        </w:rPr>
      </w:pPr>
      <w:r>
        <w:rPr>
          <w:rFonts w:ascii="Arial" w:cs="Arial" w:eastAsia="Arial" w:hAnsi="Arial"/>
          <w:sz w:val="16"/>
          <w:szCs w:val="16"/>
          <w:color w:val="auto"/>
        </w:rPr>
        <w:t>Fair value is defined as the price that would be received to sell an asset in an orderly transaction between market participants at the measurement date (an exit price). The fair value hierarchy prioritizes the inputs to valuation techniques used to measure fair value into three levels.</w:t>
      </w:r>
    </w:p>
    <w:p>
      <w:pPr>
        <w:spacing w:after="0" w:line="153" w:lineRule="exact"/>
        <w:rPr>
          <w:sz w:val="20"/>
          <w:szCs w:val="20"/>
          <w:color w:val="auto"/>
        </w:rPr>
      </w:pPr>
    </w:p>
    <w:p>
      <w:pPr>
        <w:ind w:left="1080" w:hanging="532"/>
        <w:spacing w:after="0" w:line="268" w:lineRule="auto"/>
        <w:tabs>
          <w:tab w:leader="none" w:pos="1080" w:val="left"/>
        </w:tabs>
        <w:numPr>
          <w:ilvl w:val="0"/>
          <w:numId w:val="65"/>
        </w:numPr>
        <w:rPr>
          <w:rFonts w:ascii="Arial" w:cs="Arial" w:eastAsia="Arial" w:hAnsi="Arial"/>
          <w:sz w:val="18"/>
          <w:szCs w:val="18"/>
          <w:color w:val="auto"/>
        </w:rPr>
      </w:pPr>
      <w:r>
        <w:rPr>
          <w:rFonts w:ascii="Arial" w:cs="Arial" w:eastAsia="Arial" w:hAnsi="Arial"/>
          <w:sz w:val="18"/>
          <w:szCs w:val="18"/>
          <w:color w:val="auto"/>
        </w:rPr>
        <w:t>Level 1 — Fair values are based on unadjusted quoted prices in active markets for identical assets. Our Level 1 assets include cash, fixed income investment funds and exchange traded equity securities.</w:t>
      </w:r>
    </w:p>
    <w:p>
      <w:pPr>
        <w:spacing w:after="0" w:line="212"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65"/>
        </w:numPr>
        <w:rPr>
          <w:rFonts w:ascii="Arial" w:cs="Arial" w:eastAsia="Arial" w:hAnsi="Arial"/>
          <w:sz w:val="18"/>
          <w:szCs w:val="18"/>
          <w:color w:val="auto"/>
        </w:rPr>
      </w:pPr>
      <w:r>
        <w:rPr>
          <w:rFonts w:ascii="Arial" w:cs="Arial" w:eastAsia="Arial" w:hAnsi="Arial"/>
          <w:sz w:val="18"/>
          <w:szCs w:val="18"/>
          <w:color w:val="auto"/>
        </w:rPr>
        <w:t>Level 2 — Fair values are based on inputs other than quoted prices within Level 1 that are observable for the asset, either directly or indirectly. Our Level 2 assets primarily include fixed income and equity investment funds and real estate investments.</w:t>
      </w:r>
    </w:p>
    <w:p>
      <w:pPr>
        <w:spacing w:after="0" w:line="199"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65"/>
        </w:numPr>
        <w:rPr>
          <w:rFonts w:ascii="Arial" w:cs="Arial" w:eastAsia="Arial" w:hAnsi="Arial"/>
          <w:sz w:val="18"/>
          <w:szCs w:val="18"/>
          <w:color w:val="auto"/>
        </w:rPr>
      </w:pPr>
      <w:r>
        <w:rPr>
          <w:rFonts w:ascii="Arial" w:cs="Arial" w:eastAsia="Arial" w:hAnsi="Arial"/>
          <w:sz w:val="18"/>
          <w:szCs w:val="18"/>
          <w:color w:val="auto"/>
        </w:rPr>
        <w:t>Level 3 — Fair values are based on significant unobservable inputs for the asset. Our Level 3 assets include a Principal Life general account investment.</w:t>
      </w:r>
    </w:p>
    <w:p>
      <w:pPr>
        <w:spacing w:after="0" w:line="186" w:lineRule="exact"/>
        <w:rPr>
          <w:sz w:val="20"/>
          <w:szCs w:val="20"/>
          <w:color w:val="auto"/>
        </w:rPr>
      </w:pPr>
    </w:p>
    <w:p>
      <w:pPr>
        <w:jc w:val="both"/>
        <w:ind w:firstLine="417"/>
        <w:spacing w:after="0" w:line="255" w:lineRule="auto"/>
        <w:rPr>
          <w:sz w:val="20"/>
          <w:szCs w:val="20"/>
          <w:color w:val="auto"/>
        </w:rPr>
      </w:pPr>
      <w:r>
        <w:rPr>
          <w:rFonts w:ascii="Arial" w:cs="Arial" w:eastAsia="Arial" w:hAnsi="Arial"/>
          <w:sz w:val="18"/>
          <w:szCs w:val="18"/>
          <w:color w:val="auto"/>
        </w:rPr>
        <w:t>Our pension plan assets consist of investments in separate accounts. Net asset value ("NAV") of the separate accounts is calculated in a manner consistent with U.S. GAAP for investment companies and is determinative of their fair value. Several of the separate accounts invest in publicly quoted mutual funds or actively managed stocks. The fair value of the underlying mutual funds or stock is used to determine the NAV of the separate account, which is not publicly quoted. Some of the separate accounts also invest in fixed income securities. The fair value of the underlying securities is based on quoted prices of similar assets and used to determine the NAV of the separate account.</w:t>
      </w:r>
    </w:p>
    <w:p>
      <w:pPr>
        <w:spacing w:after="0" w:line="197" w:lineRule="exact"/>
        <w:rPr>
          <w:sz w:val="20"/>
          <w:szCs w:val="20"/>
          <w:color w:val="auto"/>
        </w:rPr>
      </w:pPr>
    </w:p>
    <w:p>
      <w:pPr>
        <w:jc w:val="both"/>
        <w:ind w:firstLine="436"/>
        <w:spacing w:after="0" w:line="288" w:lineRule="auto"/>
        <w:rPr>
          <w:sz w:val="20"/>
          <w:szCs w:val="20"/>
          <w:color w:val="auto"/>
        </w:rPr>
      </w:pPr>
      <w:r>
        <w:rPr>
          <w:rFonts w:ascii="Arial" w:cs="Arial" w:eastAsia="Arial" w:hAnsi="Arial"/>
          <w:sz w:val="16"/>
          <w:szCs w:val="16"/>
          <w:color w:val="auto"/>
        </w:rPr>
        <w:t>Our other postretirement benefit plan assets consist of cash, investments in fixed income security portfolios and investments in equity security portfolios. Because of the nature of cash, its carrying amount approximates fair value. The fair value of fixed income investment funds, U.S. equity portfolios and international equity portfolios is based on quoted prices in active markets for identical assets. The fair value of the Principal Life general account investment is the amount the plan would receive if withdrawing funds from this participating contract. The amount that would be received is calculated using a cash-out factor based on an associated pool of general account fixed income securities. The cash-out factor is a ratio of the asset investment value of these securities to asset book value. As the investment values change, the cash-out factor is adjusted, impacting the amount the plan receives at measurement date. To determine investment value for each category of assets, we project cash flows. This is done using contractual provisions for the assets, with adjustment for expected prepayments and call provisions. Projected cash flows are discounted to present value for each asset category. Interest rates for discounting are based on current rates on similar new assets in the general account based on asset strategy.</w:t>
      </w:r>
    </w:p>
    <w:p>
      <w:pPr>
        <w:sectPr>
          <w:pgSz w:w="11900" w:h="16838" w:orient="portrait"/>
          <w:cols w:equalWidth="0" w:num="1">
            <w:col w:w="11420"/>
          </w:cols>
          <w:pgMar w:left="240" w:top="131" w:right="239" w:bottom="1440" w:gutter="0" w:footer="0" w:header="0"/>
        </w:sectPr>
      </w:pP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52" w:name="page153"/>
    <w:bookmarkEnd w:id="15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ind w:right="7820" w:firstLine="8"/>
        <w:spacing w:after="0" w:line="504" w:lineRule="auto"/>
        <w:tabs>
          <w:tab w:leader="none" w:pos="263" w:val="left"/>
        </w:tabs>
        <w:numPr>
          <w:ilvl w:val="0"/>
          <w:numId w:val="66"/>
        </w:numPr>
        <w:rPr>
          <w:rFonts w:ascii="Arial" w:cs="Arial" w:eastAsia="Arial" w:hAnsi="Arial"/>
          <w:sz w:val="18"/>
          <w:szCs w:val="18"/>
          <w:b w:val="1"/>
          <w:bCs w:val="1"/>
          <w:color w:val="auto"/>
        </w:rPr>
      </w:pPr>
      <w:r>
        <w:rPr>
          <w:rFonts w:ascii="Arial" w:cs="Arial" w:eastAsia="Arial" w:hAnsi="Arial"/>
          <w:sz w:val="18"/>
          <w:szCs w:val="18"/>
          <w:b w:val="1"/>
          <w:bCs w:val="1"/>
          <w:color w:val="auto"/>
        </w:rPr>
        <w:t>Employee and Agent Benefits — (continued) Pension Plan Assets</w:t>
      </w:r>
    </w:p>
    <w:p>
      <w:pPr>
        <w:spacing w:after="0" w:line="1" w:lineRule="exact"/>
        <w:rPr>
          <w:rFonts w:ascii="Arial" w:cs="Arial" w:eastAsia="Arial" w:hAnsi="Arial"/>
          <w:sz w:val="18"/>
          <w:szCs w:val="18"/>
          <w:b w:val="1"/>
          <w:bCs w:val="1"/>
          <w:color w:val="auto"/>
        </w:rPr>
      </w:pPr>
    </w:p>
    <w:p>
      <w:pPr>
        <w:ind w:left="360"/>
        <w:spacing w:after="0"/>
        <w:rPr>
          <w:rFonts w:ascii="Arial" w:cs="Arial" w:eastAsia="Arial" w:hAnsi="Arial"/>
          <w:sz w:val="18"/>
          <w:szCs w:val="18"/>
          <w:b w:val="1"/>
          <w:bCs w:val="1"/>
          <w:color w:val="auto"/>
        </w:rPr>
      </w:pPr>
      <w:r>
        <w:rPr>
          <w:rFonts w:ascii="Arial" w:cs="Arial" w:eastAsia="Arial" w:hAnsi="Arial"/>
          <w:sz w:val="18"/>
          <w:szCs w:val="18"/>
          <w:color w:val="auto"/>
        </w:rPr>
        <w:t>The fair value of the qualified pension plan's assets by asset category as of the most recent measurement date is as follows:</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88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320" w:type="dxa"/>
            <w:vAlign w:val="bottom"/>
            <w:tcBorders>
              <w:bottom w:val="single" w:sz="8" w:color="auto"/>
            </w:tcBorders>
            <w:gridSpan w:val="7"/>
          </w:tcPr>
          <w:p>
            <w:pPr>
              <w:jc w:val="center"/>
              <w:ind w:left="552"/>
              <w:spacing w:after="0"/>
              <w:rPr>
                <w:sz w:val="20"/>
                <w:szCs w:val="20"/>
                <w:color w:val="auto"/>
              </w:rPr>
            </w:pPr>
            <w:r>
              <w:rPr>
                <w:rFonts w:ascii="Arial" w:cs="Arial" w:eastAsia="Arial" w:hAnsi="Arial"/>
                <w:sz w:val="14"/>
                <w:szCs w:val="14"/>
                <w:b w:val="1"/>
                <w:bCs w:val="1"/>
                <w:color w:val="auto"/>
                <w:w w:val="86"/>
              </w:rPr>
              <w:t>As of December 31, 2013</w:t>
            </w:r>
          </w:p>
        </w:tc>
        <w:tc>
          <w:tcPr>
            <w:tcW w:w="16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8"/>
        </w:trPr>
        <w:tc>
          <w:tcPr>
            <w:tcW w:w="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0" w:type="dxa"/>
            <w:vAlign w:val="bottom"/>
          </w:tcPr>
          <w:p>
            <w:pPr>
              <w:jc w:val="center"/>
              <w:ind w:right="12"/>
              <w:spacing w:after="0"/>
              <w:rPr>
                <w:sz w:val="20"/>
                <w:szCs w:val="20"/>
                <w:color w:val="auto"/>
              </w:rPr>
            </w:pPr>
            <w:r>
              <w:rPr>
                <w:rFonts w:ascii="Arial" w:cs="Arial" w:eastAsia="Arial" w:hAnsi="Arial"/>
                <w:sz w:val="14"/>
                <w:szCs w:val="14"/>
                <w:b w:val="1"/>
                <w:bCs w:val="1"/>
                <w:color w:val="auto"/>
                <w:w w:val="78"/>
              </w:rPr>
              <w:t>Assets</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740" w:type="dxa"/>
            <w:vAlign w:val="bottom"/>
            <w:gridSpan w:val="6"/>
            <w:vMerge w:val="restart"/>
          </w:tcPr>
          <w:p>
            <w:pPr>
              <w:jc w:val="center"/>
              <w:ind w:left="32"/>
              <w:spacing w:after="0"/>
              <w:rPr>
                <w:sz w:val="20"/>
                <w:szCs w:val="20"/>
                <w:color w:val="auto"/>
              </w:rPr>
            </w:pPr>
            <w:r>
              <w:rPr>
                <w:rFonts w:ascii="Arial" w:cs="Arial" w:eastAsia="Arial" w:hAnsi="Arial"/>
                <w:sz w:val="14"/>
                <w:szCs w:val="14"/>
                <w:b w:val="1"/>
                <w:bCs w:val="1"/>
                <w:color w:val="auto"/>
                <w:w w:val="88"/>
              </w:rPr>
              <w:t>Fair value hierarchy level</w:t>
            </w: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2880" w:type="dxa"/>
            <w:vAlign w:val="bottom"/>
          </w:tcPr>
          <w:p>
            <w:pPr>
              <w:spacing w:after="0"/>
              <w:rPr>
                <w:sz w:val="5"/>
                <w:szCs w:val="5"/>
                <w:color w:val="auto"/>
              </w:rPr>
            </w:pPr>
          </w:p>
        </w:tc>
        <w:tc>
          <w:tcPr>
            <w:tcW w:w="18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0" w:type="dxa"/>
            <w:vAlign w:val="bottom"/>
            <w:vMerge w:val="restart"/>
          </w:tcPr>
          <w:p>
            <w:pPr>
              <w:jc w:val="center"/>
              <w:ind w:right="32"/>
              <w:spacing w:after="0" w:line="149" w:lineRule="exact"/>
              <w:rPr>
                <w:sz w:val="20"/>
                <w:szCs w:val="20"/>
                <w:color w:val="auto"/>
              </w:rPr>
            </w:pPr>
            <w:r>
              <w:rPr>
                <w:rFonts w:ascii="Arial" w:cs="Arial" w:eastAsia="Arial" w:hAnsi="Arial"/>
                <w:sz w:val="14"/>
                <w:szCs w:val="14"/>
                <w:b w:val="1"/>
                <w:bCs w:val="1"/>
                <w:color w:val="auto"/>
                <w:w w:val="84"/>
              </w:rPr>
              <w:t>measured at</w:t>
            </w:r>
          </w:p>
        </w:tc>
        <w:tc>
          <w:tcPr>
            <w:tcW w:w="160" w:type="dxa"/>
            <w:vAlign w:val="bottom"/>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740" w:type="dxa"/>
            <w:vAlign w:val="bottom"/>
            <w:tcBorders>
              <w:bottom w:val="single" w:sz="8" w:color="auto"/>
            </w:tcBorders>
            <w:gridSpan w:val="6"/>
            <w:vMerge w:val="continue"/>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2880" w:type="dxa"/>
            <w:vAlign w:val="bottom"/>
          </w:tcPr>
          <w:p>
            <w:pPr>
              <w:spacing w:after="0"/>
              <w:rPr>
                <w:sz w:val="5"/>
                <w:szCs w:val="5"/>
                <w:color w:val="auto"/>
              </w:rPr>
            </w:pPr>
          </w:p>
        </w:tc>
        <w:tc>
          <w:tcPr>
            <w:tcW w:w="18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540" w:type="dxa"/>
            <w:vAlign w:val="bottom"/>
          </w:tcPr>
          <w:p>
            <w:pPr>
              <w:spacing w:after="0"/>
              <w:rPr>
                <w:sz w:val="5"/>
                <w:szCs w:val="5"/>
                <w:color w:val="auto"/>
              </w:rPr>
            </w:pPr>
          </w:p>
        </w:tc>
        <w:tc>
          <w:tcPr>
            <w:tcW w:w="160" w:type="dxa"/>
            <w:vAlign w:val="bottom"/>
          </w:tcPr>
          <w:p>
            <w:pPr>
              <w:spacing w:after="0"/>
              <w:rPr>
                <w:sz w:val="5"/>
                <w:szCs w:val="5"/>
                <w:color w:val="auto"/>
              </w:rPr>
            </w:pPr>
          </w:p>
        </w:tc>
        <w:tc>
          <w:tcPr>
            <w:tcW w:w="340" w:type="dxa"/>
            <w:vAlign w:val="bottom"/>
          </w:tcPr>
          <w:p>
            <w:pPr>
              <w:spacing w:after="0"/>
              <w:rPr>
                <w:sz w:val="5"/>
                <w:szCs w:val="5"/>
                <w:color w:val="auto"/>
              </w:rPr>
            </w:pPr>
          </w:p>
        </w:tc>
        <w:tc>
          <w:tcPr>
            <w:tcW w:w="220" w:type="dxa"/>
            <w:vAlign w:val="bottom"/>
          </w:tcPr>
          <w:p>
            <w:pPr>
              <w:spacing w:after="0"/>
              <w:rPr>
                <w:sz w:val="5"/>
                <w:szCs w:val="5"/>
                <w:color w:val="auto"/>
              </w:rPr>
            </w:pPr>
          </w:p>
        </w:tc>
        <w:tc>
          <w:tcPr>
            <w:tcW w:w="1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88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91"/>
              </w:rPr>
              <w:t>fair value</w:t>
            </w:r>
          </w:p>
        </w:tc>
        <w:tc>
          <w:tcPr>
            <w:tcW w:w="160" w:type="dxa"/>
            <w:vAlign w:val="bottom"/>
          </w:tcPr>
          <w:p>
            <w:pPr>
              <w:spacing w:after="0"/>
              <w:rPr>
                <w:sz w:val="14"/>
                <w:szCs w:val="14"/>
                <w:color w:val="auto"/>
              </w:rPr>
            </w:pPr>
          </w:p>
        </w:tc>
        <w:tc>
          <w:tcPr>
            <w:tcW w:w="580" w:type="dxa"/>
            <w:vAlign w:val="bottom"/>
            <w:tcBorders>
              <w:bottom w:val="single" w:sz="8" w:color="auto"/>
            </w:tcBorders>
            <w:gridSpan w:val="2"/>
          </w:tcPr>
          <w:p>
            <w:pPr>
              <w:ind w:left="80"/>
              <w:spacing w:after="0"/>
              <w:rPr>
                <w:sz w:val="20"/>
                <w:szCs w:val="20"/>
                <w:color w:val="auto"/>
              </w:rPr>
            </w:pPr>
            <w:r>
              <w:rPr>
                <w:rFonts w:ascii="Arial" w:cs="Arial" w:eastAsia="Arial" w:hAnsi="Arial"/>
                <w:sz w:val="14"/>
                <w:szCs w:val="14"/>
                <w:b w:val="1"/>
                <w:bCs w:val="1"/>
                <w:color w:val="auto"/>
              </w:rPr>
              <w:t>Level 1</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88"/>
              </w:rPr>
              <w:t>Level 2</w:t>
            </w:r>
          </w:p>
        </w:tc>
        <w:tc>
          <w:tcPr>
            <w:tcW w:w="160" w:type="dxa"/>
            <w:vAlign w:val="bottom"/>
          </w:tcPr>
          <w:p>
            <w:pPr>
              <w:spacing w:after="0"/>
              <w:rPr>
                <w:sz w:val="14"/>
                <w:szCs w:val="14"/>
                <w:color w:val="auto"/>
              </w:rPr>
            </w:pPr>
          </w:p>
        </w:tc>
        <w:tc>
          <w:tcPr>
            <w:tcW w:w="560" w:type="dxa"/>
            <w:vAlign w:val="bottom"/>
            <w:tcBorders>
              <w:bottom w:val="single" w:sz="8" w:color="auto"/>
            </w:tcBorders>
            <w:gridSpan w:val="2"/>
          </w:tcPr>
          <w:p>
            <w:pPr>
              <w:ind w:left="60"/>
              <w:spacing w:after="0"/>
              <w:rPr>
                <w:sz w:val="20"/>
                <w:szCs w:val="20"/>
                <w:color w:val="auto"/>
              </w:rPr>
            </w:pPr>
            <w:r>
              <w:rPr>
                <w:rFonts w:ascii="Arial" w:cs="Arial" w:eastAsia="Arial" w:hAnsi="Arial"/>
                <w:sz w:val="14"/>
                <w:szCs w:val="14"/>
                <w:b w:val="1"/>
                <w:bCs w:val="1"/>
                <w:color w:val="auto"/>
              </w:rPr>
              <w:t>Level 3</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4"/>
          </w:tcPr>
          <w:p>
            <w:pPr>
              <w:jc w:val="center"/>
              <w:ind w:right="372"/>
              <w:spacing w:after="0" w:line="142" w:lineRule="exact"/>
              <w:rPr>
                <w:sz w:val="20"/>
                <w:szCs w:val="20"/>
                <w:color w:val="auto"/>
              </w:rPr>
            </w:pPr>
            <w:r>
              <w:rPr>
                <w:rFonts w:ascii="Arial" w:cs="Arial" w:eastAsia="Arial" w:hAnsi="Arial"/>
                <w:sz w:val="14"/>
                <w:szCs w:val="14"/>
                <w:b w:val="1"/>
                <w:bCs w:val="1"/>
                <w:i w:val="1"/>
                <w:iCs w:val="1"/>
                <w:color w:val="auto"/>
                <w:w w:val="86"/>
              </w:rPr>
              <w:t>(in millions)</w:t>
            </w: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 category</w:t>
            </w:r>
          </w:p>
        </w:tc>
        <w:tc>
          <w:tcPr>
            <w:tcW w:w="18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00" w:type="dxa"/>
            <w:vAlign w:val="bottom"/>
            <w:gridSpan w:val="2"/>
          </w:tcPr>
          <w:p>
            <w:pPr>
              <w:spacing w:after="0" w:line="149" w:lineRule="exact"/>
              <w:rPr>
                <w:sz w:val="20"/>
                <w:szCs w:val="20"/>
                <w:color w:val="auto"/>
              </w:rPr>
            </w:pPr>
            <w:r>
              <w:rPr>
                <w:rFonts w:ascii="Arial" w:cs="Arial" w:eastAsia="Arial" w:hAnsi="Arial"/>
                <w:sz w:val="14"/>
                <w:szCs w:val="14"/>
                <w:color w:val="auto"/>
              </w:rPr>
              <w:t>U.S. large cap equity portfolios (1)</w:t>
            </w:r>
          </w:p>
        </w:tc>
        <w:tc>
          <w:tcPr>
            <w:tcW w:w="192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414.0</w:t>
            </w:r>
          </w:p>
        </w:tc>
        <w:tc>
          <w:tcPr>
            <w:tcW w:w="2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460" w:type="dxa"/>
            <w:vAlign w:val="bottom"/>
          </w:tcPr>
          <w:p>
            <w:pPr>
              <w:ind w:left="300"/>
              <w:spacing w:after="0" w:line="149" w:lineRule="exact"/>
              <w:rPr>
                <w:sz w:val="20"/>
                <w:szCs w:val="20"/>
                <w:color w:val="auto"/>
              </w:rPr>
            </w:pPr>
            <w:r>
              <w:rPr>
                <w:rFonts w:ascii="Arial" w:cs="Arial" w:eastAsia="Arial" w:hAnsi="Arial"/>
                <w:sz w:val="14"/>
                <w:szCs w:val="14"/>
                <w:b w:val="1"/>
                <w:bCs w:val="1"/>
                <w:color w:val="auto"/>
                <w:w w:val="99"/>
              </w:rPr>
              <w:t>—</w:t>
            </w:r>
          </w:p>
        </w:tc>
        <w:tc>
          <w:tcPr>
            <w:tcW w:w="24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414.0</w:t>
            </w:r>
          </w:p>
        </w:tc>
        <w:tc>
          <w:tcPr>
            <w:tcW w:w="500" w:type="dxa"/>
            <w:vAlign w:val="bottom"/>
            <w:gridSpan w:val="2"/>
          </w:tcPr>
          <w:p>
            <w:pPr>
              <w:jc w:val="right"/>
              <w:ind w:right="212"/>
              <w:spacing w:after="0" w:line="149" w:lineRule="exact"/>
              <w:rPr>
                <w:sz w:val="20"/>
                <w:szCs w:val="20"/>
                <w:color w:val="auto"/>
              </w:rPr>
            </w:pPr>
            <w:r>
              <w:rPr>
                <w:rFonts w:ascii="Arial" w:cs="Arial" w:eastAsia="Arial" w:hAnsi="Arial"/>
                <w:sz w:val="14"/>
                <w:szCs w:val="14"/>
                <w:b w:val="1"/>
                <w:bCs w:val="1"/>
                <w:color w:val="auto"/>
              </w:rPr>
              <w:t>$</w:t>
            </w:r>
          </w:p>
        </w:tc>
        <w:tc>
          <w:tcPr>
            <w:tcW w:w="38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U.S. small/mid cap equity portfolios (2)</w:t>
            </w:r>
          </w:p>
        </w:tc>
        <w:tc>
          <w:tcPr>
            <w:tcW w:w="18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102.9</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ind w:left="300"/>
              <w:spacing w:after="0" w:line="149" w:lineRule="exact"/>
              <w:rPr>
                <w:sz w:val="20"/>
                <w:szCs w:val="20"/>
                <w:color w:val="auto"/>
              </w:rPr>
            </w:pPr>
            <w:r>
              <w:rPr>
                <w:rFonts w:ascii="Arial" w:cs="Arial" w:eastAsia="Arial" w:hAnsi="Arial"/>
                <w:sz w:val="14"/>
                <w:szCs w:val="14"/>
                <w:b w:val="1"/>
                <w:bCs w:val="1"/>
                <w:color w:val="auto"/>
                <w:w w:val="99"/>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102.9</w:t>
            </w:r>
          </w:p>
        </w:tc>
        <w:tc>
          <w:tcPr>
            <w:tcW w:w="1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380" w:type="dxa"/>
            <w:vAlign w:val="bottom"/>
            <w:gridSpan w:val="2"/>
            <w:shd w:val="clear" w:color="auto" w:fill="CCEEFF"/>
          </w:tcPr>
          <w:p>
            <w:pPr>
              <w:ind w:left="8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00" w:type="dxa"/>
            <w:vAlign w:val="bottom"/>
            <w:gridSpan w:val="2"/>
          </w:tcPr>
          <w:p>
            <w:pPr>
              <w:spacing w:after="0" w:line="149" w:lineRule="exact"/>
              <w:rPr>
                <w:sz w:val="20"/>
                <w:szCs w:val="20"/>
                <w:color w:val="auto"/>
              </w:rPr>
            </w:pPr>
            <w:r>
              <w:rPr>
                <w:rFonts w:ascii="Arial" w:cs="Arial" w:eastAsia="Arial" w:hAnsi="Arial"/>
                <w:sz w:val="14"/>
                <w:szCs w:val="14"/>
                <w:color w:val="auto"/>
              </w:rPr>
              <w:t>Balanced asset portfolios (3)</w:t>
            </w:r>
          </w:p>
        </w:tc>
        <w:tc>
          <w:tcPr>
            <w:tcW w:w="1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96.9</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ind w:left="300"/>
              <w:spacing w:after="0" w:line="149" w:lineRule="exact"/>
              <w:rPr>
                <w:sz w:val="20"/>
                <w:szCs w:val="20"/>
                <w:color w:val="auto"/>
              </w:rPr>
            </w:pPr>
            <w:r>
              <w:rPr>
                <w:rFonts w:ascii="Arial" w:cs="Arial" w:eastAsia="Arial" w:hAnsi="Arial"/>
                <w:sz w:val="14"/>
                <w:szCs w:val="14"/>
                <w:b w:val="1"/>
                <w:bCs w:val="1"/>
                <w:color w:val="auto"/>
                <w:w w:val="99"/>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96.9</w:t>
            </w: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8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International equity portfolios (4)</w:t>
            </w:r>
          </w:p>
        </w:tc>
        <w:tc>
          <w:tcPr>
            <w:tcW w:w="18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171.0</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ind w:left="300"/>
              <w:spacing w:after="0" w:line="149" w:lineRule="exact"/>
              <w:rPr>
                <w:sz w:val="20"/>
                <w:szCs w:val="20"/>
                <w:color w:val="auto"/>
              </w:rPr>
            </w:pPr>
            <w:r>
              <w:rPr>
                <w:rFonts w:ascii="Arial" w:cs="Arial" w:eastAsia="Arial" w:hAnsi="Arial"/>
                <w:sz w:val="14"/>
                <w:szCs w:val="14"/>
                <w:b w:val="1"/>
                <w:bCs w:val="1"/>
                <w:color w:val="auto"/>
                <w:w w:val="99"/>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171.0</w:t>
            </w:r>
          </w:p>
        </w:tc>
        <w:tc>
          <w:tcPr>
            <w:tcW w:w="1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380" w:type="dxa"/>
            <w:vAlign w:val="bottom"/>
            <w:gridSpan w:val="2"/>
            <w:shd w:val="clear" w:color="auto" w:fill="CCEEFF"/>
          </w:tcPr>
          <w:p>
            <w:pPr>
              <w:ind w:left="8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00" w:type="dxa"/>
            <w:vAlign w:val="bottom"/>
            <w:gridSpan w:val="2"/>
          </w:tcPr>
          <w:p>
            <w:pPr>
              <w:spacing w:after="0" w:line="149" w:lineRule="exact"/>
              <w:rPr>
                <w:sz w:val="20"/>
                <w:szCs w:val="20"/>
                <w:color w:val="auto"/>
              </w:rPr>
            </w:pPr>
            <w:r>
              <w:rPr>
                <w:rFonts w:ascii="Arial" w:cs="Arial" w:eastAsia="Arial" w:hAnsi="Arial"/>
                <w:sz w:val="14"/>
                <w:szCs w:val="14"/>
                <w:color w:val="auto"/>
              </w:rPr>
              <w:t>Fixed income security portfolios (5)</w:t>
            </w:r>
          </w:p>
        </w:tc>
        <w:tc>
          <w:tcPr>
            <w:tcW w:w="1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1,048.5</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ind w:left="300"/>
              <w:spacing w:after="0" w:line="149" w:lineRule="exact"/>
              <w:rPr>
                <w:sz w:val="20"/>
                <w:szCs w:val="20"/>
                <w:color w:val="auto"/>
              </w:rPr>
            </w:pPr>
            <w:r>
              <w:rPr>
                <w:rFonts w:ascii="Arial" w:cs="Arial" w:eastAsia="Arial" w:hAnsi="Arial"/>
                <w:sz w:val="14"/>
                <w:szCs w:val="14"/>
                <w:b w:val="1"/>
                <w:bCs w:val="1"/>
                <w:color w:val="auto"/>
                <w:w w:val="99"/>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1,048.5</w:t>
            </w: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8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Real estate investment portfolios:</w:t>
            </w:r>
          </w:p>
        </w:tc>
        <w:tc>
          <w:tcPr>
            <w:tcW w:w="18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0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Direct real estate investments (6)</w:t>
            </w:r>
          </w:p>
        </w:tc>
        <w:tc>
          <w:tcPr>
            <w:tcW w:w="184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92.3</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ind w:left="300"/>
              <w:spacing w:after="0" w:line="149" w:lineRule="exact"/>
              <w:rPr>
                <w:sz w:val="20"/>
                <w:szCs w:val="20"/>
                <w:color w:val="auto"/>
              </w:rPr>
            </w:pPr>
            <w:r>
              <w:rPr>
                <w:rFonts w:ascii="Arial" w:cs="Arial" w:eastAsia="Arial" w:hAnsi="Arial"/>
                <w:sz w:val="14"/>
                <w:szCs w:val="14"/>
                <w:b w:val="1"/>
                <w:bCs w:val="1"/>
                <w:color w:val="auto"/>
                <w:w w:val="99"/>
              </w:rPr>
              <w:t>—</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92.3</w:t>
            </w:r>
          </w:p>
        </w:tc>
        <w:tc>
          <w:tcPr>
            <w:tcW w:w="160" w:type="dxa"/>
            <w:vAlign w:val="bottom"/>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ind w:left="80"/>
              <w:spacing w:after="0" w:line="149" w:lineRule="exact"/>
              <w:rPr>
                <w:sz w:val="20"/>
                <w:szCs w:val="20"/>
                <w:color w:val="auto"/>
              </w:rPr>
            </w:pPr>
            <w:r>
              <w:rPr>
                <w:rFonts w:ascii="Arial" w:cs="Arial" w:eastAsia="Arial" w:hAnsi="Arial"/>
                <w:sz w:val="14"/>
                <w:szCs w:val="14"/>
                <w:b w:val="1"/>
                <w:bCs w:val="1"/>
                <w:color w:val="auto"/>
                <w:w w:val="85"/>
              </w:rPr>
              <w:t>—</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00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Total</w:t>
            </w:r>
          </w:p>
        </w:tc>
        <w:tc>
          <w:tcPr>
            <w:tcW w:w="192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8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1,925.6</w:t>
            </w:r>
          </w:p>
        </w:tc>
        <w:tc>
          <w:tcPr>
            <w:tcW w:w="28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460" w:type="dxa"/>
            <w:vAlign w:val="bottom"/>
            <w:shd w:val="clear" w:color="auto" w:fill="CCEEFF"/>
          </w:tcPr>
          <w:p>
            <w:pPr>
              <w:ind w:left="300"/>
              <w:spacing w:after="0" w:line="142" w:lineRule="exact"/>
              <w:rPr>
                <w:sz w:val="20"/>
                <w:szCs w:val="20"/>
                <w:color w:val="auto"/>
              </w:rPr>
            </w:pPr>
            <w:r>
              <w:rPr>
                <w:rFonts w:ascii="Arial" w:cs="Arial" w:eastAsia="Arial" w:hAnsi="Arial"/>
                <w:sz w:val="14"/>
                <w:szCs w:val="14"/>
                <w:b w:val="1"/>
                <w:bCs w:val="1"/>
                <w:color w:val="auto"/>
                <w:w w:val="99"/>
              </w:rPr>
              <w:t>—</w:t>
            </w:r>
          </w:p>
        </w:tc>
        <w:tc>
          <w:tcPr>
            <w:tcW w:w="24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5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1,925.6</w:t>
            </w:r>
          </w:p>
        </w:tc>
        <w:tc>
          <w:tcPr>
            <w:tcW w:w="500" w:type="dxa"/>
            <w:vAlign w:val="bottom"/>
            <w:gridSpan w:val="2"/>
            <w:shd w:val="clear" w:color="auto" w:fill="CCEEFF"/>
          </w:tcPr>
          <w:p>
            <w:pPr>
              <w:jc w:val="right"/>
              <w:ind w:right="212"/>
              <w:spacing w:after="0" w:line="142" w:lineRule="exact"/>
              <w:rPr>
                <w:sz w:val="20"/>
                <w:szCs w:val="20"/>
                <w:color w:val="auto"/>
              </w:rPr>
            </w:pPr>
            <w:r>
              <w:rPr>
                <w:rFonts w:ascii="Arial" w:cs="Arial" w:eastAsia="Arial" w:hAnsi="Arial"/>
                <w:sz w:val="14"/>
                <w:szCs w:val="14"/>
                <w:b w:val="1"/>
                <w:bCs w:val="1"/>
                <w:color w:val="auto"/>
              </w:rPr>
              <w:t>$</w:t>
            </w:r>
          </w:p>
        </w:tc>
        <w:tc>
          <w:tcPr>
            <w:tcW w:w="380" w:type="dxa"/>
            <w:vAlign w:val="bottom"/>
            <w:gridSpan w:val="2"/>
            <w:shd w:val="clear" w:color="auto" w:fill="CCEEFF"/>
          </w:tcPr>
          <w:p>
            <w:pPr>
              <w:ind w:left="80"/>
              <w:spacing w:after="0" w:line="142"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88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77"/>
        </w:trPr>
        <w:tc>
          <w:tcPr>
            <w:tcW w:w="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320" w:type="dxa"/>
            <w:vAlign w:val="bottom"/>
            <w:tcBorders>
              <w:bottom w:val="single" w:sz="8" w:color="auto"/>
            </w:tcBorders>
            <w:gridSpan w:val="7"/>
          </w:tcPr>
          <w:p>
            <w:pPr>
              <w:jc w:val="center"/>
              <w:ind w:left="552"/>
              <w:spacing w:after="0"/>
              <w:rPr>
                <w:sz w:val="20"/>
                <w:szCs w:val="20"/>
                <w:color w:val="auto"/>
              </w:rPr>
            </w:pPr>
            <w:r>
              <w:rPr>
                <w:rFonts w:ascii="Arial" w:cs="Arial" w:eastAsia="Arial" w:hAnsi="Arial"/>
                <w:sz w:val="14"/>
                <w:szCs w:val="14"/>
                <w:b w:val="1"/>
                <w:bCs w:val="1"/>
                <w:color w:val="auto"/>
                <w:w w:val="86"/>
              </w:rPr>
              <w:t>As of December 31, 2012</w:t>
            </w:r>
          </w:p>
        </w:tc>
        <w:tc>
          <w:tcPr>
            <w:tcW w:w="1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0" w:type="dxa"/>
            <w:vAlign w:val="bottom"/>
          </w:tcPr>
          <w:p>
            <w:pPr>
              <w:jc w:val="center"/>
              <w:ind w:right="12"/>
              <w:spacing w:after="0"/>
              <w:rPr>
                <w:sz w:val="20"/>
                <w:szCs w:val="20"/>
                <w:color w:val="auto"/>
              </w:rPr>
            </w:pPr>
            <w:r>
              <w:rPr>
                <w:rFonts w:ascii="Arial" w:cs="Arial" w:eastAsia="Arial" w:hAnsi="Arial"/>
                <w:sz w:val="14"/>
                <w:szCs w:val="14"/>
                <w:b w:val="1"/>
                <w:bCs w:val="1"/>
                <w:color w:val="auto"/>
                <w:w w:val="78"/>
              </w:rPr>
              <w:t>Assets</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740" w:type="dxa"/>
            <w:vAlign w:val="bottom"/>
            <w:gridSpan w:val="6"/>
            <w:vMerge w:val="restart"/>
          </w:tcPr>
          <w:p>
            <w:pPr>
              <w:jc w:val="center"/>
              <w:ind w:left="32"/>
              <w:spacing w:after="0"/>
              <w:rPr>
                <w:sz w:val="20"/>
                <w:szCs w:val="20"/>
                <w:color w:val="auto"/>
              </w:rPr>
            </w:pPr>
            <w:r>
              <w:rPr>
                <w:rFonts w:ascii="Arial" w:cs="Arial" w:eastAsia="Arial" w:hAnsi="Arial"/>
                <w:sz w:val="14"/>
                <w:szCs w:val="14"/>
                <w:b w:val="1"/>
                <w:bCs w:val="1"/>
                <w:color w:val="auto"/>
                <w:w w:val="88"/>
              </w:rPr>
              <w:t>Fair value hierarchy level</w:t>
            </w: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2880" w:type="dxa"/>
            <w:vAlign w:val="bottom"/>
          </w:tcPr>
          <w:p>
            <w:pPr>
              <w:spacing w:after="0"/>
              <w:rPr>
                <w:sz w:val="5"/>
                <w:szCs w:val="5"/>
                <w:color w:val="auto"/>
              </w:rPr>
            </w:pPr>
          </w:p>
        </w:tc>
        <w:tc>
          <w:tcPr>
            <w:tcW w:w="18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0" w:type="dxa"/>
            <w:vAlign w:val="bottom"/>
            <w:vMerge w:val="restart"/>
          </w:tcPr>
          <w:p>
            <w:pPr>
              <w:jc w:val="center"/>
              <w:ind w:right="32"/>
              <w:spacing w:after="0" w:line="149" w:lineRule="exact"/>
              <w:rPr>
                <w:sz w:val="20"/>
                <w:szCs w:val="20"/>
                <w:color w:val="auto"/>
              </w:rPr>
            </w:pPr>
            <w:r>
              <w:rPr>
                <w:rFonts w:ascii="Arial" w:cs="Arial" w:eastAsia="Arial" w:hAnsi="Arial"/>
                <w:sz w:val="14"/>
                <w:szCs w:val="14"/>
                <w:b w:val="1"/>
                <w:bCs w:val="1"/>
                <w:color w:val="auto"/>
                <w:w w:val="84"/>
              </w:rPr>
              <w:t>measured at</w:t>
            </w:r>
          </w:p>
        </w:tc>
        <w:tc>
          <w:tcPr>
            <w:tcW w:w="160" w:type="dxa"/>
            <w:vAlign w:val="bottom"/>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740" w:type="dxa"/>
            <w:vAlign w:val="bottom"/>
            <w:tcBorders>
              <w:bottom w:val="single" w:sz="8" w:color="auto"/>
            </w:tcBorders>
            <w:gridSpan w:val="6"/>
            <w:vMerge w:val="continue"/>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2880" w:type="dxa"/>
            <w:vAlign w:val="bottom"/>
          </w:tcPr>
          <w:p>
            <w:pPr>
              <w:spacing w:after="0"/>
              <w:rPr>
                <w:sz w:val="5"/>
                <w:szCs w:val="5"/>
                <w:color w:val="auto"/>
              </w:rPr>
            </w:pPr>
          </w:p>
        </w:tc>
        <w:tc>
          <w:tcPr>
            <w:tcW w:w="18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540" w:type="dxa"/>
            <w:vAlign w:val="bottom"/>
          </w:tcPr>
          <w:p>
            <w:pPr>
              <w:spacing w:after="0"/>
              <w:rPr>
                <w:sz w:val="5"/>
                <w:szCs w:val="5"/>
                <w:color w:val="auto"/>
              </w:rPr>
            </w:pPr>
          </w:p>
        </w:tc>
        <w:tc>
          <w:tcPr>
            <w:tcW w:w="160" w:type="dxa"/>
            <w:vAlign w:val="bottom"/>
          </w:tcPr>
          <w:p>
            <w:pPr>
              <w:spacing w:after="0"/>
              <w:rPr>
                <w:sz w:val="5"/>
                <w:szCs w:val="5"/>
                <w:color w:val="auto"/>
              </w:rPr>
            </w:pPr>
          </w:p>
        </w:tc>
        <w:tc>
          <w:tcPr>
            <w:tcW w:w="340" w:type="dxa"/>
            <w:vAlign w:val="bottom"/>
          </w:tcPr>
          <w:p>
            <w:pPr>
              <w:spacing w:after="0"/>
              <w:rPr>
                <w:sz w:val="5"/>
                <w:szCs w:val="5"/>
                <w:color w:val="auto"/>
              </w:rPr>
            </w:pPr>
          </w:p>
        </w:tc>
        <w:tc>
          <w:tcPr>
            <w:tcW w:w="220" w:type="dxa"/>
            <w:vAlign w:val="bottom"/>
          </w:tcPr>
          <w:p>
            <w:pPr>
              <w:spacing w:after="0"/>
              <w:rPr>
                <w:sz w:val="5"/>
                <w:szCs w:val="5"/>
                <w:color w:val="auto"/>
              </w:rPr>
            </w:pPr>
          </w:p>
        </w:tc>
        <w:tc>
          <w:tcPr>
            <w:tcW w:w="1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88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91"/>
              </w:rPr>
              <w:t>fair value</w:t>
            </w:r>
          </w:p>
        </w:tc>
        <w:tc>
          <w:tcPr>
            <w:tcW w:w="160" w:type="dxa"/>
            <w:vAlign w:val="bottom"/>
          </w:tcPr>
          <w:p>
            <w:pPr>
              <w:spacing w:after="0"/>
              <w:rPr>
                <w:sz w:val="14"/>
                <w:szCs w:val="14"/>
                <w:color w:val="auto"/>
              </w:rPr>
            </w:pPr>
          </w:p>
        </w:tc>
        <w:tc>
          <w:tcPr>
            <w:tcW w:w="580" w:type="dxa"/>
            <w:vAlign w:val="bottom"/>
            <w:tcBorders>
              <w:bottom w:val="single" w:sz="8" w:color="auto"/>
            </w:tcBorders>
            <w:gridSpan w:val="2"/>
          </w:tcPr>
          <w:p>
            <w:pPr>
              <w:ind w:left="80"/>
              <w:spacing w:after="0"/>
              <w:rPr>
                <w:sz w:val="20"/>
                <w:szCs w:val="20"/>
                <w:color w:val="auto"/>
              </w:rPr>
            </w:pPr>
            <w:r>
              <w:rPr>
                <w:rFonts w:ascii="Arial" w:cs="Arial" w:eastAsia="Arial" w:hAnsi="Arial"/>
                <w:sz w:val="14"/>
                <w:szCs w:val="14"/>
                <w:b w:val="1"/>
                <w:bCs w:val="1"/>
                <w:color w:val="auto"/>
              </w:rPr>
              <w:t>Level 1</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88"/>
              </w:rPr>
              <w:t>Level 2</w:t>
            </w:r>
          </w:p>
        </w:tc>
        <w:tc>
          <w:tcPr>
            <w:tcW w:w="160" w:type="dxa"/>
            <w:vAlign w:val="bottom"/>
          </w:tcPr>
          <w:p>
            <w:pPr>
              <w:spacing w:after="0"/>
              <w:rPr>
                <w:sz w:val="14"/>
                <w:szCs w:val="14"/>
                <w:color w:val="auto"/>
              </w:rPr>
            </w:pPr>
          </w:p>
        </w:tc>
        <w:tc>
          <w:tcPr>
            <w:tcW w:w="560" w:type="dxa"/>
            <w:vAlign w:val="bottom"/>
            <w:tcBorders>
              <w:bottom w:val="single" w:sz="8" w:color="auto"/>
            </w:tcBorders>
            <w:gridSpan w:val="2"/>
          </w:tcPr>
          <w:p>
            <w:pPr>
              <w:ind w:left="60"/>
              <w:spacing w:after="0"/>
              <w:rPr>
                <w:sz w:val="20"/>
                <w:szCs w:val="20"/>
                <w:color w:val="auto"/>
              </w:rPr>
            </w:pPr>
            <w:r>
              <w:rPr>
                <w:rFonts w:ascii="Arial" w:cs="Arial" w:eastAsia="Arial" w:hAnsi="Arial"/>
                <w:sz w:val="14"/>
                <w:szCs w:val="14"/>
                <w:b w:val="1"/>
                <w:bCs w:val="1"/>
                <w:color w:val="auto"/>
              </w:rPr>
              <w:t>Level 3</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4"/>
          </w:tcPr>
          <w:p>
            <w:pPr>
              <w:jc w:val="center"/>
              <w:ind w:right="372"/>
              <w:spacing w:after="0" w:line="142" w:lineRule="exact"/>
              <w:rPr>
                <w:sz w:val="20"/>
                <w:szCs w:val="20"/>
                <w:color w:val="auto"/>
              </w:rPr>
            </w:pPr>
            <w:r>
              <w:rPr>
                <w:rFonts w:ascii="Arial" w:cs="Arial" w:eastAsia="Arial" w:hAnsi="Arial"/>
                <w:sz w:val="14"/>
                <w:szCs w:val="14"/>
                <w:b w:val="1"/>
                <w:bCs w:val="1"/>
                <w:i w:val="1"/>
                <w:iCs w:val="1"/>
                <w:color w:val="auto"/>
                <w:w w:val="86"/>
              </w:rPr>
              <w:t>(in millions)</w:t>
            </w: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 category</w:t>
            </w:r>
          </w:p>
        </w:tc>
        <w:tc>
          <w:tcPr>
            <w:tcW w:w="18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00" w:type="dxa"/>
            <w:vAlign w:val="bottom"/>
            <w:gridSpan w:val="2"/>
          </w:tcPr>
          <w:p>
            <w:pPr>
              <w:spacing w:after="0" w:line="149" w:lineRule="exact"/>
              <w:rPr>
                <w:sz w:val="20"/>
                <w:szCs w:val="20"/>
                <w:color w:val="auto"/>
              </w:rPr>
            </w:pPr>
            <w:r>
              <w:rPr>
                <w:rFonts w:ascii="Arial" w:cs="Arial" w:eastAsia="Arial" w:hAnsi="Arial"/>
                <w:sz w:val="14"/>
                <w:szCs w:val="14"/>
                <w:color w:val="auto"/>
              </w:rPr>
              <w:t>U.S. large cap equity portfolios (1)</w:t>
            </w:r>
          </w:p>
        </w:tc>
        <w:tc>
          <w:tcPr>
            <w:tcW w:w="19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601.8</w:t>
            </w:r>
          </w:p>
        </w:tc>
        <w:tc>
          <w:tcPr>
            <w:tcW w:w="2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460" w:type="dxa"/>
            <w:vAlign w:val="bottom"/>
          </w:tcPr>
          <w:p>
            <w:pPr>
              <w:ind w:left="300"/>
              <w:spacing w:after="0" w:line="149" w:lineRule="exact"/>
              <w:rPr>
                <w:sz w:val="20"/>
                <w:szCs w:val="20"/>
                <w:color w:val="auto"/>
              </w:rPr>
            </w:pPr>
            <w:r>
              <w:rPr>
                <w:rFonts w:ascii="Arial" w:cs="Arial" w:eastAsia="Arial" w:hAnsi="Arial"/>
                <w:sz w:val="14"/>
                <w:szCs w:val="14"/>
                <w:color w:val="auto"/>
                <w:w w:val="99"/>
              </w:rPr>
              <w:t>—</w:t>
            </w:r>
          </w:p>
        </w:tc>
        <w:tc>
          <w:tcPr>
            <w:tcW w:w="24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601.8</w:t>
            </w:r>
          </w:p>
        </w:tc>
        <w:tc>
          <w:tcPr>
            <w:tcW w:w="500" w:type="dxa"/>
            <w:vAlign w:val="bottom"/>
            <w:gridSpan w:val="2"/>
          </w:tcPr>
          <w:p>
            <w:pPr>
              <w:jc w:val="right"/>
              <w:ind w:right="192"/>
              <w:spacing w:after="0" w:line="149" w:lineRule="exact"/>
              <w:rPr>
                <w:sz w:val="20"/>
                <w:szCs w:val="20"/>
                <w:color w:val="auto"/>
              </w:rPr>
            </w:pPr>
            <w:r>
              <w:rPr>
                <w:rFonts w:ascii="Arial" w:cs="Arial" w:eastAsia="Arial" w:hAnsi="Arial"/>
                <w:sz w:val="14"/>
                <w:szCs w:val="14"/>
                <w:color w:val="auto"/>
              </w:rPr>
              <w:t>$</w:t>
            </w:r>
          </w:p>
        </w:tc>
        <w:tc>
          <w:tcPr>
            <w:tcW w:w="380" w:type="dxa"/>
            <w:vAlign w:val="bottom"/>
            <w:gridSpan w:val="2"/>
          </w:tcPr>
          <w:p>
            <w:pPr>
              <w:ind w:left="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U.S. small/mid cap equity portfolios (2)</w:t>
            </w:r>
          </w:p>
        </w:tc>
        <w:tc>
          <w:tcPr>
            <w:tcW w:w="18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156.2</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ind w:left="300"/>
              <w:spacing w:after="0" w:line="149" w:lineRule="exact"/>
              <w:rPr>
                <w:sz w:val="20"/>
                <w:szCs w:val="20"/>
                <w:color w:val="auto"/>
              </w:rPr>
            </w:pPr>
            <w:r>
              <w:rPr>
                <w:rFonts w:ascii="Arial" w:cs="Arial" w:eastAsia="Arial" w:hAnsi="Arial"/>
                <w:sz w:val="14"/>
                <w:szCs w:val="14"/>
                <w:color w:val="auto"/>
                <w:w w:val="99"/>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156.2</w:t>
            </w:r>
          </w:p>
        </w:tc>
        <w:tc>
          <w:tcPr>
            <w:tcW w:w="1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380" w:type="dxa"/>
            <w:vAlign w:val="bottom"/>
            <w:gridSpan w:val="2"/>
            <w:shd w:val="clear" w:color="auto" w:fill="CCEEFF"/>
          </w:tcPr>
          <w:p>
            <w:pPr>
              <w:ind w:left="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00" w:type="dxa"/>
            <w:vAlign w:val="bottom"/>
            <w:gridSpan w:val="2"/>
          </w:tcPr>
          <w:p>
            <w:pPr>
              <w:spacing w:after="0" w:line="149" w:lineRule="exact"/>
              <w:rPr>
                <w:sz w:val="20"/>
                <w:szCs w:val="20"/>
                <w:color w:val="auto"/>
              </w:rPr>
            </w:pPr>
            <w:r>
              <w:rPr>
                <w:rFonts w:ascii="Arial" w:cs="Arial" w:eastAsia="Arial" w:hAnsi="Arial"/>
                <w:sz w:val="14"/>
                <w:szCs w:val="14"/>
                <w:color w:val="auto"/>
              </w:rPr>
              <w:t>Balanced asset portfolios (3)</w:t>
            </w:r>
          </w:p>
        </w:tc>
        <w:tc>
          <w:tcPr>
            <w:tcW w:w="1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82.4</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ind w:left="300"/>
              <w:spacing w:after="0" w:line="149" w:lineRule="exact"/>
              <w:rPr>
                <w:sz w:val="20"/>
                <w:szCs w:val="20"/>
                <w:color w:val="auto"/>
              </w:rPr>
            </w:pPr>
            <w:r>
              <w:rPr>
                <w:rFonts w:ascii="Arial" w:cs="Arial" w:eastAsia="Arial" w:hAnsi="Arial"/>
                <w:sz w:val="14"/>
                <w:szCs w:val="14"/>
                <w:color w:val="auto"/>
                <w:w w:val="99"/>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82.4</w:t>
            </w: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80" w:type="dxa"/>
            <w:vAlign w:val="bottom"/>
            <w:gridSpan w:val="2"/>
          </w:tcPr>
          <w:p>
            <w:pPr>
              <w:ind w:left="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International equity portfolios (4)</w:t>
            </w:r>
          </w:p>
        </w:tc>
        <w:tc>
          <w:tcPr>
            <w:tcW w:w="18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273.9</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ind w:left="300"/>
              <w:spacing w:after="0" w:line="149" w:lineRule="exact"/>
              <w:rPr>
                <w:sz w:val="20"/>
                <w:szCs w:val="20"/>
                <w:color w:val="auto"/>
              </w:rPr>
            </w:pPr>
            <w:r>
              <w:rPr>
                <w:rFonts w:ascii="Arial" w:cs="Arial" w:eastAsia="Arial" w:hAnsi="Arial"/>
                <w:sz w:val="14"/>
                <w:szCs w:val="14"/>
                <w:color w:val="auto"/>
                <w:w w:val="99"/>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273.9</w:t>
            </w:r>
          </w:p>
        </w:tc>
        <w:tc>
          <w:tcPr>
            <w:tcW w:w="1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380" w:type="dxa"/>
            <w:vAlign w:val="bottom"/>
            <w:gridSpan w:val="2"/>
            <w:shd w:val="clear" w:color="auto" w:fill="CCEEFF"/>
          </w:tcPr>
          <w:p>
            <w:pPr>
              <w:ind w:left="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00" w:type="dxa"/>
            <w:vAlign w:val="bottom"/>
            <w:gridSpan w:val="2"/>
          </w:tcPr>
          <w:p>
            <w:pPr>
              <w:spacing w:after="0" w:line="149" w:lineRule="exact"/>
              <w:rPr>
                <w:sz w:val="20"/>
                <w:szCs w:val="20"/>
                <w:color w:val="auto"/>
              </w:rPr>
            </w:pPr>
            <w:r>
              <w:rPr>
                <w:rFonts w:ascii="Arial" w:cs="Arial" w:eastAsia="Arial" w:hAnsi="Arial"/>
                <w:sz w:val="14"/>
                <w:szCs w:val="14"/>
                <w:color w:val="auto"/>
              </w:rPr>
              <w:t>Fixed income security portfolios (5)</w:t>
            </w:r>
          </w:p>
        </w:tc>
        <w:tc>
          <w:tcPr>
            <w:tcW w:w="1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486.6</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ind w:left="300"/>
              <w:spacing w:after="0" w:line="149" w:lineRule="exact"/>
              <w:rPr>
                <w:sz w:val="20"/>
                <w:szCs w:val="20"/>
                <w:color w:val="auto"/>
              </w:rPr>
            </w:pPr>
            <w:r>
              <w:rPr>
                <w:rFonts w:ascii="Arial" w:cs="Arial" w:eastAsia="Arial" w:hAnsi="Arial"/>
                <w:sz w:val="14"/>
                <w:szCs w:val="14"/>
                <w:color w:val="auto"/>
                <w:w w:val="99"/>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486.6</w:t>
            </w: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80" w:type="dxa"/>
            <w:vAlign w:val="bottom"/>
            <w:gridSpan w:val="2"/>
          </w:tcPr>
          <w:p>
            <w:pPr>
              <w:ind w:left="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Real estate investment portfolios:</w:t>
            </w:r>
          </w:p>
        </w:tc>
        <w:tc>
          <w:tcPr>
            <w:tcW w:w="18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0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Direct real estate investments (6)</w:t>
            </w:r>
          </w:p>
        </w:tc>
        <w:tc>
          <w:tcPr>
            <w:tcW w:w="184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81.2</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ind w:left="300"/>
              <w:spacing w:after="0" w:line="149" w:lineRule="exact"/>
              <w:rPr>
                <w:sz w:val="20"/>
                <w:szCs w:val="20"/>
                <w:color w:val="auto"/>
              </w:rPr>
            </w:pPr>
            <w:r>
              <w:rPr>
                <w:rFonts w:ascii="Arial" w:cs="Arial" w:eastAsia="Arial" w:hAnsi="Arial"/>
                <w:sz w:val="14"/>
                <w:szCs w:val="14"/>
                <w:color w:val="auto"/>
                <w:w w:val="99"/>
              </w:rPr>
              <w:t>—</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81.2</w:t>
            </w:r>
          </w:p>
        </w:tc>
        <w:tc>
          <w:tcPr>
            <w:tcW w:w="160" w:type="dxa"/>
            <w:vAlign w:val="bottom"/>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ind w:left="80"/>
              <w:spacing w:after="0" w:line="149" w:lineRule="exact"/>
              <w:rPr>
                <w:sz w:val="20"/>
                <w:szCs w:val="20"/>
                <w:color w:val="auto"/>
              </w:rPr>
            </w:pPr>
            <w:r>
              <w:rPr>
                <w:rFonts w:ascii="Arial" w:cs="Arial" w:eastAsia="Arial" w:hAnsi="Arial"/>
                <w:sz w:val="14"/>
                <w:szCs w:val="14"/>
                <w:color w:val="auto"/>
                <w:w w:val="85"/>
              </w:rPr>
              <w:t>—</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00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Total</w:t>
            </w:r>
          </w:p>
        </w:tc>
        <w:tc>
          <w:tcPr>
            <w:tcW w:w="19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1,682.1</w:t>
            </w:r>
          </w:p>
        </w:tc>
        <w:tc>
          <w:tcPr>
            <w:tcW w:w="28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ind w:left="300"/>
              <w:spacing w:after="0" w:line="142" w:lineRule="exact"/>
              <w:rPr>
                <w:sz w:val="20"/>
                <w:szCs w:val="20"/>
                <w:color w:val="auto"/>
              </w:rPr>
            </w:pPr>
            <w:r>
              <w:rPr>
                <w:rFonts w:ascii="Arial" w:cs="Arial" w:eastAsia="Arial" w:hAnsi="Arial"/>
                <w:sz w:val="14"/>
                <w:szCs w:val="14"/>
                <w:color w:val="auto"/>
                <w:w w:val="99"/>
              </w:rPr>
              <w:t>—</w:t>
            </w:r>
          </w:p>
        </w:tc>
        <w:tc>
          <w:tcPr>
            <w:tcW w:w="24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1,682.1</w:t>
            </w:r>
          </w:p>
        </w:tc>
        <w:tc>
          <w:tcPr>
            <w:tcW w:w="500" w:type="dxa"/>
            <w:vAlign w:val="bottom"/>
            <w:gridSpan w:val="2"/>
            <w:shd w:val="clear" w:color="auto" w:fill="CCEEFF"/>
          </w:tcPr>
          <w:p>
            <w:pPr>
              <w:jc w:val="right"/>
              <w:ind w:right="192"/>
              <w:spacing w:after="0" w:line="142" w:lineRule="exact"/>
              <w:rPr>
                <w:sz w:val="20"/>
                <w:szCs w:val="20"/>
                <w:color w:val="auto"/>
              </w:rPr>
            </w:pPr>
            <w:r>
              <w:rPr>
                <w:rFonts w:ascii="Arial" w:cs="Arial" w:eastAsia="Arial" w:hAnsi="Arial"/>
                <w:sz w:val="14"/>
                <w:szCs w:val="14"/>
                <w:color w:val="auto"/>
              </w:rPr>
              <w:t>$</w:t>
            </w:r>
          </w:p>
        </w:tc>
        <w:tc>
          <w:tcPr>
            <w:tcW w:w="380" w:type="dxa"/>
            <w:vAlign w:val="bottom"/>
            <w:gridSpan w:val="2"/>
            <w:shd w:val="clear" w:color="auto" w:fill="CCEEFF"/>
          </w:tcPr>
          <w:p>
            <w:pPr>
              <w:ind w:left="80"/>
              <w:spacing w:after="0" w:line="142"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88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2880" w:type="dxa"/>
            <w:vAlign w:val="bottom"/>
          </w:tcPr>
          <w:p>
            <w:pPr>
              <w:spacing w:after="0"/>
              <w:rPr>
                <w:sz w:val="7"/>
                <w:szCs w:val="7"/>
                <w:color w:val="auto"/>
              </w:rPr>
            </w:pPr>
          </w:p>
        </w:tc>
        <w:tc>
          <w:tcPr>
            <w:tcW w:w="1840" w:type="dxa"/>
            <w:vAlign w:val="bottom"/>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60" w:type="dxa"/>
            <w:vAlign w:val="bottom"/>
          </w:tcPr>
          <w:p>
            <w:pPr>
              <w:spacing w:after="0"/>
              <w:rPr>
                <w:sz w:val="7"/>
                <w:szCs w:val="7"/>
                <w:color w:val="auto"/>
              </w:rPr>
            </w:pPr>
          </w:p>
        </w:tc>
        <w:tc>
          <w:tcPr>
            <w:tcW w:w="12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540" w:type="dxa"/>
            <w:vAlign w:val="bottom"/>
          </w:tcPr>
          <w:p>
            <w:pPr>
              <w:spacing w:after="0"/>
              <w:rPr>
                <w:sz w:val="7"/>
                <w:szCs w:val="7"/>
                <w:color w:val="auto"/>
              </w:rPr>
            </w:pPr>
          </w:p>
        </w:tc>
        <w:tc>
          <w:tcPr>
            <w:tcW w:w="160" w:type="dxa"/>
            <w:vAlign w:val="bottom"/>
          </w:tcPr>
          <w:p>
            <w:pPr>
              <w:spacing w:after="0"/>
              <w:rPr>
                <w:sz w:val="7"/>
                <w:szCs w:val="7"/>
                <w:color w:val="auto"/>
              </w:rPr>
            </w:pPr>
          </w:p>
        </w:tc>
        <w:tc>
          <w:tcPr>
            <w:tcW w:w="340" w:type="dxa"/>
            <w:vAlign w:val="bottom"/>
          </w:tcPr>
          <w:p>
            <w:pPr>
              <w:spacing w:after="0"/>
              <w:rPr>
                <w:sz w:val="7"/>
                <w:szCs w:val="7"/>
                <w:color w:val="auto"/>
              </w:rPr>
            </w:pPr>
          </w:p>
        </w:tc>
        <w:tc>
          <w:tcPr>
            <w:tcW w:w="22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ind w:left="1680" w:hanging="531"/>
        <w:spacing w:after="0"/>
        <w:tabs>
          <w:tab w:leader="none" w:pos="1680" w:val="left"/>
        </w:tabs>
        <w:numPr>
          <w:ilvl w:val="0"/>
          <w:numId w:val="67"/>
        </w:numPr>
        <w:rPr>
          <w:rFonts w:ascii="Arial" w:cs="Arial" w:eastAsia="Arial" w:hAnsi="Arial"/>
          <w:sz w:val="14"/>
          <w:szCs w:val="14"/>
          <w:color w:val="auto"/>
        </w:rPr>
      </w:pPr>
      <w:r>
        <w:rPr>
          <w:rFonts w:ascii="Arial" w:cs="Arial" w:eastAsia="Arial" w:hAnsi="Arial"/>
          <w:sz w:val="14"/>
          <w:szCs w:val="14"/>
          <w:color w:val="auto"/>
        </w:rPr>
        <w:t>The portfolios invest primarily in publicly traded equity securities of large U.S. companies.</w:t>
      </w:r>
    </w:p>
    <w:p>
      <w:pPr>
        <w:spacing w:after="0" w:line="122" w:lineRule="exact"/>
        <w:rPr>
          <w:rFonts w:ascii="Arial" w:cs="Arial" w:eastAsia="Arial" w:hAnsi="Arial"/>
          <w:sz w:val="14"/>
          <w:szCs w:val="14"/>
          <w:color w:val="auto"/>
        </w:rPr>
      </w:pPr>
    </w:p>
    <w:p>
      <w:pPr>
        <w:ind w:left="1680" w:hanging="531"/>
        <w:spacing w:after="0"/>
        <w:tabs>
          <w:tab w:leader="none" w:pos="1680" w:val="left"/>
        </w:tabs>
        <w:numPr>
          <w:ilvl w:val="0"/>
          <w:numId w:val="67"/>
        </w:numPr>
        <w:rPr>
          <w:rFonts w:ascii="Arial" w:cs="Arial" w:eastAsia="Arial" w:hAnsi="Arial"/>
          <w:sz w:val="14"/>
          <w:szCs w:val="14"/>
          <w:color w:val="auto"/>
        </w:rPr>
      </w:pPr>
      <w:r>
        <w:rPr>
          <w:rFonts w:ascii="Arial" w:cs="Arial" w:eastAsia="Arial" w:hAnsi="Arial"/>
          <w:sz w:val="14"/>
          <w:szCs w:val="14"/>
          <w:color w:val="auto"/>
        </w:rPr>
        <w:t>The portfolios invest primarily in publicly traded equity securities of mid-sized and small U.S. companies.</w:t>
      </w:r>
    </w:p>
    <w:p>
      <w:pPr>
        <w:spacing w:after="0" w:line="122" w:lineRule="exact"/>
        <w:rPr>
          <w:rFonts w:ascii="Arial" w:cs="Arial" w:eastAsia="Arial" w:hAnsi="Arial"/>
          <w:sz w:val="14"/>
          <w:szCs w:val="14"/>
          <w:color w:val="auto"/>
        </w:rPr>
      </w:pPr>
    </w:p>
    <w:p>
      <w:pPr>
        <w:jc w:val="both"/>
        <w:ind w:left="1680" w:hanging="531"/>
        <w:spacing w:after="0" w:line="233" w:lineRule="auto"/>
        <w:tabs>
          <w:tab w:leader="none" w:pos="1680" w:val="left"/>
        </w:tabs>
        <w:numPr>
          <w:ilvl w:val="0"/>
          <w:numId w:val="67"/>
        </w:numPr>
        <w:rPr>
          <w:rFonts w:ascii="Arial" w:cs="Arial" w:eastAsia="Arial" w:hAnsi="Arial"/>
          <w:sz w:val="14"/>
          <w:szCs w:val="14"/>
          <w:color w:val="auto"/>
        </w:rPr>
      </w:pPr>
      <w:r>
        <w:rPr>
          <w:rFonts w:ascii="Arial" w:cs="Arial" w:eastAsia="Arial" w:hAnsi="Arial"/>
          <w:sz w:val="14"/>
          <w:szCs w:val="14"/>
          <w:color w:val="auto"/>
        </w:rPr>
        <w:t>The portfolios are a combination of underlying fixed income and equity investment options. These investment options may include balanced, asset allocation, target-date and target-risk investment options. Although typically lower risk than investment options that invest solely in equities, all investment options in this category have the potential to lose value.</w:t>
      </w:r>
    </w:p>
    <w:p>
      <w:pPr>
        <w:spacing w:after="0" w:line="111" w:lineRule="exact"/>
        <w:rPr>
          <w:rFonts w:ascii="Arial" w:cs="Arial" w:eastAsia="Arial" w:hAnsi="Arial"/>
          <w:sz w:val="14"/>
          <w:szCs w:val="14"/>
          <w:color w:val="auto"/>
        </w:rPr>
      </w:pPr>
    </w:p>
    <w:p>
      <w:pPr>
        <w:ind w:left="1680" w:hanging="531"/>
        <w:spacing w:after="0"/>
        <w:tabs>
          <w:tab w:leader="none" w:pos="1680" w:val="left"/>
        </w:tabs>
        <w:numPr>
          <w:ilvl w:val="0"/>
          <w:numId w:val="67"/>
        </w:numPr>
        <w:rPr>
          <w:rFonts w:ascii="Arial" w:cs="Arial" w:eastAsia="Arial" w:hAnsi="Arial"/>
          <w:sz w:val="14"/>
          <w:szCs w:val="14"/>
          <w:color w:val="auto"/>
        </w:rPr>
      </w:pPr>
      <w:r>
        <w:rPr>
          <w:rFonts w:ascii="Arial" w:cs="Arial" w:eastAsia="Arial" w:hAnsi="Arial"/>
          <w:sz w:val="14"/>
          <w:szCs w:val="14"/>
          <w:color w:val="auto"/>
        </w:rPr>
        <w:t>The portfolios invest primarily in publicly traded equity securities of non-U.S. companies.</w:t>
      </w:r>
    </w:p>
    <w:p>
      <w:pPr>
        <w:spacing w:after="0" w:line="122" w:lineRule="exact"/>
        <w:rPr>
          <w:rFonts w:ascii="Arial" w:cs="Arial" w:eastAsia="Arial" w:hAnsi="Arial"/>
          <w:sz w:val="14"/>
          <w:szCs w:val="14"/>
          <w:color w:val="auto"/>
        </w:rPr>
      </w:pPr>
    </w:p>
    <w:p>
      <w:pPr>
        <w:ind w:left="1680" w:hanging="531"/>
        <w:spacing w:after="0" w:line="318" w:lineRule="auto"/>
        <w:tabs>
          <w:tab w:leader="none" w:pos="1680" w:val="left"/>
        </w:tabs>
        <w:numPr>
          <w:ilvl w:val="0"/>
          <w:numId w:val="67"/>
        </w:numPr>
        <w:rPr>
          <w:rFonts w:ascii="Arial" w:cs="Arial" w:eastAsia="Arial" w:hAnsi="Arial"/>
          <w:sz w:val="12"/>
          <w:szCs w:val="12"/>
          <w:color w:val="auto"/>
        </w:rPr>
      </w:pPr>
      <w:r>
        <w:rPr>
          <w:rFonts w:ascii="Arial" w:cs="Arial" w:eastAsia="Arial" w:hAnsi="Arial"/>
          <w:sz w:val="12"/>
          <w:szCs w:val="12"/>
          <w:color w:val="auto"/>
        </w:rPr>
        <w:t>The portfolios invest in various fixed income securities, primarily of U.S. origin. These include, but are not limited to, corporate bonds, mortgage-backed securities, commercial mortgage-backed securities, U.S. Treasury securities, agency securities, asset-backed securities and collateralized mortgage obligations.</w:t>
      </w:r>
    </w:p>
    <w:p>
      <w:pPr>
        <w:spacing w:after="0" w:line="66" w:lineRule="exact"/>
        <w:rPr>
          <w:rFonts w:ascii="Arial" w:cs="Arial" w:eastAsia="Arial" w:hAnsi="Arial"/>
          <w:sz w:val="12"/>
          <w:szCs w:val="12"/>
          <w:color w:val="auto"/>
        </w:rPr>
      </w:pPr>
    </w:p>
    <w:p>
      <w:pPr>
        <w:ind w:left="1680" w:hanging="531"/>
        <w:spacing w:after="0"/>
        <w:tabs>
          <w:tab w:leader="none" w:pos="1680" w:val="left"/>
        </w:tabs>
        <w:numPr>
          <w:ilvl w:val="0"/>
          <w:numId w:val="67"/>
        </w:numPr>
        <w:rPr>
          <w:rFonts w:ascii="Arial" w:cs="Arial" w:eastAsia="Arial" w:hAnsi="Arial"/>
          <w:sz w:val="14"/>
          <w:szCs w:val="14"/>
          <w:color w:val="auto"/>
        </w:rPr>
      </w:pPr>
      <w:r>
        <w:rPr>
          <w:rFonts w:ascii="Arial" w:cs="Arial" w:eastAsia="Arial" w:hAnsi="Arial"/>
          <w:sz w:val="14"/>
          <w:szCs w:val="14"/>
          <w:color w:val="auto"/>
        </w:rPr>
        <w:t>The portfolio invests primarily in U.S. commercial real estate properties.</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53" w:name="page154"/>
    <w:bookmarkEnd w:id="15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Employee and Agent Benefits — (continued)</w:t>
      </w:r>
    </w:p>
    <w:p>
      <w:pPr>
        <w:spacing w:after="0" w:line="231" w:lineRule="exact"/>
        <w:rPr>
          <w:sz w:val="20"/>
          <w:szCs w:val="20"/>
          <w:color w:val="auto"/>
        </w:rPr>
      </w:pPr>
    </w:p>
    <w:p>
      <w:pPr>
        <w:ind w:firstLine="383"/>
        <w:spacing w:after="0" w:line="268" w:lineRule="auto"/>
        <w:rPr>
          <w:sz w:val="20"/>
          <w:szCs w:val="20"/>
          <w:color w:val="auto"/>
        </w:rPr>
      </w:pPr>
      <w:r>
        <w:rPr>
          <w:rFonts w:ascii="Arial" w:cs="Arial" w:eastAsia="Arial" w:hAnsi="Arial"/>
          <w:sz w:val="18"/>
          <w:szCs w:val="18"/>
          <w:color w:val="auto"/>
        </w:rPr>
        <w:t>The reconciliation for all assets measured at fair value using significant unobservable inputs (Level 3) for 2011 was as follows. We had no Level 3 assets in 2012 and 2013.</w:t>
      </w:r>
    </w:p>
    <w:p>
      <w:pPr>
        <w:spacing w:after="0" w:line="18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480" w:type="dxa"/>
            <w:vAlign w:val="bottom"/>
            <w:tcBorders>
              <w:bottom w:val="single" w:sz="8" w:color="auto"/>
            </w:tcBorders>
            <w:gridSpan w:val="7"/>
          </w:tcPr>
          <w:p>
            <w:pPr>
              <w:jc w:val="right"/>
              <w:ind w:right="132"/>
              <w:spacing w:after="0"/>
              <w:rPr>
                <w:sz w:val="20"/>
                <w:szCs w:val="20"/>
                <w:color w:val="auto"/>
              </w:rPr>
            </w:pPr>
            <w:r>
              <w:rPr>
                <w:rFonts w:ascii="Arial" w:cs="Arial" w:eastAsia="Arial" w:hAnsi="Arial"/>
                <w:sz w:val="14"/>
                <w:szCs w:val="14"/>
                <w:b w:val="1"/>
                <w:bCs w:val="1"/>
                <w:color w:val="auto"/>
                <w:w w:val="88"/>
              </w:rPr>
              <w:t>For the year ended December 31, 2011</w:t>
            </w:r>
          </w:p>
        </w:tc>
        <w:tc>
          <w:tcPr>
            <w:tcW w:w="1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920" w:type="dxa"/>
            <w:vAlign w:val="bottom"/>
            <w:gridSpan w:val="6"/>
          </w:tcPr>
          <w:p>
            <w:pPr>
              <w:jc w:val="right"/>
              <w:spacing w:after="0" w:line="129" w:lineRule="exact"/>
              <w:rPr>
                <w:sz w:val="20"/>
                <w:szCs w:val="20"/>
                <w:color w:val="auto"/>
              </w:rPr>
            </w:pPr>
            <w:r>
              <w:rPr>
                <w:rFonts w:ascii="Arial" w:cs="Arial" w:eastAsia="Arial" w:hAnsi="Arial"/>
                <w:sz w:val="14"/>
                <w:szCs w:val="14"/>
                <w:b w:val="1"/>
                <w:bCs w:val="1"/>
                <w:color w:val="auto"/>
                <w:w w:val="91"/>
              </w:rPr>
              <w:t>Actual return gains (losses) on</w:t>
            </w: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700" w:type="dxa"/>
            <w:vAlign w:val="bottom"/>
            <w:tcBorders>
              <w:bottom w:val="single" w:sz="8" w:color="auto"/>
            </w:tcBorders>
            <w:gridSpan w:val="4"/>
          </w:tcPr>
          <w:p>
            <w:pPr>
              <w:jc w:val="right"/>
              <w:ind w:right="512"/>
              <w:spacing w:after="0"/>
              <w:rPr>
                <w:sz w:val="20"/>
                <w:szCs w:val="20"/>
                <w:color w:val="auto"/>
              </w:rPr>
            </w:pPr>
            <w:r>
              <w:rPr>
                <w:rFonts w:ascii="Arial" w:cs="Arial" w:eastAsia="Arial" w:hAnsi="Arial"/>
                <w:sz w:val="14"/>
                <w:szCs w:val="14"/>
                <w:b w:val="1"/>
                <w:bCs w:val="1"/>
                <w:color w:val="auto"/>
              </w:rPr>
              <w:t>plan assets</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8"/>
              </w:rPr>
              <w:t>Ending</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20" w:type="dxa"/>
            <w:vAlign w:val="bottom"/>
          </w:tcPr>
          <w:p>
            <w:pPr>
              <w:jc w:val="center"/>
              <w:ind w:right="32"/>
              <w:spacing w:after="0" w:line="129" w:lineRule="exact"/>
              <w:rPr>
                <w:sz w:val="20"/>
                <w:szCs w:val="20"/>
                <w:color w:val="auto"/>
              </w:rPr>
            </w:pPr>
            <w:r>
              <w:rPr>
                <w:rFonts w:ascii="Arial" w:cs="Arial" w:eastAsia="Arial" w:hAnsi="Arial"/>
                <w:sz w:val="14"/>
                <w:szCs w:val="14"/>
                <w:b w:val="1"/>
                <w:bCs w:val="1"/>
                <w:color w:val="auto"/>
                <w:w w:val="87"/>
              </w:rPr>
              <w:t>Beginning</w:t>
            </w: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jc w:val="center"/>
              <w:ind w:right="32"/>
              <w:spacing w:after="0" w:line="129" w:lineRule="exact"/>
              <w:rPr>
                <w:sz w:val="20"/>
                <w:szCs w:val="20"/>
                <w:color w:val="auto"/>
              </w:rPr>
            </w:pPr>
            <w:r>
              <w:rPr>
                <w:rFonts w:ascii="Arial" w:cs="Arial" w:eastAsia="Arial" w:hAnsi="Arial"/>
                <w:sz w:val="14"/>
                <w:szCs w:val="14"/>
                <w:b w:val="1"/>
                <w:bCs w:val="1"/>
                <w:color w:val="auto"/>
                <w:w w:val="88"/>
              </w:rPr>
              <w:t>Relating to</w:t>
            </w: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40" w:type="dxa"/>
            <w:vAlign w:val="bottom"/>
            <w:gridSpan w:val="2"/>
          </w:tcPr>
          <w:p>
            <w:pPr>
              <w:jc w:val="center"/>
              <w:ind w:right="240"/>
              <w:spacing w:after="0" w:line="129" w:lineRule="exact"/>
              <w:rPr>
                <w:sz w:val="20"/>
                <w:szCs w:val="20"/>
                <w:color w:val="auto"/>
              </w:rPr>
            </w:pPr>
            <w:r>
              <w:rPr>
                <w:rFonts w:ascii="Arial" w:cs="Arial" w:eastAsia="Arial" w:hAnsi="Arial"/>
                <w:sz w:val="14"/>
                <w:szCs w:val="14"/>
                <w:b w:val="1"/>
                <w:bCs w:val="1"/>
                <w:color w:val="auto"/>
                <w:w w:val="78"/>
              </w:rPr>
              <w:t>asset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78"/>
              </w:rPr>
              <w:t>asset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0"/>
              </w:rPr>
              <w:t>assets still</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8"/>
              </w:rPr>
              <w:t>Relating to</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97"/>
              </w:rPr>
              <w:t>Net</w:t>
            </w:r>
          </w:p>
        </w:tc>
        <w:tc>
          <w:tcPr>
            <w:tcW w:w="1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4"/>
              </w:rPr>
              <w:t>balance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3"/>
              </w:rPr>
              <w:t>balance as</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5"/>
              </w:rPr>
              <w:t>held at the</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78"/>
              </w:rPr>
              <w:t>assets sold</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3"/>
              </w:rPr>
              <w:t>purchases,</w:t>
            </w:r>
          </w:p>
        </w:tc>
        <w:tc>
          <w:tcPr>
            <w:tcW w:w="160" w:type="dxa"/>
            <w:vAlign w:val="bottom"/>
          </w:tcPr>
          <w:p>
            <w:pPr>
              <w:spacing w:after="0"/>
              <w:rPr>
                <w:sz w:val="12"/>
                <w:szCs w:val="12"/>
                <w:color w:val="auto"/>
              </w:rPr>
            </w:pPr>
          </w:p>
        </w:tc>
        <w:tc>
          <w:tcPr>
            <w:tcW w:w="7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7"/>
              </w:rPr>
              <w:t>Transfers</w:t>
            </w:r>
          </w:p>
        </w:tc>
        <w:tc>
          <w:tcPr>
            <w:tcW w:w="160" w:type="dxa"/>
            <w:vAlign w:val="bottom"/>
          </w:tcPr>
          <w:p>
            <w:pPr>
              <w:spacing w:after="0"/>
              <w:rPr>
                <w:sz w:val="12"/>
                <w:szCs w:val="12"/>
                <w:color w:val="auto"/>
              </w:rPr>
            </w:pPr>
          </w:p>
        </w:tc>
        <w:tc>
          <w:tcPr>
            <w:tcW w:w="84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4"/>
              </w:rPr>
              <w:t>Transfers</w:t>
            </w:r>
          </w:p>
        </w:tc>
        <w:tc>
          <w:tcPr>
            <w:tcW w:w="80" w:type="dxa"/>
            <w:vAlign w:val="bottom"/>
          </w:tcPr>
          <w:p>
            <w:pPr>
              <w:spacing w:after="0"/>
              <w:rPr>
                <w:sz w:val="12"/>
                <w:szCs w:val="12"/>
                <w:color w:val="auto"/>
              </w:rPr>
            </w:pPr>
          </w:p>
        </w:tc>
        <w:tc>
          <w:tcPr>
            <w:tcW w:w="10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79"/>
              </w:rPr>
              <w:t>as of</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5"/>
              </w:rPr>
              <w:t>of December 31,</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7"/>
              </w:rPr>
              <w:t>reporting</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7"/>
              </w:rPr>
              <w:t>during the</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4"/>
              </w:rPr>
              <w:t>sales and</w:t>
            </w:r>
          </w:p>
        </w:tc>
        <w:tc>
          <w:tcPr>
            <w:tcW w:w="160" w:type="dxa"/>
            <w:vAlign w:val="bottom"/>
          </w:tcPr>
          <w:p>
            <w:pPr>
              <w:spacing w:after="0"/>
              <w:rPr>
                <w:sz w:val="12"/>
                <w:szCs w:val="12"/>
                <w:color w:val="auto"/>
              </w:rPr>
            </w:pPr>
          </w:p>
        </w:tc>
        <w:tc>
          <w:tcPr>
            <w:tcW w:w="560" w:type="dxa"/>
            <w:vAlign w:val="bottom"/>
          </w:tcPr>
          <w:p>
            <w:pPr>
              <w:jc w:val="center"/>
              <w:ind w:left="52"/>
              <w:spacing w:after="0" w:line="149" w:lineRule="exact"/>
              <w:rPr>
                <w:sz w:val="20"/>
                <w:szCs w:val="20"/>
                <w:color w:val="auto"/>
              </w:rPr>
            </w:pPr>
            <w:r>
              <w:rPr>
                <w:rFonts w:ascii="Arial" w:cs="Arial" w:eastAsia="Arial" w:hAnsi="Arial"/>
                <w:sz w:val="14"/>
                <w:szCs w:val="14"/>
                <w:b w:val="1"/>
                <w:bCs w:val="1"/>
                <w:color w:val="auto"/>
                <w:w w:val="93"/>
              </w:rPr>
              <w:t>into</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7"/>
              </w:rPr>
              <w:t>out of</w:t>
            </w:r>
          </w:p>
        </w:tc>
        <w:tc>
          <w:tcPr>
            <w:tcW w:w="80" w:type="dxa"/>
            <w:vAlign w:val="bottom"/>
          </w:tcPr>
          <w:p>
            <w:pPr>
              <w:spacing w:after="0"/>
              <w:rPr>
                <w:sz w:val="12"/>
                <w:szCs w:val="12"/>
                <w:color w:val="auto"/>
              </w:rPr>
            </w:pPr>
          </w:p>
        </w:tc>
        <w:tc>
          <w:tcPr>
            <w:tcW w:w="10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20" w:type="dxa"/>
            <w:vAlign w:val="bottom"/>
          </w:tcPr>
          <w:p>
            <w:pPr>
              <w:jc w:val="center"/>
              <w:ind w:right="32"/>
              <w:spacing w:after="0"/>
              <w:rPr>
                <w:sz w:val="20"/>
                <w:szCs w:val="20"/>
                <w:color w:val="auto"/>
              </w:rPr>
            </w:pPr>
            <w:r>
              <w:rPr>
                <w:rFonts w:ascii="Arial" w:cs="Arial" w:eastAsia="Arial" w:hAnsi="Arial"/>
                <w:sz w:val="14"/>
                <w:szCs w:val="14"/>
                <w:b w:val="1"/>
                <w:bCs w:val="1"/>
                <w:color w:val="auto"/>
                <w:w w:val="89"/>
              </w:rPr>
              <w:t>2010</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jc w:val="center"/>
              <w:ind w:right="32"/>
              <w:spacing w:after="0"/>
              <w:rPr>
                <w:sz w:val="20"/>
                <w:szCs w:val="20"/>
                <w:color w:val="auto"/>
              </w:rPr>
            </w:pPr>
            <w:r>
              <w:rPr>
                <w:rFonts w:ascii="Arial" w:cs="Arial" w:eastAsia="Arial" w:hAnsi="Arial"/>
                <w:sz w:val="14"/>
                <w:szCs w:val="14"/>
                <w:b w:val="1"/>
                <w:bCs w:val="1"/>
                <w:color w:val="auto"/>
                <w:w w:val="83"/>
              </w:rPr>
              <w:t>date</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jc w:val="center"/>
              <w:ind w:right="12"/>
              <w:spacing w:after="0"/>
              <w:rPr>
                <w:sz w:val="20"/>
                <w:szCs w:val="20"/>
                <w:color w:val="auto"/>
              </w:rPr>
            </w:pPr>
            <w:r>
              <w:rPr>
                <w:rFonts w:ascii="Arial" w:cs="Arial" w:eastAsia="Arial" w:hAnsi="Arial"/>
                <w:sz w:val="14"/>
                <w:szCs w:val="14"/>
                <w:b w:val="1"/>
                <w:bCs w:val="1"/>
                <w:color w:val="auto"/>
                <w:w w:val="88"/>
              </w:rPr>
              <w:t>period</w:t>
            </w:r>
          </w:p>
        </w:tc>
        <w:tc>
          <w:tcPr>
            <w:tcW w:w="160" w:type="dxa"/>
            <w:vAlign w:val="bottom"/>
            <w:vMerge w:val="restart"/>
          </w:tcPr>
          <w:p>
            <w:pPr>
              <w:ind w:left="20"/>
              <w:spacing w:after="0"/>
              <w:rPr>
                <w:sz w:val="20"/>
                <w:szCs w:val="20"/>
                <w:color w:val="auto"/>
              </w:rPr>
            </w:pPr>
            <w:r>
              <w:rPr>
                <w:rFonts w:ascii="Arial" w:cs="Arial" w:eastAsia="Arial" w:hAnsi="Arial"/>
                <w:sz w:val="12"/>
                <w:szCs w:val="12"/>
                <w:b w:val="1"/>
                <w:bCs w:val="1"/>
                <w:i w:val="1"/>
                <w:iCs w:val="1"/>
                <w:color w:val="auto"/>
                <w:w w:val="81"/>
              </w:rPr>
              <w:t>(in</w:t>
            </w:r>
          </w:p>
        </w:tc>
        <w:tc>
          <w:tcPr>
            <w:tcW w:w="60" w:type="dxa"/>
            <w:vAlign w:val="bottom"/>
          </w:tcPr>
          <w:p>
            <w:pPr>
              <w:spacing w:after="0"/>
              <w:rPr>
                <w:sz w:val="14"/>
                <w:szCs w:val="14"/>
                <w:color w:val="auto"/>
              </w:rPr>
            </w:pPr>
          </w:p>
        </w:tc>
        <w:tc>
          <w:tcPr>
            <w:tcW w:w="740" w:type="dxa"/>
            <w:vAlign w:val="bottom"/>
          </w:tcPr>
          <w:p>
            <w:pPr>
              <w:jc w:val="center"/>
              <w:ind w:right="12"/>
              <w:spacing w:after="0"/>
              <w:rPr>
                <w:sz w:val="20"/>
                <w:szCs w:val="20"/>
                <w:color w:val="auto"/>
              </w:rPr>
            </w:pPr>
            <w:r>
              <w:rPr>
                <w:rFonts w:ascii="Arial" w:cs="Arial" w:eastAsia="Arial" w:hAnsi="Arial"/>
                <w:sz w:val="14"/>
                <w:szCs w:val="14"/>
                <w:b w:val="1"/>
                <w:bCs w:val="1"/>
                <w:color w:val="auto"/>
                <w:w w:val="84"/>
              </w:rPr>
              <w:t>settlements</w:t>
            </w:r>
          </w:p>
        </w:tc>
        <w:tc>
          <w:tcPr>
            <w:tcW w:w="160" w:type="dxa"/>
            <w:vAlign w:val="bottom"/>
          </w:tcPr>
          <w:p>
            <w:pPr>
              <w:spacing w:after="0"/>
              <w:rPr>
                <w:sz w:val="14"/>
                <w:szCs w:val="14"/>
                <w:color w:val="auto"/>
              </w:rPr>
            </w:pPr>
          </w:p>
        </w:tc>
        <w:tc>
          <w:tcPr>
            <w:tcW w:w="560" w:type="dxa"/>
            <w:vAlign w:val="bottom"/>
          </w:tcPr>
          <w:p>
            <w:pPr>
              <w:jc w:val="center"/>
              <w:ind w:left="72"/>
              <w:spacing w:after="0"/>
              <w:rPr>
                <w:sz w:val="20"/>
                <w:szCs w:val="20"/>
                <w:color w:val="auto"/>
              </w:rPr>
            </w:pPr>
            <w:r>
              <w:rPr>
                <w:rFonts w:ascii="Arial" w:cs="Arial" w:eastAsia="Arial" w:hAnsi="Arial"/>
                <w:sz w:val="14"/>
                <w:szCs w:val="14"/>
                <w:b w:val="1"/>
                <w:bCs w:val="1"/>
                <w:color w:val="auto"/>
                <w:w w:val="88"/>
              </w:rPr>
              <w:t>Level 3</w:t>
            </w: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Level 3</w:t>
            </w:r>
          </w:p>
        </w:tc>
        <w:tc>
          <w:tcPr>
            <w:tcW w:w="80" w:type="dxa"/>
            <w:vAlign w:val="bottom"/>
          </w:tcPr>
          <w:p>
            <w:pPr>
              <w:spacing w:after="0"/>
              <w:rPr>
                <w:sz w:val="14"/>
                <w:szCs w:val="14"/>
                <w:color w:val="auto"/>
              </w:rPr>
            </w:pPr>
          </w:p>
        </w:tc>
        <w:tc>
          <w:tcPr>
            <w:tcW w:w="880" w:type="dxa"/>
            <w:vAlign w:val="bottom"/>
          </w:tcPr>
          <w:p>
            <w:pPr>
              <w:jc w:val="center"/>
              <w:ind w:right="32"/>
              <w:spacing w:after="0"/>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160" w:type="dxa"/>
            <w:vAlign w:val="bottom"/>
            <w:vMerge w:val="continue"/>
          </w:tcPr>
          <w:p>
            <w:pPr>
              <w:spacing w:after="0"/>
              <w:rPr>
                <w:sz w:val="12"/>
                <w:szCs w:val="12"/>
                <w:color w:val="auto"/>
              </w:rPr>
            </w:pPr>
          </w:p>
        </w:tc>
        <w:tc>
          <w:tcPr>
            <w:tcW w:w="800" w:type="dxa"/>
            <w:vAlign w:val="bottom"/>
            <w:tcBorders>
              <w:top w:val="single" w:sz="8" w:color="auto"/>
            </w:tcBorders>
            <w:gridSpan w:val="2"/>
          </w:tcPr>
          <w:p>
            <w:pPr>
              <w:jc w:val="right"/>
              <w:ind w:right="172"/>
              <w:spacing w:after="0" w:line="142" w:lineRule="exact"/>
              <w:rPr>
                <w:sz w:val="20"/>
                <w:szCs w:val="20"/>
                <w:color w:val="auto"/>
              </w:rPr>
            </w:pPr>
            <w:r>
              <w:rPr>
                <w:rFonts w:ascii="Arial" w:cs="Arial" w:eastAsia="Arial" w:hAnsi="Arial"/>
                <w:sz w:val="14"/>
                <w:szCs w:val="14"/>
                <w:b w:val="1"/>
                <w:bCs w:val="1"/>
                <w:i w:val="1"/>
                <w:iCs w:val="1"/>
                <w:color w:val="auto"/>
                <w:w w:val="93"/>
              </w:rPr>
              <w:t>millions)</w:t>
            </w:r>
          </w:p>
        </w:tc>
        <w:tc>
          <w:tcPr>
            <w:tcW w:w="160" w:type="dxa"/>
            <w:vAlign w:val="bottom"/>
          </w:tcPr>
          <w:p>
            <w:pPr>
              <w:spacing w:after="0"/>
              <w:rPr>
                <w:sz w:val="12"/>
                <w:szCs w:val="12"/>
                <w:color w:val="auto"/>
              </w:rPr>
            </w:pPr>
          </w:p>
        </w:tc>
        <w:tc>
          <w:tcPr>
            <w:tcW w:w="56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 category</w:t>
            </w:r>
          </w:p>
        </w:tc>
        <w:tc>
          <w:tcPr>
            <w:tcW w:w="8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280" w:type="dxa"/>
            <w:vAlign w:val="bottom"/>
          </w:tcPr>
          <w:p>
            <w:pPr>
              <w:spacing w:after="0"/>
              <w:rPr>
                <w:sz w:val="20"/>
                <w:szCs w:val="20"/>
                <w:color w:val="auto"/>
              </w:rPr>
            </w:pPr>
            <w:r>
              <w:rPr>
                <w:rFonts w:ascii="Arial" w:cs="Arial" w:eastAsia="Arial" w:hAnsi="Arial"/>
                <w:sz w:val="14"/>
                <w:szCs w:val="14"/>
                <w:color w:val="auto"/>
              </w:rPr>
              <w:t>Direct real estate investments</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84.7</w:t>
            </w: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1.6</w:t>
            </w: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1.0</w:t>
            </w:r>
          </w:p>
        </w:tc>
        <w:tc>
          <w:tcPr>
            <w:tcW w:w="720" w:type="dxa"/>
            <w:vAlign w:val="bottom"/>
            <w:gridSpan w:val="2"/>
          </w:tcPr>
          <w:p>
            <w:pPr>
              <w:jc w:val="right"/>
              <w:ind w:right="412"/>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0"/>
                <w:szCs w:val="20"/>
                <w:color w:val="auto"/>
              </w:rPr>
            </w:pPr>
            <w:r>
              <w:rPr>
                <w:rFonts w:ascii="Arial" w:cs="Arial" w:eastAsia="Arial" w:hAnsi="Arial"/>
                <w:sz w:val="14"/>
                <w:szCs w:val="14"/>
                <w:color w:val="auto"/>
                <w:w w:val="85"/>
              </w:rPr>
              <w:t>—</w:t>
            </w:r>
          </w:p>
        </w:tc>
        <w:tc>
          <w:tcPr>
            <w:tcW w:w="2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40" w:type="dxa"/>
            <w:vAlign w:val="bottom"/>
            <w:gridSpan w:val="2"/>
          </w:tcPr>
          <w:p>
            <w:pPr>
              <w:jc w:val="right"/>
              <w:ind w:right="120"/>
              <w:spacing w:after="0"/>
              <w:rPr>
                <w:sz w:val="20"/>
                <w:szCs w:val="20"/>
                <w:color w:val="auto"/>
              </w:rPr>
            </w:pPr>
            <w:r>
              <w:rPr>
                <w:rFonts w:ascii="Arial" w:cs="Arial" w:eastAsia="Arial" w:hAnsi="Arial"/>
                <w:sz w:val="14"/>
                <w:szCs w:val="14"/>
                <w:color w:val="auto"/>
              </w:rPr>
              <w:t>(87.3)</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gridSpan w:val="2"/>
          </w:tcPr>
          <w:p>
            <w:pPr>
              <w:ind w:left="7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bl>
    <w:p>
      <w:pPr>
        <w:spacing w:after="0" w:line="184" w:lineRule="exact"/>
        <w:rPr>
          <w:sz w:val="20"/>
          <w:szCs w:val="20"/>
          <w:color w:val="auto"/>
        </w:rPr>
      </w:pPr>
    </w:p>
    <w:p>
      <w:pPr>
        <w:ind w:firstLine="384"/>
        <w:spacing w:after="0" w:line="268" w:lineRule="auto"/>
        <w:rPr>
          <w:sz w:val="20"/>
          <w:szCs w:val="20"/>
          <w:color w:val="auto"/>
        </w:rPr>
      </w:pPr>
      <w:r>
        <w:rPr>
          <w:rFonts w:ascii="Arial" w:cs="Arial" w:eastAsia="Arial" w:hAnsi="Arial"/>
          <w:sz w:val="18"/>
          <w:szCs w:val="18"/>
          <w:color w:val="auto"/>
        </w:rPr>
        <w:t>We have established an investment policy that provides the investment objectives and guidelines for the pension plan. Our investment strategy is to achieve the following:</w:t>
      </w:r>
    </w:p>
    <w:p>
      <w:pPr>
        <w:spacing w:after="0" w:line="199" w:lineRule="exact"/>
        <w:rPr>
          <w:sz w:val="20"/>
          <w:szCs w:val="20"/>
          <w:color w:val="auto"/>
        </w:rPr>
      </w:pPr>
    </w:p>
    <w:p>
      <w:pPr>
        <w:ind w:left="1080" w:hanging="532"/>
        <w:spacing w:after="0" w:line="268" w:lineRule="auto"/>
        <w:tabs>
          <w:tab w:leader="none" w:pos="1080" w:val="left"/>
        </w:tabs>
        <w:numPr>
          <w:ilvl w:val="0"/>
          <w:numId w:val="68"/>
        </w:numPr>
        <w:rPr>
          <w:rFonts w:ascii="Arial" w:cs="Arial" w:eastAsia="Arial" w:hAnsi="Arial"/>
          <w:sz w:val="18"/>
          <w:szCs w:val="18"/>
          <w:color w:val="auto"/>
        </w:rPr>
      </w:pPr>
      <w:r>
        <w:rPr>
          <w:rFonts w:ascii="Arial" w:cs="Arial" w:eastAsia="Arial" w:hAnsi="Arial"/>
          <w:sz w:val="18"/>
          <w:szCs w:val="18"/>
          <w:color w:val="auto"/>
        </w:rPr>
        <w:t>Obtain a reasonable long-term return consistent with the level of risk assumed and at a cost of operation within prudent levels. Performance benchmarks are monitored.</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68"/>
        </w:numPr>
        <w:rPr>
          <w:rFonts w:ascii="Arial" w:cs="Arial" w:eastAsia="Arial" w:hAnsi="Arial"/>
          <w:sz w:val="18"/>
          <w:szCs w:val="18"/>
          <w:color w:val="auto"/>
        </w:rPr>
      </w:pPr>
      <w:r>
        <w:rPr>
          <w:rFonts w:ascii="Arial" w:cs="Arial" w:eastAsia="Arial" w:hAnsi="Arial"/>
          <w:sz w:val="18"/>
          <w:szCs w:val="18"/>
          <w:color w:val="auto"/>
        </w:rPr>
        <w:t>Ensure sufficient liquidity to meet the emerging benefit liabilities for the plan.</w:t>
      </w:r>
    </w:p>
    <w:p>
      <w:pPr>
        <w:spacing w:after="0" w:line="238"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68"/>
        </w:numPr>
        <w:rPr>
          <w:rFonts w:ascii="Arial" w:cs="Arial" w:eastAsia="Arial" w:hAnsi="Arial"/>
          <w:sz w:val="18"/>
          <w:szCs w:val="18"/>
          <w:color w:val="auto"/>
        </w:rPr>
      </w:pPr>
      <w:r>
        <w:rPr>
          <w:rFonts w:ascii="Arial" w:cs="Arial" w:eastAsia="Arial" w:hAnsi="Arial"/>
          <w:sz w:val="18"/>
          <w:szCs w:val="18"/>
          <w:color w:val="auto"/>
        </w:rPr>
        <w:t>Provide for diversification of assets in an effort to avoid the risk of large losses and maximize the investment return to the pension plan consistent with market and economic risk.</w:t>
      </w:r>
    </w:p>
    <w:p>
      <w:pPr>
        <w:spacing w:after="0" w:line="186" w:lineRule="exact"/>
        <w:rPr>
          <w:sz w:val="20"/>
          <w:szCs w:val="20"/>
          <w:color w:val="auto"/>
        </w:rPr>
      </w:pPr>
    </w:p>
    <w:p>
      <w:pPr>
        <w:jc w:val="both"/>
        <w:ind w:firstLine="351"/>
        <w:spacing w:after="0" w:line="259" w:lineRule="auto"/>
        <w:rPr>
          <w:sz w:val="20"/>
          <w:szCs w:val="20"/>
          <w:color w:val="auto"/>
        </w:rPr>
      </w:pPr>
      <w:r>
        <w:rPr>
          <w:rFonts w:ascii="Arial" w:cs="Arial" w:eastAsia="Arial" w:hAnsi="Arial"/>
          <w:sz w:val="18"/>
          <w:szCs w:val="18"/>
          <w:color w:val="auto"/>
        </w:rPr>
        <w:t>In administering the qualified pension plan's asset allocation strategy, we consider the projected liability stream of benefit payments, the relationship between current and projected assets of the plan and the projected actuarial liabilities streams, the historical performance of capital markets adjusted for the perception of future short- and long-term capital market performance and the perception of future economic conditions.</w:t>
      </w:r>
    </w:p>
    <w:p>
      <w:pPr>
        <w:spacing w:after="0" w:line="19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According to our investment policy, the target asset allocation for the qualified plan is:</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7940" w:type="dxa"/>
            <w:vAlign w:val="bottom"/>
            <w:gridSpan w:val="2"/>
          </w:tcPr>
          <w:p>
            <w:pPr>
              <w:spacing w:after="0"/>
              <w:rPr>
                <w:sz w:val="20"/>
                <w:szCs w:val="20"/>
                <w:color w:val="auto"/>
              </w:rPr>
            </w:pPr>
            <w:r>
              <w:rPr>
                <w:rFonts w:ascii="Arial" w:cs="Arial" w:eastAsia="Arial" w:hAnsi="Arial"/>
                <w:sz w:val="14"/>
                <w:szCs w:val="14"/>
                <w:b w:val="1"/>
                <w:bCs w:val="1"/>
                <w:color w:val="auto"/>
              </w:rPr>
              <w:t>Asset Category</w:t>
            </w:r>
          </w:p>
        </w:tc>
        <w:tc>
          <w:tcPr>
            <w:tcW w:w="16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b w:val="1"/>
                <w:bCs w:val="1"/>
                <w:color w:val="auto"/>
                <w:w w:val="87"/>
              </w:rPr>
              <w:t>Target allocation</w:t>
            </w:r>
          </w:p>
        </w:tc>
      </w:tr>
      <w:tr>
        <w:trPr>
          <w:trHeight w:val="142"/>
        </w:trPr>
        <w:tc>
          <w:tcPr>
            <w:tcW w:w="20" w:type="dxa"/>
            <w:vAlign w:val="bottom"/>
          </w:tcPr>
          <w:p>
            <w:pPr>
              <w:spacing w:after="0"/>
              <w:rPr>
                <w:sz w:val="12"/>
                <w:szCs w:val="12"/>
                <w:color w:val="auto"/>
              </w:rPr>
            </w:pPr>
          </w:p>
        </w:tc>
        <w:tc>
          <w:tcPr>
            <w:tcW w:w="7920" w:type="dxa"/>
            <w:vAlign w:val="bottom"/>
            <w:tcBorders>
              <w:top w:val="single" w:sz="8" w:color="auto"/>
            </w:tcBorders>
            <w:shd w:val="clear" w:color="auto" w:fill="CCEEFF"/>
          </w:tcPr>
          <w:p>
            <w:pPr>
              <w:spacing w:after="0" w:line="142" w:lineRule="exact"/>
              <w:rPr>
                <w:sz w:val="20"/>
                <w:szCs w:val="20"/>
                <w:color w:val="auto"/>
              </w:rPr>
            </w:pPr>
            <w:r>
              <w:rPr>
                <w:rFonts w:ascii="Arial" w:cs="Arial" w:eastAsia="Arial" w:hAnsi="Arial"/>
                <w:sz w:val="14"/>
                <w:szCs w:val="14"/>
                <w:color w:val="auto"/>
              </w:rPr>
              <w:t>U.S. equity portfolios</w:t>
            </w:r>
          </w:p>
        </w:tc>
        <w:tc>
          <w:tcPr>
            <w:tcW w:w="160" w:type="dxa"/>
            <w:vAlign w:val="bottom"/>
            <w:shd w:val="clear" w:color="auto" w:fill="CCEEFF"/>
          </w:tcPr>
          <w:p>
            <w:pPr>
              <w:spacing w:after="0"/>
              <w:rPr>
                <w:sz w:val="12"/>
                <w:szCs w:val="12"/>
                <w:color w:val="auto"/>
              </w:rPr>
            </w:pPr>
          </w:p>
        </w:tc>
        <w:tc>
          <w:tcPr>
            <w:tcW w:w="104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0% - 45%</w:t>
            </w:r>
          </w:p>
        </w:tc>
      </w:tr>
      <w:tr>
        <w:trPr>
          <w:trHeight w:val="149"/>
        </w:trPr>
        <w:tc>
          <w:tcPr>
            <w:tcW w:w="20" w:type="dxa"/>
            <w:vAlign w:val="bottom"/>
          </w:tcPr>
          <w:p>
            <w:pPr>
              <w:spacing w:after="0"/>
              <w:rPr>
                <w:sz w:val="12"/>
                <w:szCs w:val="12"/>
                <w:color w:val="auto"/>
              </w:rPr>
            </w:pPr>
          </w:p>
        </w:tc>
        <w:tc>
          <w:tcPr>
            <w:tcW w:w="7920" w:type="dxa"/>
            <w:vAlign w:val="bottom"/>
          </w:tcPr>
          <w:p>
            <w:pPr>
              <w:spacing w:after="0" w:line="149" w:lineRule="exact"/>
              <w:rPr>
                <w:sz w:val="20"/>
                <w:szCs w:val="20"/>
                <w:color w:val="auto"/>
              </w:rPr>
            </w:pPr>
            <w:r>
              <w:rPr>
                <w:rFonts w:ascii="Arial" w:cs="Arial" w:eastAsia="Arial" w:hAnsi="Arial"/>
                <w:sz w:val="14"/>
                <w:szCs w:val="14"/>
                <w:color w:val="auto"/>
              </w:rPr>
              <w:t>International equity portfolios</w:t>
            </w:r>
          </w:p>
        </w:tc>
        <w:tc>
          <w:tcPr>
            <w:tcW w:w="12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0% - 15%</w:t>
            </w:r>
          </w:p>
        </w:tc>
      </w:tr>
      <w:tr>
        <w:trPr>
          <w:trHeight w:val="149"/>
        </w:trPr>
        <w:tc>
          <w:tcPr>
            <w:tcW w:w="20" w:type="dxa"/>
            <w:vAlign w:val="bottom"/>
          </w:tcPr>
          <w:p>
            <w:pPr>
              <w:spacing w:after="0"/>
              <w:rPr>
                <w:sz w:val="12"/>
                <w:szCs w:val="12"/>
                <w:color w:val="auto"/>
              </w:rPr>
            </w:pPr>
          </w:p>
        </w:tc>
        <w:tc>
          <w:tcPr>
            <w:tcW w:w="79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income security portfolios</w:t>
            </w:r>
          </w:p>
        </w:tc>
        <w:tc>
          <w:tcPr>
            <w:tcW w:w="12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30% - 100%</w:t>
            </w:r>
          </w:p>
        </w:tc>
      </w:tr>
      <w:tr>
        <w:trPr>
          <w:trHeight w:val="174"/>
        </w:trPr>
        <w:tc>
          <w:tcPr>
            <w:tcW w:w="20" w:type="dxa"/>
            <w:vAlign w:val="bottom"/>
          </w:tcPr>
          <w:p>
            <w:pPr>
              <w:spacing w:after="0"/>
              <w:rPr>
                <w:sz w:val="15"/>
                <w:szCs w:val="15"/>
                <w:color w:val="auto"/>
              </w:rPr>
            </w:pPr>
          </w:p>
        </w:tc>
        <w:tc>
          <w:tcPr>
            <w:tcW w:w="7920" w:type="dxa"/>
            <w:vAlign w:val="bottom"/>
          </w:tcPr>
          <w:p>
            <w:pPr>
              <w:spacing w:after="0"/>
              <w:rPr>
                <w:sz w:val="20"/>
                <w:szCs w:val="20"/>
                <w:color w:val="auto"/>
              </w:rPr>
            </w:pPr>
            <w:r>
              <w:rPr>
                <w:rFonts w:ascii="Arial" w:cs="Arial" w:eastAsia="Arial" w:hAnsi="Arial"/>
                <w:sz w:val="14"/>
                <w:szCs w:val="14"/>
                <w:color w:val="auto"/>
              </w:rPr>
              <w:t>Real estate investment portfolios</w:t>
            </w:r>
          </w:p>
        </w:tc>
        <w:tc>
          <w:tcPr>
            <w:tcW w:w="1200" w:type="dxa"/>
            <w:vAlign w:val="bottom"/>
            <w:gridSpan w:val="2"/>
          </w:tcPr>
          <w:p>
            <w:pPr>
              <w:jc w:val="right"/>
              <w:spacing w:after="0"/>
              <w:rPr>
                <w:sz w:val="20"/>
                <w:szCs w:val="20"/>
                <w:color w:val="auto"/>
              </w:rPr>
            </w:pPr>
            <w:r>
              <w:rPr>
                <w:rFonts w:ascii="Arial" w:cs="Arial" w:eastAsia="Arial" w:hAnsi="Arial"/>
                <w:sz w:val="14"/>
                <w:szCs w:val="14"/>
                <w:b w:val="1"/>
                <w:bCs w:val="1"/>
                <w:color w:val="auto"/>
              </w:rPr>
              <w:t>0% - 10%</w:t>
            </w:r>
          </w:p>
        </w:tc>
      </w:tr>
    </w:tbl>
    <w:p>
      <w:pPr>
        <w:spacing w:after="0" w:line="3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Postretirement Benefit Plan Assets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fair value of the other postretirement benefit plans' assets by asset category as of the most recent measurement date is as follows:</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9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2280" w:type="dxa"/>
            <w:vAlign w:val="bottom"/>
            <w:tcBorders>
              <w:bottom w:val="single" w:sz="8" w:color="auto"/>
            </w:tcBorders>
            <w:gridSpan w:val="7"/>
          </w:tcPr>
          <w:p>
            <w:pPr>
              <w:jc w:val="right"/>
              <w:ind w:right="32"/>
              <w:spacing w:after="0"/>
              <w:rPr>
                <w:sz w:val="20"/>
                <w:szCs w:val="20"/>
                <w:color w:val="auto"/>
              </w:rPr>
            </w:pPr>
            <w:r>
              <w:rPr>
                <w:rFonts w:ascii="Arial" w:cs="Arial" w:eastAsia="Arial" w:hAnsi="Arial"/>
                <w:sz w:val="14"/>
                <w:szCs w:val="14"/>
                <w:b w:val="1"/>
                <w:bCs w:val="1"/>
                <w:color w:val="auto"/>
              </w:rPr>
              <w:t>As of December 31, 2013</w:t>
            </w:r>
          </w:p>
        </w:tc>
        <w:tc>
          <w:tcPr>
            <w:tcW w:w="1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8"/>
        </w:trPr>
        <w:tc>
          <w:tcPr>
            <w:tcW w:w="20" w:type="dxa"/>
            <w:vAlign w:val="bottom"/>
          </w:tcPr>
          <w:p>
            <w:pPr>
              <w:spacing w:after="0"/>
              <w:rPr>
                <w:sz w:val="24"/>
                <w:szCs w:val="24"/>
                <w:color w:val="auto"/>
              </w:rPr>
            </w:pPr>
          </w:p>
        </w:tc>
        <w:tc>
          <w:tcPr>
            <w:tcW w:w="5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20" w:type="dxa"/>
            <w:vAlign w:val="bottom"/>
          </w:tcPr>
          <w:p>
            <w:pPr>
              <w:jc w:val="center"/>
              <w:spacing w:after="0"/>
              <w:rPr>
                <w:sz w:val="20"/>
                <w:szCs w:val="20"/>
                <w:color w:val="auto"/>
              </w:rPr>
            </w:pPr>
            <w:r>
              <w:rPr>
                <w:rFonts w:ascii="Arial" w:cs="Arial" w:eastAsia="Arial" w:hAnsi="Arial"/>
                <w:sz w:val="14"/>
                <w:szCs w:val="14"/>
                <w:b w:val="1"/>
                <w:bCs w:val="1"/>
                <w:color w:val="auto"/>
                <w:w w:val="78"/>
              </w:rPr>
              <w:t>Assets</w:t>
            </w: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120" w:type="dxa"/>
            <w:vAlign w:val="bottom"/>
            <w:gridSpan w:val="8"/>
            <w:vMerge w:val="restart"/>
          </w:tcPr>
          <w:p>
            <w:pPr>
              <w:ind w:left="200"/>
              <w:spacing w:after="0"/>
              <w:rPr>
                <w:sz w:val="20"/>
                <w:szCs w:val="20"/>
                <w:color w:val="auto"/>
              </w:rPr>
            </w:pPr>
            <w:r>
              <w:rPr>
                <w:rFonts w:ascii="Arial" w:cs="Arial" w:eastAsia="Arial" w:hAnsi="Arial"/>
                <w:sz w:val="14"/>
                <w:szCs w:val="14"/>
                <w:b w:val="1"/>
                <w:bCs w:val="1"/>
                <w:color w:val="auto"/>
              </w:rPr>
              <w:t>Fair value hierarchy level</w:t>
            </w: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5900" w:type="dxa"/>
            <w:vAlign w:val="bottom"/>
          </w:tcPr>
          <w:p>
            <w:pPr>
              <w:spacing w:after="0"/>
              <w:rPr>
                <w:sz w:val="5"/>
                <w:szCs w:val="5"/>
                <w:color w:val="auto"/>
              </w:rPr>
            </w:pPr>
          </w:p>
        </w:tc>
        <w:tc>
          <w:tcPr>
            <w:tcW w:w="20" w:type="dxa"/>
            <w:vAlign w:val="bottom"/>
          </w:tcPr>
          <w:p>
            <w:pPr>
              <w:spacing w:after="0"/>
              <w:rPr>
                <w:sz w:val="5"/>
                <w:szCs w:val="5"/>
                <w:color w:val="auto"/>
              </w:rPr>
            </w:pPr>
          </w:p>
        </w:tc>
        <w:tc>
          <w:tcPr>
            <w:tcW w:w="40" w:type="dxa"/>
            <w:vAlign w:val="bottom"/>
          </w:tcPr>
          <w:p>
            <w:pPr>
              <w:spacing w:after="0"/>
              <w:rPr>
                <w:sz w:val="5"/>
                <w:szCs w:val="5"/>
                <w:color w:val="auto"/>
              </w:rPr>
            </w:pPr>
          </w:p>
        </w:tc>
        <w:tc>
          <w:tcPr>
            <w:tcW w:w="820" w:type="dxa"/>
            <w:vAlign w:val="bottom"/>
            <w:vMerge w:val="restart"/>
          </w:tcPr>
          <w:p>
            <w:pPr>
              <w:jc w:val="center"/>
              <w:ind w:right="12"/>
              <w:spacing w:after="0" w:line="149" w:lineRule="exact"/>
              <w:rPr>
                <w:sz w:val="20"/>
                <w:szCs w:val="20"/>
                <w:color w:val="auto"/>
              </w:rPr>
            </w:pPr>
            <w:r>
              <w:rPr>
                <w:rFonts w:ascii="Arial" w:cs="Arial" w:eastAsia="Arial" w:hAnsi="Arial"/>
                <w:sz w:val="14"/>
                <w:szCs w:val="14"/>
                <w:b w:val="1"/>
                <w:bCs w:val="1"/>
                <w:color w:val="auto"/>
                <w:w w:val="84"/>
              </w:rPr>
              <w:t>measured at</w:t>
            </w:r>
          </w:p>
        </w:tc>
        <w:tc>
          <w:tcPr>
            <w:tcW w:w="160" w:type="dxa"/>
            <w:vAlign w:val="bottom"/>
          </w:tcPr>
          <w:p>
            <w:pPr>
              <w:spacing w:after="0"/>
              <w:rPr>
                <w:sz w:val="5"/>
                <w:szCs w:val="5"/>
                <w:color w:val="auto"/>
              </w:rPr>
            </w:pPr>
          </w:p>
        </w:tc>
        <w:tc>
          <w:tcPr>
            <w:tcW w:w="60" w:type="dxa"/>
            <w:vAlign w:val="bottom"/>
          </w:tcPr>
          <w:p>
            <w:pPr>
              <w:spacing w:after="0"/>
              <w:rPr>
                <w:sz w:val="5"/>
                <w:szCs w:val="5"/>
                <w:color w:val="auto"/>
              </w:rPr>
            </w:pPr>
          </w:p>
        </w:tc>
        <w:tc>
          <w:tcPr>
            <w:tcW w:w="2120" w:type="dxa"/>
            <w:vAlign w:val="bottom"/>
            <w:gridSpan w:val="8"/>
            <w:vMerge w:val="continue"/>
          </w:tcPr>
          <w:p>
            <w:pPr>
              <w:spacing w:after="0"/>
              <w:rPr>
                <w:sz w:val="5"/>
                <w:szCs w:val="5"/>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5900" w:type="dxa"/>
            <w:vAlign w:val="bottom"/>
          </w:tcPr>
          <w:p>
            <w:pPr>
              <w:spacing w:after="0"/>
              <w:rPr>
                <w:sz w:val="5"/>
                <w:szCs w:val="5"/>
                <w:color w:val="auto"/>
              </w:rPr>
            </w:pPr>
          </w:p>
        </w:tc>
        <w:tc>
          <w:tcPr>
            <w:tcW w:w="20" w:type="dxa"/>
            <w:vAlign w:val="bottom"/>
          </w:tcPr>
          <w:p>
            <w:pPr>
              <w:spacing w:after="0"/>
              <w:rPr>
                <w:sz w:val="5"/>
                <w:szCs w:val="5"/>
                <w:color w:val="auto"/>
              </w:rPr>
            </w:pPr>
          </w:p>
        </w:tc>
        <w:tc>
          <w:tcPr>
            <w:tcW w:w="40" w:type="dxa"/>
            <w:vAlign w:val="bottom"/>
          </w:tcPr>
          <w:p>
            <w:pPr>
              <w:spacing w:after="0"/>
              <w:rPr>
                <w:sz w:val="5"/>
                <w:szCs w:val="5"/>
                <w:color w:val="auto"/>
              </w:rPr>
            </w:pPr>
          </w:p>
        </w:tc>
        <w:tc>
          <w:tcPr>
            <w:tcW w:w="82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500" w:type="dxa"/>
            <w:vAlign w:val="bottom"/>
            <w:tcBorders>
              <w:top w:val="single" w:sz="8" w:color="auto"/>
            </w:tcBorders>
          </w:tcPr>
          <w:p>
            <w:pPr>
              <w:spacing w:after="0"/>
              <w:rPr>
                <w:sz w:val="5"/>
                <w:szCs w:val="5"/>
                <w:color w:val="auto"/>
              </w:rPr>
            </w:pPr>
          </w:p>
        </w:tc>
        <w:tc>
          <w:tcPr>
            <w:tcW w:w="160" w:type="dxa"/>
            <w:vAlign w:val="bottom"/>
            <w:tcBorders>
              <w:top w:val="single" w:sz="8" w:color="auto"/>
            </w:tcBorders>
          </w:tcPr>
          <w:p>
            <w:pPr>
              <w:spacing w:after="0"/>
              <w:rPr>
                <w:sz w:val="5"/>
                <w:szCs w:val="5"/>
                <w:color w:val="auto"/>
              </w:rPr>
            </w:pPr>
          </w:p>
        </w:tc>
        <w:tc>
          <w:tcPr>
            <w:tcW w:w="80" w:type="dxa"/>
            <w:vAlign w:val="bottom"/>
            <w:tcBorders>
              <w:top w:val="single" w:sz="8" w:color="auto"/>
            </w:tcBorders>
          </w:tcPr>
          <w:p>
            <w:pPr>
              <w:spacing w:after="0"/>
              <w:rPr>
                <w:sz w:val="5"/>
                <w:szCs w:val="5"/>
                <w:color w:val="auto"/>
              </w:rPr>
            </w:pPr>
          </w:p>
        </w:tc>
        <w:tc>
          <w:tcPr>
            <w:tcW w:w="500" w:type="dxa"/>
            <w:vAlign w:val="bottom"/>
            <w:tcBorders>
              <w:top w:val="single" w:sz="8" w:color="auto"/>
            </w:tcBorders>
          </w:tcPr>
          <w:p>
            <w:pPr>
              <w:spacing w:after="0"/>
              <w:rPr>
                <w:sz w:val="5"/>
                <w:szCs w:val="5"/>
                <w:color w:val="auto"/>
              </w:rPr>
            </w:pPr>
          </w:p>
        </w:tc>
        <w:tc>
          <w:tcPr>
            <w:tcW w:w="16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500" w:type="dxa"/>
            <w:vAlign w:val="bottom"/>
            <w:tcBorders>
              <w:top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59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7"/>
              </w:rPr>
              <w:t>fair value</w:t>
            </w: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4"/>
              </w:rPr>
              <w:t>Level 1</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4"/>
              </w:rPr>
              <w:t>Level 2</w:t>
            </w: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4"/>
              </w:rPr>
              <w:t>Level 3</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9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40" w:type="dxa"/>
            <w:vAlign w:val="bottom"/>
            <w:gridSpan w:val="4"/>
          </w:tcPr>
          <w:p>
            <w:pPr>
              <w:jc w:val="right"/>
              <w:ind w:right="412"/>
              <w:spacing w:after="0" w:line="142" w:lineRule="exact"/>
              <w:rPr>
                <w:sz w:val="20"/>
                <w:szCs w:val="20"/>
                <w:color w:val="auto"/>
              </w:rPr>
            </w:pPr>
            <w:r>
              <w:rPr>
                <w:rFonts w:ascii="Arial" w:cs="Arial" w:eastAsia="Arial" w:hAnsi="Arial"/>
                <w:sz w:val="14"/>
                <w:szCs w:val="14"/>
                <w:b w:val="1"/>
                <w:bCs w:val="1"/>
                <w:i w:val="1"/>
                <w:iCs w:val="1"/>
                <w:color w:val="auto"/>
                <w:w w:val="94"/>
              </w:rPr>
              <w:t>(in millions)</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0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 category</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00" w:type="dxa"/>
            <w:vAlign w:val="bottom"/>
          </w:tcPr>
          <w:p>
            <w:pPr>
              <w:spacing w:after="0" w:line="149" w:lineRule="exact"/>
              <w:rPr>
                <w:sz w:val="20"/>
                <w:szCs w:val="20"/>
                <w:color w:val="auto"/>
              </w:rPr>
            </w:pPr>
            <w:r>
              <w:rPr>
                <w:rFonts w:ascii="Arial" w:cs="Arial" w:eastAsia="Arial" w:hAnsi="Arial"/>
                <w:sz w:val="14"/>
                <w:szCs w:val="14"/>
                <w:color w:val="auto"/>
              </w:rPr>
              <w:t>Cash and cash equivalents</w:t>
            </w:r>
          </w:p>
        </w:tc>
        <w:tc>
          <w:tcPr>
            <w:tcW w:w="60" w:type="dxa"/>
            <w:vAlign w:val="bottom"/>
            <w:gridSpan w:val="2"/>
          </w:tcPr>
          <w:p>
            <w:pPr>
              <w:jc w:val="right"/>
              <w:spacing w:after="0"/>
              <w:rPr>
                <w:sz w:val="20"/>
                <w:szCs w:val="20"/>
                <w:color w:val="auto"/>
              </w:rPr>
            </w:pPr>
            <w:r>
              <w:rPr>
                <w:rFonts w:ascii="Arial" w:cs="Arial" w:eastAsia="Arial" w:hAnsi="Arial"/>
                <w:sz w:val="10"/>
                <w:szCs w:val="10"/>
                <w:b w:val="1"/>
                <w:bCs w:val="1"/>
                <w:color w:val="auto"/>
                <w:w w:val="71"/>
              </w:rPr>
              <w:t>$</w:t>
            </w:r>
          </w:p>
        </w:tc>
        <w:tc>
          <w:tcPr>
            <w:tcW w:w="8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4.7</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4.7</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60" w:type="dxa"/>
            <w:vAlign w:val="bottom"/>
            <w:gridSpan w:val="2"/>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income security portfolios: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00" w:type="dxa"/>
            <w:vAlign w:val="bottom"/>
          </w:tcPr>
          <w:p>
            <w:pPr>
              <w:ind w:left="140"/>
              <w:spacing w:after="0" w:line="149" w:lineRule="exact"/>
              <w:rPr>
                <w:sz w:val="20"/>
                <w:szCs w:val="20"/>
                <w:color w:val="auto"/>
              </w:rPr>
            </w:pPr>
            <w:r>
              <w:rPr>
                <w:rFonts w:ascii="Arial" w:cs="Arial" w:eastAsia="Arial" w:hAnsi="Arial"/>
                <w:sz w:val="14"/>
                <w:szCs w:val="14"/>
                <w:color w:val="auto"/>
              </w:rPr>
              <w:t>Fixed income investment funds (1)</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157.9</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157.9</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gridSpan w:val="2"/>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Principal Life general account investment (2)</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38.8</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38.8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00" w:type="dxa"/>
            <w:vAlign w:val="bottom"/>
          </w:tcPr>
          <w:p>
            <w:pPr>
              <w:spacing w:after="0" w:line="149" w:lineRule="exact"/>
              <w:rPr>
                <w:sz w:val="20"/>
                <w:szCs w:val="20"/>
                <w:color w:val="auto"/>
              </w:rPr>
            </w:pPr>
            <w:r>
              <w:rPr>
                <w:rFonts w:ascii="Arial" w:cs="Arial" w:eastAsia="Arial" w:hAnsi="Arial"/>
                <w:sz w:val="14"/>
                <w:szCs w:val="14"/>
                <w:color w:val="auto"/>
              </w:rPr>
              <w:t>U.S. equity portfolios (3)</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351.6</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288.0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63.6</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gridSpan w:val="2"/>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International equity portfolios (4)</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60.0</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45.9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14.1</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2"/>
        </w:trPr>
        <w:tc>
          <w:tcPr>
            <w:tcW w:w="592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Total</w:t>
            </w:r>
          </w:p>
        </w:tc>
        <w:tc>
          <w:tcPr>
            <w:tcW w:w="20" w:type="dxa"/>
            <w:vAlign w:val="bottom"/>
            <w:tcBorders>
              <w:bottom w:val="single" w:sz="8" w:color="auto"/>
            </w:tcBorders>
          </w:tcPr>
          <w:p>
            <w:pPr>
              <w:spacing w:after="0"/>
              <w:rPr>
                <w:sz w:val="12"/>
                <w:szCs w:val="12"/>
                <w:color w:val="auto"/>
              </w:rPr>
            </w:pPr>
          </w:p>
        </w:tc>
        <w:tc>
          <w:tcPr>
            <w:tcW w:w="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5"/>
                <w:szCs w:val="5"/>
                <w:b w:val="1"/>
                <w:bCs w:val="1"/>
                <w:color w:val="auto"/>
                <w:w w:val="70"/>
              </w:rPr>
              <w:t>$</w:t>
            </w: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613.0</w:t>
            </w:r>
          </w:p>
        </w:tc>
        <w:tc>
          <w:tcPr>
            <w:tcW w:w="1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496.5</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77.7</w:t>
            </w:r>
          </w:p>
        </w:tc>
        <w:tc>
          <w:tcPr>
            <w:tcW w:w="1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38.8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54" w:name="page155"/>
    <w:bookmarkEnd w:id="15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Employee and Agent Benefits — (continued)</w:t>
      </w: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7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260" w:type="dxa"/>
            <w:vAlign w:val="bottom"/>
            <w:tcBorders>
              <w:bottom w:val="single" w:sz="8" w:color="auto"/>
            </w:tcBorders>
            <w:gridSpan w:val="7"/>
          </w:tcPr>
          <w:p>
            <w:pPr>
              <w:jc w:val="right"/>
              <w:ind w:right="32"/>
              <w:spacing w:after="0"/>
              <w:rPr>
                <w:sz w:val="20"/>
                <w:szCs w:val="20"/>
                <w:color w:val="auto"/>
              </w:rPr>
            </w:pPr>
            <w:r>
              <w:rPr>
                <w:rFonts w:ascii="Arial" w:cs="Arial" w:eastAsia="Arial" w:hAnsi="Arial"/>
                <w:sz w:val="14"/>
                <w:szCs w:val="14"/>
                <w:b w:val="1"/>
                <w:bCs w:val="1"/>
                <w:color w:val="auto"/>
              </w:rPr>
              <w:t>As of December 31, 2012</w:t>
            </w:r>
          </w:p>
        </w:tc>
        <w:tc>
          <w:tcPr>
            <w:tcW w:w="16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8"/>
        </w:trPr>
        <w:tc>
          <w:tcPr>
            <w:tcW w:w="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47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78"/>
              </w:rPr>
              <w:t>Assets</w:t>
            </w:r>
          </w:p>
        </w:tc>
        <w:tc>
          <w:tcPr>
            <w:tcW w:w="100" w:type="dxa"/>
            <w:vAlign w:val="bottom"/>
          </w:tcPr>
          <w:p>
            <w:pPr>
              <w:spacing w:after="0"/>
              <w:rPr>
                <w:sz w:val="24"/>
                <w:szCs w:val="24"/>
                <w:color w:val="auto"/>
              </w:rPr>
            </w:pPr>
          </w:p>
        </w:tc>
        <w:tc>
          <w:tcPr>
            <w:tcW w:w="1660" w:type="dxa"/>
            <w:vAlign w:val="bottom"/>
            <w:gridSpan w:val="6"/>
            <w:vMerge w:val="restart"/>
          </w:tcPr>
          <w:p>
            <w:pPr>
              <w:jc w:val="right"/>
              <w:spacing w:after="0"/>
              <w:rPr>
                <w:sz w:val="20"/>
                <w:szCs w:val="20"/>
                <w:color w:val="auto"/>
              </w:rPr>
            </w:pPr>
            <w:r>
              <w:rPr>
                <w:rFonts w:ascii="Arial" w:cs="Arial" w:eastAsia="Arial" w:hAnsi="Arial"/>
                <w:sz w:val="14"/>
                <w:szCs w:val="14"/>
                <w:b w:val="1"/>
                <w:bCs w:val="1"/>
                <w:color w:val="auto"/>
                <w:w w:val="96"/>
              </w:rPr>
              <w:t>Fair value hierarchy level</w:t>
            </w: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780" w:type="dxa"/>
            <w:vAlign w:val="bottom"/>
          </w:tcPr>
          <w:p>
            <w:pPr>
              <w:spacing w:after="0"/>
              <w:rPr>
                <w:sz w:val="5"/>
                <w:szCs w:val="5"/>
                <w:color w:val="auto"/>
              </w:rPr>
            </w:pPr>
          </w:p>
        </w:tc>
        <w:tc>
          <w:tcPr>
            <w:tcW w:w="80" w:type="dxa"/>
            <w:vAlign w:val="bottom"/>
          </w:tcPr>
          <w:p>
            <w:pPr>
              <w:spacing w:after="0"/>
              <w:rPr>
                <w:sz w:val="5"/>
                <w:szCs w:val="5"/>
                <w:color w:val="auto"/>
              </w:rPr>
            </w:pPr>
          </w:p>
        </w:tc>
        <w:tc>
          <w:tcPr>
            <w:tcW w:w="960" w:type="dxa"/>
            <w:vAlign w:val="bottom"/>
            <w:gridSpan w:val="2"/>
            <w:vMerge w:val="restart"/>
          </w:tcPr>
          <w:p>
            <w:pPr>
              <w:jc w:val="center"/>
              <w:ind w:right="260"/>
              <w:spacing w:after="0" w:line="149" w:lineRule="exact"/>
              <w:rPr>
                <w:sz w:val="20"/>
                <w:szCs w:val="20"/>
                <w:color w:val="auto"/>
              </w:rPr>
            </w:pPr>
            <w:r>
              <w:rPr>
                <w:rFonts w:ascii="Arial" w:cs="Arial" w:eastAsia="Arial" w:hAnsi="Arial"/>
                <w:sz w:val="14"/>
                <w:szCs w:val="14"/>
                <w:b w:val="1"/>
                <w:bCs w:val="1"/>
                <w:color w:val="auto"/>
                <w:w w:val="84"/>
              </w:rPr>
              <w:t>measured at</w:t>
            </w:r>
          </w:p>
        </w:tc>
        <w:tc>
          <w:tcPr>
            <w:tcW w:w="100" w:type="dxa"/>
            <w:vAlign w:val="bottom"/>
            <w:tcBorders>
              <w:bottom w:val="single" w:sz="8" w:color="auto"/>
            </w:tcBorders>
          </w:tcPr>
          <w:p>
            <w:pPr>
              <w:spacing w:after="0"/>
              <w:rPr>
                <w:sz w:val="5"/>
                <w:szCs w:val="5"/>
                <w:color w:val="auto"/>
              </w:rPr>
            </w:pPr>
          </w:p>
        </w:tc>
        <w:tc>
          <w:tcPr>
            <w:tcW w:w="1660" w:type="dxa"/>
            <w:vAlign w:val="bottom"/>
            <w:tcBorders>
              <w:bottom w:val="single" w:sz="8" w:color="auto"/>
            </w:tcBorders>
            <w:gridSpan w:val="6"/>
            <w:vMerge w:val="continue"/>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780" w:type="dxa"/>
            <w:vAlign w:val="bottom"/>
          </w:tcPr>
          <w:p>
            <w:pPr>
              <w:spacing w:after="0"/>
              <w:rPr>
                <w:sz w:val="5"/>
                <w:szCs w:val="5"/>
                <w:color w:val="auto"/>
              </w:rPr>
            </w:pPr>
          </w:p>
        </w:tc>
        <w:tc>
          <w:tcPr>
            <w:tcW w:w="80" w:type="dxa"/>
            <w:vAlign w:val="bottom"/>
          </w:tcPr>
          <w:p>
            <w:pPr>
              <w:spacing w:after="0"/>
              <w:rPr>
                <w:sz w:val="5"/>
                <w:szCs w:val="5"/>
                <w:color w:val="auto"/>
              </w:rPr>
            </w:pPr>
          </w:p>
        </w:tc>
        <w:tc>
          <w:tcPr>
            <w:tcW w:w="960" w:type="dxa"/>
            <w:vAlign w:val="bottom"/>
            <w:gridSpan w:val="2"/>
            <w:vMerge w:val="continue"/>
          </w:tcPr>
          <w:p>
            <w:pPr>
              <w:spacing w:after="0"/>
              <w:rPr>
                <w:sz w:val="5"/>
                <w:szCs w:val="5"/>
                <w:color w:val="auto"/>
              </w:rPr>
            </w:pPr>
          </w:p>
        </w:tc>
        <w:tc>
          <w:tcPr>
            <w:tcW w:w="100" w:type="dxa"/>
            <w:vAlign w:val="bottom"/>
          </w:tcPr>
          <w:p>
            <w:pPr>
              <w:spacing w:after="0"/>
              <w:rPr>
                <w:sz w:val="5"/>
                <w:szCs w:val="5"/>
                <w:color w:val="auto"/>
              </w:rPr>
            </w:pPr>
          </w:p>
        </w:tc>
        <w:tc>
          <w:tcPr>
            <w:tcW w:w="460" w:type="dxa"/>
            <w:vAlign w:val="bottom"/>
          </w:tcPr>
          <w:p>
            <w:pPr>
              <w:spacing w:after="0"/>
              <w:rPr>
                <w:sz w:val="5"/>
                <w:szCs w:val="5"/>
                <w:color w:val="auto"/>
              </w:rPr>
            </w:pPr>
          </w:p>
        </w:tc>
        <w:tc>
          <w:tcPr>
            <w:tcW w:w="160" w:type="dxa"/>
            <w:vAlign w:val="bottom"/>
          </w:tcPr>
          <w:p>
            <w:pPr>
              <w:spacing w:after="0"/>
              <w:rPr>
                <w:sz w:val="5"/>
                <w:szCs w:val="5"/>
                <w:color w:val="auto"/>
              </w:rPr>
            </w:pPr>
          </w:p>
        </w:tc>
        <w:tc>
          <w:tcPr>
            <w:tcW w:w="220" w:type="dxa"/>
            <w:vAlign w:val="bottom"/>
          </w:tcPr>
          <w:p>
            <w:pPr>
              <w:spacing w:after="0"/>
              <w:rPr>
                <w:sz w:val="5"/>
                <w:szCs w:val="5"/>
                <w:color w:val="auto"/>
              </w:rPr>
            </w:pPr>
          </w:p>
        </w:tc>
        <w:tc>
          <w:tcPr>
            <w:tcW w:w="360" w:type="dxa"/>
            <w:vAlign w:val="bottom"/>
          </w:tcPr>
          <w:p>
            <w:pPr>
              <w:spacing w:after="0"/>
              <w:rPr>
                <w:sz w:val="5"/>
                <w:szCs w:val="5"/>
                <w:color w:val="auto"/>
              </w:rPr>
            </w:pPr>
          </w:p>
        </w:tc>
        <w:tc>
          <w:tcPr>
            <w:tcW w:w="160" w:type="dxa"/>
            <w:vAlign w:val="bottom"/>
          </w:tcPr>
          <w:p>
            <w:pPr>
              <w:spacing w:after="0"/>
              <w:rPr>
                <w:sz w:val="5"/>
                <w:szCs w:val="5"/>
                <w:color w:val="auto"/>
              </w:rPr>
            </w:pPr>
          </w:p>
        </w:tc>
        <w:tc>
          <w:tcPr>
            <w:tcW w:w="300" w:type="dxa"/>
            <w:vAlign w:val="bottom"/>
          </w:tcPr>
          <w:p>
            <w:pPr>
              <w:spacing w:after="0"/>
              <w:rPr>
                <w:sz w:val="5"/>
                <w:szCs w:val="5"/>
                <w:color w:val="auto"/>
              </w:rPr>
            </w:pPr>
          </w:p>
        </w:tc>
        <w:tc>
          <w:tcPr>
            <w:tcW w:w="260" w:type="dxa"/>
            <w:vAlign w:val="bottom"/>
          </w:tcPr>
          <w:p>
            <w:pPr>
              <w:spacing w:after="0"/>
              <w:rPr>
                <w:sz w:val="5"/>
                <w:szCs w:val="5"/>
                <w:color w:val="auto"/>
              </w:rPr>
            </w:pPr>
          </w:p>
        </w:tc>
        <w:tc>
          <w:tcPr>
            <w:tcW w:w="1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7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7"/>
              </w:rPr>
              <w:t>fair value</w:t>
            </w:r>
          </w:p>
        </w:tc>
        <w:tc>
          <w:tcPr>
            <w:tcW w:w="160" w:type="dxa"/>
            <w:vAlign w:val="bottom"/>
          </w:tcPr>
          <w:p>
            <w:pPr>
              <w:spacing w:after="0"/>
              <w:rPr>
                <w:sz w:val="14"/>
                <w:szCs w:val="14"/>
                <w:color w:val="auto"/>
              </w:rPr>
            </w:pPr>
          </w:p>
        </w:tc>
        <w:tc>
          <w:tcPr>
            <w:tcW w:w="56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14"/>
                <w:szCs w:val="14"/>
                <w:b w:val="1"/>
                <w:bCs w:val="1"/>
                <w:color w:val="auto"/>
                <w:w w:val="96"/>
              </w:rPr>
              <w:t>Level 1</w:t>
            </w:r>
          </w:p>
        </w:tc>
        <w:tc>
          <w:tcPr>
            <w:tcW w:w="160" w:type="dxa"/>
            <w:vAlign w:val="bottom"/>
          </w:tcPr>
          <w:p>
            <w:pPr>
              <w:spacing w:after="0"/>
              <w:rPr>
                <w:sz w:val="14"/>
                <w:szCs w:val="14"/>
                <w:color w:val="auto"/>
              </w:rPr>
            </w:pPr>
          </w:p>
        </w:tc>
        <w:tc>
          <w:tcPr>
            <w:tcW w:w="58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14"/>
                <w:szCs w:val="14"/>
                <w:b w:val="1"/>
                <w:bCs w:val="1"/>
                <w:color w:val="auto"/>
              </w:rPr>
              <w:t>Level 2</w:t>
            </w:r>
          </w:p>
        </w:tc>
        <w:tc>
          <w:tcPr>
            <w:tcW w:w="160" w:type="dxa"/>
            <w:vAlign w:val="bottom"/>
          </w:tcPr>
          <w:p>
            <w:pPr>
              <w:spacing w:after="0"/>
              <w:rPr>
                <w:sz w:val="14"/>
                <w:szCs w:val="14"/>
                <w:color w:val="auto"/>
              </w:rPr>
            </w:pPr>
          </w:p>
        </w:tc>
        <w:tc>
          <w:tcPr>
            <w:tcW w:w="56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14"/>
                <w:szCs w:val="14"/>
                <w:b w:val="1"/>
                <w:bCs w:val="1"/>
                <w:color w:val="auto"/>
                <w:w w:val="96"/>
              </w:rPr>
              <w:t>Level 3</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4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gridSpan w:val="3"/>
          </w:tcPr>
          <w:p>
            <w:pPr>
              <w:jc w:val="right"/>
              <w:ind w:right="52"/>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 category</w:t>
            </w: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00" w:type="dxa"/>
            <w:vAlign w:val="bottom"/>
            <w:gridSpan w:val="2"/>
          </w:tcPr>
          <w:p>
            <w:pPr>
              <w:spacing w:after="0" w:line="149" w:lineRule="exact"/>
              <w:rPr>
                <w:sz w:val="20"/>
                <w:szCs w:val="20"/>
                <w:color w:val="auto"/>
              </w:rPr>
            </w:pPr>
            <w:r>
              <w:rPr>
                <w:rFonts w:ascii="Arial" w:cs="Arial" w:eastAsia="Arial" w:hAnsi="Arial"/>
                <w:sz w:val="14"/>
                <w:szCs w:val="14"/>
                <w:color w:val="auto"/>
              </w:rPr>
              <w:t>Cash and cash equivalents</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1.9</w:t>
            </w:r>
          </w:p>
        </w:tc>
        <w:tc>
          <w:tcPr>
            <w:tcW w:w="160" w:type="dxa"/>
            <w:vAlign w:val="bottom"/>
          </w:tcPr>
          <w:p>
            <w:pPr>
              <w:spacing w:after="0"/>
              <w:rPr>
                <w:sz w:val="12"/>
                <w:szCs w:val="12"/>
                <w:color w:val="auto"/>
              </w:rPr>
            </w:pPr>
          </w:p>
        </w:tc>
        <w:tc>
          <w:tcPr>
            <w:tcW w:w="10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1.9</w:t>
            </w:r>
          </w:p>
        </w:tc>
        <w:tc>
          <w:tcPr>
            <w:tcW w:w="380" w:type="dxa"/>
            <w:vAlign w:val="bottom"/>
            <w:gridSpan w:val="2"/>
          </w:tcPr>
          <w:p>
            <w:pPr>
              <w:jc w:val="right"/>
              <w:ind w:right="72"/>
              <w:spacing w:after="0" w:line="149" w:lineRule="exact"/>
              <w:rPr>
                <w:sz w:val="20"/>
                <w:szCs w:val="20"/>
                <w:color w:val="auto"/>
              </w:rPr>
            </w:pPr>
            <w:r>
              <w:rPr>
                <w:rFonts w:ascii="Arial" w:cs="Arial" w:eastAsia="Arial" w:hAnsi="Arial"/>
                <w:sz w:val="14"/>
                <w:szCs w:val="14"/>
                <w:color w:val="auto"/>
              </w:rPr>
              <w:t>$</w:t>
            </w:r>
          </w:p>
        </w:tc>
        <w:tc>
          <w:tcPr>
            <w:tcW w:w="3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460" w:type="dxa"/>
            <w:vAlign w:val="bottom"/>
            <w:gridSpan w:val="2"/>
          </w:tcPr>
          <w:p>
            <w:pPr>
              <w:jc w:val="right"/>
              <w:ind w:right="152"/>
              <w:spacing w:after="0" w:line="149" w:lineRule="exact"/>
              <w:rPr>
                <w:sz w:val="20"/>
                <w:szCs w:val="20"/>
                <w:color w:val="auto"/>
              </w:rPr>
            </w:pPr>
            <w:r>
              <w:rPr>
                <w:rFonts w:ascii="Arial" w:cs="Arial" w:eastAsia="Arial" w:hAnsi="Arial"/>
                <w:sz w:val="14"/>
                <w:szCs w:val="14"/>
                <w:color w:val="auto"/>
              </w:rPr>
              <w:t>$</w:t>
            </w:r>
          </w:p>
        </w:tc>
        <w:tc>
          <w:tcPr>
            <w:tcW w:w="4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Fixed income security portfolios:</w:t>
            </w: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0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Fixed income investment funds (1)</w:t>
            </w: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163.5</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163.5</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3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0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Principal Life general account investment (2)</w:t>
            </w: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42.1</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3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87"/>
              </w:rPr>
              <w:t>42.1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00" w:type="dxa"/>
            <w:vAlign w:val="bottom"/>
            <w:gridSpan w:val="2"/>
          </w:tcPr>
          <w:p>
            <w:pPr>
              <w:spacing w:after="0" w:line="149" w:lineRule="exact"/>
              <w:rPr>
                <w:sz w:val="20"/>
                <w:szCs w:val="20"/>
                <w:color w:val="auto"/>
              </w:rPr>
            </w:pPr>
            <w:r>
              <w:rPr>
                <w:rFonts w:ascii="Arial" w:cs="Arial" w:eastAsia="Arial" w:hAnsi="Arial"/>
                <w:sz w:val="14"/>
                <w:szCs w:val="14"/>
                <w:color w:val="auto"/>
              </w:rPr>
              <w:t>U.S. equity portfolios (3)</w:t>
            </w: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260.8</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213.5</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360" w:type="dxa"/>
            <w:vAlign w:val="bottom"/>
          </w:tcPr>
          <w:p>
            <w:pPr>
              <w:jc w:val="right"/>
              <w:spacing w:after="0" w:line="149" w:lineRule="exact"/>
              <w:rPr>
                <w:sz w:val="20"/>
                <w:szCs w:val="20"/>
                <w:color w:val="auto"/>
              </w:rPr>
            </w:pPr>
            <w:r>
              <w:rPr>
                <w:rFonts w:ascii="Arial" w:cs="Arial" w:eastAsia="Arial" w:hAnsi="Arial"/>
                <w:sz w:val="14"/>
                <w:szCs w:val="14"/>
                <w:color w:val="auto"/>
              </w:rPr>
              <w:t>47.3</w:t>
            </w:r>
          </w:p>
        </w:tc>
        <w:tc>
          <w:tcPr>
            <w:tcW w:w="1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International equity portfolios (4)</w:t>
            </w: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51.4</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39.3</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3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12.1</w:t>
            </w:r>
          </w:p>
        </w:tc>
        <w:tc>
          <w:tcPr>
            <w:tcW w:w="16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2"/>
        </w:trPr>
        <w:tc>
          <w:tcPr>
            <w:tcW w:w="592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Total</w:t>
            </w: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519.7</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418.</w:t>
            </w:r>
            <w:r>
              <w:rPr>
                <w:rFonts w:ascii="Arial" w:cs="Arial" w:eastAsia="Arial" w:hAnsi="Arial"/>
                <w:sz w:val="14"/>
                <w:szCs w:val="14"/>
                <w:u w:val="single" w:color="auto"/>
                <w:color w:val="auto"/>
              </w:rPr>
              <w:t>2</w:t>
            </w:r>
          </w:p>
        </w:tc>
        <w:tc>
          <w:tcPr>
            <w:tcW w:w="160" w:type="dxa"/>
            <w:vAlign w:val="bottom"/>
          </w:tcPr>
          <w:p>
            <w:pPr>
              <w:spacing w:after="0"/>
              <w:rPr>
                <w:sz w:val="12"/>
                <w:szCs w:val="12"/>
                <w:color w:val="auto"/>
              </w:rPr>
            </w:pPr>
          </w:p>
        </w:tc>
        <w:tc>
          <w:tcPr>
            <w:tcW w:w="220" w:type="dxa"/>
            <w:vAlign w:val="bottom"/>
            <w:tcBorders>
              <w:top w:val="single" w:sz="8" w:color="auto"/>
              <w:bottom w:val="single" w:sz="8" w:color="auto"/>
            </w:tcBorders>
          </w:tcPr>
          <w:p>
            <w:pPr>
              <w:jc w:val="right"/>
              <w:ind w:right="72"/>
              <w:spacing w:after="0" w:line="142" w:lineRule="exact"/>
              <w:rPr>
                <w:sz w:val="20"/>
                <w:szCs w:val="20"/>
                <w:color w:val="auto"/>
              </w:rPr>
            </w:pPr>
            <w:r>
              <w:rPr>
                <w:rFonts w:ascii="Arial" w:cs="Arial" w:eastAsia="Arial" w:hAnsi="Arial"/>
                <w:sz w:val="14"/>
                <w:szCs w:val="14"/>
                <w:color w:val="auto"/>
                <w:w w:val="76"/>
              </w:rPr>
              <w:t>$</w:t>
            </w:r>
          </w:p>
        </w:tc>
        <w:tc>
          <w:tcPr>
            <w:tcW w:w="3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59.4</w:t>
            </w:r>
          </w:p>
        </w:tc>
        <w:tc>
          <w:tcPr>
            <w:tcW w:w="160" w:type="dxa"/>
            <w:vAlign w:val="bottom"/>
          </w:tcPr>
          <w:p>
            <w:pPr>
              <w:spacing w:after="0"/>
              <w:rPr>
                <w:sz w:val="12"/>
                <w:szCs w:val="12"/>
                <w:color w:val="auto"/>
              </w:rPr>
            </w:pPr>
          </w:p>
        </w:tc>
        <w:tc>
          <w:tcPr>
            <w:tcW w:w="300" w:type="dxa"/>
            <w:vAlign w:val="bottom"/>
            <w:tcBorders>
              <w:top w:val="single" w:sz="8" w:color="auto"/>
              <w:bottom w:val="single" w:sz="8" w:color="auto"/>
            </w:tcBorders>
          </w:tcPr>
          <w:p>
            <w:pPr>
              <w:jc w:val="right"/>
              <w:ind w:right="152"/>
              <w:spacing w:after="0" w:line="142"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87"/>
              </w:rPr>
              <w:t>42.1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47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47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0" w:type="dxa"/>
            <w:vAlign w:val="bottom"/>
          </w:tcPr>
          <w:p>
            <w:pPr>
              <w:spacing w:after="0"/>
              <w:rPr>
                <w:sz w:val="7"/>
                <w:szCs w:val="7"/>
                <w:color w:val="auto"/>
              </w:rPr>
            </w:pPr>
          </w:p>
        </w:tc>
        <w:tc>
          <w:tcPr>
            <w:tcW w:w="220" w:type="dxa"/>
            <w:vAlign w:val="bottom"/>
          </w:tcPr>
          <w:p>
            <w:pPr>
              <w:spacing w:after="0"/>
              <w:rPr>
                <w:sz w:val="7"/>
                <w:szCs w:val="7"/>
                <w:color w:val="auto"/>
              </w:rPr>
            </w:pPr>
          </w:p>
        </w:tc>
        <w:tc>
          <w:tcPr>
            <w:tcW w:w="360" w:type="dxa"/>
            <w:vAlign w:val="bottom"/>
          </w:tcPr>
          <w:p>
            <w:pPr>
              <w:spacing w:after="0"/>
              <w:rPr>
                <w:sz w:val="7"/>
                <w:szCs w:val="7"/>
                <w:color w:val="auto"/>
              </w:rPr>
            </w:pPr>
          </w:p>
        </w:tc>
        <w:tc>
          <w:tcPr>
            <w:tcW w:w="160" w:type="dxa"/>
            <w:vAlign w:val="bottom"/>
          </w:tcPr>
          <w:p>
            <w:pPr>
              <w:spacing w:after="0"/>
              <w:rPr>
                <w:sz w:val="7"/>
                <w:szCs w:val="7"/>
                <w:color w:val="auto"/>
              </w:rPr>
            </w:pPr>
          </w:p>
        </w:tc>
        <w:tc>
          <w:tcPr>
            <w:tcW w:w="300" w:type="dxa"/>
            <w:vAlign w:val="bottom"/>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ind w:left="1680" w:hanging="531"/>
        <w:spacing w:after="0" w:line="318" w:lineRule="auto"/>
        <w:tabs>
          <w:tab w:leader="none" w:pos="1680" w:val="left"/>
        </w:tabs>
        <w:numPr>
          <w:ilvl w:val="0"/>
          <w:numId w:val="69"/>
        </w:numPr>
        <w:rPr>
          <w:rFonts w:ascii="Arial" w:cs="Arial" w:eastAsia="Arial" w:hAnsi="Arial"/>
          <w:sz w:val="12"/>
          <w:szCs w:val="12"/>
          <w:color w:val="auto"/>
        </w:rPr>
      </w:pPr>
      <w:r>
        <w:rPr>
          <w:rFonts w:ascii="Arial" w:cs="Arial" w:eastAsia="Arial" w:hAnsi="Arial"/>
          <w:sz w:val="12"/>
          <w:szCs w:val="12"/>
          <w:color w:val="auto"/>
        </w:rPr>
        <w:t>The portfolios invest in various fixed income securities, primarily of U.S. origin. These include, but are not limited to, corporate bonds, mortgage-backed securities, commercial mortgage-backed securities, U.S. Treasury securities, agency securities, asset-backed securities and collateralized mortgage obligations.</w:t>
      </w:r>
    </w:p>
    <w:p>
      <w:pPr>
        <w:spacing w:after="0" w:line="66" w:lineRule="exact"/>
        <w:rPr>
          <w:rFonts w:ascii="Arial" w:cs="Arial" w:eastAsia="Arial" w:hAnsi="Arial"/>
          <w:sz w:val="12"/>
          <w:szCs w:val="12"/>
          <w:color w:val="auto"/>
        </w:rPr>
      </w:pPr>
    </w:p>
    <w:p>
      <w:pPr>
        <w:ind w:left="1680" w:hanging="531"/>
        <w:spacing w:after="0"/>
        <w:tabs>
          <w:tab w:leader="none" w:pos="1680" w:val="left"/>
        </w:tabs>
        <w:numPr>
          <w:ilvl w:val="0"/>
          <w:numId w:val="69"/>
        </w:numPr>
        <w:rPr>
          <w:rFonts w:ascii="Arial" w:cs="Arial" w:eastAsia="Arial" w:hAnsi="Arial"/>
          <w:sz w:val="14"/>
          <w:szCs w:val="14"/>
          <w:color w:val="auto"/>
        </w:rPr>
      </w:pPr>
      <w:r>
        <w:rPr>
          <w:rFonts w:ascii="Arial" w:cs="Arial" w:eastAsia="Arial" w:hAnsi="Arial"/>
          <w:sz w:val="14"/>
          <w:szCs w:val="14"/>
          <w:color w:val="auto"/>
        </w:rPr>
        <w:t>The general account is invested in various fixed income securities.</w:t>
      </w:r>
    </w:p>
    <w:p>
      <w:pPr>
        <w:spacing w:after="0" w:line="122" w:lineRule="exact"/>
        <w:rPr>
          <w:rFonts w:ascii="Arial" w:cs="Arial" w:eastAsia="Arial" w:hAnsi="Arial"/>
          <w:sz w:val="14"/>
          <w:szCs w:val="14"/>
          <w:color w:val="auto"/>
        </w:rPr>
      </w:pPr>
    </w:p>
    <w:p>
      <w:pPr>
        <w:ind w:left="1680" w:hanging="531"/>
        <w:spacing w:after="0"/>
        <w:tabs>
          <w:tab w:leader="none" w:pos="1680" w:val="left"/>
        </w:tabs>
        <w:numPr>
          <w:ilvl w:val="0"/>
          <w:numId w:val="69"/>
        </w:numPr>
        <w:rPr>
          <w:rFonts w:ascii="Arial" w:cs="Arial" w:eastAsia="Arial" w:hAnsi="Arial"/>
          <w:sz w:val="14"/>
          <w:szCs w:val="14"/>
          <w:color w:val="auto"/>
        </w:rPr>
      </w:pPr>
      <w:r>
        <w:rPr>
          <w:rFonts w:ascii="Arial" w:cs="Arial" w:eastAsia="Arial" w:hAnsi="Arial"/>
          <w:sz w:val="14"/>
          <w:szCs w:val="14"/>
          <w:color w:val="auto"/>
        </w:rPr>
        <w:t>The portfolios invest primarily in publicly traded equity securities of large U.S. companies.</w:t>
      </w:r>
    </w:p>
    <w:p>
      <w:pPr>
        <w:spacing w:after="0" w:line="122" w:lineRule="exact"/>
        <w:rPr>
          <w:rFonts w:ascii="Arial" w:cs="Arial" w:eastAsia="Arial" w:hAnsi="Arial"/>
          <w:sz w:val="14"/>
          <w:szCs w:val="14"/>
          <w:color w:val="auto"/>
        </w:rPr>
      </w:pPr>
    </w:p>
    <w:p>
      <w:pPr>
        <w:ind w:left="1680" w:hanging="531"/>
        <w:spacing w:after="0"/>
        <w:tabs>
          <w:tab w:leader="none" w:pos="1680" w:val="left"/>
        </w:tabs>
        <w:numPr>
          <w:ilvl w:val="0"/>
          <w:numId w:val="69"/>
        </w:numPr>
        <w:rPr>
          <w:rFonts w:ascii="Arial" w:cs="Arial" w:eastAsia="Arial" w:hAnsi="Arial"/>
          <w:sz w:val="14"/>
          <w:szCs w:val="14"/>
          <w:color w:val="auto"/>
        </w:rPr>
      </w:pPr>
      <w:r>
        <w:rPr>
          <w:rFonts w:ascii="Arial" w:cs="Arial" w:eastAsia="Arial" w:hAnsi="Arial"/>
          <w:sz w:val="14"/>
          <w:szCs w:val="14"/>
          <w:color w:val="auto"/>
        </w:rPr>
        <w:t>The portfolios invest primarily in publicly traded equity securities of non-U.S. companies.</w:t>
      </w:r>
    </w:p>
    <w:p>
      <w:pPr>
        <w:spacing w:after="0" w:line="206" w:lineRule="exact"/>
        <w:rPr>
          <w:sz w:val="20"/>
          <w:szCs w:val="20"/>
          <w:color w:val="auto"/>
        </w:rPr>
      </w:pPr>
    </w:p>
    <w:p>
      <w:pPr>
        <w:ind w:right="20" w:firstLine="488"/>
        <w:spacing w:after="0" w:line="268" w:lineRule="auto"/>
        <w:rPr>
          <w:sz w:val="20"/>
          <w:szCs w:val="20"/>
          <w:color w:val="auto"/>
        </w:rPr>
      </w:pPr>
      <w:r>
        <w:rPr>
          <w:rFonts w:ascii="Arial" w:cs="Arial" w:eastAsia="Arial" w:hAnsi="Arial"/>
          <w:sz w:val="18"/>
          <w:szCs w:val="18"/>
          <w:color w:val="auto"/>
        </w:rPr>
        <w:t>As of December 31, 2013 and 2012, respectively, $77.7 million and $59.4 million of assets in the U.S. equity and international equity portfolios were included in a trust owned life insurance contract.</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reconciliation for all assets measured at fair value using significant unobservable inputs (Level 3) is as follows:</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480" w:type="dxa"/>
            <w:vAlign w:val="bottom"/>
            <w:tcBorders>
              <w:bottom w:val="single" w:sz="8" w:color="auto"/>
            </w:tcBorders>
            <w:gridSpan w:val="8"/>
          </w:tcPr>
          <w:p>
            <w:pPr>
              <w:ind w:left="60"/>
              <w:spacing w:after="0"/>
              <w:rPr>
                <w:sz w:val="20"/>
                <w:szCs w:val="20"/>
                <w:color w:val="auto"/>
              </w:rPr>
            </w:pPr>
            <w:r>
              <w:rPr>
                <w:rFonts w:ascii="Arial" w:cs="Arial" w:eastAsia="Arial" w:hAnsi="Arial"/>
                <w:sz w:val="14"/>
                <w:szCs w:val="14"/>
                <w:b w:val="1"/>
                <w:bCs w:val="1"/>
                <w:color w:val="auto"/>
                <w:w w:val="94"/>
              </w:rPr>
              <w:t>For the year ended December 31, 2013</w:t>
            </w:r>
          </w:p>
        </w:tc>
        <w:tc>
          <w:tcPr>
            <w:tcW w:w="1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9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700" w:type="dxa"/>
            <w:vAlign w:val="bottom"/>
            <w:gridSpan w:val="4"/>
          </w:tcPr>
          <w:p>
            <w:pPr>
              <w:jc w:val="center"/>
              <w:ind w:right="32"/>
              <w:spacing w:after="0" w:line="129" w:lineRule="exact"/>
              <w:rPr>
                <w:sz w:val="20"/>
                <w:szCs w:val="20"/>
                <w:color w:val="auto"/>
              </w:rPr>
            </w:pPr>
            <w:r>
              <w:rPr>
                <w:rFonts w:ascii="Arial" w:cs="Arial" w:eastAsia="Arial" w:hAnsi="Arial"/>
                <w:sz w:val="14"/>
                <w:szCs w:val="14"/>
                <w:b w:val="1"/>
                <w:bCs w:val="1"/>
                <w:color w:val="auto"/>
                <w:w w:val="87"/>
              </w:rPr>
              <w:t>Actual return gains</w:t>
            </w: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700" w:type="dxa"/>
            <w:vAlign w:val="bottom"/>
            <w:tcBorders>
              <w:bottom w:val="single" w:sz="8" w:color="auto"/>
            </w:tcBorders>
            <w:gridSpan w:val="4"/>
          </w:tcPr>
          <w:p>
            <w:pPr>
              <w:jc w:val="center"/>
              <w:ind w:right="32"/>
              <w:spacing w:after="0"/>
              <w:rPr>
                <w:sz w:val="20"/>
                <w:szCs w:val="20"/>
                <w:color w:val="auto"/>
              </w:rPr>
            </w:pPr>
            <w:r>
              <w:rPr>
                <w:rFonts w:ascii="Arial" w:cs="Arial" w:eastAsia="Arial" w:hAnsi="Arial"/>
                <w:sz w:val="14"/>
                <w:szCs w:val="14"/>
                <w:b w:val="1"/>
                <w:bCs w:val="1"/>
                <w:color w:val="auto"/>
                <w:w w:val="80"/>
              </w:rPr>
              <w:t>(losses) on plan assets</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8"/>
              </w:rPr>
              <w:t>Ending</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9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20" w:type="dxa"/>
            <w:vAlign w:val="bottom"/>
          </w:tcPr>
          <w:p>
            <w:pPr>
              <w:jc w:val="center"/>
              <w:ind w:right="32"/>
              <w:spacing w:after="0" w:line="129" w:lineRule="exact"/>
              <w:rPr>
                <w:sz w:val="20"/>
                <w:szCs w:val="20"/>
                <w:color w:val="auto"/>
              </w:rPr>
            </w:pPr>
            <w:r>
              <w:rPr>
                <w:rFonts w:ascii="Arial" w:cs="Arial" w:eastAsia="Arial" w:hAnsi="Arial"/>
                <w:sz w:val="14"/>
                <w:szCs w:val="14"/>
                <w:b w:val="1"/>
                <w:bCs w:val="1"/>
                <w:color w:val="auto"/>
                <w:w w:val="87"/>
              </w:rPr>
              <w:t>Beginning</w:t>
            </w: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jc w:val="center"/>
              <w:ind w:right="32"/>
              <w:spacing w:after="0" w:line="129" w:lineRule="exact"/>
              <w:rPr>
                <w:sz w:val="20"/>
                <w:szCs w:val="20"/>
                <w:color w:val="auto"/>
              </w:rPr>
            </w:pPr>
            <w:r>
              <w:rPr>
                <w:rFonts w:ascii="Arial" w:cs="Arial" w:eastAsia="Arial" w:hAnsi="Arial"/>
                <w:sz w:val="14"/>
                <w:szCs w:val="14"/>
                <w:b w:val="1"/>
                <w:bCs w:val="1"/>
                <w:color w:val="auto"/>
                <w:w w:val="88"/>
              </w:rPr>
              <w:t>Relating to</w:t>
            </w: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40" w:type="dxa"/>
            <w:vAlign w:val="bottom"/>
            <w:gridSpan w:val="2"/>
          </w:tcPr>
          <w:p>
            <w:pPr>
              <w:jc w:val="center"/>
              <w:ind w:right="240"/>
              <w:spacing w:after="0" w:line="129" w:lineRule="exact"/>
              <w:rPr>
                <w:sz w:val="20"/>
                <w:szCs w:val="20"/>
                <w:color w:val="auto"/>
              </w:rPr>
            </w:pPr>
            <w:r>
              <w:rPr>
                <w:rFonts w:ascii="Arial" w:cs="Arial" w:eastAsia="Arial" w:hAnsi="Arial"/>
                <w:sz w:val="14"/>
                <w:szCs w:val="14"/>
                <w:b w:val="1"/>
                <w:bCs w:val="1"/>
                <w:color w:val="auto"/>
                <w:w w:val="78"/>
              </w:rPr>
              <w:t>asset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78"/>
              </w:rPr>
              <w:t>asset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0"/>
              </w:rPr>
              <w:t>assets still</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8"/>
              </w:rPr>
              <w:t>Relating to</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7"/>
              </w:rPr>
              <w:t>Net</w:t>
            </w: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4"/>
              </w:rPr>
              <w:t>balance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3"/>
              </w:rPr>
              <w:t>balance as</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5"/>
              </w:rPr>
              <w:t>held at the</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78"/>
              </w:rPr>
              <w:t>assets sold</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3"/>
              </w:rPr>
              <w:t>purchases,</w:t>
            </w:r>
          </w:p>
        </w:tc>
        <w:tc>
          <w:tcPr>
            <w:tcW w:w="60" w:type="dxa"/>
            <w:vAlign w:val="bottom"/>
          </w:tcPr>
          <w:p>
            <w:pPr>
              <w:spacing w:after="0"/>
              <w:rPr>
                <w:sz w:val="12"/>
                <w:szCs w:val="12"/>
                <w:color w:val="auto"/>
              </w:rPr>
            </w:pPr>
          </w:p>
        </w:tc>
        <w:tc>
          <w:tcPr>
            <w:tcW w:w="7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7"/>
              </w:rPr>
              <w:t>Transfers</w:t>
            </w:r>
          </w:p>
        </w:tc>
        <w:tc>
          <w:tcPr>
            <w:tcW w:w="160" w:type="dxa"/>
            <w:vAlign w:val="bottom"/>
          </w:tcPr>
          <w:p>
            <w:pPr>
              <w:spacing w:after="0"/>
              <w:rPr>
                <w:sz w:val="12"/>
                <w:szCs w:val="12"/>
                <w:color w:val="auto"/>
              </w:rPr>
            </w:pPr>
          </w:p>
        </w:tc>
        <w:tc>
          <w:tcPr>
            <w:tcW w:w="6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4"/>
              </w:rPr>
              <w:t>Transfers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79"/>
              </w:rPr>
              <w:t>as of</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5"/>
              </w:rPr>
              <w:t>of December 31,</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7"/>
              </w:rPr>
              <w:t>reporting</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7"/>
              </w:rPr>
              <w:t>during the</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79"/>
              </w:rPr>
              <w:t>sales, and</w:t>
            </w:r>
          </w:p>
        </w:tc>
        <w:tc>
          <w:tcPr>
            <w:tcW w:w="60" w:type="dxa"/>
            <w:vAlign w:val="bottom"/>
          </w:tcPr>
          <w:p>
            <w:pPr>
              <w:spacing w:after="0"/>
              <w:rPr>
                <w:sz w:val="12"/>
                <w:szCs w:val="12"/>
                <w:color w:val="auto"/>
              </w:rPr>
            </w:pPr>
          </w:p>
        </w:tc>
        <w:tc>
          <w:tcPr>
            <w:tcW w:w="560" w:type="dxa"/>
            <w:vAlign w:val="bottom"/>
          </w:tcPr>
          <w:p>
            <w:pPr>
              <w:jc w:val="center"/>
              <w:ind w:left="52"/>
              <w:spacing w:after="0" w:line="149" w:lineRule="exact"/>
              <w:rPr>
                <w:sz w:val="20"/>
                <w:szCs w:val="20"/>
                <w:color w:val="auto"/>
              </w:rPr>
            </w:pPr>
            <w:r>
              <w:rPr>
                <w:rFonts w:ascii="Arial" w:cs="Arial" w:eastAsia="Arial" w:hAnsi="Arial"/>
                <w:sz w:val="14"/>
                <w:szCs w:val="14"/>
                <w:b w:val="1"/>
                <w:bCs w:val="1"/>
                <w:color w:val="auto"/>
                <w:w w:val="93"/>
              </w:rPr>
              <w:t>into</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center"/>
              <w:ind w:right="52"/>
              <w:spacing w:after="0" w:line="149" w:lineRule="exact"/>
              <w:rPr>
                <w:sz w:val="20"/>
                <w:szCs w:val="20"/>
                <w:color w:val="auto"/>
              </w:rPr>
            </w:pPr>
            <w:r>
              <w:rPr>
                <w:rFonts w:ascii="Arial" w:cs="Arial" w:eastAsia="Arial" w:hAnsi="Arial"/>
                <w:sz w:val="14"/>
                <w:szCs w:val="14"/>
                <w:b w:val="1"/>
                <w:bCs w:val="1"/>
                <w:color w:val="auto"/>
                <w:w w:val="87"/>
              </w:rPr>
              <w:t>out of</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20" w:type="dxa"/>
            <w:vAlign w:val="bottom"/>
          </w:tcPr>
          <w:p>
            <w:pPr>
              <w:jc w:val="center"/>
              <w:ind w:right="32"/>
              <w:spacing w:after="0"/>
              <w:rPr>
                <w:sz w:val="20"/>
                <w:szCs w:val="20"/>
                <w:color w:val="auto"/>
              </w:rPr>
            </w:pPr>
            <w:r>
              <w:rPr>
                <w:rFonts w:ascii="Arial" w:cs="Arial" w:eastAsia="Arial" w:hAnsi="Arial"/>
                <w:sz w:val="14"/>
                <w:szCs w:val="14"/>
                <w:b w:val="1"/>
                <w:bCs w:val="1"/>
                <w:color w:val="auto"/>
                <w:w w:val="89"/>
              </w:rPr>
              <w:t>2012</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jc w:val="center"/>
              <w:ind w:right="32"/>
              <w:spacing w:after="0"/>
              <w:rPr>
                <w:sz w:val="20"/>
                <w:szCs w:val="20"/>
                <w:color w:val="auto"/>
              </w:rPr>
            </w:pPr>
            <w:r>
              <w:rPr>
                <w:rFonts w:ascii="Arial" w:cs="Arial" w:eastAsia="Arial" w:hAnsi="Arial"/>
                <w:sz w:val="14"/>
                <w:szCs w:val="14"/>
                <w:b w:val="1"/>
                <w:bCs w:val="1"/>
                <w:color w:val="auto"/>
                <w:w w:val="83"/>
              </w:rPr>
              <w:t>date</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jc w:val="center"/>
              <w:ind w:right="12"/>
              <w:spacing w:after="0"/>
              <w:rPr>
                <w:sz w:val="20"/>
                <w:szCs w:val="20"/>
                <w:color w:val="auto"/>
              </w:rPr>
            </w:pPr>
            <w:r>
              <w:rPr>
                <w:rFonts w:ascii="Arial" w:cs="Arial" w:eastAsia="Arial" w:hAnsi="Arial"/>
                <w:sz w:val="14"/>
                <w:szCs w:val="14"/>
                <w:b w:val="1"/>
                <w:bCs w:val="1"/>
                <w:color w:val="auto"/>
                <w:w w:val="88"/>
              </w:rPr>
              <w:t>period</w:t>
            </w:r>
          </w:p>
        </w:tc>
        <w:tc>
          <w:tcPr>
            <w:tcW w:w="160" w:type="dxa"/>
            <w:vAlign w:val="bottom"/>
            <w:vMerge w:val="restart"/>
          </w:tcPr>
          <w:p>
            <w:pPr>
              <w:ind w:left="20"/>
              <w:spacing w:after="0"/>
              <w:rPr>
                <w:sz w:val="20"/>
                <w:szCs w:val="20"/>
                <w:color w:val="auto"/>
              </w:rPr>
            </w:pPr>
            <w:r>
              <w:rPr>
                <w:rFonts w:ascii="Arial" w:cs="Arial" w:eastAsia="Arial" w:hAnsi="Arial"/>
                <w:sz w:val="12"/>
                <w:szCs w:val="12"/>
                <w:b w:val="1"/>
                <w:bCs w:val="1"/>
                <w:i w:val="1"/>
                <w:iCs w:val="1"/>
                <w:color w:val="auto"/>
                <w:w w:val="81"/>
              </w:rPr>
              <w:t>(in</w:t>
            </w:r>
          </w:p>
        </w:tc>
        <w:tc>
          <w:tcPr>
            <w:tcW w:w="60" w:type="dxa"/>
            <w:vAlign w:val="bottom"/>
          </w:tcPr>
          <w:p>
            <w:pPr>
              <w:spacing w:after="0"/>
              <w:rPr>
                <w:sz w:val="14"/>
                <w:szCs w:val="14"/>
                <w:color w:val="auto"/>
              </w:rPr>
            </w:pPr>
          </w:p>
        </w:tc>
        <w:tc>
          <w:tcPr>
            <w:tcW w:w="8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4"/>
              </w:rPr>
              <w:t>settlements</w:t>
            </w:r>
          </w:p>
        </w:tc>
        <w:tc>
          <w:tcPr>
            <w:tcW w:w="60" w:type="dxa"/>
            <w:vAlign w:val="bottom"/>
          </w:tcPr>
          <w:p>
            <w:pPr>
              <w:spacing w:after="0"/>
              <w:rPr>
                <w:sz w:val="14"/>
                <w:szCs w:val="14"/>
                <w:color w:val="auto"/>
              </w:rPr>
            </w:pPr>
          </w:p>
        </w:tc>
        <w:tc>
          <w:tcPr>
            <w:tcW w:w="560" w:type="dxa"/>
            <w:vAlign w:val="bottom"/>
          </w:tcPr>
          <w:p>
            <w:pPr>
              <w:jc w:val="center"/>
              <w:ind w:left="72"/>
              <w:spacing w:after="0"/>
              <w:rPr>
                <w:sz w:val="20"/>
                <w:szCs w:val="20"/>
                <w:color w:val="auto"/>
              </w:rPr>
            </w:pPr>
            <w:r>
              <w:rPr>
                <w:rFonts w:ascii="Arial" w:cs="Arial" w:eastAsia="Arial" w:hAnsi="Arial"/>
                <w:sz w:val="14"/>
                <w:szCs w:val="14"/>
                <w:b w:val="1"/>
                <w:bCs w:val="1"/>
                <w:color w:val="auto"/>
                <w:w w:val="88"/>
              </w:rPr>
              <w:t>Level 3</w:t>
            </w: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jc w:val="center"/>
              <w:ind w:right="52"/>
              <w:spacing w:after="0"/>
              <w:rPr>
                <w:sz w:val="20"/>
                <w:szCs w:val="20"/>
                <w:color w:val="auto"/>
              </w:rPr>
            </w:pPr>
            <w:r>
              <w:rPr>
                <w:rFonts w:ascii="Arial" w:cs="Arial" w:eastAsia="Arial" w:hAnsi="Arial"/>
                <w:sz w:val="14"/>
                <w:szCs w:val="14"/>
                <w:b w:val="1"/>
                <w:bCs w:val="1"/>
                <w:color w:val="auto"/>
                <w:w w:val="88"/>
              </w:rPr>
              <w:t>Level 3</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tcPr>
          <w:p>
            <w:pPr>
              <w:jc w:val="center"/>
              <w:ind w:right="32"/>
              <w:spacing w:after="0"/>
              <w:rPr>
                <w:sz w:val="20"/>
                <w:szCs w:val="20"/>
                <w:color w:val="auto"/>
              </w:rPr>
            </w:pPr>
            <w:r>
              <w:rPr>
                <w:rFonts w:ascii="Arial" w:cs="Arial" w:eastAsia="Arial" w:hAnsi="Arial"/>
                <w:sz w:val="14"/>
                <w:szCs w:val="14"/>
                <w:b w:val="1"/>
                <w:bCs w:val="1"/>
                <w:color w:val="auto"/>
                <w:w w:val="83"/>
              </w:rPr>
              <w:t>2013</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9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160" w:type="dxa"/>
            <w:vAlign w:val="bottom"/>
            <w:vMerge w:val="continue"/>
          </w:tcPr>
          <w:p>
            <w:pPr>
              <w:spacing w:after="0"/>
              <w:rPr>
                <w:sz w:val="12"/>
                <w:szCs w:val="12"/>
                <w:color w:val="auto"/>
              </w:rPr>
            </w:pPr>
          </w:p>
        </w:tc>
        <w:tc>
          <w:tcPr>
            <w:tcW w:w="800" w:type="dxa"/>
            <w:vAlign w:val="bottom"/>
            <w:tcBorders>
              <w:top w:val="single" w:sz="8" w:color="auto"/>
            </w:tcBorders>
            <w:gridSpan w:val="2"/>
          </w:tcPr>
          <w:p>
            <w:pPr>
              <w:ind w:left="60"/>
              <w:spacing w:after="0" w:line="142" w:lineRule="exact"/>
              <w:rPr>
                <w:sz w:val="20"/>
                <w:szCs w:val="20"/>
                <w:color w:val="auto"/>
              </w:rPr>
            </w:pPr>
            <w:r>
              <w:rPr>
                <w:rFonts w:ascii="Arial" w:cs="Arial" w:eastAsia="Arial" w:hAnsi="Arial"/>
                <w:sz w:val="14"/>
                <w:szCs w:val="14"/>
                <w:b w:val="1"/>
                <w:bCs w:val="1"/>
                <w:i w:val="1"/>
                <w:iCs w:val="1"/>
                <w:color w:val="auto"/>
              </w:rPr>
              <w:t>millions)</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4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 category</w:t>
            </w:r>
          </w:p>
        </w:tc>
        <w:tc>
          <w:tcPr>
            <w:tcW w:w="3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940" w:type="dxa"/>
            <w:vAlign w:val="bottom"/>
          </w:tcPr>
          <w:p>
            <w:pPr>
              <w:spacing w:after="0" w:line="138" w:lineRule="exact"/>
              <w:rPr>
                <w:sz w:val="20"/>
                <w:szCs w:val="20"/>
                <w:color w:val="auto"/>
              </w:rPr>
            </w:pPr>
            <w:r>
              <w:rPr>
                <w:rFonts w:ascii="Arial" w:cs="Arial" w:eastAsia="Arial" w:hAnsi="Arial"/>
                <w:sz w:val="14"/>
                <w:szCs w:val="14"/>
                <w:color w:val="auto"/>
              </w:rPr>
              <w:t>Principal Life general account</w:t>
            </w:r>
          </w:p>
        </w:tc>
        <w:tc>
          <w:tcPr>
            <w:tcW w:w="420" w:type="dxa"/>
            <w:vAlign w:val="bottom"/>
            <w:gridSpan w:val="2"/>
            <w:vMerge w:val="restart"/>
          </w:tcPr>
          <w:p>
            <w:pPr>
              <w:jc w:val="right"/>
              <w:ind w:right="20"/>
              <w:spacing w:after="0"/>
              <w:rPr>
                <w:sz w:val="20"/>
                <w:szCs w:val="20"/>
                <w:color w:val="auto"/>
              </w:rPr>
            </w:pPr>
            <w:r>
              <w:rPr>
                <w:rFonts w:ascii="Arial" w:cs="Arial" w:eastAsia="Arial" w:hAnsi="Arial"/>
                <w:sz w:val="14"/>
                <w:szCs w:val="14"/>
                <w:b w:val="1"/>
                <w:bCs w:val="1"/>
                <w:color w:val="auto"/>
              </w:rPr>
              <w:t>$</w:t>
            </w:r>
          </w:p>
        </w:tc>
        <w:tc>
          <w:tcPr>
            <w:tcW w:w="10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42.1</w:t>
            </w:r>
          </w:p>
        </w:tc>
        <w:tc>
          <w:tcPr>
            <w:tcW w:w="22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74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1.1</w:t>
            </w:r>
          </w:p>
        </w:tc>
        <w:tc>
          <w:tcPr>
            <w:tcW w:w="22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740" w:type="dxa"/>
            <w:vAlign w:val="bottom"/>
            <w:vMerge w:val="restart"/>
          </w:tcPr>
          <w:p>
            <w:pPr>
              <w:ind w:left="580"/>
              <w:spacing w:after="0"/>
              <w:rPr>
                <w:sz w:val="20"/>
                <w:szCs w:val="20"/>
                <w:color w:val="auto"/>
              </w:rPr>
            </w:pPr>
            <w:r>
              <w:rPr>
                <w:rFonts w:ascii="Arial" w:cs="Arial" w:eastAsia="Arial" w:hAnsi="Arial"/>
                <w:sz w:val="14"/>
                <w:szCs w:val="14"/>
                <w:b w:val="1"/>
                <w:bCs w:val="1"/>
                <w:color w:val="auto"/>
                <w:w w:val="99"/>
              </w:rPr>
              <w:t>—</w:t>
            </w:r>
          </w:p>
        </w:tc>
        <w:tc>
          <w:tcPr>
            <w:tcW w:w="22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840" w:type="dxa"/>
            <w:vAlign w:val="bottom"/>
            <w:gridSpan w:val="2"/>
            <w:vMerge w:val="restart"/>
          </w:tcPr>
          <w:p>
            <w:pPr>
              <w:jc w:val="right"/>
              <w:ind w:right="60"/>
              <w:spacing w:after="0"/>
              <w:rPr>
                <w:sz w:val="20"/>
                <w:szCs w:val="20"/>
                <w:color w:val="auto"/>
              </w:rPr>
            </w:pPr>
            <w:r>
              <w:rPr>
                <w:rFonts w:ascii="Arial" w:cs="Arial" w:eastAsia="Arial" w:hAnsi="Arial"/>
                <w:sz w:val="14"/>
                <w:szCs w:val="14"/>
                <w:b w:val="1"/>
                <w:bCs w:val="1"/>
                <w:color w:val="auto"/>
              </w:rPr>
              <w:t>(4.4)</w:t>
            </w:r>
          </w:p>
        </w:tc>
        <w:tc>
          <w:tcPr>
            <w:tcW w:w="620" w:type="dxa"/>
            <w:vAlign w:val="bottom"/>
            <w:gridSpan w:val="2"/>
            <w:vMerge w:val="restart"/>
          </w:tcPr>
          <w:p>
            <w:pPr>
              <w:jc w:val="right"/>
              <w:ind w:right="432"/>
              <w:spacing w:after="0"/>
              <w:rPr>
                <w:sz w:val="20"/>
                <w:szCs w:val="20"/>
                <w:color w:val="auto"/>
              </w:rPr>
            </w:pPr>
            <w:r>
              <w:rPr>
                <w:rFonts w:ascii="Arial" w:cs="Arial" w:eastAsia="Arial" w:hAnsi="Arial"/>
                <w:sz w:val="14"/>
                <w:szCs w:val="14"/>
                <w:b w:val="1"/>
                <w:bCs w:val="1"/>
                <w:color w:val="auto"/>
              </w:rPr>
              <w:t>$</w:t>
            </w:r>
          </w:p>
        </w:tc>
        <w:tc>
          <w:tcPr>
            <w:tcW w:w="140" w:type="dxa"/>
            <w:vAlign w:val="bottom"/>
            <w:vMerge w:val="restart"/>
          </w:tcPr>
          <w:p>
            <w:pPr>
              <w:spacing w:after="0"/>
              <w:rPr>
                <w:sz w:val="20"/>
                <w:szCs w:val="20"/>
                <w:color w:val="auto"/>
              </w:rPr>
            </w:pPr>
            <w:r>
              <w:rPr>
                <w:rFonts w:ascii="Arial" w:cs="Arial" w:eastAsia="Arial" w:hAnsi="Arial"/>
                <w:sz w:val="14"/>
                <w:szCs w:val="14"/>
                <w:b w:val="1"/>
                <w:bCs w:val="1"/>
                <w:color w:val="auto"/>
                <w:w w:val="85"/>
              </w:rPr>
              <w:t>—</w:t>
            </w:r>
          </w:p>
        </w:tc>
        <w:tc>
          <w:tcPr>
            <w:tcW w:w="26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580" w:type="dxa"/>
            <w:vAlign w:val="bottom"/>
            <w:vMerge w:val="restart"/>
          </w:tcPr>
          <w:p>
            <w:pPr>
              <w:ind w:left="440"/>
              <w:spacing w:after="0"/>
              <w:rPr>
                <w:sz w:val="20"/>
                <w:szCs w:val="20"/>
                <w:color w:val="auto"/>
              </w:rPr>
            </w:pPr>
            <w:r>
              <w:rPr>
                <w:rFonts w:ascii="Arial" w:cs="Arial" w:eastAsia="Arial" w:hAnsi="Arial"/>
                <w:sz w:val="14"/>
                <w:szCs w:val="14"/>
                <w:b w:val="1"/>
                <w:bCs w:val="1"/>
                <w:color w:val="auto"/>
                <w:w w:val="85"/>
              </w:rPr>
              <w:t>—</w:t>
            </w:r>
          </w:p>
        </w:tc>
        <w:tc>
          <w:tcPr>
            <w:tcW w:w="240" w:type="dxa"/>
            <w:vAlign w:val="bottom"/>
            <w:gridSpan w:val="2"/>
            <w:vMerge w:val="restart"/>
          </w:tcPr>
          <w:p>
            <w:pPr>
              <w:jc w:val="right"/>
              <w:ind w:right="20"/>
              <w:spacing w:after="0"/>
              <w:rPr>
                <w:sz w:val="20"/>
                <w:szCs w:val="20"/>
                <w:color w:val="auto"/>
              </w:rPr>
            </w:pPr>
            <w:r>
              <w:rPr>
                <w:rFonts w:ascii="Arial" w:cs="Arial" w:eastAsia="Arial" w:hAnsi="Arial"/>
                <w:sz w:val="14"/>
                <w:szCs w:val="14"/>
                <w:b w:val="1"/>
                <w:bCs w:val="1"/>
                <w:color w:val="auto"/>
              </w:rPr>
              <w:t>$</w:t>
            </w:r>
          </w:p>
        </w:tc>
        <w:tc>
          <w:tcPr>
            <w:tcW w:w="8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38.8</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940" w:type="dxa"/>
            <w:vAlign w:val="bottom"/>
          </w:tcPr>
          <w:p>
            <w:pPr>
              <w:ind w:left="140"/>
              <w:spacing w:after="0" w:line="159" w:lineRule="exact"/>
              <w:rPr>
                <w:sz w:val="20"/>
                <w:szCs w:val="20"/>
                <w:color w:val="auto"/>
              </w:rPr>
            </w:pPr>
            <w:r>
              <w:rPr>
                <w:rFonts w:ascii="Arial" w:cs="Arial" w:eastAsia="Arial" w:hAnsi="Arial"/>
                <w:sz w:val="14"/>
                <w:szCs w:val="14"/>
                <w:color w:val="auto"/>
              </w:rPr>
              <w:t>investment</w:t>
            </w:r>
          </w:p>
        </w:tc>
        <w:tc>
          <w:tcPr>
            <w:tcW w:w="420" w:type="dxa"/>
            <w:vAlign w:val="bottom"/>
            <w:gridSpan w:val="2"/>
            <w:vMerge w:val="continue"/>
          </w:tcPr>
          <w:p>
            <w:pPr>
              <w:spacing w:after="0"/>
              <w:rPr>
                <w:sz w:val="13"/>
                <w:szCs w:val="13"/>
                <w:color w:val="auto"/>
              </w:rPr>
            </w:pPr>
          </w:p>
        </w:tc>
        <w:tc>
          <w:tcPr>
            <w:tcW w:w="1020" w:type="dxa"/>
            <w:vAlign w:val="bottom"/>
            <w:vMerge w:val="continue"/>
          </w:tcPr>
          <w:p>
            <w:pPr>
              <w:spacing w:after="0"/>
              <w:rPr>
                <w:sz w:val="13"/>
                <w:szCs w:val="13"/>
                <w:color w:val="auto"/>
              </w:rPr>
            </w:pPr>
          </w:p>
        </w:tc>
        <w:tc>
          <w:tcPr>
            <w:tcW w:w="220" w:type="dxa"/>
            <w:vAlign w:val="bottom"/>
            <w:gridSpan w:val="2"/>
            <w:vMerge w:val="continue"/>
          </w:tcPr>
          <w:p>
            <w:pPr>
              <w:spacing w:after="0"/>
              <w:rPr>
                <w:sz w:val="13"/>
                <w:szCs w:val="13"/>
                <w:color w:val="auto"/>
              </w:rPr>
            </w:pPr>
          </w:p>
        </w:tc>
        <w:tc>
          <w:tcPr>
            <w:tcW w:w="740" w:type="dxa"/>
            <w:vAlign w:val="bottom"/>
            <w:vMerge w:val="continue"/>
          </w:tcPr>
          <w:p>
            <w:pPr>
              <w:spacing w:after="0"/>
              <w:rPr>
                <w:sz w:val="13"/>
                <w:szCs w:val="13"/>
                <w:color w:val="auto"/>
              </w:rPr>
            </w:pPr>
          </w:p>
        </w:tc>
        <w:tc>
          <w:tcPr>
            <w:tcW w:w="220" w:type="dxa"/>
            <w:vAlign w:val="bottom"/>
            <w:gridSpan w:val="2"/>
            <w:vMerge w:val="continue"/>
          </w:tcPr>
          <w:p>
            <w:pPr>
              <w:spacing w:after="0"/>
              <w:rPr>
                <w:sz w:val="13"/>
                <w:szCs w:val="13"/>
                <w:color w:val="auto"/>
              </w:rPr>
            </w:pPr>
          </w:p>
        </w:tc>
        <w:tc>
          <w:tcPr>
            <w:tcW w:w="740" w:type="dxa"/>
            <w:vAlign w:val="bottom"/>
            <w:vMerge w:val="continue"/>
          </w:tcPr>
          <w:p>
            <w:pPr>
              <w:spacing w:after="0"/>
              <w:rPr>
                <w:sz w:val="13"/>
                <w:szCs w:val="13"/>
                <w:color w:val="auto"/>
              </w:rPr>
            </w:pPr>
          </w:p>
        </w:tc>
        <w:tc>
          <w:tcPr>
            <w:tcW w:w="220" w:type="dxa"/>
            <w:vAlign w:val="bottom"/>
            <w:gridSpan w:val="2"/>
            <w:vMerge w:val="continue"/>
          </w:tcPr>
          <w:p>
            <w:pPr>
              <w:spacing w:after="0"/>
              <w:rPr>
                <w:sz w:val="13"/>
                <w:szCs w:val="13"/>
                <w:color w:val="auto"/>
              </w:rPr>
            </w:pPr>
          </w:p>
        </w:tc>
        <w:tc>
          <w:tcPr>
            <w:tcW w:w="840" w:type="dxa"/>
            <w:vAlign w:val="bottom"/>
            <w:gridSpan w:val="2"/>
            <w:vMerge w:val="continue"/>
          </w:tcPr>
          <w:p>
            <w:pPr>
              <w:spacing w:after="0"/>
              <w:rPr>
                <w:sz w:val="13"/>
                <w:szCs w:val="13"/>
                <w:color w:val="auto"/>
              </w:rPr>
            </w:pPr>
          </w:p>
        </w:tc>
        <w:tc>
          <w:tcPr>
            <w:tcW w:w="620" w:type="dxa"/>
            <w:vAlign w:val="bottom"/>
            <w:gridSpan w:val="2"/>
            <w:vMerge w:val="continue"/>
          </w:tcPr>
          <w:p>
            <w:pPr>
              <w:spacing w:after="0"/>
              <w:rPr>
                <w:sz w:val="13"/>
                <w:szCs w:val="13"/>
                <w:color w:val="auto"/>
              </w:rPr>
            </w:pPr>
          </w:p>
        </w:tc>
        <w:tc>
          <w:tcPr>
            <w:tcW w:w="140" w:type="dxa"/>
            <w:vAlign w:val="bottom"/>
            <w:vMerge w:val="continue"/>
          </w:tcPr>
          <w:p>
            <w:pPr>
              <w:spacing w:after="0"/>
              <w:rPr>
                <w:sz w:val="13"/>
                <w:szCs w:val="13"/>
                <w:color w:val="auto"/>
              </w:rPr>
            </w:pPr>
          </w:p>
        </w:tc>
        <w:tc>
          <w:tcPr>
            <w:tcW w:w="260" w:type="dxa"/>
            <w:vAlign w:val="bottom"/>
            <w:gridSpan w:val="2"/>
            <w:vMerge w:val="continue"/>
          </w:tcPr>
          <w:p>
            <w:pPr>
              <w:spacing w:after="0"/>
              <w:rPr>
                <w:sz w:val="13"/>
                <w:szCs w:val="13"/>
                <w:color w:val="auto"/>
              </w:rPr>
            </w:pPr>
          </w:p>
        </w:tc>
        <w:tc>
          <w:tcPr>
            <w:tcW w:w="580" w:type="dxa"/>
            <w:vAlign w:val="bottom"/>
            <w:vMerge w:val="continue"/>
          </w:tcPr>
          <w:p>
            <w:pPr>
              <w:spacing w:after="0"/>
              <w:rPr>
                <w:sz w:val="13"/>
                <w:szCs w:val="13"/>
                <w:color w:val="auto"/>
              </w:rPr>
            </w:pPr>
          </w:p>
        </w:tc>
        <w:tc>
          <w:tcPr>
            <w:tcW w:w="240" w:type="dxa"/>
            <w:vAlign w:val="bottom"/>
            <w:gridSpan w:val="2"/>
            <w:vMerge w:val="continue"/>
          </w:tcPr>
          <w:p>
            <w:pPr>
              <w:spacing w:after="0"/>
              <w:rPr>
                <w:sz w:val="13"/>
                <w:szCs w:val="13"/>
                <w:color w:val="auto"/>
              </w:rPr>
            </w:pPr>
          </w:p>
        </w:tc>
        <w:tc>
          <w:tcPr>
            <w:tcW w:w="88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77"/>
        </w:trPr>
        <w:tc>
          <w:tcPr>
            <w:tcW w:w="2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480" w:type="dxa"/>
            <w:vAlign w:val="bottom"/>
            <w:tcBorders>
              <w:bottom w:val="single" w:sz="8" w:color="auto"/>
            </w:tcBorders>
            <w:gridSpan w:val="8"/>
          </w:tcPr>
          <w:p>
            <w:pPr>
              <w:ind w:left="60"/>
              <w:spacing w:after="0"/>
              <w:rPr>
                <w:sz w:val="20"/>
                <w:szCs w:val="20"/>
                <w:color w:val="auto"/>
              </w:rPr>
            </w:pPr>
            <w:r>
              <w:rPr>
                <w:rFonts w:ascii="Arial" w:cs="Arial" w:eastAsia="Arial" w:hAnsi="Arial"/>
                <w:sz w:val="14"/>
                <w:szCs w:val="14"/>
                <w:b w:val="1"/>
                <w:bCs w:val="1"/>
                <w:color w:val="auto"/>
                <w:w w:val="94"/>
              </w:rPr>
              <w:t>For the year ended December 31, 2012</w:t>
            </w:r>
          </w:p>
        </w:tc>
        <w:tc>
          <w:tcPr>
            <w:tcW w:w="1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19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920" w:type="dxa"/>
            <w:vAlign w:val="bottom"/>
            <w:gridSpan w:val="6"/>
          </w:tcPr>
          <w:p>
            <w:pPr>
              <w:jc w:val="center"/>
              <w:ind w:left="72"/>
              <w:spacing w:after="0"/>
              <w:rPr>
                <w:sz w:val="20"/>
                <w:szCs w:val="20"/>
                <w:color w:val="auto"/>
              </w:rPr>
            </w:pPr>
            <w:r>
              <w:rPr>
                <w:rFonts w:ascii="Arial" w:cs="Arial" w:eastAsia="Arial" w:hAnsi="Arial"/>
                <w:sz w:val="14"/>
                <w:szCs w:val="14"/>
                <w:b w:val="1"/>
                <w:bCs w:val="1"/>
                <w:color w:val="auto"/>
                <w:w w:val="84"/>
              </w:rPr>
              <w:t>Actual return gains (losses) on</w:t>
            </w:r>
          </w:p>
        </w:tc>
        <w:tc>
          <w:tcPr>
            <w:tcW w:w="1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700" w:type="dxa"/>
            <w:vAlign w:val="bottom"/>
            <w:tcBorders>
              <w:bottom w:val="single" w:sz="8" w:color="auto"/>
            </w:tcBorders>
            <w:gridSpan w:val="4"/>
          </w:tcPr>
          <w:p>
            <w:pPr>
              <w:jc w:val="center"/>
              <w:ind w:right="12"/>
              <w:spacing w:after="0"/>
              <w:rPr>
                <w:sz w:val="20"/>
                <w:szCs w:val="20"/>
                <w:color w:val="auto"/>
              </w:rPr>
            </w:pPr>
            <w:r>
              <w:rPr>
                <w:rFonts w:ascii="Arial" w:cs="Arial" w:eastAsia="Arial" w:hAnsi="Arial"/>
                <w:sz w:val="14"/>
                <w:szCs w:val="14"/>
                <w:b w:val="1"/>
                <w:bCs w:val="1"/>
                <w:color w:val="auto"/>
                <w:w w:val="81"/>
              </w:rPr>
              <w:t>plan assets</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8"/>
              </w:rPr>
              <w:t>Ending</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9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20" w:type="dxa"/>
            <w:vAlign w:val="bottom"/>
          </w:tcPr>
          <w:p>
            <w:pPr>
              <w:jc w:val="center"/>
              <w:ind w:right="32"/>
              <w:spacing w:after="0" w:line="129" w:lineRule="exact"/>
              <w:rPr>
                <w:sz w:val="20"/>
                <w:szCs w:val="20"/>
                <w:color w:val="auto"/>
              </w:rPr>
            </w:pPr>
            <w:r>
              <w:rPr>
                <w:rFonts w:ascii="Arial" w:cs="Arial" w:eastAsia="Arial" w:hAnsi="Arial"/>
                <w:sz w:val="14"/>
                <w:szCs w:val="14"/>
                <w:b w:val="1"/>
                <w:bCs w:val="1"/>
                <w:color w:val="auto"/>
                <w:w w:val="87"/>
              </w:rPr>
              <w:t>Beginning</w:t>
            </w: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jc w:val="center"/>
              <w:ind w:right="32"/>
              <w:spacing w:after="0" w:line="129" w:lineRule="exact"/>
              <w:rPr>
                <w:sz w:val="20"/>
                <w:szCs w:val="20"/>
                <w:color w:val="auto"/>
              </w:rPr>
            </w:pPr>
            <w:r>
              <w:rPr>
                <w:rFonts w:ascii="Arial" w:cs="Arial" w:eastAsia="Arial" w:hAnsi="Arial"/>
                <w:sz w:val="14"/>
                <w:szCs w:val="14"/>
                <w:b w:val="1"/>
                <w:bCs w:val="1"/>
                <w:color w:val="auto"/>
                <w:w w:val="88"/>
              </w:rPr>
              <w:t>Relating to</w:t>
            </w: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2"/>
          </w:tcPr>
          <w:p>
            <w:pPr>
              <w:jc w:val="center"/>
              <w:ind w:right="180"/>
              <w:spacing w:after="0" w:line="129" w:lineRule="exact"/>
              <w:rPr>
                <w:sz w:val="20"/>
                <w:szCs w:val="20"/>
                <w:color w:val="auto"/>
              </w:rPr>
            </w:pPr>
            <w:r>
              <w:rPr>
                <w:rFonts w:ascii="Arial" w:cs="Arial" w:eastAsia="Arial" w:hAnsi="Arial"/>
                <w:sz w:val="14"/>
                <w:szCs w:val="14"/>
                <w:b w:val="1"/>
                <w:bCs w:val="1"/>
                <w:color w:val="auto"/>
                <w:w w:val="97"/>
              </w:rPr>
              <w:t>Net</w:t>
            </w: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40" w:type="dxa"/>
            <w:vAlign w:val="bottom"/>
            <w:gridSpan w:val="2"/>
          </w:tcPr>
          <w:p>
            <w:pPr>
              <w:jc w:val="center"/>
              <w:ind w:right="260"/>
              <w:spacing w:after="0" w:line="129" w:lineRule="exact"/>
              <w:rPr>
                <w:sz w:val="20"/>
                <w:szCs w:val="20"/>
                <w:color w:val="auto"/>
              </w:rPr>
            </w:pPr>
            <w:r>
              <w:rPr>
                <w:rFonts w:ascii="Arial" w:cs="Arial" w:eastAsia="Arial" w:hAnsi="Arial"/>
                <w:sz w:val="14"/>
                <w:szCs w:val="14"/>
                <w:b w:val="1"/>
                <w:bCs w:val="1"/>
                <w:color w:val="auto"/>
                <w:w w:val="77"/>
              </w:rPr>
              <w:t>assets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73"/>
              </w:rPr>
              <w:t>assets</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0"/>
              </w:rPr>
              <w:t>assets still</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8"/>
              </w:rPr>
              <w:t>Relating to</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3"/>
              </w:rPr>
              <w:t>purchases,</w:t>
            </w: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4"/>
              </w:rPr>
              <w:t>balance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3"/>
              </w:rPr>
              <w:t>balance as</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5"/>
              </w:rPr>
              <w:t>held at the</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78"/>
              </w:rPr>
              <w:t>assets sold</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76"/>
              </w:rPr>
              <w:t>sales,</w:t>
            </w:r>
          </w:p>
        </w:tc>
        <w:tc>
          <w:tcPr>
            <w:tcW w:w="60" w:type="dxa"/>
            <w:vAlign w:val="bottom"/>
          </w:tcPr>
          <w:p>
            <w:pPr>
              <w:spacing w:after="0"/>
              <w:rPr>
                <w:sz w:val="12"/>
                <w:szCs w:val="12"/>
                <w:color w:val="auto"/>
              </w:rPr>
            </w:pPr>
          </w:p>
        </w:tc>
        <w:tc>
          <w:tcPr>
            <w:tcW w:w="7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7"/>
              </w:rPr>
              <w:t>Transfers</w:t>
            </w:r>
          </w:p>
        </w:tc>
        <w:tc>
          <w:tcPr>
            <w:tcW w:w="160" w:type="dxa"/>
            <w:vAlign w:val="bottom"/>
          </w:tcPr>
          <w:p>
            <w:pPr>
              <w:spacing w:after="0"/>
              <w:rPr>
                <w:sz w:val="12"/>
                <w:szCs w:val="12"/>
                <w:color w:val="auto"/>
              </w:rPr>
            </w:pPr>
          </w:p>
        </w:tc>
        <w:tc>
          <w:tcPr>
            <w:tcW w:w="6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4"/>
              </w:rPr>
              <w:t>Transfers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79"/>
              </w:rPr>
              <w:t>as of</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5"/>
              </w:rPr>
              <w:t>of December 31,</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7"/>
              </w:rPr>
              <w:t>reporting</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7"/>
              </w:rPr>
              <w:t>during the</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and</w:t>
            </w:r>
          </w:p>
        </w:tc>
        <w:tc>
          <w:tcPr>
            <w:tcW w:w="60" w:type="dxa"/>
            <w:vAlign w:val="bottom"/>
          </w:tcPr>
          <w:p>
            <w:pPr>
              <w:spacing w:after="0"/>
              <w:rPr>
                <w:sz w:val="12"/>
                <w:szCs w:val="12"/>
                <w:color w:val="auto"/>
              </w:rPr>
            </w:pPr>
          </w:p>
        </w:tc>
        <w:tc>
          <w:tcPr>
            <w:tcW w:w="560" w:type="dxa"/>
            <w:vAlign w:val="bottom"/>
          </w:tcPr>
          <w:p>
            <w:pPr>
              <w:jc w:val="center"/>
              <w:ind w:left="52"/>
              <w:spacing w:after="0" w:line="149" w:lineRule="exact"/>
              <w:rPr>
                <w:sz w:val="20"/>
                <w:szCs w:val="20"/>
                <w:color w:val="auto"/>
              </w:rPr>
            </w:pPr>
            <w:r>
              <w:rPr>
                <w:rFonts w:ascii="Arial" w:cs="Arial" w:eastAsia="Arial" w:hAnsi="Arial"/>
                <w:sz w:val="14"/>
                <w:szCs w:val="14"/>
                <w:b w:val="1"/>
                <w:bCs w:val="1"/>
                <w:color w:val="auto"/>
                <w:w w:val="93"/>
              </w:rPr>
              <w:t>into</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center"/>
              <w:ind w:right="52"/>
              <w:spacing w:after="0" w:line="149" w:lineRule="exact"/>
              <w:rPr>
                <w:sz w:val="20"/>
                <w:szCs w:val="20"/>
                <w:color w:val="auto"/>
              </w:rPr>
            </w:pPr>
            <w:r>
              <w:rPr>
                <w:rFonts w:ascii="Arial" w:cs="Arial" w:eastAsia="Arial" w:hAnsi="Arial"/>
                <w:sz w:val="14"/>
                <w:szCs w:val="14"/>
                <w:b w:val="1"/>
                <w:bCs w:val="1"/>
                <w:color w:val="auto"/>
                <w:w w:val="87"/>
              </w:rPr>
              <w:t>out of</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20" w:type="dxa"/>
            <w:vAlign w:val="bottom"/>
          </w:tcPr>
          <w:p>
            <w:pPr>
              <w:jc w:val="center"/>
              <w:ind w:right="32"/>
              <w:spacing w:after="0"/>
              <w:rPr>
                <w:sz w:val="20"/>
                <w:szCs w:val="20"/>
                <w:color w:val="auto"/>
              </w:rPr>
            </w:pPr>
            <w:r>
              <w:rPr>
                <w:rFonts w:ascii="Arial" w:cs="Arial" w:eastAsia="Arial" w:hAnsi="Arial"/>
                <w:sz w:val="14"/>
                <w:szCs w:val="14"/>
                <w:b w:val="1"/>
                <w:bCs w:val="1"/>
                <w:color w:val="auto"/>
                <w:w w:val="89"/>
              </w:rPr>
              <w:t>2011</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jc w:val="center"/>
              <w:ind w:right="32"/>
              <w:spacing w:after="0"/>
              <w:rPr>
                <w:sz w:val="20"/>
                <w:szCs w:val="20"/>
                <w:color w:val="auto"/>
              </w:rPr>
            </w:pPr>
            <w:r>
              <w:rPr>
                <w:rFonts w:ascii="Arial" w:cs="Arial" w:eastAsia="Arial" w:hAnsi="Arial"/>
                <w:sz w:val="14"/>
                <w:szCs w:val="14"/>
                <w:b w:val="1"/>
                <w:bCs w:val="1"/>
                <w:color w:val="auto"/>
                <w:w w:val="83"/>
              </w:rPr>
              <w:t>date</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jc w:val="center"/>
              <w:ind w:right="12"/>
              <w:spacing w:after="0"/>
              <w:rPr>
                <w:sz w:val="20"/>
                <w:szCs w:val="20"/>
                <w:color w:val="auto"/>
              </w:rPr>
            </w:pPr>
            <w:r>
              <w:rPr>
                <w:rFonts w:ascii="Arial" w:cs="Arial" w:eastAsia="Arial" w:hAnsi="Arial"/>
                <w:sz w:val="14"/>
                <w:szCs w:val="14"/>
                <w:b w:val="1"/>
                <w:bCs w:val="1"/>
                <w:color w:val="auto"/>
                <w:w w:val="88"/>
              </w:rPr>
              <w:t>period</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4"/>
              </w:rPr>
              <w:t>settlements</w:t>
            </w:r>
          </w:p>
        </w:tc>
        <w:tc>
          <w:tcPr>
            <w:tcW w:w="60" w:type="dxa"/>
            <w:vAlign w:val="bottom"/>
          </w:tcPr>
          <w:p>
            <w:pPr>
              <w:spacing w:after="0"/>
              <w:rPr>
                <w:sz w:val="14"/>
                <w:szCs w:val="14"/>
                <w:color w:val="auto"/>
              </w:rPr>
            </w:pPr>
          </w:p>
        </w:tc>
        <w:tc>
          <w:tcPr>
            <w:tcW w:w="560" w:type="dxa"/>
            <w:vAlign w:val="bottom"/>
          </w:tcPr>
          <w:p>
            <w:pPr>
              <w:jc w:val="center"/>
              <w:ind w:left="72"/>
              <w:spacing w:after="0"/>
              <w:rPr>
                <w:sz w:val="20"/>
                <w:szCs w:val="20"/>
                <w:color w:val="auto"/>
              </w:rPr>
            </w:pPr>
            <w:r>
              <w:rPr>
                <w:rFonts w:ascii="Arial" w:cs="Arial" w:eastAsia="Arial" w:hAnsi="Arial"/>
                <w:sz w:val="14"/>
                <w:szCs w:val="14"/>
                <w:b w:val="1"/>
                <w:bCs w:val="1"/>
                <w:color w:val="auto"/>
                <w:w w:val="88"/>
              </w:rPr>
              <w:t>Level 3</w:t>
            </w: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jc w:val="center"/>
              <w:ind w:right="52"/>
              <w:spacing w:after="0"/>
              <w:rPr>
                <w:sz w:val="20"/>
                <w:szCs w:val="20"/>
                <w:color w:val="auto"/>
              </w:rPr>
            </w:pPr>
            <w:r>
              <w:rPr>
                <w:rFonts w:ascii="Arial" w:cs="Arial" w:eastAsia="Arial" w:hAnsi="Arial"/>
                <w:sz w:val="14"/>
                <w:szCs w:val="14"/>
                <w:b w:val="1"/>
                <w:bCs w:val="1"/>
                <w:color w:val="auto"/>
                <w:w w:val="88"/>
              </w:rPr>
              <w:t>Level 3</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tcPr>
          <w:p>
            <w:pPr>
              <w:jc w:val="center"/>
              <w:ind w:right="32"/>
              <w:spacing w:after="0"/>
              <w:rPr>
                <w:sz w:val="20"/>
                <w:szCs w:val="20"/>
                <w:color w:val="auto"/>
              </w:rPr>
            </w:pPr>
            <w:r>
              <w:rPr>
                <w:rFonts w:ascii="Arial" w:cs="Arial" w:eastAsia="Arial" w:hAnsi="Arial"/>
                <w:sz w:val="14"/>
                <w:szCs w:val="14"/>
                <w:b w:val="1"/>
                <w:bCs w:val="1"/>
                <w:color w:val="auto"/>
                <w:w w:val="83"/>
              </w:rPr>
              <w:t>2012</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9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160" w:type="dxa"/>
            <w:vAlign w:val="bottom"/>
          </w:tcPr>
          <w:p>
            <w:pPr>
              <w:ind w:left="20"/>
              <w:spacing w:after="0"/>
              <w:rPr>
                <w:sz w:val="20"/>
                <w:szCs w:val="20"/>
                <w:color w:val="auto"/>
              </w:rPr>
            </w:pPr>
            <w:r>
              <w:rPr>
                <w:rFonts w:ascii="Arial" w:cs="Arial" w:eastAsia="Arial" w:hAnsi="Arial"/>
                <w:sz w:val="12"/>
                <w:szCs w:val="12"/>
                <w:b w:val="1"/>
                <w:bCs w:val="1"/>
                <w:i w:val="1"/>
                <w:iCs w:val="1"/>
                <w:color w:val="auto"/>
                <w:w w:val="81"/>
              </w:rPr>
              <w:t>(in</w:t>
            </w:r>
          </w:p>
        </w:tc>
        <w:tc>
          <w:tcPr>
            <w:tcW w:w="800" w:type="dxa"/>
            <w:vAlign w:val="bottom"/>
            <w:tcBorders>
              <w:top w:val="single" w:sz="8" w:color="auto"/>
            </w:tcBorders>
            <w:gridSpan w:val="2"/>
          </w:tcPr>
          <w:p>
            <w:pPr>
              <w:ind w:left="60"/>
              <w:spacing w:after="0" w:line="142" w:lineRule="exact"/>
              <w:rPr>
                <w:sz w:val="20"/>
                <w:szCs w:val="20"/>
                <w:color w:val="auto"/>
              </w:rPr>
            </w:pPr>
            <w:r>
              <w:rPr>
                <w:rFonts w:ascii="Arial" w:cs="Arial" w:eastAsia="Arial" w:hAnsi="Arial"/>
                <w:sz w:val="14"/>
                <w:szCs w:val="14"/>
                <w:b w:val="1"/>
                <w:bCs w:val="1"/>
                <w:i w:val="1"/>
                <w:iCs w:val="1"/>
                <w:color w:val="auto"/>
              </w:rPr>
              <w:t>millions)</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4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 category</w:t>
            </w:r>
          </w:p>
        </w:tc>
        <w:tc>
          <w:tcPr>
            <w:tcW w:w="3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940" w:type="dxa"/>
            <w:vAlign w:val="bottom"/>
          </w:tcPr>
          <w:p>
            <w:pPr>
              <w:spacing w:after="0" w:line="138" w:lineRule="exact"/>
              <w:rPr>
                <w:sz w:val="20"/>
                <w:szCs w:val="20"/>
                <w:color w:val="auto"/>
              </w:rPr>
            </w:pPr>
            <w:r>
              <w:rPr>
                <w:rFonts w:ascii="Arial" w:cs="Arial" w:eastAsia="Arial" w:hAnsi="Arial"/>
                <w:sz w:val="14"/>
                <w:szCs w:val="14"/>
                <w:color w:val="auto"/>
              </w:rPr>
              <w:t>Principal Life general account</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940" w:type="dxa"/>
            <w:vAlign w:val="bottom"/>
          </w:tcPr>
          <w:p>
            <w:pPr>
              <w:ind w:left="140"/>
              <w:spacing w:after="0" w:line="159" w:lineRule="exact"/>
              <w:rPr>
                <w:sz w:val="20"/>
                <w:szCs w:val="20"/>
                <w:color w:val="auto"/>
              </w:rPr>
            </w:pPr>
            <w:r>
              <w:rPr>
                <w:rFonts w:ascii="Arial" w:cs="Arial" w:eastAsia="Arial" w:hAnsi="Arial"/>
                <w:sz w:val="14"/>
                <w:szCs w:val="14"/>
                <w:color w:val="auto"/>
              </w:rPr>
              <w:t>investment</w:t>
            </w:r>
          </w:p>
        </w:tc>
        <w:tc>
          <w:tcPr>
            <w:tcW w:w="42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1020" w:type="dxa"/>
            <w:vAlign w:val="bottom"/>
          </w:tcPr>
          <w:p>
            <w:pPr>
              <w:jc w:val="right"/>
              <w:spacing w:after="0" w:line="159" w:lineRule="exact"/>
              <w:rPr>
                <w:sz w:val="20"/>
                <w:szCs w:val="20"/>
                <w:color w:val="auto"/>
              </w:rPr>
            </w:pPr>
            <w:r>
              <w:rPr>
                <w:rFonts w:ascii="Arial" w:cs="Arial" w:eastAsia="Arial" w:hAnsi="Arial"/>
                <w:sz w:val="14"/>
                <w:szCs w:val="14"/>
                <w:color w:val="auto"/>
              </w:rPr>
              <w:t>42.5</w:t>
            </w:r>
          </w:p>
        </w:tc>
        <w:tc>
          <w:tcPr>
            <w:tcW w:w="22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740" w:type="dxa"/>
            <w:vAlign w:val="bottom"/>
          </w:tcPr>
          <w:p>
            <w:pPr>
              <w:jc w:val="right"/>
              <w:spacing w:after="0" w:line="159" w:lineRule="exact"/>
              <w:rPr>
                <w:sz w:val="20"/>
                <w:szCs w:val="20"/>
                <w:color w:val="auto"/>
              </w:rPr>
            </w:pPr>
            <w:r>
              <w:rPr>
                <w:rFonts w:ascii="Arial" w:cs="Arial" w:eastAsia="Arial" w:hAnsi="Arial"/>
                <w:sz w:val="14"/>
                <w:szCs w:val="14"/>
                <w:color w:val="auto"/>
              </w:rPr>
              <w:t>3.1</w:t>
            </w:r>
          </w:p>
        </w:tc>
        <w:tc>
          <w:tcPr>
            <w:tcW w:w="22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740" w:type="dxa"/>
            <w:vAlign w:val="bottom"/>
          </w:tcPr>
          <w:p>
            <w:pPr>
              <w:ind w:left="580"/>
              <w:spacing w:after="0" w:line="159" w:lineRule="exact"/>
              <w:rPr>
                <w:sz w:val="20"/>
                <w:szCs w:val="20"/>
                <w:color w:val="auto"/>
              </w:rPr>
            </w:pPr>
            <w:r>
              <w:rPr>
                <w:rFonts w:ascii="Arial" w:cs="Arial" w:eastAsia="Arial" w:hAnsi="Arial"/>
                <w:sz w:val="14"/>
                <w:szCs w:val="14"/>
                <w:color w:val="auto"/>
                <w:w w:val="99"/>
              </w:rPr>
              <w:t>—</w:t>
            </w:r>
          </w:p>
        </w:tc>
        <w:tc>
          <w:tcPr>
            <w:tcW w:w="22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(3.5)</w:t>
            </w:r>
          </w:p>
        </w:tc>
        <w:tc>
          <w:tcPr>
            <w:tcW w:w="620" w:type="dxa"/>
            <w:vAlign w:val="bottom"/>
            <w:gridSpan w:val="2"/>
          </w:tcPr>
          <w:p>
            <w:pPr>
              <w:jc w:val="right"/>
              <w:ind w:right="412"/>
              <w:spacing w:after="0" w:line="159" w:lineRule="exact"/>
              <w:rPr>
                <w:sz w:val="20"/>
                <w:szCs w:val="20"/>
                <w:color w:val="auto"/>
              </w:rPr>
            </w:pPr>
            <w:r>
              <w:rPr>
                <w:rFonts w:ascii="Arial" w:cs="Arial" w:eastAsia="Arial" w:hAnsi="Arial"/>
                <w:sz w:val="14"/>
                <w:szCs w:val="14"/>
                <w:color w:val="auto"/>
              </w:rPr>
              <w:t>$</w:t>
            </w:r>
          </w:p>
        </w:tc>
        <w:tc>
          <w:tcPr>
            <w:tcW w:w="140" w:type="dxa"/>
            <w:vAlign w:val="bottom"/>
          </w:tcPr>
          <w:p>
            <w:pPr>
              <w:spacing w:after="0" w:line="159" w:lineRule="exact"/>
              <w:rPr>
                <w:sz w:val="20"/>
                <w:szCs w:val="20"/>
                <w:color w:val="auto"/>
              </w:rPr>
            </w:pPr>
            <w:r>
              <w:rPr>
                <w:rFonts w:ascii="Arial" w:cs="Arial" w:eastAsia="Arial" w:hAnsi="Arial"/>
                <w:sz w:val="14"/>
                <w:szCs w:val="14"/>
                <w:color w:val="auto"/>
                <w:w w:val="85"/>
              </w:rPr>
              <w:t>—</w:t>
            </w:r>
          </w:p>
        </w:tc>
        <w:tc>
          <w:tcPr>
            <w:tcW w:w="26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580" w:type="dxa"/>
            <w:vAlign w:val="bottom"/>
          </w:tcPr>
          <w:p>
            <w:pPr>
              <w:ind w:left="440"/>
              <w:spacing w:after="0" w:line="159" w:lineRule="exact"/>
              <w:rPr>
                <w:sz w:val="20"/>
                <w:szCs w:val="20"/>
                <w:color w:val="auto"/>
              </w:rPr>
            </w:pPr>
            <w:r>
              <w:rPr>
                <w:rFonts w:ascii="Arial" w:cs="Arial" w:eastAsia="Arial" w:hAnsi="Arial"/>
                <w:sz w:val="14"/>
                <w:szCs w:val="14"/>
                <w:color w:val="auto"/>
                <w:w w:val="85"/>
              </w:rPr>
              <w:t>—</w:t>
            </w:r>
          </w:p>
        </w:tc>
        <w:tc>
          <w:tcPr>
            <w:tcW w:w="24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880" w:type="dxa"/>
            <w:vAlign w:val="bottom"/>
          </w:tcPr>
          <w:p>
            <w:pPr>
              <w:jc w:val="right"/>
              <w:spacing w:after="0" w:line="159" w:lineRule="exact"/>
              <w:rPr>
                <w:sz w:val="20"/>
                <w:szCs w:val="20"/>
                <w:color w:val="auto"/>
              </w:rPr>
            </w:pPr>
            <w:r>
              <w:rPr>
                <w:rFonts w:ascii="Arial" w:cs="Arial" w:eastAsia="Arial" w:hAnsi="Arial"/>
                <w:sz w:val="14"/>
                <w:szCs w:val="14"/>
                <w:color w:val="auto"/>
              </w:rPr>
              <w:t>42.1</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55" w:name="page156"/>
    <w:bookmarkEnd w:id="15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Employee and Agent Benefits — (continued)</w:t>
      </w: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480" w:type="dxa"/>
            <w:vAlign w:val="bottom"/>
            <w:tcBorders>
              <w:bottom w:val="single" w:sz="8" w:color="auto"/>
            </w:tcBorders>
            <w:gridSpan w:val="7"/>
          </w:tcPr>
          <w:p>
            <w:pPr>
              <w:jc w:val="right"/>
              <w:ind w:right="132"/>
              <w:spacing w:after="0"/>
              <w:rPr>
                <w:sz w:val="20"/>
                <w:szCs w:val="20"/>
                <w:color w:val="auto"/>
              </w:rPr>
            </w:pPr>
            <w:r>
              <w:rPr>
                <w:rFonts w:ascii="Arial" w:cs="Arial" w:eastAsia="Arial" w:hAnsi="Arial"/>
                <w:sz w:val="14"/>
                <w:szCs w:val="14"/>
                <w:b w:val="1"/>
                <w:bCs w:val="1"/>
                <w:color w:val="auto"/>
                <w:w w:val="88"/>
              </w:rPr>
              <w:t>For the year ended December 31, 2011</w:t>
            </w:r>
          </w:p>
        </w:tc>
        <w:tc>
          <w:tcPr>
            <w:tcW w:w="1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22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700" w:type="dxa"/>
            <w:vAlign w:val="bottom"/>
            <w:gridSpan w:val="4"/>
          </w:tcPr>
          <w:p>
            <w:pPr>
              <w:jc w:val="center"/>
              <w:ind w:right="32"/>
              <w:spacing w:after="0"/>
              <w:rPr>
                <w:sz w:val="20"/>
                <w:szCs w:val="20"/>
                <w:color w:val="auto"/>
              </w:rPr>
            </w:pPr>
            <w:r>
              <w:rPr>
                <w:rFonts w:ascii="Arial" w:cs="Arial" w:eastAsia="Arial" w:hAnsi="Arial"/>
                <w:sz w:val="14"/>
                <w:szCs w:val="14"/>
                <w:b w:val="1"/>
                <w:bCs w:val="1"/>
                <w:color w:val="auto"/>
                <w:w w:val="87"/>
              </w:rPr>
              <w:t>Actual return gains</w:t>
            </w:r>
          </w:p>
        </w:tc>
        <w:tc>
          <w:tcPr>
            <w:tcW w:w="1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700" w:type="dxa"/>
            <w:vAlign w:val="bottom"/>
            <w:tcBorders>
              <w:bottom w:val="single" w:sz="8" w:color="auto"/>
            </w:tcBorders>
            <w:gridSpan w:val="4"/>
          </w:tcPr>
          <w:p>
            <w:pPr>
              <w:jc w:val="center"/>
              <w:ind w:right="32"/>
              <w:spacing w:after="0"/>
              <w:rPr>
                <w:sz w:val="20"/>
                <w:szCs w:val="20"/>
                <w:color w:val="auto"/>
              </w:rPr>
            </w:pPr>
            <w:r>
              <w:rPr>
                <w:rFonts w:ascii="Arial" w:cs="Arial" w:eastAsia="Arial" w:hAnsi="Arial"/>
                <w:sz w:val="14"/>
                <w:szCs w:val="14"/>
                <w:b w:val="1"/>
                <w:bCs w:val="1"/>
                <w:color w:val="auto"/>
                <w:w w:val="80"/>
              </w:rPr>
              <w:t>(losses) on plan assets</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8"/>
              </w:rPr>
              <w:t>Ending</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80" w:type="dxa"/>
            <w:vAlign w:val="bottom"/>
            <w:gridSpan w:val="2"/>
          </w:tcPr>
          <w:p>
            <w:pPr>
              <w:jc w:val="center"/>
              <w:ind w:right="260"/>
              <w:spacing w:after="0" w:line="129" w:lineRule="exact"/>
              <w:rPr>
                <w:sz w:val="20"/>
                <w:szCs w:val="20"/>
                <w:color w:val="auto"/>
              </w:rPr>
            </w:pPr>
            <w:r>
              <w:rPr>
                <w:rFonts w:ascii="Arial" w:cs="Arial" w:eastAsia="Arial" w:hAnsi="Arial"/>
                <w:sz w:val="14"/>
                <w:szCs w:val="14"/>
                <w:b w:val="1"/>
                <w:bCs w:val="1"/>
                <w:color w:val="auto"/>
                <w:w w:val="87"/>
              </w:rPr>
              <w:t>Beginning</w:t>
            </w:r>
          </w:p>
        </w:tc>
        <w:tc>
          <w:tcPr>
            <w:tcW w:w="60" w:type="dxa"/>
            <w:vAlign w:val="bottom"/>
          </w:tcPr>
          <w:p>
            <w:pPr>
              <w:spacing w:after="0"/>
              <w:rPr>
                <w:sz w:val="11"/>
                <w:szCs w:val="11"/>
                <w:color w:val="auto"/>
              </w:rPr>
            </w:pPr>
          </w:p>
        </w:tc>
        <w:tc>
          <w:tcPr>
            <w:tcW w:w="740" w:type="dxa"/>
            <w:vAlign w:val="bottom"/>
          </w:tcPr>
          <w:p>
            <w:pPr>
              <w:jc w:val="center"/>
              <w:ind w:right="32"/>
              <w:spacing w:after="0" w:line="129" w:lineRule="exact"/>
              <w:rPr>
                <w:sz w:val="20"/>
                <w:szCs w:val="20"/>
                <w:color w:val="auto"/>
              </w:rPr>
            </w:pPr>
            <w:r>
              <w:rPr>
                <w:rFonts w:ascii="Arial" w:cs="Arial" w:eastAsia="Arial" w:hAnsi="Arial"/>
                <w:sz w:val="14"/>
                <w:szCs w:val="14"/>
                <w:b w:val="1"/>
                <w:bCs w:val="1"/>
                <w:color w:val="auto"/>
                <w:w w:val="88"/>
              </w:rPr>
              <w:t>Relating to</w:t>
            </w: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40" w:type="dxa"/>
            <w:vAlign w:val="bottom"/>
            <w:gridSpan w:val="2"/>
          </w:tcPr>
          <w:p>
            <w:pPr>
              <w:jc w:val="center"/>
              <w:ind w:right="260"/>
              <w:spacing w:after="0" w:line="129" w:lineRule="exact"/>
              <w:rPr>
                <w:sz w:val="20"/>
                <w:szCs w:val="20"/>
                <w:color w:val="auto"/>
              </w:rPr>
            </w:pPr>
            <w:r>
              <w:rPr>
                <w:rFonts w:ascii="Arial" w:cs="Arial" w:eastAsia="Arial" w:hAnsi="Arial"/>
                <w:sz w:val="14"/>
                <w:szCs w:val="14"/>
                <w:b w:val="1"/>
                <w:bCs w:val="1"/>
                <w:color w:val="auto"/>
                <w:w w:val="77"/>
              </w:rPr>
              <w:t>assets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73"/>
              </w:rPr>
              <w:t>assets</w:t>
            </w:r>
          </w:p>
        </w:tc>
        <w:tc>
          <w:tcPr>
            <w:tcW w:w="60" w:type="dxa"/>
            <w:vAlign w:val="bottom"/>
          </w:tcPr>
          <w:p>
            <w:pPr>
              <w:spacing w:after="0"/>
              <w:rPr>
                <w:sz w:val="12"/>
                <w:szCs w:val="12"/>
                <w:color w:val="auto"/>
              </w:rPr>
            </w:pPr>
          </w:p>
        </w:tc>
        <w:tc>
          <w:tcPr>
            <w:tcW w:w="74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0"/>
              </w:rPr>
              <w:t>assets still</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8"/>
              </w:rPr>
              <w:t>Relating to</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7"/>
              </w:rPr>
              <w:t>Net</w:t>
            </w:r>
          </w:p>
        </w:tc>
        <w:tc>
          <w:tcPr>
            <w:tcW w:w="5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4"/>
              </w:rPr>
              <w:t>balance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3"/>
              </w:rPr>
              <w:t>balance as</w:t>
            </w:r>
          </w:p>
        </w:tc>
        <w:tc>
          <w:tcPr>
            <w:tcW w:w="60" w:type="dxa"/>
            <w:vAlign w:val="bottom"/>
          </w:tcPr>
          <w:p>
            <w:pPr>
              <w:spacing w:after="0"/>
              <w:rPr>
                <w:sz w:val="12"/>
                <w:szCs w:val="12"/>
                <w:color w:val="auto"/>
              </w:rPr>
            </w:pPr>
          </w:p>
        </w:tc>
        <w:tc>
          <w:tcPr>
            <w:tcW w:w="74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5"/>
              </w:rPr>
              <w:t>held at the</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78"/>
              </w:rPr>
              <w:t>assets sold</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3"/>
              </w:rPr>
              <w:t>purchases,</w:t>
            </w:r>
          </w:p>
        </w:tc>
        <w:tc>
          <w:tcPr>
            <w:tcW w:w="7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7"/>
              </w:rPr>
              <w:t>Transfers</w:t>
            </w:r>
          </w:p>
        </w:tc>
        <w:tc>
          <w:tcPr>
            <w:tcW w:w="160" w:type="dxa"/>
            <w:vAlign w:val="bottom"/>
          </w:tcPr>
          <w:p>
            <w:pPr>
              <w:spacing w:after="0"/>
              <w:rPr>
                <w:sz w:val="12"/>
                <w:szCs w:val="12"/>
                <w:color w:val="auto"/>
              </w:rPr>
            </w:pPr>
          </w:p>
        </w:tc>
        <w:tc>
          <w:tcPr>
            <w:tcW w:w="84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4"/>
              </w:rPr>
              <w:t>Transfers</w:t>
            </w:r>
          </w:p>
        </w:tc>
        <w:tc>
          <w:tcPr>
            <w:tcW w:w="80" w:type="dxa"/>
            <w:vAlign w:val="bottom"/>
          </w:tcPr>
          <w:p>
            <w:pPr>
              <w:spacing w:after="0"/>
              <w:rPr>
                <w:sz w:val="12"/>
                <w:szCs w:val="12"/>
                <w:color w:val="auto"/>
              </w:rPr>
            </w:pPr>
          </w:p>
        </w:tc>
        <w:tc>
          <w:tcPr>
            <w:tcW w:w="10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79"/>
              </w:rPr>
              <w:t>as of</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of December 31,</w:t>
            </w:r>
          </w:p>
        </w:tc>
        <w:tc>
          <w:tcPr>
            <w:tcW w:w="60" w:type="dxa"/>
            <w:vAlign w:val="bottom"/>
          </w:tcPr>
          <w:p>
            <w:pPr>
              <w:spacing w:after="0"/>
              <w:rPr>
                <w:sz w:val="12"/>
                <w:szCs w:val="12"/>
                <w:color w:val="auto"/>
              </w:rPr>
            </w:pPr>
          </w:p>
        </w:tc>
        <w:tc>
          <w:tcPr>
            <w:tcW w:w="74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7"/>
              </w:rPr>
              <w:t>reporting</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7"/>
              </w:rPr>
              <w:t>during the</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79"/>
              </w:rPr>
              <w:t>sales, and</w:t>
            </w:r>
          </w:p>
        </w:tc>
        <w:tc>
          <w:tcPr>
            <w:tcW w:w="560" w:type="dxa"/>
            <w:vAlign w:val="bottom"/>
          </w:tcPr>
          <w:p>
            <w:pPr>
              <w:jc w:val="center"/>
              <w:ind w:left="52"/>
              <w:spacing w:after="0" w:line="149" w:lineRule="exact"/>
              <w:rPr>
                <w:sz w:val="20"/>
                <w:szCs w:val="20"/>
                <w:color w:val="auto"/>
              </w:rPr>
            </w:pPr>
            <w:r>
              <w:rPr>
                <w:rFonts w:ascii="Arial" w:cs="Arial" w:eastAsia="Arial" w:hAnsi="Arial"/>
                <w:sz w:val="14"/>
                <w:szCs w:val="14"/>
                <w:b w:val="1"/>
                <w:bCs w:val="1"/>
                <w:color w:val="auto"/>
                <w:w w:val="93"/>
              </w:rPr>
              <w:t>into</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7"/>
              </w:rPr>
              <w:t>out of</w:t>
            </w:r>
          </w:p>
        </w:tc>
        <w:tc>
          <w:tcPr>
            <w:tcW w:w="80" w:type="dxa"/>
            <w:vAlign w:val="bottom"/>
          </w:tcPr>
          <w:p>
            <w:pPr>
              <w:spacing w:after="0"/>
              <w:rPr>
                <w:sz w:val="12"/>
                <w:szCs w:val="12"/>
                <w:color w:val="auto"/>
              </w:rPr>
            </w:pPr>
          </w:p>
        </w:tc>
        <w:tc>
          <w:tcPr>
            <w:tcW w:w="10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20" w:type="dxa"/>
            <w:vAlign w:val="bottom"/>
          </w:tcPr>
          <w:p>
            <w:pPr>
              <w:jc w:val="center"/>
              <w:ind w:right="32"/>
              <w:spacing w:after="0"/>
              <w:rPr>
                <w:sz w:val="20"/>
                <w:szCs w:val="20"/>
                <w:color w:val="auto"/>
              </w:rPr>
            </w:pPr>
            <w:r>
              <w:rPr>
                <w:rFonts w:ascii="Arial" w:cs="Arial" w:eastAsia="Arial" w:hAnsi="Arial"/>
                <w:sz w:val="14"/>
                <w:szCs w:val="14"/>
                <w:b w:val="1"/>
                <w:bCs w:val="1"/>
                <w:color w:val="auto"/>
                <w:w w:val="89"/>
              </w:rPr>
              <w:t>2010</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jc w:val="center"/>
              <w:ind w:right="32"/>
              <w:spacing w:after="0"/>
              <w:rPr>
                <w:sz w:val="20"/>
                <w:szCs w:val="20"/>
                <w:color w:val="auto"/>
              </w:rPr>
            </w:pPr>
            <w:r>
              <w:rPr>
                <w:rFonts w:ascii="Arial" w:cs="Arial" w:eastAsia="Arial" w:hAnsi="Arial"/>
                <w:sz w:val="14"/>
                <w:szCs w:val="14"/>
                <w:b w:val="1"/>
                <w:bCs w:val="1"/>
                <w:color w:val="auto"/>
                <w:w w:val="83"/>
              </w:rPr>
              <w:t>date</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jc w:val="center"/>
              <w:ind w:right="12"/>
              <w:spacing w:after="0"/>
              <w:rPr>
                <w:sz w:val="20"/>
                <w:szCs w:val="20"/>
                <w:color w:val="auto"/>
              </w:rPr>
            </w:pPr>
            <w:r>
              <w:rPr>
                <w:rFonts w:ascii="Arial" w:cs="Arial" w:eastAsia="Arial" w:hAnsi="Arial"/>
                <w:sz w:val="14"/>
                <w:szCs w:val="14"/>
                <w:b w:val="1"/>
                <w:bCs w:val="1"/>
                <w:color w:val="auto"/>
                <w:w w:val="88"/>
              </w:rPr>
              <w:t>period</w:t>
            </w:r>
          </w:p>
        </w:tc>
        <w:tc>
          <w:tcPr>
            <w:tcW w:w="160" w:type="dxa"/>
            <w:vAlign w:val="bottom"/>
            <w:vMerge w:val="restart"/>
          </w:tcPr>
          <w:p>
            <w:pPr>
              <w:ind w:left="20"/>
              <w:spacing w:after="0"/>
              <w:rPr>
                <w:sz w:val="20"/>
                <w:szCs w:val="20"/>
                <w:color w:val="auto"/>
              </w:rPr>
            </w:pPr>
            <w:r>
              <w:rPr>
                <w:rFonts w:ascii="Arial" w:cs="Arial" w:eastAsia="Arial" w:hAnsi="Arial"/>
                <w:sz w:val="12"/>
                <w:szCs w:val="12"/>
                <w:b w:val="1"/>
                <w:bCs w:val="1"/>
                <w:i w:val="1"/>
                <w:iCs w:val="1"/>
                <w:color w:val="auto"/>
                <w:w w:val="81"/>
              </w:rPr>
              <w:t>(in</w:t>
            </w:r>
          </w:p>
        </w:tc>
        <w:tc>
          <w:tcPr>
            <w:tcW w:w="60" w:type="dxa"/>
            <w:vAlign w:val="bottom"/>
          </w:tcPr>
          <w:p>
            <w:pPr>
              <w:spacing w:after="0"/>
              <w:rPr>
                <w:sz w:val="14"/>
                <w:szCs w:val="14"/>
                <w:color w:val="auto"/>
              </w:rPr>
            </w:pPr>
          </w:p>
        </w:tc>
        <w:tc>
          <w:tcPr>
            <w:tcW w:w="9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4"/>
              </w:rPr>
              <w:t>settlements</w:t>
            </w:r>
          </w:p>
        </w:tc>
        <w:tc>
          <w:tcPr>
            <w:tcW w:w="560" w:type="dxa"/>
            <w:vAlign w:val="bottom"/>
          </w:tcPr>
          <w:p>
            <w:pPr>
              <w:jc w:val="center"/>
              <w:ind w:left="72"/>
              <w:spacing w:after="0"/>
              <w:rPr>
                <w:sz w:val="20"/>
                <w:szCs w:val="20"/>
                <w:color w:val="auto"/>
              </w:rPr>
            </w:pPr>
            <w:r>
              <w:rPr>
                <w:rFonts w:ascii="Arial" w:cs="Arial" w:eastAsia="Arial" w:hAnsi="Arial"/>
                <w:sz w:val="14"/>
                <w:szCs w:val="14"/>
                <w:b w:val="1"/>
                <w:bCs w:val="1"/>
                <w:color w:val="auto"/>
                <w:w w:val="88"/>
              </w:rPr>
              <w:t>Level 3</w:t>
            </w: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Level 3</w:t>
            </w:r>
          </w:p>
        </w:tc>
        <w:tc>
          <w:tcPr>
            <w:tcW w:w="80" w:type="dxa"/>
            <w:vAlign w:val="bottom"/>
          </w:tcPr>
          <w:p>
            <w:pPr>
              <w:spacing w:after="0"/>
              <w:rPr>
                <w:sz w:val="14"/>
                <w:szCs w:val="14"/>
                <w:color w:val="auto"/>
              </w:rPr>
            </w:pPr>
          </w:p>
        </w:tc>
        <w:tc>
          <w:tcPr>
            <w:tcW w:w="880" w:type="dxa"/>
            <w:vAlign w:val="bottom"/>
          </w:tcPr>
          <w:p>
            <w:pPr>
              <w:jc w:val="center"/>
              <w:ind w:right="32"/>
              <w:spacing w:after="0"/>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160" w:type="dxa"/>
            <w:vAlign w:val="bottom"/>
            <w:vMerge w:val="continue"/>
          </w:tcPr>
          <w:p>
            <w:pPr>
              <w:spacing w:after="0"/>
              <w:rPr>
                <w:sz w:val="12"/>
                <w:szCs w:val="12"/>
                <w:color w:val="auto"/>
              </w:rPr>
            </w:pPr>
          </w:p>
        </w:tc>
        <w:tc>
          <w:tcPr>
            <w:tcW w:w="800" w:type="dxa"/>
            <w:vAlign w:val="bottom"/>
            <w:tcBorders>
              <w:top w:val="single" w:sz="8" w:color="auto"/>
            </w:tcBorders>
            <w:gridSpan w:val="2"/>
          </w:tcPr>
          <w:p>
            <w:pPr>
              <w:ind w:left="60"/>
              <w:spacing w:after="0" w:line="142" w:lineRule="exact"/>
              <w:rPr>
                <w:sz w:val="20"/>
                <w:szCs w:val="20"/>
                <w:color w:val="auto"/>
              </w:rPr>
            </w:pPr>
            <w:r>
              <w:rPr>
                <w:rFonts w:ascii="Arial" w:cs="Arial" w:eastAsia="Arial" w:hAnsi="Arial"/>
                <w:sz w:val="14"/>
                <w:szCs w:val="14"/>
                <w:b w:val="1"/>
                <w:bCs w:val="1"/>
                <w:i w:val="1"/>
                <w:iCs w:val="1"/>
                <w:color w:val="auto"/>
              </w:rPr>
              <w:t>millions)</w:t>
            </w:r>
          </w:p>
        </w:tc>
        <w:tc>
          <w:tcPr>
            <w:tcW w:w="160" w:type="dxa"/>
            <w:vAlign w:val="bottom"/>
          </w:tcPr>
          <w:p>
            <w:pPr>
              <w:spacing w:after="0"/>
              <w:rPr>
                <w:sz w:val="12"/>
                <w:szCs w:val="12"/>
                <w:color w:val="auto"/>
              </w:rPr>
            </w:pPr>
          </w:p>
        </w:tc>
        <w:tc>
          <w:tcPr>
            <w:tcW w:w="56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 category</w:t>
            </w:r>
          </w:p>
        </w:tc>
        <w:tc>
          <w:tcPr>
            <w:tcW w:w="8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280" w:type="dxa"/>
            <w:vAlign w:val="bottom"/>
          </w:tcPr>
          <w:p>
            <w:pPr>
              <w:spacing w:after="0" w:line="138" w:lineRule="exact"/>
              <w:rPr>
                <w:sz w:val="20"/>
                <w:szCs w:val="20"/>
                <w:color w:val="auto"/>
              </w:rPr>
            </w:pPr>
            <w:r>
              <w:rPr>
                <w:rFonts w:ascii="Arial" w:cs="Arial" w:eastAsia="Arial" w:hAnsi="Arial"/>
                <w:sz w:val="14"/>
                <w:szCs w:val="14"/>
                <w:color w:val="auto"/>
              </w:rPr>
              <w:t>Principal Life general account</w:t>
            </w:r>
          </w:p>
        </w:tc>
        <w:tc>
          <w:tcPr>
            <w:tcW w:w="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280" w:type="dxa"/>
            <w:vAlign w:val="bottom"/>
          </w:tcPr>
          <w:p>
            <w:pPr>
              <w:ind w:left="140"/>
              <w:spacing w:after="0" w:line="159" w:lineRule="exact"/>
              <w:rPr>
                <w:sz w:val="20"/>
                <w:szCs w:val="20"/>
                <w:color w:val="auto"/>
              </w:rPr>
            </w:pPr>
            <w:r>
              <w:rPr>
                <w:rFonts w:ascii="Arial" w:cs="Arial" w:eastAsia="Arial" w:hAnsi="Arial"/>
                <w:sz w:val="14"/>
                <w:szCs w:val="14"/>
                <w:color w:val="auto"/>
              </w:rPr>
              <w:t>investment</w:t>
            </w:r>
          </w:p>
        </w:tc>
        <w:tc>
          <w:tcPr>
            <w:tcW w:w="80" w:type="dxa"/>
            <w:vAlign w:val="bottom"/>
          </w:tcPr>
          <w:p>
            <w:pPr>
              <w:jc w:val="right"/>
              <w:spacing w:after="0" w:line="159" w:lineRule="exact"/>
              <w:rPr>
                <w:sz w:val="20"/>
                <w:szCs w:val="20"/>
                <w:color w:val="auto"/>
              </w:rPr>
            </w:pPr>
            <w:r>
              <w:rPr>
                <w:rFonts w:ascii="Arial" w:cs="Arial" w:eastAsia="Arial" w:hAnsi="Arial"/>
                <w:sz w:val="14"/>
                <w:szCs w:val="14"/>
                <w:color w:val="auto"/>
                <w:w w:val="76"/>
              </w:rPr>
              <w:t>$</w:t>
            </w:r>
          </w:p>
        </w:tc>
        <w:tc>
          <w:tcPr>
            <w:tcW w:w="1020" w:type="dxa"/>
            <w:vAlign w:val="bottom"/>
          </w:tcPr>
          <w:p>
            <w:pPr>
              <w:jc w:val="right"/>
              <w:spacing w:after="0" w:line="159" w:lineRule="exact"/>
              <w:rPr>
                <w:sz w:val="20"/>
                <w:szCs w:val="20"/>
                <w:color w:val="auto"/>
              </w:rPr>
            </w:pPr>
            <w:r>
              <w:rPr>
                <w:rFonts w:ascii="Arial" w:cs="Arial" w:eastAsia="Arial" w:hAnsi="Arial"/>
                <w:sz w:val="14"/>
                <w:szCs w:val="14"/>
                <w:color w:val="auto"/>
              </w:rPr>
              <w:t>44.5</w:t>
            </w:r>
          </w:p>
        </w:tc>
        <w:tc>
          <w:tcPr>
            <w:tcW w:w="160" w:type="dxa"/>
            <w:vAlign w:val="bottom"/>
          </w:tcPr>
          <w:p>
            <w:pPr>
              <w:spacing w:after="0"/>
              <w:rPr>
                <w:sz w:val="13"/>
                <w:szCs w:val="13"/>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40" w:type="dxa"/>
            <w:vAlign w:val="bottom"/>
          </w:tcPr>
          <w:p>
            <w:pPr>
              <w:jc w:val="right"/>
              <w:spacing w:after="0" w:line="159" w:lineRule="exact"/>
              <w:rPr>
                <w:sz w:val="20"/>
                <w:szCs w:val="20"/>
                <w:color w:val="auto"/>
              </w:rPr>
            </w:pPr>
            <w:r>
              <w:rPr>
                <w:rFonts w:ascii="Arial" w:cs="Arial" w:eastAsia="Arial" w:hAnsi="Arial"/>
                <w:sz w:val="14"/>
                <w:szCs w:val="14"/>
                <w:color w:val="auto"/>
              </w:rPr>
              <w:t>3.0</w:t>
            </w:r>
          </w:p>
        </w:tc>
        <w:tc>
          <w:tcPr>
            <w:tcW w:w="22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740" w:type="dxa"/>
            <w:vAlign w:val="bottom"/>
          </w:tcPr>
          <w:p>
            <w:pPr>
              <w:ind w:left="580"/>
              <w:spacing w:after="0" w:line="159" w:lineRule="exact"/>
              <w:rPr>
                <w:sz w:val="20"/>
                <w:szCs w:val="20"/>
                <w:color w:val="auto"/>
              </w:rPr>
            </w:pPr>
            <w:r>
              <w:rPr>
                <w:rFonts w:ascii="Arial" w:cs="Arial" w:eastAsia="Arial" w:hAnsi="Arial"/>
                <w:sz w:val="14"/>
                <w:szCs w:val="14"/>
                <w:color w:val="auto"/>
                <w:w w:val="99"/>
              </w:rPr>
              <w:t>—</w:t>
            </w:r>
          </w:p>
        </w:tc>
        <w:tc>
          <w:tcPr>
            <w:tcW w:w="22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(5.0)</w:t>
            </w:r>
          </w:p>
        </w:tc>
        <w:tc>
          <w:tcPr>
            <w:tcW w:w="560" w:type="dxa"/>
            <w:vAlign w:val="bottom"/>
          </w:tcPr>
          <w:p>
            <w:pPr>
              <w:jc w:val="right"/>
              <w:ind w:right="412"/>
              <w:spacing w:after="0" w:line="159" w:lineRule="exact"/>
              <w:rPr>
                <w:sz w:val="20"/>
                <w:szCs w:val="20"/>
                <w:color w:val="auto"/>
              </w:rPr>
            </w:pPr>
            <w:r>
              <w:rPr>
                <w:rFonts w:ascii="Arial" w:cs="Arial" w:eastAsia="Arial" w:hAnsi="Arial"/>
                <w:sz w:val="14"/>
                <w:szCs w:val="14"/>
                <w:color w:val="auto"/>
                <w:w w:val="76"/>
              </w:rPr>
              <w:t>$</w:t>
            </w:r>
          </w:p>
        </w:tc>
        <w:tc>
          <w:tcPr>
            <w:tcW w:w="140" w:type="dxa"/>
            <w:vAlign w:val="bottom"/>
          </w:tcPr>
          <w:p>
            <w:pPr>
              <w:spacing w:after="0" w:line="159" w:lineRule="exact"/>
              <w:rPr>
                <w:sz w:val="20"/>
                <w:szCs w:val="20"/>
                <w:color w:val="auto"/>
              </w:rPr>
            </w:pPr>
            <w:r>
              <w:rPr>
                <w:rFonts w:ascii="Arial" w:cs="Arial" w:eastAsia="Arial" w:hAnsi="Arial"/>
                <w:sz w:val="14"/>
                <w:szCs w:val="14"/>
                <w:color w:val="auto"/>
                <w:w w:val="85"/>
              </w:rPr>
              <w:t>—</w:t>
            </w:r>
          </w:p>
        </w:tc>
        <w:tc>
          <w:tcPr>
            <w:tcW w:w="26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740" w:type="dxa"/>
            <w:vAlign w:val="bottom"/>
            <w:gridSpan w:val="2"/>
          </w:tcPr>
          <w:p>
            <w:pPr>
              <w:ind w:left="440"/>
              <w:spacing w:after="0" w:line="159" w:lineRule="exact"/>
              <w:rPr>
                <w:sz w:val="20"/>
                <w:szCs w:val="20"/>
                <w:color w:val="auto"/>
              </w:rPr>
            </w:pPr>
            <w:r>
              <w:rPr>
                <w:rFonts w:ascii="Arial" w:cs="Arial" w:eastAsia="Arial" w:hAnsi="Arial"/>
                <w:sz w:val="14"/>
                <w:szCs w:val="14"/>
                <w:color w:val="auto"/>
              </w:rPr>
              <w:t>—</w:t>
            </w:r>
          </w:p>
        </w:tc>
        <w:tc>
          <w:tcPr>
            <w:tcW w:w="80" w:type="dxa"/>
            <w:vAlign w:val="bottom"/>
          </w:tcPr>
          <w:p>
            <w:pPr>
              <w:jc w:val="right"/>
              <w:spacing w:after="0" w:line="159" w:lineRule="exact"/>
              <w:rPr>
                <w:sz w:val="20"/>
                <w:szCs w:val="20"/>
                <w:color w:val="auto"/>
              </w:rPr>
            </w:pPr>
            <w:r>
              <w:rPr>
                <w:rFonts w:ascii="Arial" w:cs="Arial" w:eastAsia="Arial" w:hAnsi="Arial"/>
                <w:sz w:val="14"/>
                <w:szCs w:val="14"/>
                <w:color w:val="auto"/>
                <w:w w:val="76"/>
              </w:rPr>
              <w:t>$</w:t>
            </w:r>
          </w:p>
        </w:tc>
        <w:tc>
          <w:tcPr>
            <w:tcW w:w="880" w:type="dxa"/>
            <w:vAlign w:val="bottom"/>
          </w:tcPr>
          <w:p>
            <w:pPr>
              <w:jc w:val="right"/>
              <w:spacing w:after="0" w:line="159" w:lineRule="exact"/>
              <w:rPr>
                <w:sz w:val="20"/>
                <w:szCs w:val="20"/>
                <w:color w:val="auto"/>
              </w:rPr>
            </w:pPr>
            <w:r>
              <w:rPr>
                <w:rFonts w:ascii="Arial" w:cs="Arial" w:eastAsia="Arial" w:hAnsi="Arial"/>
                <w:sz w:val="14"/>
                <w:szCs w:val="14"/>
                <w:color w:val="auto"/>
              </w:rPr>
              <w:t>42.5</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According to our investment policy, the target asset allocation for the other postretirement benefit plans is:</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7940" w:type="dxa"/>
            <w:vAlign w:val="bottom"/>
            <w:gridSpan w:val="2"/>
          </w:tcPr>
          <w:p>
            <w:pPr>
              <w:spacing w:after="0"/>
              <w:rPr>
                <w:sz w:val="20"/>
                <w:szCs w:val="20"/>
                <w:color w:val="auto"/>
              </w:rPr>
            </w:pPr>
            <w:r>
              <w:rPr>
                <w:rFonts w:ascii="Arial" w:cs="Arial" w:eastAsia="Arial" w:hAnsi="Arial"/>
                <w:sz w:val="14"/>
                <w:szCs w:val="14"/>
                <w:b w:val="1"/>
                <w:bCs w:val="1"/>
                <w:color w:val="auto"/>
              </w:rPr>
              <w:t>Asset Category</w:t>
            </w:r>
          </w:p>
        </w:tc>
        <w:tc>
          <w:tcPr>
            <w:tcW w:w="160" w:type="dxa"/>
            <w:vAlign w:val="bottom"/>
          </w:tcPr>
          <w:p>
            <w:pPr>
              <w:spacing w:after="0"/>
              <w:rPr>
                <w:sz w:val="14"/>
                <w:szCs w:val="14"/>
                <w:color w:val="auto"/>
              </w:rPr>
            </w:pPr>
          </w:p>
        </w:tc>
        <w:tc>
          <w:tcPr>
            <w:tcW w:w="1040" w:type="dxa"/>
            <w:vAlign w:val="bottom"/>
            <w:gridSpan w:val="2"/>
          </w:tcPr>
          <w:p>
            <w:pPr>
              <w:jc w:val="right"/>
              <w:spacing w:after="0"/>
              <w:rPr>
                <w:sz w:val="20"/>
                <w:szCs w:val="20"/>
                <w:color w:val="auto"/>
              </w:rPr>
            </w:pPr>
            <w:r>
              <w:rPr>
                <w:rFonts w:ascii="Arial" w:cs="Arial" w:eastAsia="Arial" w:hAnsi="Arial"/>
                <w:sz w:val="14"/>
                <w:szCs w:val="14"/>
                <w:b w:val="1"/>
                <w:bCs w:val="1"/>
                <w:color w:val="auto"/>
                <w:w w:val="87"/>
              </w:rPr>
              <w:t>Target allocation</w:t>
            </w:r>
          </w:p>
        </w:tc>
      </w:tr>
      <w:tr>
        <w:trPr>
          <w:trHeight w:val="142"/>
        </w:trPr>
        <w:tc>
          <w:tcPr>
            <w:tcW w:w="20" w:type="dxa"/>
            <w:vAlign w:val="bottom"/>
          </w:tcPr>
          <w:p>
            <w:pPr>
              <w:spacing w:after="0"/>
              <w:rPr>
                <w:sz w:val="12"/>
                <w:szCs w:val="12"/>
                <w:color w:val="auto"/>
              </w:rPr>
            </w:pPr>
          </w:p>
        </w:tc>
        <w:tc>
          <w:tcPr>
            <w:tcW w:w="7920" w:type="dxa"/>
            <w:vAlign w:val="bottom"/>
            <w:tcBorders>
              <w:top w:val="single" w:sz="8" w:color="auto"/>
            </w:tcBorders>
            <w:shd w:val="clear" w:color="auto" w:fill="CCEEFF"/>
          </w:tcPr>
          <w:p>
            <w:pPr>
              <w:spacing w:after="0" w:line="142" w:lineRule="exact"/>
              <w:rPr>
                <w:sz w:val="20"/>
                <w:szCs w:val="20"/>
                <w:color w:val="auto"/>
              </w:rPr>
            </w:pPr>
            <w:r>
              <w:rPr>
                <w:rFonts w:ascii="Arial" w:cs="Arial" w:eastAsia="Arial" w:hAnsi="Arial"/>
                <w:sz w:val="14"/>
                <w:szCs w:val="14"/>
                <w:color w:val="auto"/>
              </w:rPr>
              <w:t>U.S. equity portfolios</w:t>
            </w:r>
          </w:p>
        </w:tc>
        <w:tc>
          <w:tcPr>
            <w:tcW w:w="160" w:type="dxa"/>
            <w:vAlign w:val="bottom"/>
            <w:shd w:val="clear" w:color="auto" w:fill="CCEEFF"/>
          </w:tcPr>
          <w:p>
            <w:pPr>
              <w:spacing w:after="0"/>
              <w:rPr>
                <w:sz w:val="12"/>
                <w:szCs w:val="12"/>
                <w:color w:val="auto"/>
              </w:rPr>
            </w:pPr>
          </w:p>
        </w:tc>
        <w:tc>
          <w:tcPr>
            <w:tcW w:w="68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45%</w:t>
            </w:r>
          </w:p>
        </w:tc>
        <w:tc>
          <w:tcPr>
            <w:tcW w:w="36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92"/>
              </w:rPr>
              <w:t>- 65%</w:t>
            </w:r>
          </w:p>
        </w:tc>
      </w:tr>
      <w:tr>
        <w:trPr>
          <w:trHeight w:val="149"/>
        </w:trPr>
        <w:tc>
          <w:tcPr>
            <w:tcW w:w="20" w:type="dxa"/>
            <w:vAlign w:val="bottom"/>
          </w:tcPr>
          <w:p>
            <w:pPr>
              <w:spacing w:after="0"/>
              <w:rPr>
                <w:sz w:val="12"/>
                <w:szCs w:val="12"/>
                <w:color w:val="auto"/>
              </w:rPr>
            </w:pPr>
          </w:p>
        </w:tc>
        <w:tc>
          <w:tcPr>
            <w:tcW w:w="7920" w:type="dxa"/>
            <w:vAlign w:val="bottom"/>
          </w:tcPr>
          <w:p>
            <w:pPr>
              <w:spacing w:after="0" w:line="149" w:lineRule="exact"/>
              <w:rPr>
                <w:sz w:val="20"/>
                <w:szCs w:val="20"/>
                <w:color w:val="auto"/>
              </w:rPr>
            </w:pPr>
            <w:r>
              <w:rPr>
                <w:rFonts w:ascii="Arial" w:cs="Arial" w:eastAsia="Arial" w:hAnsi="Arial"/>
                <w:sz w:val="14"/>
                <w:szCs w:val="14"/>
                <w:color w:val="auto"/>
              </w:rPr>
              <w:t>International equity portfolios</w:t>
            </w:r>
          </w:p>
        </w:tc>
        <w:tc>
          <w:tcPr>
            <w:tcW w:w="8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5%</w:t>
            </w:r>
          </w:p>
        </w:tc>
        <w:tc>
          <w:tcPr>
            <w:tcW w:w="3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92"/>
              </w:rPr>
              <w:t>- 15%</w:t>
            </w:r>
          </w:p>
        </w:tc>
      </w:tr>
      <w:tr>
        <w:trPr>
          <w:trHeight w:val="149"/>
        </w:trPr>
        <w:tc>
          <w:tcPr>
            <w:tcW w:w="20" w:type="dxa"/>
            <w:vAlign w:val="bottom"/>
          </w:tcPr>
          <w:p>
            <w:pPr>
              <w:spacing w:after="0"/>
              <w:rPr>
                <w:sz w:val="12"/>
                <w:szCs w:val="12"/>
                <w:color w:val="auto"/>
              </w:rPr>
            </w:pPr>
          </w:p>
        </w:tc>
        <w:tc>
          <w:tcPr>
            <w:tcW w:w="79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income security portfolios</w:t>
            </w:r>
          </w:p>
        </w:tc>
        <w:tc>
          <w:tcPr>
            <w:tcW w:w="8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30%</w:t>
            </w:r>
          </w:p>
        </w:tc>
        <w:tc>
          <w:tcPr>
            <w:tcW w:w="3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92"/>
              </w:rPr>
              <w:t>- 50%</w:t>
            </w: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investment strategies and policies for the other postretirement benefit plans are similar to those employed by the qualified pension plan.</w:t>
      </w:r>
    </w:p>
    <w:p>
      <w:pPr>
        <w:spacing w:after="0" w:line="200" w:lineRule="exact"/>
        <w:rPr>
          <w:sz w:val="20"/>
          <w:szCs w:val="20"/>
          <w:color w:val="auto"/>
        </w:rPr>
      </w:pP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Contributions</w:t>
      </w:r>
    </w:p>
    <w:p>
      <w:pPr>
        <w:spacing w:after="0" w:line="231" w:lineRule="exact"/>
        <w:rPr>
          <w:sz w:val="20"/>
          <w:szCs w:val="20"/>
          <w:color w:val="auto"/>
        </w:rPr>
      </w:pPr>
    </w:p>
    <w:p>
      <w:pPr>
        <w:jc w:val="both"/>
        <w:ind w:firstLine="367"/>
        <w:spacing w:after="0" w:line="253" w:lineRule="auto"/>
        <w:rPr>
          <w:sz w:val="20"/>
          <w:szCs w:val="20"/>
          <w:color w:val="auto"/>
        </w:rPr>
      </w:pPr>
      <w:r>
        <w:rPr>
          <w:rFonts w:ascii="Arial" w:cs="Arial" w:eastAsia="Arial" w:hAnsi="Arial"/>
          <w:sz w:val="18"/>
          <w:szCs w:val="18"/>
          <w:color w:val="auto"/>
        </w:rPr>
        <w:t>Our funding policy for the qualified pension plan is to fund the plan annually in an amount at least equal to the minimum annual contribution required under ERISA and, generally, not greater than the maximum amount that can be deducted for federal income tax purposes. We do not anticipate contributions will be needed to satisfy the minimum funding requirements of ERISA for our qualified plan. At this time, it is too early to estimate the amount that may be contributed, but it is possible that we may fund the plans in 2014 in the range of $125-$175 million. This includes funding for both our qualified and nonqualified pension plans. While we designate assets to cover the computed liability of the nonqualified plan, the assets are not included as part of the asset balances presented in this footnote as they do not qualify as plan assets in accordance with U.S. GAAP. We may contribute to our other postretirement benefit plans in 2014 pending future analysis.</w:t>
      </w: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Estimated Future Benefit Payments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estimated future benefit payments, which reflect expected future service, and the expected amount of subsidy receipts under Medicare Part D are:</w:t>
      </w:r>
    </w:p>
    <w:p>
      <w:pPr>
        <w:spacing w:after="0" w:line="23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86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60" w:type="dxa"/>
            <w:vAlign w:val="bottom"/>
          </w:tcPr>
          <w:p>
            <w:pPr>
              <w:jc w:val="center"/>
              <w:ind w:right="32"/>
              <w:spacing w:after="0"/>
              <w:rPr>
                <w:sz w:val="20"/>
                <w:szCs w:val="20"/>
                <w:color w:val="auto"/>
              </w:rPr>
            </w:pPr>
            <w:r>
              <w:rPr>
                <w:rFonts w:ascii="Arial" w:cs="Arial" w:eastAsia="Arial" w:hAnsi="Arial"/>
                <w:sz w:val="14"/>
                <w:szCs w:val="14"/>
                <w:b w:val="1"/>
                <w:bCs w:val="1"/>
                <w:color w:val="auto"/>
                <w:w w:val="89"/>
              </w:rPr>
              <w:t>Other postretirement</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49"/>
        </w:trPr>
        <w:tc>
          <w:tcPr>
            <w:tcW w:w="20" w:type="dxa"/>
            <w:vAlign w:val="bottom"/>
          </w:tcPr>
          <w:p>
            <w:pPr>
              <w:spacing w:after="0"/>
              <w:rPr>
                <w:sz w:val="12"/>
                <w:szCs w:val="12"/>
                <w:color w:val="auto"/>
              </w:rPr>
            </w:pPr>
          </w:p>
        </w:tc>
        <w:tc>
          <w:tcPr>
            <w:tcW w:w="286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6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3"/>
              </w:rPr>
              <w:t>benefits (gross benefit</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286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6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5"/>
              </w:rPr>
              <w:t>payments, including</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Amount of Medicare</w:t>
            </w:r>
          </w:p>
        </w:tc>
      </w:tr>
      <w:tr>
        <w:trPr>
          <w:trHeight w:val="161"/>
        </w:trPr>
        <w:tc>
          <w:tcPr>
            <w:tcW w:w="20" w:type="dxa"/>
            <w:vAlign w:val="bottom"/>
          </w:tcPr>
          <w:p>
            <w:pPr>
              <w:spacing w:after="0"/>
              <w:rPr>
                <w:sz w:val="14"/>
                <w:szCs w:val="14"/>
                <w:color w:val="auto"/>
              </w:rPr>
            </w:pPr>
          </w:p>
        </w:tc>
        <w:tc>
          <w:tcPr>
            <w:tcW w:w="286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40" w:type="dxa"/>
            <w:vAlign w:val="bottom"/>
          </w:tcPr>
          <w:p>
            <w:pPr>
              <w:jc w:val="right"/>
              <w:ind w:right="32"/>
              <w:spacing w:after="0"/>
              <w:rPr>
                <w:sz w:val="20"/>
                <w:szCs w:val="20"/>
                <w:color w:val="auto"/>
              </w:rPr>
            </w:pPr>
            <w:r>
              <w:rPr>
                <w:rFonts w:ascii="Arial" w:cs="Arial" w:eastAsia="Arial" w:hAnsi="Arial"/>
                <w:sz w:val="14"/>
                <w:szCs w:val="14"/>
                <w:b w:val="1"/>
                <w:bCs w:val="1"/>
                <w:color w:val="auto"/>
                <w:w w:val="82"/>
              </w:rPr>
              <w:t>Pension benefits</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60" w:type="dxa"/>
            <w:vAlign w:val="bottom"/>
          </w:tcPr>
          <w:p>
            <w:pPr>
              <w:jc w:val="center"/>
              <w:ind w:right="12"/>
              <w:spacing w:after="0"/>
              <w:rPr>
                <w:sz w:val="20"/>
                <w:szCs w:val="20"/>
                <w:color w:val="auto"/>
              </w:rPr>
            </w:pPr>
            <w:r>
              <w:rPr>
                <w:rFonts w:ascii="Arial" w:cs="Arial" w:eastAsia="Arial" w:hAnsi="Arial"/>
                <w:sz w:val="14"/>
                <w:szCs w:val="14"/>
                <w:b w:val="1"/>
                <w:bCs w:val="1"/>
                <w:color w:val="auto"/>
                <w:w w:val="86"/>
              </w:rPr>
              <w:t>prescription drug benefits)</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6"/>
              </w:rPr>
              <w:t>Part D subsidy receipts</w:t>
            </w:r>
          </w:p>
        </w:tc>
      </w:tr>
      <w:tr>
        <w:trPr>
          <w:trHeight w:val="142"/>
        </w:trPr>
        <w:tc>
          <w:tcPr>
            <w:tcW w:w="20" w:type="dxa"/>
            <w:vAlign w:val="bottom"/>
          </w:tcPr>
          <w:p>
            <w:pPr>
              <w:spacing w:after="0"/>
              <w:rPr>
                <w:sz w:val="12"/>
                <w:szCs w:val="12"/>
                <w:color w:val="auto"/>
              </w:rPr>
            </w:pPr>
          </w:p>
        </w:tc>
        <w:tc>
          <w:tcPr>
            <w:tcW w:w="286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660" w:type="dxa"/>
            <w:vAlign w:val="bottom"/>
            <w:tcBorders>
              <w:top w:val="single" w:sz="8" w:color="auto"/>
            </w:tcBorders>
          </w:tcPr>
          <w:p>
            <w:pPr>
              <w:jc w:val="right"/>
              <w:ind w:right="232"/>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18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4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28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Year ending December 31:</w:t>
            </w:r>
          </w:p>
        </w:tc>
        <w:tc>
          <w:tcPr>
            <w:tcW w:w="14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2860" w:type="dxa"/>
            <w:vAlign w:val="bottom"/>
          </w:tcPr>
          <w:p>
            <w:pPr>
              <w:spacing w:after="0" w:line="149" w:lineRule="exact"/>
              <w:rPr>
                <w:sz w:val="20"/>
                <w:szCs w:val="20"/>
                <w:color w:val="auto"/>
              </w:rPr>
            </w:pPr>
            <w:r>
              <w:rPr>
                <w:rFonts w:ascii="Arial" w:cs="Arial" w:eastAsia="Arial" w:hAnsi="Arial"/>
                <w:sz w:val="14"/>
                <w:szCs w:val="14"/>
                <w:color w:val="auto"/>
              </w:rPr>
              <w:t>2014</w:t>
            </w:r>
          </w:p>
        </w:tc>
        <w:tc>
          <w:tcPr>
            <w:tcW w:w="14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0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98.7</w:t>
            </w:r>
          </w:p>
        </w:tc>
        <w:tc>
          <w:tcPr>
            <w:tcW w:w="24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18.1</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4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28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2015</w:t>
            </w:r>
          </w:p>
        </w:tc>
        <w:tc>
          <w:tcPr>
            <w:tcW w:w="14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102.9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18.6</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2860" w:type="dxa"/>
            <w:vAlign w:val="bottom"/>
          </w:tcPr>
          <w:p>
            <w:pPr>
              <w:spacing w:after="0" w:line="149" w:lineRule="exact"/>
              <w:rPr>
                <w:sz w:val="20"/>
                <w:szCs w:val="20"/>
                <w:color w:val="auto"/>
              </w:rPr>
            </w:pPr>
            <w:r>
              <w:rPr>
                <w:rFonts w:ascii="Arial" w:cs="Arial" w:eastAsia="Arial" w:hAnsi="Arial"/>
                <w:sz w:val="14"/>
                <w:szCs w:val="14"/>
                <w:color w:val="auto"/>
              </w:rPr>
              <w:t>2016</w:t>
            </w:r>
          </w:p>
        </w:tc>
        <w:tc>
          <w:tcPr>
            <w:tcW w:w="14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108.2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19.0</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28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2017</w:t>
            </w:r>
          </w:p>
        </w:tc>
        <w:tc>
          <w:tcPr>
            <w:tcW w:w="14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114.4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19.3</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2860" w:type="dxa"/>
            <w:vAlign w:val="bottom"/>
          </w:tcPr>
          <w:p>
            <w:pPr>
              <w:spacing w:after="0" w:line="149" w:lineRule="exact"/>
              <w:rPr>
                <w:sz w:val="20"/>
                <w:szCs w:val="20"/>
                <w:color w:val="auto"/>
              </w:rPr>
            </w:pPr>
            <w:r>
              <w:rPr>
                <w:rFonts w:ascii="Arial" w:cs="Arial" w:eastAsia="Arial" w:hAnsi="Arial"/>
                <w:sz w:val="14"/>
                <w:szCs w:val="14"/>
                <w:color w:val="auto"/>
              </w:rPr>
              <w:t>2018</w:t>
            </w:r>
          </w:p>
        </w:tc>
        <w:tc>
          <w:tcPr>
            <w:tcW w:w="14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120.6</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19.4</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28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2019 - 2023</w:t>
            </w:r>
          </w:p>
        </w:tc>
        <w:tc>
          <w:tcPr>
            <w:tcW w:w="14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708.4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99.1</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5.1</w:t>
            </w:r>
          </w:p>
        </w:tc>
        <w:tc>
          <w:tcPr>
            <w:tcW w:w="160" w:type="dxa"/>
            <w:vAlign w:val="bottom"/>
            <w:shd w:val="clear" w:color="auto" w:fill="CCEEFF"/>
          </w:tcPr>
          <w:p>
            <w:pPr>
              <w:spacing w:after="0"/>
              <w:rPr>
                <w:sz w:val="12"/>
                <w:szCs w:val="12"/>
                <w:color w:val="auto"/>
              </w:rPr>
            </w:pPr>
          </w:p>
        </w:tc>
      </w:tr>
    </w:tbl>
    <w:p>
      <w:pPr>
        <w:spacing w:after="0" w:line="208" w:lineRule="exact"/>
        <w:rPr>
          <w:sz w:val="20"/>
          <w:szCs w:val="20"/>
          <w:color w:val="auto"/>
        </w:rPr>
      </w:pPr>
    </w:p>
    <w:p>
      <w:pPr>
        <w:ind w:firstLine="370"/>
        <w:spacing w:after="0" w:line="268" w:lineRule="auto"/>
        <w:rPr>
          <w:sz w:val="20"/>
          <w:szCs w:val="20"/>
          <w:color w:val="auto"/>
        </w:rPr>
      </w:pPr>
      <w:r>
        <w:rPr>
          <w:rFonts w:ascii="Arial" w:cs="Arial" w:eastAsia="Arial" w:hAnsi="Arial"/>
          <w:sz w:val="18"/>
          <w:szCs w:val="18"/>
          <w:color w:val="auto"/>
        </w:rPr>
        <w:t>The above table reflects the total estimated future benefits to be paid from the plan, including both our share of the benefit cost and the participants' share of the cost, which is funded by their contributions to the plan.</w:t>
      </w:r>
    </w:p>
    <w:p>
      <w:pPr>
        <w:spacing w:after="0" w:line="186" w:lineRule="exact"/>
        <w:rPr>
          <w:sz w:val="20"/>
          <w:szCs w:val="20"/>
          <w:color w:val="auto"/>
        </w:rPr>
      </w:pPr>
    </w:p>
    <w:p>
      <w:pPr>
        <w:ind w:firstLine="416"/>
        <w:spacing w:after="0" w:line="268" w:lineRule="auto"/>
        <w:rPr>
          <w:sz w:val="20"/>
          <w:szCs w:val="20"/>
          <w:color w:val="auto"/>
        </w:rPr>
      </w:pPr>
      <w:r>
        <w:rPr>
          <w:rFonts w:ascii="Arial" w:cs="Arial" w:eastAsia="Arial" w:hAnsi="Arial"/>
          <w:sz w:val="18"/>
          <w:szCs w:val="18"/>
          <w:color w:val="auto"/>
        </w:rPr>
        <w:t>The assumptions used in calculating the estimated future benefit payments are the same as those used to measure the benefit obligation for the year ended December 31, 2013.</w:t>
      </w:r>
    </w:p>
    <w:p>
      <w:pPr>
        <w:spacing w:after="0" w:line="186" w:lineRule="exact"/>
        <w:rPr>
          <w:sz w:val="20"/>
          <w:szCs w:val="20"/>
          <w:color w:val="auto"/>
        </w:rPr>
      </w:pPr>
    </w:p>
    <w:p>
      <w:pPr>
        <w:ind w:firstLine="479"/>
        <w:spacing w:after="0" w:line="268" w:lineRule="auto"/>
        <w:rPr>
          <w:sz w:val="20"/>
          <w:szCs w:val="20"/>
          <w:color w:val="auto"/>
        </w:rPr>
      </w:pPr>
      <w:r>
        <w:rPr>
          <w:rFonts w:ascii="Arial" w:cs="Arial" w:eastAsia="Arial" w:hAnsi="Arial"/>
          <w:sz w:val="18"/>
          <w:szCs w:val="18"/>
          <w:color w:val="auto"/>
        </w:rPr>
        <w:t>The information that follows shows supplemental information for our defined benefit pension plans. Certain key summary data is shown separately for qualified and nonqualified plans.</w:t>
      </w:r>
    </w:p>
    <w:p>
      <w:pPr>
        <w:sectPr>
          <w:pgSz w:w="11900" w:h="16838" w:orient="portrait"/>
          <w:cols w:equalWidth="0" w:num="1">
            <w:col w:w="11420"/>
          </w:cols>
          <w:pgMar w:left="240" w:top="131" w:right="239" w:bottom="1440" w:gutter="0" w:footer="0" w:header="0"/>
        </w:sectPr>
      </w:pP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56" w:name="page157"/>
    <w:bookmarkEnd w:id="15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Employee and Agent Benefits — (continued)</w:t>
      </w:r>
    </w:p>
    <w:p>
      <w:pPr>
        <w:spacing w:after="0" w:line="227"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9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20" w:type="dxa"/>
            <w:vAlign w:val="bottom"/>
            <w:tcBorders>
              <w:bottom w:val="single" w:sz="8" w:color="auto"/>
            </w:tcBorders>
            <w:gridSpan w:val="12"/>
          </w:tcPr>
          <w:p>
            <w:pPr>
              <w:jc w:val="right"/>
              <w:spacing w:after="0"/>
              <w:rPr>
                <w:sz w:val="20"/>
                <w:szCs w:val="20"/>
                <w:color w:val="auto"/>
              </w:rPr>
            </w:pPr>
            <w:r>
              <w:rPr>
                <w:rFonts w:ascii="Arial" w:cs="Arial" w:eastAsia="Arial" w:hAnsi="Arial"/>
                <w:sz w:val="14"/>
                <w:szCs w:val="14"/>
                <w:b w:val="1"/>
                <w:bCs w:val="1"/>
                <w:color w:val="auto"/>
              </w:rPr>
              <w:t>For the year ended December 31,</w:t>
            </w:r>
          </w:p>
        </w:tc>
        <w:tc>
          <w:tcPr>
            <w:tcW w:w="8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9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ind w:right="312"/>
              <w:spacing w:after="0" w:line="142" w:lineRule="exact"/>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ind w:right="312"/>
              <w:spacing w:after="0" w:line="142" w:lineRule="exact"/>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39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jc w:val="right"/>
              <w:ind w:right="180"/>
              <w:spacing w:after="0" w:line="129" w:lineRule="exact"/>
              <w:rPr>
                <w:sz w:val="20"/>
                <w:szCs w:val="20"/>
                <w:color w:val="auto"/>
              </w:rPr>
            </w:pPr>
            <w:r>
              <w:rPr>
                <w:rFonts w:ascii="Arial" w:cs="Arial" w:eastAsia="Arial" w:hAnsi="Arial"/>
                <w:sz w:val="14"/>
                <w:szCs w:val="14"/>
                <w:b w:val="1"/>
                <w:bCs w:val="1"/>
                <w:color w:val="auto"/>
                <w:w w:val="86"/>
              </w:rPr>
              <w:t>Qualified</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gridSpan w:val="2"/>
          </w:tcPr>
          <w:p>
            <w:pPr>
              <w:jc w:val="right"/>
              <w:ind w:right="180"/>
              <w:spacing w:after="0" w:line="129" w:lineRule="exact"/>
              <w:rPr>
                <w:sz w:val="20"/>
                <w:szCs w:val="20"/>
                <w:color w:val="auto"/>
              </w:rPr>
            </w:pPr>
            <w:r>
              <w:rPr>
                <w:rFonts w:ascii="Arial" w:cs="Arial" w:eastAsia="Arial" w:hAnsi="Arial"/>
                <w:sz w:val="14"/>
                <w:szCs w:val="14"/>
                <w:b w:val="1"/>
                <w:bCs w:val="1"/>
                <w:color w:val="auto"/>
                <w:w w:val="84"/>
              </w:rPr>
              <w:t>Nonqualified</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jc w:val="right"/>
              <w:ind w:right="180"/>
              <w:spacing w:after="0" w:line="129" w:lineRule="exact"/>
              <w:rPr>
                <w:sz w:val="20"/>
                <w:szCs w:val="20"/>
                <w:color w:val="auto"/>
              </w:rPr>
            </w:pPr>
            <w:r>
              <w:rPr>
                <w:rFonts w:ascii="Arial" w:cs="Arial" w:eastAsia="Arial" w:hAnsi="Arial"/>
                <w:sz w:val="14"/>
                <w:szCs w:val="14"/>
                <w:b w:val="1"/>
                <w:bCs w:val="1"/>
                <w:color w:val="auto"/>
                <w:w w:val="86"/>
              </w:rPr>
              <w:t>Qualified</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gridSpan w:val="2"/>
          </w:tcPr>
          <w:p>
            <w:pPr>
              <w:jc w:val="right"/>
              <w:ind w:right="180"/>
              <w:spacing w:after="0" w:line="129" w:lineRule="exact"/>
              <w:rPr>
                <w:sz w:val="20"/>
                <w:szCs w:val="20"/>
                <w:color w:val="auto"/>
              </w:rPr>
            </w:pPr>
            <w:r>
              <w:rPr>
                <w:rFonts w:ascii="Arial" w:cs="Arial" w:eastAsia="Arial" w:hAnsi="Arial"/>
                <w:sz w:val="14"/>
                <w:szCs w:val="14"/>
                <w:b w:val="1"/>
                <w:bCs w:val="1"/>
                <w:color w:val="auto"/>
                <w:w w:val="87"/>
              </w:rPr>
              <w:t>Nonqualified</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9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ind w:right="152"/>
              <w:spacing w:after="0"/>
              <w:rPr>
                <w:sz w:val="20"/>
                <w:szCs w:val="20"/>
                <w:color w:val="auto"/>
              </w:rPr>
            </w:pPr>
            <w:r>
              <w:rPr>
                <w:rFonts w:ascii="Arial" w:cs="Arial" w:eastAsia="Arial" w:hAnsi="Arial"/>
                <w:sz w:val="14"/>
                <w:szCs w:val="14"/>
                <w:b w:val="1"/>
                <w:bCs w:val="1"/>
                <w:color w:val="auto"/>
              </w:rPr>
              <w:t>Plan</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right"/>
              <w:ind w:right="252"/>
              <w:spacing w:after="0"/>
              <w:rPr>
                <w:sz w:val="20"/>
                <w:szCs w:val="20"/>
                <w:color w:val="auto"/>
              </w:rPr>
            </w:pPr>
            <w:r>
              <w:rPr>
                <w:rFonts w:ascii="Arial" w:cs="Arial" w:eastAsia="Arial" w:hAnsi="Arial"/>
                <w:sz w:val="14"/>
                <w:szCs w:val="14"/>
                <w:b w:val="1"/>
                <w:bCs w:val="1"/>
                <w:color w:val="auto"/>
              </w:rPr>
              <w:t>Plan</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jc w:val="right"/>
              <w:ind w:right="92"/>
              <w:spacing w:after="0"/>
              <w:rPr>
                <w:sz w:val="20"/>
                <w:szCs w:val="20"/>
                <w:color w:val="auto"/>
              </w:rPr>
            </w:pPr>
            <w:r>
              <w:rPr>
                <w:rFonts w:ascii="Arial" w:cs="Arial" w:eastAsia="Arial" w:hAnsi="Arial"/>
                <w:sz w:val="14"/>
                <w:szCs w:val="14"/>
                <w:b w:val="1"/>
                <w:bCs w:val="1"/>
                <w:color w:val="auto"/>
                <w:w w:val="89"/>
              </w:rPr>
              <w:t>Total</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ind w:right="152"/>
              <w:spacing w:after="0"/>
              <w:rPr>
                <w:sz w:val="20"/>
                <w:szCs w:val="20"/>
                <w:color w:val="auto"/>
              </w:rPr>
            </w:pPr>
            <w:r>
              <w:rPr>
                <w:rFonts w:ascii="Arial" w:cs="Arial" w:eastAsia="Arial" w:hAnsi="Arial"/>
                <w:sz w:val="14"/>
                <w:szCs w:val="14"/>
                <w:b w:val="1"/>
                <w:bCs w:val="1"/>
                <w:color w:val="auto"/>
              </w:rPr>
              <w:t>Plan</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ind w:right="252"/>
              <w:spacing w:after="0"/>
              <w:rPr>
                <w:sz w:val="20"/>
                <w:szCs w:val="20"/>
                <w:color w:val="auto"/>
              </w:rPr>
            </w:pPr>
            <w:r>
              <w:rPr>
                <w:rFonts w:ascii="Arial" w:cs="Arial" w:eastAsia="Arial" w:hAnsi="Arial"/>
                <w:sz w:val="14"/>
                <w:szCs w:val="14"/>
                <w:b w:val="1"/>
                <w:bCs w:val="1"/>
                <w:color w:val="auto"/>
              </w:rPr>
              <w:t>Plan</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jc w:val="right"/>
              <w:ind w:right="72"/>
              <w:spacing w:after="0"/>
              <w:rPr>
                <w:sz w:val="20"/>
                <w:szCs w:val="20"/>
                <w:color w:val="auto"/>
              </w:rPr>
            </w:pPr>
            <w:r>
              <w:rPr>
                <w:rFonts w:ascii="Arial" w:cs="Arial" w:eastAsia="Arial" w:hAnsi="Arial"/>
                <w:sz w:val="14"/>
                <w:szCs w:val="14"/>
                <w:b w:val="1"/>
                <w:bCs w:val="1"/>
                <w:color w:val="auto"/>
                <w:w w:val="89"/>
              </w:rPr>
              <w:t>Total</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9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ind w:right="5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840" w:type="dxa"/>
            <w:vAlign w:val="bottom"/>
            <w:gridSpan w:val="4"/>
          </w:tcPr>
          <w:p>
            <w:pPr>
              <w:spacing w:after="0" w:line="142" w:lineRule="exact"/>
              <w:rPr>
                <w:sz w:val="20"/>
                <w:szCs w:val="20"/>
                <w:color w:val="auto"/>
              </w:rPr>
            </w:pPr>
            <w:r>
              <w:rPr>
                <w:rFonts w:ascii="Arial" w:cs="Arial" w:eastAsia="Arial" w:hAnsi="Arial"/>
                <w:sz w:val="14"/>
                <w:szCs w:val="14"/>
                <w:b w:val="1"/>
                <w:bCs w:val="1"/>
                <w:i w:val="1"/>
                <w:iCs w:val="1"/>
                <w:color w:val="auto"/>
              </w:rPr>
              <w:t>millions)</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0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Amount recognized in statement of financial position</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00" w:type="dxa"/>
            <w:vAlign w:val="bottom"/>
          </w:tcPr>
          <w:p>
            <w:pPr>
              <w:spacing w:after="0" w:line="149" w:lineRule="exact"/>
              <w:rPr>
                <w:sz w:val="20"/>
                <w:szCs w:val="20"/>
                <w:color w:val="auto"/>
              </w:rPr>
            </w:pPr>
            <w:r>
              <w:rPr>
                <w:rFonts w:ascii="Arial" w:cs="Arial" w:eastAsia="Arial" w:hAnsi="Arial"/>
                <w:sz w:val="14"/>
                <w:szCs w:val="14"/>
                <w:color w:val="auto"/>
              </w:rPr>
              <w:t>Other assets</w:t>
            </w:r>
          </w:p>
        </w:tc>
        <w:tc>
          <w:tcPr>
            <w:tcW w:w="60" w:type="dxa"/>
            <w:vAlign w:val="bottom"/>
            <w:gridSpan w:val="2"/>
          </w:tcPr>
          <w:p>
            <w:pPr>
              <w:jc w:val="right"/>
              <w:spacing w:after="0"/>
              <w:rPr>
                <w:sz w:val="20"/>
                <w:szCs w:val="20"/>
                <w:color w:val="auto"/>
              </w:rPr>
            </w:pPr>
            <w:r>
              <w:rPr>
                <w:rFonts w:ascii="Arial" w:cs="Arial" w:eastAsia="Arial" w:hAnsi="Arial"/>
                <w:sz w:val="10"/>
                <w:szCs w:val="10"/>
                <w:b w:val="1"/>
                <w:bCs w:val="1"/>
                <w:color w:val="auto"/>
                <w:w w:val="71"/>
              </w:rPr>
              <w:t>$</w:t>
            </w:r>
          </w:p>
        </w:tc>
        <w:tc>
          <w:tcPr>
            <w:tcW w:w="7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60" w:type="dxa"/>
            <w:vAlign w:val="bottom"/>
            <w:gridSpan w:val="2"/>
          </w:tcPr>
          <w:p>
            <w:pPr>
              <w:jc w:val="right"/>
              <w:ind w:right="32"/>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20" w:type="dxa"/>
            <w:vAlign w:val="bottom"/>
            <w:gridSpan w:val="2"/>
          </w:tcPr>
          <w:p>
            <w:pPr>
              <w:jc w:val="right"/>
              <w:ind w:right="121"/>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liabilities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(138.6)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(376.0)</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(514.6)</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(557.7)</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(398.2)</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81"/>
              <w:spacing w:after="0" w:line="149" w:lineRule="exact"/>
              <w:rPr>
                <w:sz w:val="20"/>
                <w:szCs w:val="20"/>
                <w:color w:val="auto"/>
              </w:rPr>
            </w:pPr>
            <w:r>
              <w:rPr>
                <w:rFonts w:ascii="Arial" w:cs="Arial" w:eastAsia="Arial" w:hAnsi="Arial"/>
                <w:sz w:val="14"/>
                <w:szCs w:val="14"/>
                <w:color w:val="auto"/>
              </w:rPr>
              <w:t>(955.9)</w:t>
            </w:r>
          </w:p>
        </w:tc>
        <w:tc>
          <w:tcPr>
            <w:tcW w:w="0" w:type="dxa"/>
            <w:vAlign w:val="bottom"/>
          </w:tcPr>
          <w:p>
            <w:pPr>
              <w:spacing w:after="0"/>
              <w:rPr>
                <w:sz w:val="1"/>
                <w:szCs w:val="1"/>
                <w:color w:val="auto"/>
              </w:rPr>
            </w:pPr>
          </w:p>
        </w:tc>
      </w:tr>
      <w:tr>
        <w:trPr>
          <w:trHeight w:val="142"/>
        </w:trPr>
        <w:tc>
          <w:tcPr>
            <w:tcW w:w="3920" w:type="dxa"/>
            <w:vAlign w:val="bottom"/>
            <w:gridSpan w:val="2"/>
          </w:tcPr>
          <w:p>
            <w:pPr>
              <w:spacing w:after="0" w:line="142" w:lineRule="exact"/>
              <w:rPr>
                <w:sz w:val="20"/>
                <w:szCs w:val="20"/>
                <w:color w:val="auto"/>
              </w:rPr>
            </w:pPr>
            <w:r>
              <w:rPr>
                <w:rFonts w:ascii="Arial" w:cs="Arial" w:eastAsia="Arial" w:hAnsi="Arial"/>
                <w:sz w:val="14"/>
                <w:szCs w:val="14"/>
                <w:color w:val="auto"/>
              </w:rPr>
              <w:t>Total</w:t>
            </w:r>
          </w:p>
        </w:tc>
        <w:tc>
          <w:tcPr>
            <w:tcW w:w="20" w:type="dxa"/>
            <w:vAlign w:val="bottom"/>
          </w:tcPr>
          <w:p>
            <w:pPr>
              <w:spacing w:after="0"/>
              <w:rPr>
                <w:sz w:val="12"/>
                <w:szCs w:val="12"/>
                <w:color w:val="auto"/>
              </w:rPr>
            </w:pPr>
          </w:p>
        </w:tc>
        <w:tc>
          <w:tcPr>
            <w:tcW w:w="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5"/>
                <w:szCs w:val="5"/>
                <w:b w:val="1"/>
                <w:bCs w:val="1"/>
                <w:color w:val="auto"/>
                <w:w w:val="70"/>
              </w:rPr>
              <w:t>$</w:t>
            </w:r>
          </w:p>
        </w:tc>
        <w:tc>
          <w:tcPr>
            <w:tcW w:w="6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(138.6)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(376.0)</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4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(514.6</w:t>
            </w:r>
          </w:p>
        </w:tc>
        <w:tc>
          <w:tcPr>
            <w:tcW w:w="80" w:type="dxa"/>
            <w:vAlign w:val="bottom"/>
          </w:tcPr>
          <w:p>
            <w:pPr>
              <w:spacing w:after="0" w:line="142"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(557.7)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(398.2)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(955.9</w:t>
            </w:r>
          </w:p>
        </w:tc>
        <w:tc>
          <w:tcPr>
            <w:tcW w:w="160" w:type="dxa"/>
            <w:vAlign w:val="bottom"/>
          </w:tcPr>
          <w:p>
            <w:pPr>
              <w:jc w:val="right"/>
              <w:ind w:right="81"/>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3900" w:type="dxa"/>
            <w:vAlign w:val="bottom"/>
            <w:shd w:val="clear" w:color="auto" w:fill="CCEEFF"/>
          </w:tcPr>
          <w:p>
            <w:pPr>
              <w:spacing w:after="0" w:line="129" w:lineRule="exact"/>
              <w:rPr>
                <w:sz w:val="20"/>
                <w:szCs w:val="20"/>
                <w:color w:val="auto"/>
              </w:rPr>
            </w:pPr>
            <w:r>
              <w:rPr>
                <w:rFonts w:ascii="Arial" w:cs="Arial" w:eastAsia="Arial" w:hAnsi="Arial"/>
                <w:sz w:val="14"/>
                <w:szCs w:val="14"/>
                <w:b w:val="1"/>
                <w:bCs w:val="1"/>
                <w:color w:val="auto"/>
                <w:w w:val="93"/>
              </w:rPr>
              <w:t>Amount recognized in accumulated other comprehensive loss</w:t>
            </w:r>
          </w:p>
        </w:tc>
        <w:tc>
          <w:tcPr>
            <w:tcW w:w="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00" w:type="dxa"/>
            <w:vAlign w:val="bottom"/>
          </w:tcPr>
          <w:p>
            <w:pPr>
              <w:spacing w:after="0" w:line="149" w:lineRule="exact"/>
              <w:rPr>
                <w:sz w:val="20"/>
                <w:szCs w:val="20"/>
                <w:color w:val="auto"/>
              </w:rPr>
            </w:pPr>
            <w:r>
              <w:rPr>
                <w:rFonts w:ascii="Arial" w:cs="Arial" w:eastAsia="Arial" w:hAnsi="Arial"/>
                <w:sz w:val="14"/>
                <w:szCs w:val="14"/>
                <w:color w:val="auto"/>
              </w:rPr>
              <w:t>Total net actuarial loss</w:t>
            </w:r>
          </w:p>
        </w:tc>
        <w:tc>
          <w:tcPr>
            <w:tcW w:w="60" w:type="dxa"/>
            <w:vAlign w:val="bottom"/>
            <w:gridSpan w:val="2"/>
          </w:tcPr>
          <w:p>
            <w:pPr>
              <w:jc w:val="right"/>
              <w:spacing w:after="0"/>
              <w:rPr>
                <w:sz w:val="20"/>
                <w:szCs w:val="20"/>
                <w:color w:val="auto"/>
              </w:rPr>
            </w:pPr>
            <w:r>
              <w:rPr>
                <w:rFonts w:ascii="Arial" w:cs="Arial" w:eastAsia="Arial" w:hAnsi="Arial"/>
                <w:sz w:val="10"/>
                <w:szCs w:val="10"/>
                <w:b w:val="1"/>
                <w:bCs w:val="1"/>
                <w:color w:val="auto"/>
                <w:w w:val="71"/>
              </w:rPr>
              <w:t>$</w:t>
            </w: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298.3</w:t>
            </w:r>
          </w:p>
        </w:tc>
        <w:tc>
          <w:tcPr>
            <w:tcW w:w="100" w:type="dxa"/>
            <w:vAlign w:val="bottom"/>
          </w:tcPr>
          <w:p>
            <w:pPr>
              <w:spacing w:after="0"/>
              <w:rPr>
                <w:sz w:val="12"/>
                <w:szCs w:val="12"/>
                <w:color w:val="auto"/>
              </w:rPr>
            </w:pP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92.8</w:t>
            </w:r>
          </w:p>
        </w:tc>
        <w:tc>
          <w:tcPr>
            <w:tcW w:w="100" w:type="dxa"/>
            <w:vAlign w:val="bottom"/>
          </w:tcPr>
          <w:p>
            <w:pPr>
              <w:spacing w:after="0"/>
              <w:rPr>
                <w:sz w:val="12"/>
                <w:szCs w:val="12"/>
                <w:color w:val="auto"/>
              </w:rPr>
            </w:pP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4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391.1</w:t>
            </w:r>
          </w:p>
        </w:tc>
        <w:tc>
          <w:tcPr>
            <w:tcW w:w="80" w:type="dxa"/>
            <w:vAlign w:val="bottom"/>
          </w:tcPr>
          <w:p>
            <w:pPr>
              <w:spacing w:after="0"/>
              <w:rPr>
                <w:sz w:val="12"/>
                <w:szCs w:val="12"/>
                <w:color w:val="auto"/>
              </w:rPr>
            </w:pP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725.0</w:t>
            </w:r>
          </w:p>
        </w:tc>
        <w:tc>
          <w:tcPr>
            <w:tcW w:w="100" w:type="dxa"/>
            <w:vAlign w:val="bottom"/>
          </w:tcPr>
          <w:p>
            <w:pPr>
              <w:spacing w:after="0"/>
              <w:rPr>
                <w:sz w:val="12"/>
                <w:szCs w:val="12"/>
                <w:color w:val="auto"/>
              </w:rPr>
            </w:pPr>
          </w:p>
        </w:tc>
        <w:tc>
          <w:tcPr>
            <w:tcW w:w="1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136.2</w:t>
            </w:r>
          </w:p>
        </w:tc>
        <w:tc>
          <w:tcPr>
            <w:tcW w:w="100" w:type="dxa"/>
            <w:vAlign w:val="bottom"/>
          </w:tcPr>
          <w:p>
            <w:pPr>
              <w:spacing w:after="0"/>
              <w:rPr>
                <w:sz w:val="12"/>
                <w:szCs w:val="12"/>
                <w:color w:val="auto"/>
              </w:rPr>
            </w:pP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861.2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Prior service benefit</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(6.5)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(5.3)</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(11.8)</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(12.5)</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(7.9)</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81"/>
              <w:spacing w:after="0" w:line="149" w:lineRule="exact"/>
              <w:rPr>
                <w:sz w:val="20"/>
                <w:szCs w:val="20"/>
                <w:color w:val="auto"/>
              </w:rPr>
            </w:pPr>
            <w:r>
              <w:rPr>
                <w:rFonts w:ascii="Arial" w:cs="Arial" w:eastAsia="Arial" w:hAnsi="Arial"/>
                <w:sz w:val="14"/>
                <w:szCs w:val="14"/>
                <w:color w:val="auto"/>
              </w:rPr>
              <w:t>(20.4)</w:t>
            </w:r>
          </w:p>
        </w:tc>
        <w:tc>
          <w:tcPr>
            <w:tcW w:w="0" w:type="dxa"/>
            <w:vAlign w:val="bottom"/>
          </w:tcPr>
          <w:p>
            <w:pPr>
              <w:spacing w:after="0"/>
              <w:rPr>
                <w:sz w:val="1"/>
                <w:szCs w:val="1"/>
                <w:color w:val="auto"/>
              </w:rPr>
            </w:pPr>
          </w:p>
        </w:tc>
      </w:tr>
      <w:tr>
        <w:trPr>
          <w:trHeight w:val="142"/>
        </w:trPr>
        <w:tc>
          <w:tcPr>
            <w:tcW w:w="3920" w:type="dxa"/>
            <w:vAlign w:val="bottom"/>
            <w:gridSpan w:val="2"/>
          </w:tcPr>
          <w:p>
            <w:pPr>
              <w:spacing w:after="0" w:line="142" w:lineRule="exact"/>
              <w:rPr>
                <w:sz w:val="20"/>
                <w:szCs w:val="20"/>
                <w:color w:val="auto"/>
              </w:rPr>
            </w:pPr>
            <w:r>
              <w:rPr>
                <w:rFonts w:ascii="Arial" w:cs="Arial" w:eastAsia="Arial" w:hAnsi="Arial"/>
                <w:sz w:val="14"/>
                <w:szCs w:val="14"/>
                <w:color w:val="auto"/>
              </w:rPr>
              <w:t>Pre-tax accumulated other comprehensive loss</w:t>
            </w:r>
          </w:p>
        </w:tc>
        <w:tc>
          <w:tcPr>
            <w:tcW w:w="20" w:type="dxa"/>
            <w:vAlign w:val="bottom"/>
          </w:tcPr>
          <w:p>
            <w:pPr>
              <w:spacing w:after="0"/>
              <w:rPr>
                <w:sz w:val="12"/>
                <w:szCs w:val="12"/>
                <w:color w:val="auto"/>
              </w:rPr>
            </w:pPr>
          </w:p>
        </w:tc>
        <w:tc>
          <w:tcPr>
            <w:tcW w:w="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5"/>
                <w:szCs w:val="5"/>
                <w:b w:val="1"/>
                <w:bCs w:val="1"/>
                <w:color w:val="auto"/>
                <w:w w:val="70"/>
              </w:rPr>
              <w:t>$</w:t>
            </w:r>
          </w:p>
        </w:tc>
        <w:tc>
          <w:tcPr>
            <w:tcW w:w="6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291.8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87.5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4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379.3</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712.5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128.3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840.8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3900" w:type="dxa"/>
            <w:vAlign w:val="bottom"/>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Components of net periodic benefit cost</w:t>
            </w:r>
          </w:p>
        </w:tc>
        <w:tc>
          <w:tcPr>
            <w:tcW w:w="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00" w:type="dxa"/>
            <w:vAlign w:val="bottom"/>
          </w:tcPr>
          <w:p>
            <w:pPr>
              <w:spacing w:after="0" w:line="149" w:lineRule="exact"/>
              <w:rPr>
                <w:sz w:val="20"/>
                <w:szCs w:val="20"/>
                <w:color w:val="auto"/>
              </w:rPr>
            </w:pPr>
            <w:r>
              <w:rPr>
                <w:rFonts w:ascii="Arial" w:cs="Arial" w:eastAsia="Arial" w:hAnsi="Arial"/>
                <w:sz w:val="14"/>
                <w:szCs w:val="14"/>
                <w:color w:val="auto"/>
              </w:rPr>
              <w:t>Service cost</w:t>
            </w:r>
          </w:p>
        </w:tc>
        <w:tc>
          <w:tcPr>
            <w:tcW w:w="60" w:type="dxa"/>
            <w:vAlign w:val="bottom"/>
            <w:gridSpan w:val="2"/>
          </w:tcPr>
          <w:p>
            <w:pPr>
              <w:jc w:val="right"/>
              <w:spacing w:after="0"/>
              <w:rPr>
                <w:sz w:val="20"/>
                <w:szCs w:val="20"/>
                <w:color w:val="auto"/>
              </w:rPr>
            </w:pPr>
            <w:r>
              <w:rPr>
                <w:rFonts w:ascii="Arial" w:cs="Arial" w:eastAsia="Arial" w:hAnsi="Arial"/>
                <w:sz w:val="10"/>
                <w:szCs w:val="10"/>
                <w:b w:val="1"/>
                <w:bCs w:val="1"/>
                <w:color w:val="auto"/>
                <w:w w:val="71"/>
              </w:rPr>
              <w:t>$</w:t>
            </w: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50.4</w:t>
            </w:r>
          </w:p>
        </w:tc>
        <w:tc>
          <w:tcPr>
            <w:tcW w:w="100" w:type="dxa"/>
            <w:vAlign w:val="bottom"/>
          </w:tcPr>
          <w:p>
            <w:pPr>
              <w:spacing w:after="0"/>
              <w:rPr>
                <w:sz w:val="12"/>
                <w:szCs w:val="12"/>
                <w:color w:val="auto"/>
              </w:rPr>
            </w:pP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6.7</w:t>
            </w:r>
          </w:p>
        </w:tc>
        <w:tc>
          <w:tcPr>
            <w:tcW w:w="100" w:type="dxa"/>
            <w:vAlign w:val="bottom"/>
          </w:tcPr>
          <w:p>
            <w:pPr>
              <w:spacing w:after="0"/>
              <w:rPr>
                <w:sz w:val="12"/>
                <w:szCs w:val="12"/>
                <w:color w:val="auto"/>
              </w:rPr>
            </w:pP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4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57.1</w:t>
            </w:r>
          </w:p>
        </w:tc>
        <w:tc>
          <w:tcPr>
            <w:tcW w:w="80" w:type="dxa"/>
            <w:vAlign w:val="bottom"/>
          </w:tcPr>
          <w:p>
            <w:pPr>
              <w:spacing w:after="0"/>
              <w:rPr>
                <w:sz w:val="12"/>
                <w:szCs w:val="12"/>
                <w:color w:val="auto"/>
              </w:rPr>
            </w:pP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42.3</w:t>
            </w:r>
          </w:p>
        </w:tc>
        <w:tc>
          <w:tcPr>
            <w:tcW w:w="100" w:type="dxa"/>
            <w:vAlign w:val="bottom"/>
          </w:tcPr>
          <w:p>
            <w:pPr>
              <w:spacing w:after="0"/>
              <w:rPr>
                <w:sz w:val="12"/>
                <w:szCs w:val="12"/>
                <w:color w:val="auto"/>
              </w:rPr>
            </w:pPr>
          </w:p>
        </w:tc>
        <w:tc>
          <w:tcPr>
            <w:tcW w:w="1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4.7</w:t>
            </w:r>
          </w:p>
        </w:tc>
        <w:tc>
          <w:tcPr>
            <w:tcW w:w="100" w:type="dxa"/>
            <w:vAlign w:val="bottom"/>
          </w:tcPr>
          <w:p>
            <w:pPr>
              <w:spacing w:after="0"/>
              <w:rPr>
                <w:sz w:val="12"/>
                <w:szCs w:val="12"/>
                <w:color w:val="auto"/>
              </w:rPr>
            </w:pP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47.0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Interest cost</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88.2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15.6</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103.8</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92.8</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16.3</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109.1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00" w:type="dxa"/>
            <w:vAlign w:val="bottom"/>
          </w:tcPr>
          <w:p>
            <w:pPr>
              <w:spacing w:after="0" w:line="149" w:lineRule="exact"/>
              <w:rPr>
                <w:sz w:val="20"/>
                <w:szCs w:val="20"/>
                <w:color w:val="auto"/>
              </w:rPr>
            </w:pPr>
            <w:r>
              <w:rPr>
                <w:rFonts w:ascii="Arial" w:cs="Arial" w:eastAsia="Arial" w:hAnsi="Arial"/>
                <w:sz w:val="14"/>
                <w:szCs w:val="14"/>
                <w:color w:val="auto"/>
              </w:rPr>
              <w:t>Expected return on plan assets</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(127.4)</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(127.4)</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(114.6)</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jc w:val="right"/>
              <w:ind w:right="81"/>
              <w:spacing w:after="0" w:line="149" w:lineRule="exact"/>
              <w:rPr>
                <w:sz w:val="20"/>
                <w:szCs w:val="20"/>
                <w:color w:val="auto"/>
              </w:rPr>
            </w:pPr>
            <w:r>
              <w:rPr>
                <w:rFonts w:ascii="Arial" w:cs="Arial" w:eastAsia="Arial" w:hAnsi="Arial"/>
                <w:sz w:val="14"/>
                <w:szCs w:val="14"/>
                <w:color w:val="auto"/>
              </w:rPr>
              <w:t>(114.6)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Amortization of prior service benefit</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(6.1)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(2.6)</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(8.7)</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(6.3)</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(3.1)</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81"/>
              <w:spacing w:after="0" w:line="149" w:lineRule="exact"/>
              <w:rPr>
                <w:sz w:val="20"/>
                <w:szCs w:val="20"/>
                <w:color w:val="auto"/>
              </w:rPr>
            </w:pPr>
            <w:r>
              <w:rPr>
                <w:rFonts w:ascii="Arial" w:cs="Arial" w:eastAsia="Arial" w:hAnsi="Arial"/>
                <w:sz w:val="14"/>
                <w:szCs w:val="14"/>
                <w:color w:val="auto"/>
              </w:rPr>
              <w:t>(9.4)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00" w:type="dxa"/>
            <w:vAlign w:val="bottom"/>
          </w:tcPr>
          <w:p>
            <w:pPr>
              <w:spacing w:after="0" w:line="149" w:lineRule="exact"/>
              <w:rPr>
                <w:sz w:val="20"/>
                <w:szCs w:val="20"/>
                <w:color w:val="auto"/>
              </w:rPr>
            </w:pPr>
            <w:r>
              <w:rPr>
                <w:rFonts w:ascii="Arial" w:cs="Arial" w:eastAsia="Arial" w:hAnsi="Arial"/>
                <w:sz w:val="14"/>
                <w:szCs w:val="14"/>
                <w:color w:val="auto"/>
              </w:rPr>
              <w:t>Recognized net actuarial loss</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104.4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118.5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84.8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6.1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90.9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Amounts recognized due to special events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32"/>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(0.4)</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(0.3)</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81"/>
              <w:spacing w:after="0" w:line="149" w:lineRule="exact"/>
              <w:rPr>
                <w:sz w:val="20"/>
                <w:szCs w:val="20"/>
                <w:color w:val="auto"/>
              </w:rPr>
            </w:pPr>
            <w:r>
              <w:rPr>
                <w:rFonts w:ascii="Arial" w:cs="Arial" w:eastAsia="Arial" w:hAnsi="Arial"/>
                <w:sz w:val="14"/>
                <w:szCs w:val="14"/>
                <w:color w:val="auto"/>
              </w:rPr>
              <w:t>(0.7)</w:t>
            </w:r>
          </w:p>
        </w:tc>
        <w:tc>
          <w:tcPr>
            <w:tcW w:w="0" w:type="dxa"/>
            <w:vAlign w:val="bottom"/>
          </w:tcPr>
          <w:p>
            <w:pPr>
              <w:spacing w:after="0"/>
              <w:rPr>
                <w:sz w:val="1"/>
                <w:szCs w:val="1"/>
                <w:color w:val="auto"/>
              </w:rPr>
            </w:pPr>
          </w:p>
        </w:tc>
      </w:tr>
      <w:tr>
        <w:trPr>
          <w:trHeight w:val="142"/>
        </w:trPr>
        <w:tc>
          <w:tcPr>
            <w:tcW w:w="3920" w:type="dxa"/>
            <w:vAlign w:val="bottom"/>
            <w:gridSpan w:val="2"/>
          </w:tcPr>
          <w:p>
            <w:pPr>
              <w:spacing w:after="0" w:line="142" w:lineRule="exact"/>
              <w:rPr>
                <w:sz w:val="20"/>
                <w:szCs w:val="20"/>
                <w:color w:val="auto"/>
              </w:rPr>
            </w:pPr>
            <w:r>
              <w:rPr>
                <w:rFonts w:ascii="Arial" w:cs="Arial" w:eastAsia="Arial" w:hAnsi="Arial"/>
                <w:sz w:val="14"/>
                <w:szCs w:val="14"/>
                <w:color w:val="auto"/>
              </w:rPr>
              <w:t>Net periodic benefit cost</w:t>
            </w:r>
          </w:p>
        </w:tc>
        <w:tc>
          <w:tcPr>
            <w:tcW w:w="20" w:type="dxa"/>
            <w:vAlign w:val="bottom"/>
          </w:tcPr>
          <w:p>
            <w:pPr>
              <w:spacing w:after="0"/>
              <w:rPr>
                <w:sz w:val="12"/>
                <w:szCs w:val="12"/>
                <w:color w:val="auto"/>
              </w:rPr>
            </w:pPr>
          </w:p>
        </w:tc>
        <w:tc>
          <w:tcPr>
            <w:tcW w:w="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5"/>
                <w:szCs w:val="5"/>
                <w:b w:val="1"/>
                <w:bCs w:val="1"/>
                <w:color w:val="auto"/>
                <w:w w:val="70"/>
              </w:rPr>
              <w:t>$</w:t>
            </w:r>
          </w:p>
        </w:tc>
        <w:tc>
          <w:tcPr>
            <w:tcW w:w="6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109.5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33.8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4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143.3</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98.6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23.7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122.3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6"/>
        </w:trPr>
        <w:tc>
          <w:tcPr>
            <w:tcW w:w="20" w:type="dxa"/>
            <w:vAlign w:val="bottom"/>
          </w:tcPr>
          <w:p>
            <w:pPr>
              <w:spacing w:after="0"/>
              <w:rPr>
                <w:sz w:val="10"/>
                <w:szCs w:val="10"/>
                <w:color w:val="auto"/>
              </w:rPr>
            </w:pPr>
          </w:p>
        </w:tc>
        <w:tc>
          <w:tcPr>
            <w:tcW w:w="3900" w:type="dxa"/>
            <w:vAlign w:val="bottom"/>
            <w:shd w:val="clear" w:color="auto" w:fill="CCEEFF"/>
          </w:tcPr>
          <w:p>
            <w:pPr>
              <w:spacing w:after="0" w:line="117" w:lineRule="exact"/>
              <w:rPr>
                <w:sz w:val="20"/>
                <w:szCs w:val="20"/>
                <w:color w:val="auto"/>
              </w:rPr>
            </w:pPr>
            <w:r>
              <w:rPr>
                <w:rFonts w:ascii="Arial" w:cs="Arial" w:eastAsia="Arial" w:hAnsi="Arial"/>
                <w:sz w:val="12"/>
                <w:szCs w:val="12"/>
                <w:b w:val="1"/>
                <w:bCs w:val="1"/>
                <w:color w:val="auto"/>
              </w:rPr>
              <w:t>Other changes recognized in accumulated other comprehensive</w:t>
            </w:r>
          </w:p>
        </w:tc>
        <w:tc>
          <w:tcPr>
            <w:tcW w:w="2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6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4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900" w:type="dxa"/>
            <w:vAlign w:val="bottom"/>
            <w:shd w:val="clear" w:color="auto" w:fill="CCEEFF"/>
          </w:tcPr>
          <w:p>
            <w:pPr>
              <w:ind w:left="140"/>
              <w:spacing w:after="0"/>
              <w:rPr>
                <w:sz w:val="20"/>
                <w:szCs w:val="20"/>
                <w:color w:val="auto"/>
              </w:rPr>
            </w:pPr>
            <w:r>
              <w:rPr>
                <w:rFonts w:ascii="Arial" w:cs="Arial" w:eastAsia="Arial" w:hAnsi="Arial"/>
                <w:sz w:val="14"/>
                <w:szCs w:val="14"/>
                <w:b w:val="1"/>
                <w:bCs w:val="1"/>
                <w:color w:val="auto"/>
              </w:rPr>
              <w:t>(income) loss</w:t>
            </w:r>
          </w:p>
        </w:tc>
        <w:tc>
          <w:tcPr>
            <w:tcW w:w="2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6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6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00" w:type="dxa"/>
            <w:vAlign w:val="bottom"/>
          </w:tcPr>
          <w:p>
            <w:pPr>
              <w:spacing w:after="0" w:line="149" w:lineRule="exact"/>
              <w:rPr>
                <w:sz w:val="20"/>
                <w:szCs w:val="20"/>
                <w:color w:val="auto"/>
              </w:rPr>
            </w:pPr>
            <w:r>
              <w:rPr>
                <w:rFonts w:ascii="Arial" w:cs="Arial" w:eastAsia="Arial" w:hAnsi="Arial"/>
                <w:sz w:val="14"/>
                <w:szCs w:val="14"/>
                <w:color w:val="auto"/>
              </w:rPr>
              <w:t>Net actuarial (gain) loss</w:t>
            </w:r>
          </w:p>
        </w:tc>
        <w:tc>
          <w:tcPr>
            <w:tcW w:w="60" w:type="dxa"/>
            <w:vAlign w:val="bottom"/>
            <w:gridSpan w:val="2"/>
          </w:tcPr>
          <w:p>
            <w:pPr>
              <w:jc w:val="right"/>
              <w:spacing w:after="0"/>
              <w:rPr>
                <w:sz w:val="20"/>
                <w:szCs w:val="20"/>
                <w:color w:val="auto"/>
              </w:rPr>
            </w:pPr>
            <w:r>
              <w:rPr>
                <w:rFonts w:ascii="Arial" w:cs="Arial" w:eastAsia="Arial" w:hAnsi="Arial"/>
                <w:sz w:val="10"/>
                <w:szCs w:val="10"/>
                <w:b w:val="1"/>
                <w:bCs w:val="1"/>
                <w:color w:val="auto"/>
                <w:w w:val="71"/>
              </w:rPr>
              <w:t>$</w:t>
            </w:r>
          </w:p>
        </w:tc>
        <w:tc>
          <w:tcPr>
            <w:tcW w:w="7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(322.4)</w:t>
            </w: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(29.3)</w:t>
            </w: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(351.7)</w:t>
            </w: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223.5</w:t>
            </w:r>
          </w:p>
        </w:tc>
        <w:tc>
          <w:tcPr>
            <w:tcW w:w="100" w:type="dxa"/>
            <w:vAlign w:val="bottom"/>
          </w:tcPr>
          <w:p>
            <w:pPr>
              <w:spacing w:after="0"/>
              <w:rPr>
                <w:sz w:val="12"/>
                <w:szCs w:val="12"/>
                <w:color w:val="auto"/>
              </w:rPr>
            </w:pPr>
          </w:p>
        </w:tc>
        <w:tc>
          <w:tcPr>
            <w:tcW w:w="1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68.6</w:t>
            </w:r>
          </w:p>
        </w:tc>
        <w:tc>
          <w:tcPr>
            <w:tcW w:w="100" w:type="dxa"/>
            <w:vAlign w:val="bottom"/>
          </w:tcPr>
          <w:p>
            <w:pPr>
              <w:spacing w:after="0"/>
              <w:rPr>
                <w:sz w:val="12"/>
                <w:szCs w:val="12"/>
                <w:color w:val="auto"/>
              </w:rPr>
            </w:pP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292.1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Amortization of net loss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(104.4)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(14.1)</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(118.5)</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(84.8)</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(6.1)</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81"/>
              <w:spacing w:after="0" w:line="149" w:lineRule="exact"/>
              <w:rPr>
                <w:sz w:val="20"/>
                <w:szCs w:val="20"/>
                <w:color w:val="auto"/>
              </w:rPr>
            </w:pPr>
            <w:r>
              <w:rPr>
                <w:rFonts w:ascii="Arial" w:cs="Arial" w:eastAsia="Arial" w:hAnsi="Arial"/>
                <w:sz w:val="14"/>
                <w:szCs w:val="14"/>
                <w:color w:val="auto"/>
              </w:rPr>
              <w:t>(90.9)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00" w:type="dxa"/>
            <w:vAlign w:val="bottom"/>
          </w:tcPr>
          <w:p>
            <w:pPr>
              <w:spacing w:after="0" w:line="149" w:lineRule="exact"/>
              <w:rPr>
                <w:sz w:val="20"/>
                <w:szCs w:val="20"/>
                <w:color w:val="auto"/>
              </w:rPr>
            </w:pPr>
            <w:r>
              <w:rPr>
                <w:rFonts w:ascii="Arial" w:cs="Arial" w:eastAsia="Arial" w:hAnsi="Arial"/>
                <w:sz w:val="14"/>
                <w:szCs w:val="14"/>
                <w:color w:val="auto"/>
              </w:rPr>
              <w:t>Amortization of prior service benefit</w:t>
            </w:r>
          </w:p>
        </w:tc>
        <w:tc>
          <w:tcPr>
            <w:tcW w:w="20" w:type="dxa"/>
            <w:vAlign w:val="bottom"/>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6.1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2.6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8.7</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6.7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10.1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3900" w:type="dxa"/>
            <w:vAlign w:val="bottom"/>
            <w:shd w:val="clear" w:color="auto" w:fill="CCEEFF"/>
          </w:tcPr>
          <w:p>
            <w:pPr>
              <w:spacing w:after="0" w:line="131" w:lineRule="exact"/>
              <w:rPr>
                <w:sz w:val="20"/>
                <w:szCs w:val="20"/>
                <w:color w:val="auto"/>
              </w:rPr>
            </w:pPr>
            <w:r>
              <w:rPr>
                <w:rFonts w:ascii="Arial" w:cs="Arial" w:eastAsia="Arial" w:hAnsi="Arial"/>
                <w:sz w:val="14"/>
                <w:szCs w:val="14"/>
                <w:color w:val="auto"/>
              </w:rPr>
              <w:t>Total recognized in pre-tax accumulated other comprehensive</w:t>
            </w:r>
          </w:p>
        </w:tc>
        <w:tc>
          <w:tcPr>
            <w:tcW w:w="60" w:type="dxa"/>
            <w:vAlign w:val="bottom"/>
            <w:gridSpan w:val="2"/>
            <w:vMerge w:val="restart"/>
            <w:shd w:val="clear" w:color="auto" w:fill="CCEEFF"/>
          </w:tcPr>
          <w:p>
            <w:pPr>
              <w:jc w:val="right"/>
              <w:spacing w:after="0"/>
              <w:rPr>
                <w:sz w:val="20"/>
                <w:szCs w:val="20"/>
                <w:color w:val="auto"/>
              </w:rPr>
            </w:pPr>
            <w:r>
              <w:rPr>
                <w:rFonts w:ascii="Arial" w:cs="Arial" w:eastAsia="Arial" w:hAnsi="Arial"/>
                <w:sz w:val="10"/>
                <w:szCs w:val="10"/>
                <w:b w:val="1"/>
                <w:bCs w:val="1"/>
                <w:color w:val="auto"/>
                <w:w w:val="71"/>
              </w:rPr>
              <w:t>$</w:t>
            </w:r>
          </w:p>
        </w:tc>
        <w:tc>
          <w:tcPr>
            <w:tcW w:w="72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(420.7)</w:t>
            </w:r>
          </w:p>
        </w:tc>
        <w:tc>
          <w:tcPr>
            <w:tcW w:w="14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92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(40.8)</w:t>
            </w:r>
          </w:p>
        </w:tc>
        <w:tc>
          <w:tcPr>
            <w:tcW w:w="16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56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(461.5)</w:t>
            </w: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90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(income) loss</w:t>
            </w:r>
          </w:p>
        </w:tc>
        <w:tc>
          <w:tcPr>
            <w:tcW w:w="60" w:type="dxa"/>
            <w:vAlign w:val="bottom"/>
            <w:gridSpan w:val="2"/>
            <w:vMerge w:val="continue"/>
            <w:shd w:val="clear" w:color="auto" w:fill="CCEEFF"/>
          </w:tcPr>
          <w:p>
            <w:pPr>
              <w:spacing w:after="0"/>
              <w:rPr>
                <w:sz w:val="13"/>
                <w:szCs w:val="13"/>
                <w:color w:val="auto"/>
              </w:rPr>
            </w:pPr>
          </w:p>
        </w:tc>
        <w:tc>
          <w:tcPr>
            <w:tcW w:w="720" w:type="dxa"/>
            <w:vAlign w:val="bottom"/>
            <w:gridSpan w:val="2"/>
            <w:vMerge w:val="continue"/>
            <w:shd w:val="clear" w:color="auto" w:fill="CCEEFF"/>
          </w:tcPr>
          <w:p>
            <w:pPr>
              <w:spacing w:after="0"/>
              <w:rPr>
                <w:sz w:val="13"/>
                <w:szCs w:val="13"/>
                <w:color w:val="auto"/>
              </w:rPr>
            </w:pPr>
          </w:p>
        </w:tc>
        <w:tc>
          <w:tcPr>
            <w:tcW w:w="140" w:type="dxa"/>
            <w:vAlign w:val="bottom"/>
            <w:gridSpan w:val="2"/>
            <w:vMerge w:val="continue"/>
            <w:shd w:val="clear" w:color="auto" w:fill="CCEEFF"/>
          </w:tcPr>
          <w:p>
            <w:pPr>
              <w:spacing w:after="0"/>
              <w:rPr>
                <w:sz w:val="13"/>
                <w:szCs w:val="13"/>
                <w:color w:val="auto"/>
              </w:rPr>
            </w:pPr>
          </w:p>
        </w:tc>
        <w:tc>
          <w:tcPr>
            <w:tcW w:w="920" w:type="dxa"/>
            <w:vAlign w:val="bottom"/>
            <w:gridSpan w:val="2"/>
            <w:vMerge w:val="continue"/>
            <w:shd w:val="clear" w:color="auto" w:fill="CCEEFF"/>
          </w:tcPr>
          <w:p>
            <w:pPr>
              <w:spacing w:after="0"/>
              <w:rPr>
                <w:sz w:val="13"/>
                <w:szCs w:val="13"/>
                <w:color w:val="auto"/>
              </w:rPr>
            </w:pPr>
          </w:p>
        </w:tc>
        <w:tc>
          <w:tcPr>
            <w:tcW w:w="160" w:type="dxa"/>
            <w:vAlign w:val="bottom"/>
            <w:gridSpan w:val="2"/>
            <w:vMerge w:val="continue"/>
            <w:shd w:val="clear" w:color="auto" w:fill="CCEEFF"/>
          </w:tcPr>
          <w:p>
            <w:pPr>
              <w:spacing w:after="0"/>
              <w:rPr>
                <w:sz w:val="13"/>
                <w:szCs w:val="13"/>
                <w:color w:val="auto"/>
              </w:rPr>
            </w:pPr>
          </w:p>
        </w:tc>
        <w:tc>
          <w:tcPr>
            <w:tcW w:w="560" w:type="dxa"/>
            <w:vAlign w:val="bottom"/>
            <w:gridSpan w:val="2"/>
            <w:vMerge w:val="continue"/>
            <w:shd w:val="clear" w:color="auto" w:fill="CCEEFF"/>
          </w:tcPr>
          <w:p>
            <w:pPr>
              <w:spacing w:after="0"/>
              <w:rPr>
                <w:sz w:val="13"/>
                <w:szCs w:val="13"/>
                <w:color w:val="auto"/>
              </w:rPr>
            </w:pPr>
          </w:p>
        </w:tc>
        <w:tc>
          <w:tcPr>
            <w:tcW w:w="1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145.4</w:t>
            </w:r>
          </w:p>
        </w:tc>
        <w:tc>
          <w:tcPr>
            <w:tcW w:w="100" w:type="dxa"/>
            <w:vAlign w:val="bottom"/>
            <w:shd w:val="clear" w:color="auto" w:fill="CCEEFF"/>
          </w:tcPr>
          <w:p>
            <w:pPr>
              <w:spacing w:after="0"/>
              <w:rPr>
                <w:sz w:val="13"/>
                <w:szCs w:val="13"/>
                <w:color w:val="auto"/>
              </w:rPr>
            </w:pPr>
          </w:p>
        </w:tc>
        <w:tc>
          <w:tcPr>
            <w:tcW w:w="12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65.9</w:t>
            </w:r>
          </w:p>
        </w:tc>
        <w:tc>
          <w:tcPr>
            <w:tcW w:w="100" w:type="dxa"/>
            <w:vAlign w:val="bottom"/>
            <w:shd w:val="clear" w:color="auto" w:fill="CCEEFF"/>
          </w:tcPr>
          <w:p>
            <w:pPr>
              <w:spacing w:after="0"/>
              <w:rPr>
                <w:sz w:val="13"/>
                <w:szCs w:val="13"/>
                <w:color w:val="auto"/>
              </w:rPr>
            </w:pPr>
          </w:p>
        </w:tc>
        <w:tc>
          <w:tcPr>
            <w:tcW w:w="1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211.3</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3920" w:type="dxa"/>
            <w:vAlign w:val="bottom"/>
            <w:gridSpan w:val="2"/>
            <w:vMerge w:val="restart"/>
          </w:tcPr>
          <w:p>
            <w:pPr>
              <w:spacing w:after="0" w:line="156" w:lineRule="exact"/>
              <w:rPr>
                <w:sz w:val="20"/>
                <w:szCs w:val="20"/>
                <w:color w:val="auto"/>
              </w:rPr>
            </w:pPr>
            <w:r>
              <w:rPr>
                <w:rFonts w:ascii="Arial" w:cs="Arial" w:eastAsia="Arial" w:hAnsi="Arial"/>
                <w:sz w:val="14"/>
                <w:szCs w:val="14"/>
                <w:b w:val="1"/>
                <w:bCs w:val="1"/>
                <w:color w:val="auto"/>
              </w:rPr>
              <w:t>Total recognized in net periodic benefit cost and pre-tax</w:t>
            </w:r>
          </w:p>
        </w:tc>
        <w:tc>
          <w:tcPr>
            <w:tcW w:w="2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6"/>
        </w:trPr>
        <w:tc>
          <w:tcPr>
            <w:tcW w:w="3920" w:type="dxa"/>
            <w:vAlign w:val="bottom"/>
            <w:gridSpan w:val="2"/>
            <w:vMerge w:val="continue"/>
          </w:tcPr>
          <w:p>
            <w:pPr>
              <w:spacing w:after="0"/>
              <w:rPr>
                <w:sz w:val="10"/>
                <w:szCs w:val="10"/>
                <w:color w:val="auto"/>
              </w:rPr>
            </w:pPr>
          </w:p>
        </w:tc>
        <w:tc>
          <w:tcPr>
            <w:tcW w:w="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900" w:type="dxa"/>
            <w:vAlign w:val="bottom"/>
          </w:tcPr>
          <w:p>
            <w:pPr>
              <w:ind w:left="140"/>
              <w:spacing w:after="0"/>
              <w:rPr>
                <w:sz w:val="20"/>
                <w:szCs w:val="20"/>
                <w:color w:val="auto"/>
              </w:rPr>
            </w:pPr>
            <w:r>
              <w:rPr>
                <w:rFonts w:ascii="Arial" w:cs="Arial" w:eastAsia="Arial" w:hAnsi="Arial"/>
                <w:sz w:val="14"/>
                <w:szCs w:val="14"/>
                <w:b w:val="1"/>
                <w:bCs w:val="1"/>
                <w:color w:val="auto"/>
              </w:rPr>
              <w:t>accumulated other comprehensive (income) loss</w:t>
            </w:r>
          </w:p>
        </w:tc>
        <w:tc>
          <w:tcPr>
            <w:tcW w:w="60" w:type="dxa"/>
            <w:vAlign w:val="bottom"/>
            <w:gridSpan w:val="2"/>
          </w:tcPr>
          <w:p>
            <w:pPr>
              <w:jc w:val="right"/>
              <w:spacing w:after="0"/>
              <w:rPr>
                <w:sz w:val="20"/>
                <w:szCs w:val="20"/>
                <w:color w:val="auto"/>
              </w:rPr>
            </w:pPr>
            <w:r>
              <w:rPr>
                <w:rFonts w:ascii="Arial" w:cs="Arial" w:eastAsia="Arial" w:hAnsi="Arial"/>
                <w:sz w:val="10"/>
                <w:szCs w:val="10"/>
                <w:b w:val="1"/>
                <w:bCs w:val="1"/>
                <w:color w:val="auto"/>
                <w:w w:val="71"/>
              </w:rPr>
              <w:t>$</w:t>
            </w:r>
          </w:p>
        </w:tc>
        <w:tc>
          <w:tcPr>
            <w:tcW w:w="72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rPr>
              <w:t>(311.2)</w:t>
            </w:r>
          </w:p>
        </w:tc>
        <w:tc>
          <w:tcPr>
            <w:tcW w:w="140" w:type="dxa"/>
            <w:vAlign w:val="bottom"/>
            <w:gridSpan w:val="2"/>
          </w:tcPr>
          <w:p>
            <w:pPr>
              <w:jc w:val="right"/>
              <w:spacing w:after="0"/>
              <w:rPr>
                <w:sz w:val="20"/>
                <w:szCs w:val="20"/>
                <w:color w:val="auto"/>
              </w:rPr>
            </w:pPr>
            <w:r>
              <w:rPr>
                <w:rFonts w:ascii="Arial" w:cs="Arial" w:eastAsia="Arial" w:hAnsi="Arial"/>
                <w:sz w:val="14"/>
                <w:szCs w:val="14"/>
                <w:b w:val="1"/>
                <w:bCs w:val="1"/>
                <w:color w:val="auto"/>
              </w:rPr>
              <w:t>$</w:t>
            </w:r>
          </w:p>
        </w:tc>
        <w:tc>
          <w:tcPr>
            <w:tcW w:w="92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rPr>
              <w:t>(7.0)</w:t>
            </w:r>
          </w:p>
        </w:tc>
        <w:tc>
          <w:tcPr>
            <w:tcW w:w="160" w:type="dxa"/>
            <w:vAlign w:val="bottom"/>
            <w:gridSpan w:val="2"/>
          </w:tcPr>
          <w:p>
            <w:pPr>
              <w:jc w:val="right"/>
              <w:spacing w:after="0"/>
              <w:rPr>
                <w:sz w:val="20"/>
                <w:szCs w:val="20"/>
                <w:color w:val="auto"/>
              </w:rPr>
            </w:pPr>
            <w:r>
              <w:rPr>
                <w:rFonts w:ascii="Arial" w:cs="Arial" w:eastAsia="Arial" w:hAnsi="Arial"/>
                <w:sz w:val="14"/>
                <w:szCs w:val="14"/>
                <w:b w:val="1"/>
                <w:bCs w:val="1"/>
                <w:color w:val="auto"/>
              </w:rPr>
              <w:t>$</w:t>
            </w:r>
          </w:p>
        </w:tc>
        <w:tc>
          <w:tcPr>
            <w:tcW w:w="560" w:type="dxa"/>
            <w:vAlign w:val="bottom"/>
            <w:gridSpan w:val="2"/>
          </w:tcPr>
          <w:p>
            <w:pPr>
              <w:jc w:val="right"/>
              <w:spacing w:after="0"/>
              <w:rPr>
                <w:sz w:val="20"/>
                <w:szCs w:val="20"/>
                <w:color w:val="auto"/>
              </w:rPr>
            </w:pPr>
            <w:r>
              <w:rPr>
                <w:rFonts w:ascii="Arial" w:cs="Arial" w:eastAsia="Arial" w:hAnsi="Arial"/>
                <w:sz w:val="14"/>
                <w:szCs w:val="14"/>
                <w:b w:val="1"/>
                <w:bCs w:val="1"/>
                <w:color w:val="auto"/>
              </w:rPr>
              <w:t>(318.2)</w:t>
            </w:r>
          </w:p>
        </w:tc>
        <w:tc>
          <w:tcPr>
            <w:tcW w:w="1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20" w:type="dxa"/>
            <w:vAlign w:val="bottom"/>
          </w:tcPr>
          <w:p>
            <w:pPr>
              <w:jc w:val="right"/>
              <w:spacing w:after="0"/>
              <w:rPr>
                <w:sz w:val="20"/>
                <w:szCs w:val="20"/>
                <w:color w:val="auto"/>
              </w:rPr>
            </w:pPr>
            <w:r>
              <w:rPr>
                <w:rFonts w:ascii="Arial" w:cs="Arial" w:eastAsia="Arial" w:hAnsi="Arial"/>
                <w:sz w:val="14"/>
                <w:szCs w:val="14"/>
                <w:color w:val="auto"/>
              </w:rPr>
              <w:t>244.0</w:t>
            </w:r>
          </w:p>
        </w:tc>
        <w:tc>
          <w:tcPr>
            <w:tcW w:w="100" w:type="dxa"/>
            <w:vAlign w:val="bottom"/>
          </w:tcPr>
          <w:p>
            <w:pPr>
              <w:spacing w:after="0"/>
              <w:rPr>
                <w:sz w:val="14"/>
                <w:szCs w:val="14"/>
                <w:color w:val="auto"/>
              </w:rPr>
            </w:pPr>
          </w:p>
        </w:tc>
        <w:tc>
          <w:tcPr>
            <w:tcW w:w="1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89.6</w:t>
            </w:r>
          </w:p>
        </w:tc>
        <w:tc>
          <w:tcPr>
            <w:tcW w:w="100" w:type="dxa"/>
            <w:vAlign w:val="bottom"/>
          </w:tcPr>
          <w:p>
            <w:pPr>
              <w:spacing w:after="0"/>
              <w:rPr>
                <w:sz w:val="14"/>
                <w:szCs w:val="14"/>
                <w:color w:val="auto"/>
              </w:rPr>
            </w:pPr>
          </w:p>
        </w:tc>
        <w:tc>
          <w:tcPr>
            <w:tcW w:w="1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60" w:type="dxa"/>
            <w:vAlign w:val="bottom"/>
          </w:tcPr>
          <w:p>
            <w:pPr>
              <w:jc w:val="right"/>
              <w:spacing w:after="0"/>
              <w:rPr>
                <w:sz w:val="20"/>
                <w:szCs w:val="20"/>
                <w:color w:val="auto"/>
              </w:rPr>
            </w:pPr>
            <w:r>
              <w:rPr>
                <w:rFonts w:ascii="Arial" w:cs="Arial" w:eastAsia="Arial" w:hAnsi="Arial"/>
                <w:sz w:val="14"/>
                <w:szCs w:val="14"/>
                <w:color w:val="auto"/>
              </w:rPr>
              <w:t>333.6</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firstLine="373"/>
        <w:spacing w:after="0" w:line="288" w:lineRule="auto"/>
        <w:rPr>
          <w:sz w:val="20"/>
          <w:szCs w:val="20"/>
          <w:color w:val="auto"/>
        </w:rPr>
      </w:pPr>
      <w:r>
        <w:rPr>
          <w:rFonts w:ascii="Arial" w:cs="Arial" w:eastAsia="Arial" w:hAnsi="Arial"/>
          <w:sz w:val="16"/>
          <w:szCs w:val="16"/>
          <w:color w:val="auto"/>
        </w:rPr>
        <w:t>In addition, we have defined contribution plans that are generally available to all U.S. employees and agents. Eligible participants could not contribute more than $17,500 of their compensation to the plans in 2013. Effective January 1, 2006, we made several changes to the retirement programs. In general, the pension and supplemental executive retirement plan benefit formulas were reduced, and the 401(k) matching contribution was increased. Employees who were ages 47 or older with at least ten years of service on December 31, 2005, could elect to retain the prior benefit provisions and forgo receipt of the additional matching contributions. The employees who elected to retain the prior benefit provisions are referred to as "Grandfathered Choice Participants." We match the Grandfathered Choice Participant's contribution at a 50% contribution rate up to a maximum contribution of 3% of the participant's compensation. For all other participants, we match the participant's contributions at a 75% contribution rate up to a maximum of 6% of the participant's compensation. The defined contribution plans allow employees to choose among various investment options, including our common stock. We contributed $39.8 million, $37.3 million and $36.3 million in 2013, 2012 and 2011, respectively, to our qualified defined contribution plans.</w:t>
      </w:r>
    </w:p>
    <w:p>
      <w:pPr>
        <w:spacing w:after="0" w:line="174" w:lineRule="exact"/>
        <w:rPr>
          <w:sz w:val="20"/>
          <w:szCs w:val="20"/>
          <w:color w:val="auto"/>
        </w:rPr>
      </w:pPr>
    </w:p>
    <w:p>
      <w:pPr>
        <w:jc w:val="both"/>
        <w:ind w:firstLine="348"/>
        <w:spacing w:after="0" w:line="294" w:lineRule="auto"/>
        <w:rPr>
          <w:sz w:val="20"/>
          <w:szCs w:val="20"/>
          <w:color w:val="auto"/>
        </w:rPr>
      </w:pPr>
      <w:r>
        <w:rPr>
          <w:rFonts w:ascii="Arial" w:cs="Arial" w:eastAsia="Arial" w:hAnsi="Arial"/>
          <w:sz w:val="16"/>
          <w:szCs w:val="16"/>
          <w:color w:val="auto"/>
        </w:rPr>
        <w:t>We also have nonqualified deferred compensation plans available to select employees and agents that allow them to defer compensation amounts in excess of limits imposed by federal tax law with respect to the qualified plans. In 2013, we matched the Grandfathered Choice Participant's deferral at a 50% match deferral rate up to a maximum matching deferral of 3% of the participant's compensation. For all other participants, we matched the participant's deferral at a 75% match deferral rate up to a maximum matching deferral of 6% of the participant's compensation. We contributed $5.0 million, $4.6 million and $3.5 million in 2013, 2012 and 2011, respectively, to our nonqualified deferred compensation plans.</w:t>
      </w:r>
    </w:p>
    <w:p>
      <w:pPr>
        <w:spacing w:after="0" w:line="164" w:lineRule="exact"/>
        <w:rPr>
          <w:sz w:val="20"/>
          <w:szCs w:val="20"/>
          <w:color w:val="auto"/>
        </w:rPr>
      </w:pPr>
    </w:p>
    <w:p>
      <w:pPr>
        <w:ind w:right="7500" w:firstLine="8"/>
        <w:spacing w:after="0" w:line="605" w:lineRule="auto"/>
        <w:tabs>
          <w:tab w:leader="none" w:pos="263" w:val="left"/>
        </w:tabs>
        <w:numPr>
          <w:ilvl w:val="0"/>
          <w:numId w:val="70"/>
        </w:numPr>
        <w:rPr>
          <w:rFonts w:ascii="Arial" w:cs="Arial" w:eastAsia="Arial" w:hAnsi="Arial"/>
          <w:sz w:val="15"/>
          <w:szCs w:val="15"/>
          <w:b w:val="1"/>
          <w:bCs w:val="1"/>
          <w:color w:val="auto"/>
        </w:rPr>
      </w:pPr>
      <w:r>
        <w:rPr>
          <w:rFonts w:ascii="Arial" w:cs="Arial" w:eastAsia="Arial" w:hAnsi="Arial"/>
          <w:sz w:val="15"/>
          <w:szCs w:val="15"/>
          <w:b w:val="1"/>
          <w:bCs w:val="1"/>
          <w:color w:val="auto"/>
        </w:rPr>
        <w:t>Contingencies, Guarantees and Indemnifications Litigation and Regulatory Contingencies</w:t>
      </w:r>
    </w:p>
    <w:p>
      <w:pPr>
        <w:spacing w:after="0" w:line="1" w:lineRule="exact"/>
        <w:rPr>
          <w:sz w:val="20"/>
          <w:szCs w:val="20"/>
          <w:color w:val="auto"/>
        </w:rPr>
      </w:pPr>
    </w:p>
    <w:p>
      <w:pPr>
        <w:ind w:firstLine="427"/>
        <w:spacing w:after="0" w:line="268" w:lineRule="auto"/>
        <w:rPr>
          <w:sz w:val="20"/>
          <w:szCs w:val="20"/>
          <w:color w:val="auto"/>
        </w:rPr>
      </w:pPr>
      <w:r>
        <w:rPr>
          <w:rFonts w:ascii="Arial" w:cs="Arial" w:eastAsia="Arial" w:hAnsi="Arial"/>
          <w:sz w:val="18"/>
          <w:szCs w:val="18"/>
          <w:color w:val="auto"/>
        </w:rPr>
        <w:t>We are regularly involved in litigation, both as a defendant and as a plaintiff, but primarily as a defendant. Litigation naming us as a defendant ordinarily arises out of our business operations as a provider of asset management and</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57" w:name="page158"/>
    <w:bookmarkEnd w:id="15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Contingencies, Guarantees and Indemnifications — (continued)</w:t>
      </w:r>
    </w:p>
    <w:p>
      <w:pPr>
        <w:spacing w:after="0" w:line="231" w:lineRule="exact"/>
        <w:rPr>
          <w:sz w:val="20"/>
          <w:szCs w:val="20"/>
          <w:color w:val="auto"/>
        </w:rPr>
      </w:pPr>
    </w:p>
    <w:p>
      <w:pPr>
        <w:jc w:val="both"/>
        <w:spacing w:after="0" w:line="268" w:lineRule="auto"/>
        <w:rPr>
          <w:sz w:val="20"/>
          <w:szCs w:val="20"/>
          <w:color w:val="auto"/>
        </w:rPr>
      </w:pPr>
      <w:r>
        <w:rPr>
          <w:rFonts w:ascii="Arial" w:cs="Arial" w:eastAsia="Arial" w:hAnsi="Arial"/>
          <w:sz w:val="18"/>
          <w:szCs w:val="18"/>
          <w:color w:val="auto"/>
        </w:rPr>
        <w:t>accumulation products and services; individual life insurance, specialty benefits insurance and our investment activities. Some of the lawsuits may be class actions, or purport to be, and some may include claims for unspecified or substantial punitive and treble damages.</w:t>
      </w:r>
    </w:p>
    <w:p>
      <w:pPr>
        <w:spacing w:after="0" w:line="186" w:lineRule="exact"/>
        <w:rPr>
          <w:sz w:val="20"/>
          <w:szCs w:val="20"/>
          <w:color w:val="auto"/>
        </w:rPr>
      </w:pPr>
    </w:p>
    <w:p>
      <w:pPr>
        <w:jc w:val="both"/>
        <w:ind w:firstLine="402"/>
        <w:spacing w:after="0" w:line="298" w:lineRule="auto"/>
        <w:rPr>
          <w:sz w:val="20"/>
          <w:szCs w:val="20"/>
          <w:color w:val="auto"/>
        </w:rPr>
      </w:pPr>
      <w:r>
        <w:rPr>
          <w:rFonts w:ascii="Arial" w:cs="Arial" w:eastAsia="Arial" w:hAnsi="Arial"/>
          <w:sz w:val="16"/>
          <w:szCs w:val="16"/>
          <w:color w:val="auto"/>
        </w:rPr>
        <w:t>We may discuss such litigation in one of three ways. We accrue a charge to income and disclose legal matters for which the chance of loss is probable and for which the amount of loss can be reasonably estimated. We may disclose contingencies for which the chance of loss is reasonably possible and provide an estimate of the possible loss or range of loss or a statement that such an estimate cannot be made. Finally, we may voluntarily disclose loss contingencies for which the chance of loss is remote in order to provide information concerning matters that potentially expose us to possible losses.</w:t>
      </w:r>
    </w:p>
    <w:p>
      <w:pPr>
        <w:spacing w:after="0" w:line="167" w:lineRule="exact"/>
        <w:rPr>
          <w:sz w:val="20"/>
          <w:szCs w:val="20"/>
          <w:color w:val="auto"/>
        </w:rPr>
      </w:pPr>
    </w:p>
    <w:p>
      <w:pPr>
        <w:jc w:val="both"/>
        <w:ind w:firstLine="486"/>
        <w:spacing w:after="0" w:line="298" w:lineRule="auto"/>
        <w:rPr>
          <w:sz w:val="20"/>
          <w:szCs w:val="20"/>
          <w:color w:val="auto"/>
        </w:rPr>
      </w:pPr>
      <w:r>
        <w:rPr>
          <w:rFonts w:ascii="Arial" w:cs="Arial" w:eastAsia="Arial" w:hAnsi="Arial"/>
          <w:sz w:val="16"/>
          <w:szCs w:val="16"/>
          <w:color w:val="auto"/>
        </w:rPr>
        <w:t>In addition, regulatory bodies such as state insurance departments, the SEC, the Financial Industry Regulatory Authority, the Department of Labor, the Federal Reserve Board and other regulatory agencies regularly make inquiries and conduct examinations or investigations concerning our compliance with, among other things, insurance laws, securities laws, ERISA and laws governing the activities of broker-dealers. We receive requests from regulators and other governmental authorities relating to industry issues and may receive additional requests, including subpoenas and interrogatories, in the future.</w:t>
      </w:r>
    </w:p>
    <w:p>
      <w:pPr>
        <w:spacing w:after="0" w:line="167" w:lineRule="exact"/>
        <w:rPr>
          <w:sz w:val="20"/>
          <w:szCs w:val="20"/>
          <w:color w:val="auto"/>
        </w:rPr>
      </w:pPr>
    </w:p>
    <w:p>
      <w:pPr>
        <w:jc w:val="both"/>
        <w:ind w:firstLine="397"/>
        <w:spacing w:after="0" w:line="289" w:lineRule="auto"/>
        <w:rPr>
          <w:sz w:val="20"/>
          <w:szCs w:val="20"/>
          <w:color w:val="auto"/>
        </w:rPr>
      </w:pPr>
      <w:r>
        <w:rPr>
          <w:rFonts w:ascii="Arial" w:cs="Arial" w:eastAsia="Arial" w:hAnsi="Arial"/>
          <w:sz w:val="16"/>
          <w:szCs w:val="16"/>
          <w:color w:val="auto"/>
        </w:rPr>
        <w:t>On November 8, 2006, a trustee of Fairmount Park Inc. Retirement Savings Plan filed a putative class action lawsuit in the United States District Court for the Southern District of Illinois against Principal Life. The complaint alleged, among other things, that Principal Life breached its alleged fiduciary duties while performing services to 401(k) plans by failing to disclose, or adequately disclose, to employers or plan participants the fact that Principal Life receives "revenue sharing fees from mutual funds that are included in its pre-packaged 401(k) plans" and allegedly failed to use the revenue to defray the expenses of the services provided to the plans. Plaintiff sought to certify a class of all retirement plans to which Principal Life was a service provider and for which Principal Life received and retained "revenue sharing" fees from mutual funds. On June 13, 2011, the court entered a consent judgment resolving the claims of the plaintiff. On July 12, 2011, plaintiff filed a notice of appeal related to the issue of the denial of class certification. On February 13, 2013, the Eighth Circuit Court of Appeals dismissed the appeal. Plaintiff filed a petition for a writ of certiorari with the U.S. Supreme Court, which was denied on October 7, 2013.</w:t>
      </w:r>
    </w:p>
    <w:p>
      <w:pPr>
        <w:spacing w:after="0" w:line="172" w:lineRule="exact"/>
        <w:rPr>
          <w:sz w:val="20"/>
          <w:szCs w:val="20"/>
          <w:color w:val="auto"/>
        </w:rPr>
      </w:pPr>
    </w:p>
    <w:p>
      <w:pPr>
        <w:jc w:val="both"/>
        <w:ind w:firstLine="452"/>
        <w:spacing w:after="0" w:line="255" w:lineRule="auto"/>
        <w:rPr>
          <w:sz w:val="20"/>
          <w:szCs w:val="20"/>
          <w:color w:val="auto"/>
        </w:rPr>
      </w:pPr>
      <w:r>
        <w:rPr>
          <w:rFonts w:ascii="Arial" w:cs="Arial" w:eastAsia="Arial" w:hAnsi="Arial"/>
          <w:sz w:val="18"/>
          <w:szCs w:val="18"/>
          <w:color w:val="auto"/>
        </w:rPr>
        <w:t>On August 29, 2013, American Chemicals &amp; Equipment, Inc. 401(k) Retirement Plan ("ACE") filed a lawsuit in the United States District Court for the Northern District of Alabama against Principal Management Corporation and Principal Global Investors, LLC (the "ACE Defendants"). The lawsuit alleges the ACE Defendants breached their fiduciary duty under Section 36(b) of the Investment Company Act by charging excessive fees on certain of the LifeTime series target date funds. On January 24, 2014, the court granted the motion filed by the ACE Defendants to transfer the case to the Southern District of Iowa. The ACE Defendants are aggressively defending the lawsuit.</w:t>
      </w:r>
    </w:p>
    <w:p>
      <w:pPr>
        <w:spacing w:after="0" w:line="197" w:lineRule="exact"/>
        <w:rPr>
          <w:sz w:val="20"/>
          <w:szCs w:val="20"/>
          <w:color w:val="auto"/>
        </w:rPr>
      </w:pPr>
    </w:p>
    <w:p>
      <w:pPr>
        <w:jc w:val="both"/>
        <w:ind w:firstLine="351"/>
        <w:spacing w:after="0" w:line="253" w:lineRule="auto"/>
        <w:rPr>
          <w:sz w:val="20"/>
          <w:szCs w:val="20"/>
          <w:color w:val="auto"/>
        </w:rPr>
      </w:pPr>
      <w:r>
        <w:rPr>
          <w:rFonts w:ascii="Arial" w:cs="Arial" w:eastAsia="Arial" w:hAnsi="Arial"/>
          <w:sz w:val="18"/>
          <w:szCs w:val="18"/>
          <w:color w:val="auto"/>
        </w:rPr>
        <w:t>On December 2, 2009 and December 4, 2009, two plaintiffs, Cruise and Mullaney, each filed putative class action lawsuits in the United States District Court for the Southern District of New York against us; Principal Life; Principal Global Investors, LLC; Principal Management Corporation; and Principal Real Estate Investors, LLC (the "Cruise/Mullaney Defendants"). The lawsuits alleged the Cruise/Mullaney Defendants failed to manage the Principal U.S. Property Separate Account ("PUSPSA") in the best interests of investors, improperly imposed a "withdrawal freeze" on September 26, 2008, and instituted a "withdrawal queue" to honor withdrawal requests as sufficient liquidity became available. The two lawsuits, as well as two subsequently filed complaints asserting similar claims, have been consolidated and are now known as In re Principal U.S. Property Account Litigation. Plaintiffs' request for permission to appeal the denial of class certification was denied by the U.S. Eighth Circuit Court of Appeals on December 31, 2013. The Cruise/Mullaney Defendants are aggressively defending the lawsuit.</w:t>
      </w:r>
    </w:p>
    <w:p>
      <w:pPr>
        <w:spacing w:after="0" w:line="199" w:lineRule="exact"/>
        <w:rPr>
          <w:sz w:val="20"/>
          <w:szCs w:val="20"/>
          <w:color w:val="auto"/>
        </w:rPr>
      </w:pPr>
    </w:p>
    <w:p>
      <w:pPr>
        <w:jc w:val="both"/>
        <w:ind w:firstLine="547"/>
        <w:spacing w:after="0" w:line="253" w:lineRule="auto"/>
        <w:rPr>
          <w:sz w:val="20"/>
          <w:szCs w:val="20"/>
          <w:color w:val="auto"/>
        </w:rPr>
      </w:pPr>
      <w:r>
        <w:rPr>
          <w:rFonts w:ascii="Arial" w:cs="Arial" w:eastAsia="Arial" w:hAnsi="Arial"/>
          <w:sz w:val="18"/>
          <w:szCs w:val="18"/>
          <w:color w:val="auto"/>
        </w:rPr>
        <w:t>In 2008, Principal Life received approximately $440.0 million in connection with the termination of certain structured transactions and the resulting prepayment of Principal Life's investment in those transactions. The transactions involved Lehman Brothers Special Financing Inc. and Lehman Brothers Holdings Inc. (collectively, "Lehman") in various capacities. Subsequent to Lehman's 2008 bankruptcy filing, its bankruptcy estate initiated several law suits seeking to recover from numerous sources significant amounts to which it claims entitlement under various theories. The estate is attempting to recover from Principal Life an amount, including interest, of approximately $500.0 million. We are one of numerous defendants to this action, which has been stayed by the bankruptcy court. We believe that we have meritorious defenses to Lehman's claims and intend to aggressively defend against them once the stay is lifted and we are allowed to do so.</w:t>
      </w:r>
    </w:p>
    <w:p>
      <w:pPr>
        <w:spacing w:after="0" w:line="201" w:lineRule="exact"/>
        <w:rPr>
          <w:sz w:val="20"/>
          <w:szCs w:val="20"/>
          <w:color w:val="auto"/>
        </w:rPr>
      </w:pPr>
    </w:p>
    <w:p>
      <w:pPr>
        <w:jc w:val="both"/>
        <w:ind w:firstLine="375"/>
        <w:spacing w:after="0" w:line="268" w:lineRule="auto"/>
        <w:rPr>
          <w:sz w:val="20"/>
          <w:szCs w:val="20"/>
          <w:color w:val="auto"/>
        </w:rPr>
      </w:pPr>
      <w:r>
        <w:rPr>
          <w:rFonts w:ascii="Arial" w:cs="Arial" w:eastAsia="Arial" w:hAnsi="Arial"/>
          <w:sz w:val="18"/>
          <w:szCs w:val="18"/>
          <w:color w:val="auto"/>
        </w:rPr>
        <w:t>While the outcome of any pending or future litigation or regulatory matter cannot be predicted, management does not believe that any such matter will have a material adverse effect on our business or financial position. As of</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58" w:name="page159"/>
    <w:bookmarkEnd w:id="15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Contingencies, Guarantees and Indemnifications — (continued)</w:t>
      </w:r>
    </w:p>
    <w:p>
      <w:pPr>
        <w:spacing w:after="0" w:line="231" w:lineRule="exact"/>
        <w:rPr>
          <w:sz w:val="20"/>
          <w:szCs w:val="20"/>
          <w:color w:val="auto"/>
        </w:rPr>
      </w:pPr>
    </w:p>
    <w:p>
      <w:pPr>
        <w:jc w:val="both"/>
        <w:spacing w:after="0" w:line="268" w:lineRule="auto"/>
        <w:rPr>
          <w:sz w:val="20"/>
          <w:szCs w:val="20"/>
          <w:color w:val="auto"/>
        </w:rPr>
      </w:pPr>
      <w:r>
        <w:rPr>
          <w:rFonts w:ascii="Arial" w:cs="Arial" w:eastAsia="Arial" w:hAnsi="Arial"/>
          <w:sz w:val="18"/>
          <w:szCs w:val="18"/>
          <w:color w:val="auto"/>
        </w:rPr>
        <w:t>December 31, 2013, there were no estimated losses accrued related to the legal matters discussed above because we believe the loss from these matters is not probable and cannot be reasonably estimated.</w:t>
      </w:r>
    </w:p>
    <w:p>
      <w:pPr>
        <w:spacing w:after="0" w:line="186" w:lineRule="exact"/>
        <w:rPr>
          <w:sz w:val="20"/>
          <w:szCs w:val="20"/>
          <w:color w:val="auto"/>
        </w:rPr>
      </w:pPr>
    </w:p>
    <w:p>
      <w:pPr>
        <w:jc w:val="both"/>
        <w:ind w:firstLine="397"/>
        <w:spacing w:after="0" w:line="306" w:lineRule="auto"/>
        <w:rPr>
          <w:sz w:val="20"/>
          <w:szCs w:val="20"/>
          <w:color w:val="auto"/>
        </w:rPr>
      </w:pPr>
      <w:r>
        <w:rPr>
          <w:rFonts w:ascii="Arial" w:cs="Arial" w:eastAsia="Arial" w:hAnsi="Arial"/>
          <w:sz w:val="16"/>
          <w:szCs w:val="16"/>
          <w:color w:val="auto"/>
        </w:rPr>
        <w:t>We believe all of the litigation contingencies discussed above involve a chance of loss that is either remote or reasonably possible. Unless otherwise noted, all of these matters involve unspecified claim amounts, in which the respective plaintiffs seek an indeterminate amount of damages. To the extent such matters present a reasonably possible chance of loss, we are generally not able to estimate the possible loss or range of loss associated therewith.</w:t>
      </w:r>
    </w:p>
    <w:p>
      <w:pPr>
        <w:spacing w:after="0" w:line="161" w:lineRule="exact"/>
        <w:rPr>
          <w:sz w:val="20"/>
          <w:szCs w:val="20"/>
          <w:color w:val="auto"/>
        </w:rPr>
      </w:pPr>
    </w:p>
    <w:p>
      <w:pPr>
        <w:jc w:val="both"/>
        <w:ind w:firstLine="443"/>
        <w:spacing w:after="0" w:line="268" w:lineRule="auto"/>
        <w:rPr>
          <w:sz w:val="20"/>
          <w:szCs w:val="20"/>
          <w:color w:val="auto"/>
        </w:rPr>
      </w:pPr>
      <w:r>
        <w:rPr>
          <w:rFonts w:ascii="Arial" w:cs="Arial" w:eastAsia="Arial" w:hAnsi="Arial"/>
          <w:sz w:val="18"/>
          <w:szCs w:val="18"/>
          <w:color w:val="auto"/>
        </w:rPr>
        <w:t>The outcome of such matters is always uncertain, and unforeseen results can occur. It is possible that such outcomes could require us to pay damages or make other expenditures or establish accruals in amounts that we could not estimate at December 31, 2013.</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Guarantees and Indemnifications</w:t>
      </w:r>
    </w:p>
    <w:p>
      <w:pPr>
        <w:spacing w:after="0" w:line="231" w:lineRule="exact"/>
        <w:rPr>
          <w:sz w:val="20"/>
          <w:szCs w:val="20"/>
          <w:color w:val="auto"/>
        </w:rPr>
      </w:pPr>
    </w:p>
    <w:p>
      <w:pPr>
        <w:jc w:val="both"/>
        <w:ind w:firstLine="387"/>
        <w:spacing w:after="0" w:line="289" w:lineRule="auto"/>
        <w:rPr>
          <w:sz w:val="20"/>
          <w:szCs w:val="20"/>
          <w:color w:val="auto"/>
        </w:rPr>
      </w:pPr>
      <w:r>
        <w:rPr>
          <w:rFonts w:ascii="Arial" w:cs="Arial" w:eastAsia="Arial" w:hAnsi="Arial"/>
          <w:sz w:val="16"/>
          <w:szCs w:val="16"/>
          <w:color w:val="auto"/>
        </w:rPr>
        <w:t>In the normal course of business, we have provided guarantees to third parties primarily related to former subsidiaries and joint ventures. These agreements generally expire through 2019. The maximum exposure under these agreements as of December 31, 2013, was approximately $251.0 million. At inception, the fair value of such guarantees was insignificant. In addition, we believe the likelihood is remote that material payments will be required. Therefore, any liability accrued within our consolidated statements of financial position is insignificant. Should we be required to perform under these guarantees, we generally could recover a portion of the loss from third parties through recourse provisions included in agreements with such parties, the sale of assets held as collateral that can be liquidated in the event that performance is required under the guarantees or other recourse generally available to us; therefore, such guarantees would not result in a material adverse effect on our business or financial position. While the likelihood is remote, such outcomes could materially affect net income in a particular quarter or annual period.</w:t>
      </w:r>
    </w:p>
    <w:p>
      <w:pPr>
        <w:spacing w:after="0" w:line="172" w:lineRule="exact"/>
        <w:rPr>
          <w:sz w:val="20"/>
          <w:szCs w:val="20"/>
          <w:color w:val="auto"/>
        </w:rPr>
      </w:pPr>
    </w:p>
    <w:p>
      <w:pPr>
        <w:jc w:val="both"/>
        <w:ind w:firstLine="376"/>
        <w:spacing w:after="0" w:line="253" w:lineRule="auto"/>
        <w:rPr>
          <w:sz w:val="20"/>
          <w:szCs w:val="20"/>
          <w:color w:val="auto"/>
        </w:rPr>
      </w:pPr>
      <w:r>
        <w:rPr>
          <w:rFonts w:ascii="Arial" w:cs="Arial" w:eastAsia="Arial" w:hAnsi="Arial"/>
          <w:sz w:val="18"/>
          <w:szCs w:val="18"/>
          <w:color w:val="auto"/>
        </w:rPr>
        <w:t>We are also subject to various other indemnification obligations issued in conjunction with divestitures, acquisitions and financing transactions whose terms range in duration and often are not explicitly defined. Certain portions of these indemnifications may be capped, while other portions are not subject to such limitations; therefore, the overall maximum amount of the obligation under the indemnifications cannot be reasonably estimated. At inception, the fair value of such indemnifications was insignificant. In addition, we believe the likelihood is remote that material payments will be required. Therefore, any liability accrued within our consolidated statements of financial position is insignificant. While we are unable to estimate with certainty the ultimate legal and financial liability with respect to these indemnifications, we believe that performance under these indemnifications would not result in a material adverse effect on our business or financial position. While the likelihood is remote, performance under these indemnifications could materially affect net income in a particular quarter or annual period.</w:t>
      </w: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Guaranty Funds</w:t>
      </w:r>
    </w:p>
    <w:p>
      <w:pPr>
        <w:spacing w:after="0" w:line="231" w:lineRule="exact"/>
        <w:rPr>
          <w:sz w:val="20"/>
          <w:szCs w:val="20"/>
          <w:color w:val="auto"/>
        </w:rPr>
      </w:pPr>
    </w:p>
    <w:p>
      <w:pPr>
        <w:jc w:val="both"/>
        <w:ind w:firstLine="463"/>
        <w:spacing w:after="0" w:line="288" w:lineRule="auto"/>
        <w:rPr>
          <w:sz w:val="20"/>
          <w:szCs w:val="20"/>
          <w:color w:val="auto"/>
        </w:rPr>
      </w:pPr>
      <w:r>
        <w:rPr>
          <w:rFonts w:ascii="Arial" w:cs="Arial" w:eastAsia="Arial" w:hAnsi="Arial"/>
          <w:sz w:val="16"/>
          <w:szCs w:val="16"/>
          <w:color w:val="auto"/>
        </w:rPr>
        <w:t>Under state insurance guaranty fund laws, insurers doing business in a state can be assessed, up to prescribed limits, for certain obligations of insolvent insurance companies to policyholders and claimants. A state's fund assesses its members based on their pro rata market share of written premiums in the state for the classes of insurance for which the insolvent insurer was engaged. Some states permit member insurers to recover assessments paid through full or partial premium tax offsets. We accrue liabilities for guaranty fund assessments when an assessment is probable, can be reasonably estimated and when the event obligating us to pay has occurred. While we cannot predict the amount and timing of any future assessments, we have established reserves we believe are adequate for assessments relating to insurance companies that are currently subject to insolvency proceedings. As of December 31, 2013 and 2012, the liability balance for guaranty fund assessments, which is not discounted, was $22.5 million and $31.0 million, respectively, and was reported within other liabilities in the consolidated statements of financial position. As of December 31, 2013 and 2012, $11.5 million and $16.5 million, respectively, related to premium tax offsets were included in premiums due and other receivables in the consolidated statements of financial position.</w:t>
      </w:r>
    </w:p>
    <w:p>
      <w:pPr>
        <w:spacing w:after="0" w:line="3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Leases</w:t>
      </w:r>
    </w:p>
    <w:p>
      <w:pPr>
        <w:spacing w:after="0" w:line="231" w:lineRule="exact"/>
        <w:rPr>
          <w:sz w:val="20"/>
          <w:szCs w:val="20"/>
          <w:color w:val="auto"/>
        </w:rPr>
      </w:pPr>
    </w:p>
    <w:p>
      <w:pPr>
        <w:jc w:val="both"/>
        <w:ind w:firstLine="403"/>
        <w:spacing w:after="0" w:line="268" w:lineRule="auto"/>
        <w:rPr>
          <w:sz w:val="20"/>
          <w:szCs w:val="20"/>
          <w:color w:val="auto"/>
        </w:rPr>
      </w:pPr>
      <w:r>
        <w:rPr>
          <w:rFonts w:ascii="Arial" w:cs="Arial" w:eastAsia="Arial" w:hAnsi="Arial"/>
          <w:sz w:val="18"/>
          <w:szCs w:val="18"/>
          <w:color w:val="auto"/>
        </w:rPr>
        <w:t>As a lessee, we lease office space, data processing equipment, office furniture and office equipment under various operating leases. Rental expense for the years ended December 31, 2013, 2012 and 2011, respectively, was $36.3 million, $41.9 million and $51.1 million.</w:t>
      </w:r>
    </w:p>
    <w:p>
      <w:pPr>
        <w:sectPr>
          <w:pgSz w:w="11900" w:h="16838" w:orient="portrait"/>
          <w:cols w:equalWidth="0" w:num="1">
            <w:col w:w="11420"/>
          </w:cols>
          <w:pgMar w:left="240" w:top="131" w:right="239" w:bottom="1440" w:gutter="0" w:footer="0" w:header="0"/>
        </w:sectPr>
      </w:pP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59" w:name="page160"/>
    <w:bookmarkEnd w:id="15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1380" w:type="dxa"/>
            <w:vAlign w:val="bottom"/>
          </w:tcPr>
          <w:p>
            <w:pPr>
              <w:spacing w:after="0"/>
              <w:rPr>
                <w:sz w:val="19"/>
                <w:szCs w:val="19"/>
                <w:color w:val="auto"/>
              </w:rPr>
            </w:pPr>
          </w:p>
        </w:tc>
        <w:tc>
          <w:tcPr>
            <w:tcW w:w="7880" w:type="dxa"/>
            <w:vAlign w:val="bottom"/>
          </w:tcPr>
          <w:p>
            <w:pPr>
              <w:jc w:val="center"/>
              <w:ind w:left="728"/>
              <w:spacing w:after="0"/>
              <w:rPr>
                <w:sz w:val="20"/>
                <w:szCs w:val="20"/>
                <w:color w:val="auto"/>
              </w:rPr>
            </w:pPr>
            <w:r>
              <w:rPr>
                <w:rFonts w:ascii="Arial" w:cs="Arial" w:eastAsia="Arial" w:hAnsi="Arial"/>
                <w:sz w:val="18"/>
                <w:szCs w:val="18"/>
                <w:b w:val="1"/>
                <w:bCs w:val="1"/>
                <w:color w:val="auto"/>
                <w:w w:val="91"/>
              </w:rPr>
              <w:t>Principal Financial Group, Inc.</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2"/>
        </w:trPr>
        <w:tc>
          <w:tcPr>
            <w:tcW w:w="1380" w:type="dxa"/>
            <w:vAlign w:val="bottom"/>
          </w:tcPr>
          <w:p>
            <w:pPr>
              <w:spacing w:after="0"/>
              <w:rPr>
                <w:sz w:val="24"/>
                <w:szCs w:val="24"/>
                <w:color w:val="auto"/>
              </w:rPr>
            </w:pPr>
          </w:p>
        </w:tc>
        <w:tc>
          <w:tcPr>
            <w:tcW w:w="7880" w:type="dxa"/>
            <w:vAlign w:val="bottom"/>
          </w:tcPr>
          <w:p>
            <w:pPr>
              <w:jc w:val="center"/>
              <w:ind w:left="708"/>
              <w:spacing w:after="0"/>
              <w:rPr>
                <w:sz w:val="20"/>
                <w:szCs w:val="20"/>
                <w:color w:val="auto"/>
              </w:rPr>
            </w:pPr>
            <w:r>
              <w:rPr>
                <w:rFonts w:ascii="Arial" w:cs="Arial" w:eastAsia="Arial" w:hAnsi="Arial"/>
                <w:sz w:val="18"/>
                <w:szCs w:val="18"/>
                <w:b w:val="1"/>
                <w:bCs w:val="1"/>
                <w:color w:val="auto"/>
                <w:w w:val="87"/>
              </w:rPr>
              <w:t>Notes to Consolidated Financial Statements — (continued)</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1380" w:type="dxa"/>
            <w:vAlign w:val="bottom"/>
          </w:tcPr>
          <w:p>
            <w:pPr>
              <w:spacing w:after="0"/>
              <w:rPr>
                <w:sz w:val="24"/>
                <w:szCs w:val="24"/>
                <w:color w:val="auto"/>
              </w:rPr>
            </w:pPr>
          </w:p>
        </w:tc>
        <w:tc>
          <w:tcPr>
            <w:tcW w:w="7880" w:type="dxa"/>
            <w:vAlign w:val="bottom"/>
          </w:tcPr>
          <w:p>
            <w:pPr>
              <w:jc w:val="center"/>
              <w:ind w:left="708"/>
              <w:spacing w:after="0"/>
              <w:rPr>
                <w:sz w:val="20"/>
                <w:szCs w:val="20"/>
                <w:color w:val="auto"/>
              </w:rPr>
            </w:pPr>
            <w:r>
              <w:rPr>
                <w:rFonts w:ascii="Arial" w:cs="Arial" w:eastAsia="Arial" w:hAnsi="Arial"/>
                <w:sz w:val="18"/>
                <w:szCs w:val="18"/>
                <w:b w:val="1"/>
                <w:bCs w:val="1"/>
                <w:color w:val="auto"/>
                <w:w w:val="87"/>
              </w:rPr>
              <w:t>December 31, 2013</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9260" w:type="dxa"/>
            <w:vAlign w:val="bottom"/>
            <w:gridSpan w:val="2"/>
          </w:tcPr>
          <w:p>
            <w:pPr>
              <w:spacing w:after="0"/>
              <w:rPr>
                <w:sz w:val="20"/>
                <w:szCs w:val="20"/>
                <w:color w:val="auto"/>
              </w:rPr>
            </w:pPr>
            <w:r>
              <w:rPr>
                <w:rFonts w:ascii="Arial" w:cs="Arial" w:eastAsia="Arial" w:hAnsi="Arial"/>
                <w:sz w:val="18"/>
                <w:szCs w:val="18"/>
                <w:b w:val="1"/>
                <w:bCs w:val="1"/>
                <w:color w:val="auto"/>
              </w:rPr>
              <w:t>13. Contingencies, Guarantees and Indemnifications — (continued)</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9260" w:type="dxa"/>
            <w:vAlign w:val="bottom"/>
            <w:gridSpan w:val="2"/>
          </w:tcPr>
          <w:p>
            <w:pPr>
              <w:ind w:left="360"/>
              <w:spacing w:after="0"/>
              <w:rPr>
                <w:sz w:val="20"/>
                <w:szCs w:val="20"/>
                <w:color w:val="auto"/>
              </w:rPr>
            </w:pPr>
            <w:r>
              <w:rPr>
                <w:rFonts w:ascii="Arial" w:cs="Arial" w:eastAsia="Arial" w:hAnsi="Arial"/>
                <w:sz w:val="18"/>
                <w:szCs w:val="18"/>
                <w:color w:val="auto"/>
              </w:rPr>
              <w:t>The following represents payments due by period for operating lease obligations (in millions):</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1380" w:type="dxa"/>
            <w:vAlign w:val="bottom"/>
            <w:vMerge w:val="restart"/>
          </w:tcPr>
          <w:p>
            <w:pPr>
              <w:spacing w:after="0"/>
              <w:rPr>
                <w:sz w:val="18"/>
                <w:szCs w:val="18"/>
                <w:color w:val="auto"/>
              </w:rPr>
            </w:pPr>
          </w:p>
        </w:tc>
        <w:tc>
          <w:tcPr>
            <w:tcW w:w="78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9"/>
        </w:trPr>
        <w:tc>
          <w:tcPr>
            <w:tcW w:w="1380" w:type="dxa"/>
            <w:vAlign w:val="bottom"/>
            <w:vMerge w:val="continue"/>
          </w:tcPr>
          <w:p>
            <w:pPr>
              <w:spacing w:after="0"/>
              <w:rPr>
                <w:sz w:val="12"/>
                <w:szCs w:val="12"/>
                <w:color w:val="auto"/>
              </w:rPr>
            </w:pPr>
          </w:p>
        </w:tc>
        <w:tc>
          <w:tcPr>
            <w:tcW w:w="78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Year ending December 31:</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7880" w:type="dxa"/>
            <w:vAlign w:val="bottom"/>
          </w:tcPr>
          <w:p>
            <w:pPr>
              <w:ind w:left="140"/>
              <w:spacing w:after="0" w:line="149" w:lineRule="exact"/>
              <w:rPr>
                <w:sz w:val="20"/>
                <w:szCs w:val="20"/>
                <w:color w:val="auto"/>
              </w:rPr>
            </w:pPr>
            <w:r>
              <w:rPr>
                <w:rFonts w:ascii="Arial" w:cs="Arial" w:eastAsia="Arial" w:hAnsi="Arial"/>
                <w:sz w:val="14"/>
                <w:szCs w:val="14"/>
                <w:color w:val="auto"/>
              </w:rPr>
              <w:t>2014</w:t>
            </w:r>
          </w:p>
        </w:tc>
        <w:tc>
          <w:tcPr>
            <w:tcW w:w="140" w:type="dxa"/>
            <w:vAlign w:val="bottom"/>
            <w:gridSpan w:val="2"/>
          </w:tcPr>
          <w:p>
            <w:pPr>
              <w:jc w:val="right"/>
              <w:ind w:right="57"/>
              <w:spacing w:after="0"/>
              <w:rPr>
                <w:sz w:val="20"/>
                <w:szCs w:val="20"/>
                <w:color w:val="auto"/>
              </w:rPr>
            </w:pPr>
            <w:r>
              <w:rPr>
                <w:rFonts w:ascii="Arial" w:cs="Arial" w:eastAsia="Arial" w:hAnsi="Arial"/>
                <w:sz w:val="10"/>
                <w:szCs w:val="10"/>
                <w:b w:val="1"/>
                <w:bCs w:val="1"/>
                <w:color w:val="auto"/>
                <w:w w:val="71"/>
              </w:rPr>
              <w:t>$</w:t>
            </w:r>
          </w:p>
        </w:tc>
        <w:tc>
          <w:tcPr>
            <w:tcW w:w="3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42.3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78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2015</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37.0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7880" w:type="dxa"/>
            <w:vAlign w:val="bottom"/>
          </w:tcPr>
          <w:p>
            <w:pPr>
              <w:ind w:left="140"/>
              <w:spacing w:after="0" w:line="149" w:lineRule="exact"/>
              <w:rPr>
                <w:sz w:val="20"/>
                <w:szCs w:val="20"/>
                <w:color w:val="auto"/>
              </w:rPr>
            </w:pPr>
            <w:r>
              <w:rPr>
                <w:rFonts w:ascii="Arial" w:cs="Arial" w:eastAsia="Arial" w:hAnsi="Arial"/>
                <w:sz w:val="14"/>
                <w:szCs w:val="14"/>
                <w:color w:val="auto"/>
              </w:rPr>
              <w:t>2016</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30.9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78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2017</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23.2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7880" w:type="dxa"/>
            <w:vAlign w:val="bottom"/>
          </w:tcPr>
          <w:p>
            <w:pPr>
              <w:ind w:left="140"/>
              <w:spacing w:after="0" w:line="149" w:lineRule="exact"/>
              <w:rPr>
                <w:sz w:val="20"/>
                <w:szCs w:val="20"/>
                <w:color w:val="auto"/>
              </w:rPr>
            </w:pPr>
            <w:r>
              <w:rPr>
                <w:rFonts w:ascii="Arial" w:cs="Arial" w:eastAsia="Arial" w:hAnsi="Arial"/>
                <w:sz w:val="14"/>
                <w:szCs w:val="14"/>
                <w:color w:val="auto"/>
              </w:rPr>
              <w:t>2018</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78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2019 and thereafter</w:t>
            </w:r>
          </w:p>
        </w:tc>
        <w:tc>
          <w:tcPr>
            <w:tcW w:w="2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3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53.9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80" w:type="dxa"/>
            <w:vAlign w:val="bottom"/>
          </w:tcPr>
          <w:p>
            <w:pPr>
              <w:spacing w:after="0"/>
              <w:rPr>
                <w:sz w:val="12"/>
                <w:szCs w:val="12"/>
                <w:color w:val="auto"/>
              </w:rPr>
            </w:pPr>
          </w:p>
        </w:tc>
        <w:tc>
          <w:tcPr>
            <w:tcW w:w="7880" w:type="dxa"/>
            <w:vAlign w:val="bottom"/>
          </w:tcPr>
          <w:p>
            <w:pPr>
              <w:ind w:left="300"/>
              <w:spacing w:after="0" w:line="142" w:lineRule="exact"/>
              <w:rPr>
                <w:sz w:val="20"/>
                <w:szCs w:val="20"/>
                <w:color w:val="auto"/>
              </w:rPr>
            </w:pPr>
            <w:r>
              <w:rPr>
                <w:rFonts w:ascii="Arial" w:cs="Arial" w:eastAsia="Arial" w:hAnsi="Arial"/>
                <w:sz w:val="14"/>
                <w:szCs w:val="14"/>
                <w:color w:val="auto"/>
              </w:rPr>
              <w:t>Total operating lease obligations</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80" w:type="dxa"/>
            <w:vAlign w:val="bottom"/>
          </w:tcPr>
          <w:p>
            <w:pPr>
              <w:jc w:val="right"/>
              <w:spacing w:after="0" w:line="142" w:lineRule="exact"/>
              <w:rPr>
                <w:sz w:val="20"/>
                <w:szCs w:val="20"/>
                <w:color w:val="auto"/>
              </w:rPr>
            </w:pPr>
            <w:r>
              <w:rPr>
                <w:rFonts w:ascii="Arial" w:cs="Arial" w:eastAsia="Arial" w:hAnsi="Arial"/>
                <w:sz w:val="14"/>
                <w:szCs w:val="14"/>
                <w:b w:val="1"/>
                <w:bCs w:val="1"/>
                <w:color w:val="auto"/>
                <w:w w:val="96"/>
              </w:rPr>
              <w:t>198.1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7880" w:type="dxa"/>
            <w:vAlign w:val="bottom"/>
            <w:shd w:val="clear" w:color="auto" w:fill="CCEEFF"/>
          </w:tcPr>
          <w:p>
            <w:pPr>
              <w:ind w:left="300"/>
              <w:spacing w:after="0" w:line="149" w:lineRule="exact"/>
              <w:rPr>
                <w:sz w:val="20"/>
                <w:szCs w:val="20"/>
                <w:color w:val="auto"/>
              </w:rPr>
            </w:pPr>
            <w:r>
              <w:rPr>
                <w:rFonts w:ascii="Arial" w:cs="Arial" w:eastAsia="Arial" w:hAnsi="Arial"/>
                <w:sz w:val="14"/>
                <w:szCs w:val="14"/>
                <w:color w:val="auto"/>
              </w:rPr>
              <w:t>Less: Future sublease rental income on noncancelable leases</w:t>
            </w:r>
          </w:p>
        </w:tc>
        <w:tc>
          <w:tcPr>
            <w:tcW w:w="2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3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80" w:type="dxa"/>
            <w:vAlign w:val="bottom"/>
          </w:tcPr>
          <w:p>
            <w:pPr>
              <w:spacing w:after="0"/>
              <w:rPr>
                <w:sz w:val="12"/>
                <w:szCs w:val="12"/>
                <w:color w:val="auto"/>
              </w:rPr>
            </w:pPr>
          </w:p>
        </w:tc>
        <w:tc>
          <w:tcPr>
            <w:tcW w:w="7880" w:type="dxa"/>
            <w:vAlign w:val="bottom"/>
          </w:tcPr>
          <w:p>
            <w:pPr>
              <w:ind w:left="300"/>
              <w:spacing w:after="0" w:line="142" w:lineRule="exact"/>
              <w:rPr>
                <w:sz w:val="20"/>
                <w:szCs w:val="20"/>
                <w:color w:val="auto"/>
              </w:rPr>
            </w:pPr>
            <w:r>
              <w:rPr>
                <w:rFonts w:ascii="Arial" w:cs="Arial" w:eastAsia="Arial" w:hAnsi="Arial"/>
                <w:sz w:val="14"/>
                <w:szCs w:val="14"/>
                <w:color w:val="auto"/>
              </w:rPr>
              <w:t>Total future minimum lease payments</w:t>
            </w:r>
          </w:p>
        </w:tc>
        <w:tc>
          <w:tcPr>
            <w:tcW w:w="2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jc w:val="right"/>
              <w:ind w:right="57"/>
              <w:spacing w:after="0"/>
              <w:rPr>
                <w:sz w:val="20"/>
                <w:szCs w:val="20"/>
                <w:color w:val="auto"/>
              </w:rPr>
            </w:pPr>
            <w:r>
              <w:rPr>
                <w:rFonts w:ascii="Arial" w:cs="Arial" w:eastAsia="Arial" w:hAnsi="Arial"/>
                <w:sz w:val="5"/>
                <w:szCs w:val="5"/>
                <w:b w:val="1"/>
                <w:bCs w:val="1"/>
                <w:color w:val="auto"/>
                <w:w w:val="70"/>
              </w:rPr>
              <w:t>$</w:t>
            </w:r>
          </w:p>
        </w:tc>
        <w:tc>
          <w:tcPr>
            <w:tcW w:w="3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6"/>
              </w:rPr>
              <w:t>190.4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1380" w:type="dxa"/>
            <w:vAlign w:val="bottom"/>
          </w:tcPr>
          <w:p>
            <w:pPr>
              <w:spacing w:after="0" w:line="20" w:lineRule="exact"/>
              <w:rPr>
                <w:sz w:val="1"/>
                <w:szCs w:val="1"/>
                <w:color w:val="auto"/>
              </w:rPr>
            </w:pPr>
          </w:p>
        </w:tc>
        <w:tc>
          <w:tcPr>
            <w:tcW w:w="78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Capital Leases</w:t>
      </w:r>
    </w:p>
    <w:p>
      <w:pPr>
        <w:spacing w:after="0" w:line="231" w:lineRule="exact"/>
        <w:rPr>
          <w:sz w:val="20"/>
          <w:szCs w:val="20"/>
          <w:color w:val="auto"/>
        </w:rPr>
      </w:pPr>
    </w:p>
    <w:p>
      <w:pPr>
        <w:jc w:val="both"/>
        <w:ind w:firstLine="473"/>
        <w:spacing w:after="0" w:line="259" w:lineRule="auto"/>
        <w:rPr>
          <w:sz w:val="20"/>
          <w:szCs w:val="20"/>
          <w:color w:val="auto"/>
        </w:rPr>
      </w:pPr>
      <w:r>
        <w:rPr>
          <w:rFonts w:ascii="Arial" w:cs="Arial" w:eastAsia="Arial" w:hAnsi="Arial"/>
          <w:sz w:val="18"/>
          <w:szCs w:val="18"/>
          <w:color w:val="auto"/>
        </w:rPr>
        <w:t>We lease buildings and hardware storage equipment under capital leases. As of December 31, 2013 and 2012, these leases had a gross asset balance of $42.6 million and $35.5 million and accumulated depreciation of $16.1 million and $11.5 million, respectively. Depreciation expense for the years ended December 31, 2013, 2012 and 2011 was $10.5 million, $7.9 million and $4.4 million, respectively.</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represents future minimum lease payments due by period for capital lease obligations (in millions).</w:t>
      </w:r>
    </w:p>
    <w:p>
      <w:pPr>
        <w:spacing w:after="0" w:line="221"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5360" w:type="dxa"/>
            <w:vAlign w:val="bottom"/>
            <w:shd w:val="clear" w:color="auto" w:fill="CCEEFF"/>
          </w:tcPr>
          <w:p>
            <w:pPr>
              <w:jc w:val="right"/>
              <w:ind w:right="3852"/>
              <w:spacing w:after="0"/>
              <w:rPr>
                <w:sz w:val="20"/>
                <w:szCs w:val="20"/>
                <w:color w:val="auto"/>
              </w:rPr>
            </w:pPr>
            <w:r>
              <w:rPr>
                <w:rFonts w:ascii="Arial" w:cs="Arial" w:eastAsia="Arial" w:hAnsi="Arial"/>
                <w:sz w:val="14"/>
                <w:szCs w:val="14"/>
                <w:color w:val="auto"/>
                <w:w w:val="84"/>
              </w:rPr>
              <w:t>Year ending December 31:</w:t>
            </w:r>
          </w:p>
        </w:tc>
        <w:tc>
          <w:tcPr>
            <w:tcW w:w="25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r>
      <w:tr>
        <w:trPr>
          <w:trHeight w:val="149"/>
        </w:trPr>
        <w:tc>
          <w:tcPr>
            <w:tcW w:w="5360" w:type="dxa"/>
            <w:vAlign w:val="bottom"/>
          </w:tcPr>
          <w:p>
            <w:pPr>
              <w:jc w:val="right"/>
              <w:ind w:right="4872"/>
              <w:spacing w:after="0" w:line="149" w:lineRule="exact"/>
              <w:rPr>
                <w:sz w:val="20"/>
                <w:szCs w:val="20"/>
                <w:color w:val="auto"/>
              </w:rPr>
            </w:pPr>
            <w:r>
              <w:rPr>
                <w:rFonts w:ascii="Arial" w:cs="Arial" w:eastAsia="Arial" w:hAnsi="Arial"/>
                <w:sz w:val="14"/>
                <w:szCs w:val="14"/>
                <w:color w:val="auto"/>
              </w:rPr>
              <w:t>2014</w:t>
            </w:r>
          </w:p>
        </w:tc>
        <w:tc>
          <w:tcPr>
            <w:tcW w:w="27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3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7.2</w:t>
            </w:r>
          </w:p>
        </w:tc>
        <w:tc>
          <w:tcPr>
            <w:tcW w:w="160" w:type="dxa"/>
            <w:vAlign w:val="bottom"/>
          </w:tcPr>
          <w:p>
            <w:pPr>
              <w:spacing w:after="0"/>
              <w:rPr>
                <w:sz w:val="12"/>
                <w:szCs w:val="12"/>
                <w:color w:val="auto"/>
              </w:rPr>
            </w:pPr>
          </w:p>
        </w:tc>
      </w:tr>
      <w:tr>
        <w:trPr>
          <w:trHeight w:val="149"/>
        </w:trPr>
        <w:tc>
          <w:tcPr>
            <w:tcW w:w="5360" w:type="dxa"/>
            <w:vAlign w:val="bottom"/>
            <w:shd w:val="clear" w:color="auto" w:fill="CCEEFF"/>
          </w:tcPr>
          <w:p>
            <w:pPr>
              <w:jc w:val="right"/>
              <w:ind w:right="4872"/>
              <w:spacing w:after="0" w:line="149" w:lineRule="exact"/>
              <w:rPr>
                <w:sz w:val="20"/>
                <w:szCs w:val="20"/>
                <w:color w:val="auto"/>
              </w:rPr>
            </w:pPr>
            <w:r>
              <w:rPr>
                <w:rFonts w:ascii="Arial" w:cs="Arial" w:eastAsia="Arial" w:hAnsi="Arial"/>
                <w:sz w:val="14"/>
                <w:szCs w:val="14"/>
                <w:color w:val="auto"/>
              </w:rPr>
              <w:t>2015</w:t>
            </w:r>
          </w:p>
        </w:tc>
        <w:tc>
          <w:tcPr>
            <w:tcW w:w="25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6.1</w:t>
            </w:r>
          </w:p>
        </w:tc>
        <w:tc>
          <w:tcPr>
            <w:tcW w:w="160" w:type="dxa"/>
            <w:vAlign w:val="bottom"/>
            <w:shd w:val="clear" w:color="auto" w:fill="CCEEFF"/>
          </w:tcPr>
          <w:p>
            <w:pPr>
              <w:spacing w:after="0"/>
              <w:rPr>
                <w:sz w:val="12"/>
                <w:szCs w:val="12"/>
                <w:color w:val="auto"/>
              </w:rPr>
            </w:pPr>
          </w:p>
        </w:tc>
      </w:tr>
      <w:tr>
        <w:trPr>
          <w:trHeight w:val="149"/>
        </w:trPr>
        <w:tc>
          <w:tcPr>
            <w:tcW w:w="5360" w:type="dxa"/>
            <w:vAlign w:val="bottom"/>
          </w:tcPr>
          <w:p>
            <w:pPr>
              <w:jc w:val="right"/>
              <w:ind w:right="4872"/>
              <w:spacing w:after="0" w:line="149" w:lineRule="exact"/>
              <w:rPr>
                <w:sz w:val="20"/>
                <w:szCs w:val="20"/>
                <w:color w:val="auto"/>
              </w:rPr>
            </w:pPr>
            <w:r>
              <w:rPr>
                <w:rFonts w:ascii="Arial" w:cs="Arial" w:eastAsia="Arial" w:hAnsi="Arial"/>
                <w:sz w:val="14"/>
                <w:szCs w:val="14"/>
                <w:color w:val="auto"/>
              </w:rPr>
              <w:t>2016</w:t>
            </w:r>
          </w:p>
        </w:tc>
        <w:tc>
          <w:tcPr>
            <w:tcW w:w="2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4.5</w:t>
            </w:r>
          </w:p>
        </w:tc>
        <w:tc>
          <w:tcPr>
            <w:tcW w:w="160" w:type="dxa"/>
            <w:vAlign w:val="bottom"/>
          </w:tcPr>
          <w:p>
            <w:pPr>
              <w:spacing w:after="0"/>
              <w:rPr>
                <w:sz w:val="12"/>
                <w:szCs w:val="12"/>
                <w:color w:val="auto"/>
              </w:rPr>
            </w:pPr>
          </w:p>
        </w:tc>
      </w:tr>
      <w:tr>
        <w:trPr>
          <w:trHeight w:val="149"/>
        </w:trPr>
        <w:tc>
          <w:tcPr>
            <w:tcW w:w="5360" w:type="dxa"/>
            <w:vAlign w:val="bottom"/>
            <w:shd w:val="clear" w:color="auto" w:fill="CCEEFF"/>
          </w:tcPr>
          <w:p>
            <w:pPr>
              <w:jc w:val="right"/>
              <w:ind w:right="4872"/>
              <w:spacing w:after="0" w:line="149" w:lineRule="exact"/>
              <w:rPr>
                <w:sz w:val="20"/>
                <w:szCs w:val="20"/>
                <w:color w:val="auto"/>
              </w:rPr>
            </w:pPr>
            <w:r>
              <w:rPr>
                <w:rFonts w:ascii="Arial" w:cs="Arial" w:eastAsia="Arial" w:hAnsi="Arial"/>
                <w:sz w:val="14"/>
                <w:szCs w:val="14"/>
                <w:color w:val="auto"/>
              </w:rPr>
              <w:t>2017</w:t>
            </w:r>
          </w:p>
        </w:tc>
        <w:tc>
          <w:tcPr>
            <w:tcW w:w="25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1.7</w:t>
            </w:r>
          </w:p>
        </w:tc>
        <w:tc>
          <w:tcPr>
            <w:tcW w:w="160" w:type="dxa"/>
            <w:vAlign w:val="bottom"/>
            <w:shd w:val="clear" w:color="auto" w:fill="CCEEFF"/>
          </w:tcPr>
          <w:p>
            <w:pPr>
              <w:spacing w:after="0"/>
              <w:rPr>
                <w:sz w:val="12"/>
                <w:szCs w:val="12"/>
                <w:color w:val="auto"/>
              </w:rPr>
            </w:pPr>
          </w:p>
        </w:tc>
      </w:tr>
      <w:tr>
        <w:trPr>
          <w:trHeight w:val="149"/>
        </w:trPr>
        <w:tc>
          <w:tcPr>
            <w:tcW w:w="5360" w:type="dxa"/>
            <w:vAlign w:val="bottom"/>
          </w:tcPr>
          <w:p>
            <w:pPr>
              <w:jc w:val="right"/>
              <w:ind w:right="4872"/>
              <w:spacing w:after="0" w:line="149" w:lineRule="exact"/>
              <w:rPr>
                <w:sz w:val="20"/>
                <w:szCs w:val="20"/>
                <w:color w:val="auto"/>
              </w:rPr>
            </w:pPr>
            <w:r>
              <w:rPr>
                <w:rFonts w:ascii="Arial" w:cs="Arial" w:eastAsia="Arial" w:hAnsi="Arial"/>
                <w:sz w:val="14"/>
                <w:szCs w:val="14"/>
                <w:color w:val="auto"/>
              </w:rPr>
              <w:t>2018</w:t>
            </w:r>
          </w:p>
        </w:tc>
        <w:tc>
          <w:tcPr>
            <w:tcW w:w="25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3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160" w:type="dxa"/>
            <w:vAlign w:val="bottom"/>
          </w:tcPr>
          <w:p>
            <w:pPr>
              <w:spacing w:after="0"/>
              <w:rPr>
                <w:sz w:val="12"/>
                <w:szCs w:val="12"/>
                <w:color w:val="auto"/>
              </w:rPr>
            </w:pPr>
          </w:p>
        </w:tc>
      </w:tr>
      <w:tr>
        <w:trPr>
          <w:trHeight w:val="142"/>
        </w:trPr>
        <w:tc>
          <w:tcPr>
            <w:tcW w:w="5360" w:type="dxa"/>
            <w:vAlign w:val="bottom"/>
            <w:shd w:val="clear" w:color="auto" w:fill="CCEEFF"/>
          </w:tcPr>
          <w:p>
            <w:pPr>
              <w:ind w:left="300"/>
              <w:spacing w:after="0" w:line="142" w:lineRule="exact"/>
              <w:rPr>
                <w:sz w:val="20"/>
                <w:szCs w:val="20"/>
                <w:color w:val="auto"/>
              </w:rPr>
            </w:pPr>
            <w:r>
              <w:rPr>
                <w:rFonts w:ascii="Arial" w:cs="Arial" w:eastAsia="Arial" w:hAnsi="Arial"/>
                <w:sz w:val="14"/>
                <w:szCs w:val="14"/>
                <w:color w:val="auto"/>
              </w:rPr>
              <w:t>Total</w:t>
            </w:r>
          </w:p>
        </w:tc>
        <w:tc>
          <w:tcPr>
            <w:tcW w:w="25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19.6</w:t>
            </w:r>
          </w:p>
        </w:tc>
        <w:tc>
          <w:tcPr>
            <w:tcW w:w="160" w:type="dxa"/>
            <w:vAlign w:val="bottom"/>
            <w:shd w:val="clear" w:color="auto" w:fill="CCEEFF"/>
          </w:tcPr>
          <w:p>
            <w:pPr>
              <w:spacing w:after="0"/>
              <w:rPr>
                <w:sz w:val="12"/>
                <w:szCs w:val="12"/>
                <w:color w:val="auto"/>
              </w:rPr>
            </w:pPr>
          </w:p>
        </w:tc>
      </w:tr>
      <w:tr>
        <w:trPr>
          <w:trHeight w:val="149"/>
        </w:trPr>
        <w:tc>
          <w:tcPr>
            <w:tcW w:w="5360" w:type="dxa"/>
            <w:vAlign w:val="bottom"/>
          </w:tcPr>
          <w:p>
            <w:pPr>
              <w:ind w:left="300"/>
              <w:spacing w:after="0" w:line="149" w:lineRule="exact"/>
              <w:rPr>
                <w:sz w:val="20"/>
                <w:szCs w:val="20"/>
                <w:color w:val="auto"/>
              </w:rPr>
            </w:pPr>
            <w:r>
              <w:rPr>
                <w:rFonts w:ascii="Arial" w:cs="Arial" w:eastAsia="Arial" w:hAnsi="Arial"/>
                <w:sz w:val="14"/>
                <w:szCs w:val="14"/>
                <w:color w:val="auto"/>
              </w:rPr>
              <w:t>Less: Amounts representing interest</w:t>
            </w:r>
          </w:p>
        </w:tc>
        <w:tc>
          <w:tcPr>
            <w:tcW w:w="25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3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0.6</w:t>
            </w:r>
          </w:p>
        </w:tc>
        <w:tc>
          <w:tcPr>
            <w:tcW w:w="160" w:type="dxa"/>
            <w:vAlign w:val="bottom"/>
          </w:tcPr>
          <w:p>
            <w:pPr>
              <w:spacing w:after="0"/>
              <w:rPr>
                <w:sz w:val="12"/>
                <w:szCs w:val="12"/>
                <w:color w:val="auto"/>
              </w:rPr>
            </w:pPr>
          </w:p>
        </w:tc>
      </w:tr>
      <w:tr>
        <w:trPr>
          <w:trHeight w:val="142"/>
        </w:trPr>
        <w:tc>
          <w:tcPr>
            <w:tcW w:w="5360" w:type="dxa"/>
            <w:vAlign w:val="bottom"/>
            <w:shd w:val="clear" w:color="auto" w:fill="CCEEFF"/>
          </w:tcPr>
          <w:p>
            <w:pPr>
              <w:ind w:left="300"/>
              <w:spacing w:after="0" w:line="142" w:lineRule="exact"/>
              <w:rPr>
                <w:sz w:val="20"/>
                <w:szCs w:val="20"/>
                <w:color w:val="auto"/>
              </w:rPr>
            </w:pPr>
            <w:r>
              <w:rPr>
                <w:rFonts w:ascii="Arial" w:cs="Arial" w:eastAsia="Arial" w:hAnsi="Arial"/>
                <w:sz w:val="14"/>
                <w:szCs w:val="14"/>
                <w:color w:val="auto"/>
              </w:rPr>
              <w:t>Net present value of minimum lease payments</w:t>
            </w:r>
          </w:p>
        </w:tc>
        <w:tc>
          <w:tcPr>
            <w:tcW w:w="27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w:t>
            </w:r>
          </w:p>
        </w:tc>
        <w:tc>
          <w:tcPr>
            <w:tcW w:w="3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19.0</w:t>
            </w:r>
          </w:p>
        </w:tc>
        <w:tc>
          <w:tcPr>
            <w:tcW w:w="160" w:type="dxa"/>
            <w:vAlign w:val="bottom"/>
            <w:shd w:val="clear" w:color="auto" w:fill="CCEEFF"/>
          </w:tcPr>
          <w:p>
            <w:pPr>
              <w:spacing w:after="0"/>
              <w:rPr>
                <w:sz w:val="12"/>
                <w:szCs w:val="12"/>
                <w:color w:val="auto"/>
              </w:rPr>
            </w:pPr>
          </w:p>
        </w:tc>
      </w:tr>
      <w:tr>
        <w:trPr>
          <w:trHeight w:val="20"/>
        </w:trPr>
        <w:tc>
          <w:tcPr>
            <w:tcW w:w="536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2" w:lineRule="exact"/>
        <w:rPr>
          <w:sz w:val="20"/>
          <w:szCs w:val="20"/>
          <w:color w:val="auto"/>
        </w:rPr>
      </w:pPr>
    </w:p>
    <w:p>
      <w:pPr>
        <w:ind w:right="9580" w:firstLine="8"/>
        <w:spacing w:after="0" w:line="567" w:lineRule="auto"/>
        <w:tabs>
          <w:tab w:leader="none" w:pos="263" w:val="left"/>
        </w:tabs>
        <w:numPr>
          <w:ilvl w:val="0"/>
          <w:numId w:val="71"/>
        </w:numPr>
        <w:rPr>
          <w:rFonts w:ascii="Arial" w:cs="Arial" w:eastAsia="Arial" w:hAnsi="Arial"/>
          <w:sz w:val="16"/>
          <w:szCs w:val="16"/>
          <w:b w:val="1"/>
          <w:bCs w:val="1"/>
          <w:color w:val="auto"/>
        </w:rPr>
      </w:pPr>
      <w:r>
        <w:rPr>
          <w:rFonts w:ascii="Arial" w:cs="Arial" w:eastAsia="Arial" w:hAnsi="Arial"/>
          <w:sz w:val="16"/>
          <w:szCs w:val="16"/>
          <w:b w:val="1"/>
          <w:bCs w:val="1"/>
          <w:color w:val="auto"/>
        </w:rPr>
        <w:t>Stockholders' Equity Preferred Stock</w:t>
      </w:r>
    </w:p>
    <w:p>
      <w:pPr>
        <w:spacing w:after="0" w:line="1" w:lineRule="exact"/>
        <w:rPr>
          <w:sz w:val="20"/>
          <w:szCs w:val="20"/>
          <w:color w:val="auto"/>
        </w:rPr>
      </w:pPr>
    </w:p>
    <w:p>
      <w:pPr>
        <w:jc w:val="both"/>
        <w:ind w:firstLine="380"/>
        <w:spacing w:after="0" w:line="268" w:lineRule="auto"/>
        <w:rPr>
          <w:sz w:val="20"/>
          <w:szCs w:val="20"/>
          <w:color w:val="auto"/>
        </w:rPr>
      </w:pPr>
      <w:r>
        <w:rPr>
          <w:rFonts w:ascii="Arial" w:cs="Arial" w:eastAsia="Arial" w:hAnsi="Arial"/>
          <w:sz w:val="18"/>
          <w:szCs w:val="18"/>
          <w:color w:val="auto"/>
        </w:rPr>
        <w:t>As of December 31, 2013, we had 13.0 million shares of preferred stock authorized, issued and outstanding under the two series described below. Preferred stockholders have dividend and liquidation priority over common stockholders.</w:t>
      </w:r>
    </w:p>
    <w:p>
      <w:pPr>
        <w:spacing w:after="0" w:line="186" w:lineRule="exact"/>
        <w:rPr>
          <w:sz w:val="20"/>
          <w:szCs w:val="20"/>
          <w:color w:val="auto"/>
        </w:rPr>
      </w:pPr>
    </w:p>
    <w:p>
      <w:pPr>
        <w:jc w:val="both"/>
        <w:ind w:firstLine="411"/>
        <w:spacing w:after="0" w:line="294" w:lineRule="auto"/>
        <w:rPr>
          <w:sz w:val="20"/>
          <w:szCs w:val="20"/>
          <w:color w:val="auto"/>
        </w:rPr>
      </w:pPr>
      <w:r>
        <w:rPr>
          <w:rFonts w:ascii="Arial" w:cs="Arial" w:eastAsia="Arial" w:hAnsi="Arial"/>
          <w:sz w:val="16"/>
          <w:szCs w:val="16"/>
          <w:b w:val="1"/>
          <w:bCs w:val="1"/>
          <w:i w:val="1"/>
          <w:iCs w:val="1"/>
          <w:color w:val="auto"/>
        </w:rPr>
        <w:t xml:space="preserve">Series A. </w:t>
      </w:r>
      <w:r>
        <w:rPr>
          <w:rFonts w:ascii="Arial" w:cs="Arial" w:eastAsia="Arial" w:hAnsi="Arial"/>
          <w:sz w:val="16"/>
          <w:szCs w:val="16"/>
          <w:color w:val="auto"/>
        </w:rPr>
        <w:t>Dividends on the Series A Preferred Stock are non-cumulative and are payable quarterly when, and if, declared by our Board of Directors at a</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rate of 5.563% per annum of the liquidation preference. On or after the dividend payment date in June 2015, the Series A initial distribution rate will become a floating rate, subject to reset, at our option, subject to certain conditions and parameters. If reset, the rate may be at fixed or floating rates. On or after the dividend payment date in June 2015, we may, at our option, redeem the shares at a price of $100 per share, or $300.0 million in the aggregate, plus accrued and unpaid dividends for the then current dividend period to the date of redemption, if any.</w:t>
      </w:r>
    </w:p>
    <w:p>
      <w:pPr>
        <w:spacing w:after="0" w:line="170" w:lineRule="exact"/>
        <w:rPr>
          <w:sz w:val="20"/>
          <w:szCs w:val="20"/>
          <w:color w:val="auto"/>
        </w:rPr>
      </w:pPr>
    </w:p>
    <w:p>
      <w:pPr>
        <w:jc w:val="both"/>
        <w:ind w:firstLine="453"/>
        <w:spacing w:after="0" w:line="332" w:lineRule="auto"/>
        <w:rPr>
          <w:sz w:val="20"/>
          <w:szCs w:val="20"/>
          <w:color w:val="auto"/>
        </w:rPr>
      </w:pPr>
      <w:r>
        <w:rPr>
          <w:rFonts w:ascii="Arial" w:cs="Arial" w:eastAsia="Arial" w:hAnsi="Arial"/>
          <w:sz w:val="16"/>
          <w:szCs w:val="16"/>
          <w:color w:val="auto"/>
        </w:rPr>
        <w:t>The Series A Preferred Stock has no stated maturity and is not convertible into any other of our securities. Series A Preferred Stock will have no voting rights, except with respect to certain fundamental changes in the terms of the shares and in the case of certain dividend non-payments.</w:t>
      </w:r>
    </w:p>
    <w:p>
      <w:pPr>
        <w:spacing w:after="0" w:line="139" w:lineRule="exact"/>
        <w:rPr>
          <w:sz w:val="20"/>
          <w:szCs w:val="20"/>
          <w:color w:val="auto"/>
        </w:rPr>
      </w:pPr>
    </w:p>
    <w:p>
      <w:pPr>
        <w:jc w:val="both"/>
        <w:ind w:firstLine="351"/>
        <w:spacing w:after="0" w:line="294" w:lineRule="auto"/>
        <w:rPr>
          <w:sz w:val="20"/>
          <w:szCs w:val="20"/>
          <w:color w:val="auto"/>
        </w:rPr>
      </w:pPr>
      <w:r>
        <w:rPr>
          <w:rFonts w:ascii="Arial" w:cs="Arial" w:eastAsia="Arial" w:hAnsi="Arial"/>
          <w:sz w:val="16"/>
          <w:szCs w:val="16"/>
          <w:b w:val="1"/>
          <w:bCs w:val="1"/>
          <w:i w:val="1"/>
          <w:iCs w:val="1"/>
          <w:color w:val="auto"/>
        </w:rPr>
        <w:t xml:space="preserve">Series B. </w:t>
      </w:r>
      <w:r>
        <w:rPr>
          <w:rFonts w:ascii="Arial" w:cs="Arial" w:eastAsia="Arial" w:hAnsi="Arial"/>
          <w:sz w:val="16"/>
          <w:szCs w:val="16"/>
          <w:color w:val="auto"/>
        </w:rPr>
        <w:t>Dividends on the Series B Preferred Stock are non-cumulative and are payable quarterly when, and if, declared by the Board of Directors at a rate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of 6.518% per annum of the liquidation preference. On or after the dividend payment date in June 2035, the Series B initial distribution rate will become a floating rate, subject to reset, at our option, subject to certain conditions and parameters. If reset, the rate may be at fixed or floating rates. On or after the dividend payment date in June 2015, we may, at our option, redeem the shares at a price of $25 per share, or $250.0 million in the aggregate, plus accrued and unpaid dividends for the then current dividend period to the date of redemption, if any.</w:t>
      </w:r>
    </w:p>
    <w:p>
      <w:pPr>
        <w:spacing w:after="0" w:line="170" w:lineRule="exact"/>
        <w:rPr>
          <w:sz w:val="20"/>
          <w:szCs w:val="20"/>
          <w:color w:val="auto"/>
        </w:rPr>
      </w:pPr>
    </w:p>
    <w:p>
      <w:pPr>
        <w:jc w:val="both"/>
        <w:ind w:firstLine="453"/>
        <w:spacing w:after="0" w:line="332" w:lineRule="auto"/>
        <w:rPr>
          <w:sz w:val="20"/>
          <w:szCs w:val="20"/>
          <w:color w:val="auto"/>
        </w:rPr>
      </w:pPr>
      <w:r>
        <w:rPr>
          <w:rFonts w:ascii="Arial" w:cs="Arial" w:eastAsia="Arial" w:hAnsi="Arial"/>
          <w:sz w:val="16"/>
          <w:szCs w:val="16"/>
          <w:color w:val="auto"/>
        </w:rPr>
        <w:t>The Series B Preferred Stock has no stated maturity and is not convertible into any other of our securities. Series B Preferred Stock will have no voting rights, except with respect to certain fundamental changes in the terms of the shares and in the case of certain dividend non-payments.</w:t>
      </w:r>
    </w:p>
    <w:p>
      <w:pPr>
        <w:sectPr>
          <w:pgSz w:w="11900" w:h="16838" w:orient="portrait"/>
          <w:cols w:equalWidth="0" w:num="1">
            <w:col w:w="11420"/>
          </w:cols>
          <w:pgMar w:left="240" w:top="131" w:right="239" w:bottom="1440" w:gutter="0" w:footer="0" w:header="0"/>
        </w:sectPr>
      </w:pPr>
    </w:p>
    <w:p>
      <w:pPr>
        <w:spacing w:after="0" w:line="139"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60" w:name="page161"/>
    <w:bookmarkEnd w:id="16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Stockholders' Equity — (continued)</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 Restrictions and Payments</w:t>
      </w:r>
    </w:p>
    <w:p>
      <w:pPr>
        <w:spacing w:after="0" w:line="231" w:lineRule="exact"/>
        <w:rPr>
          <w:sz w:val="20"/>
          <w:szCs w:val="20"/>
          <w:color w:val="auto"/>
        </w:rPr>
      </w:pPr>
    </w:p>
    <w:p>
      <w:pPr>
        <w:jc w:val="both"/>
        <w:ind w:firstLine="483"/>
        <w:spacing w:after="0" w:line="268" w:lineRule="auto"/>
        <w:rPr>
          <w:sz w:val="20"/>
          <w:szCs w:val="20"/>
          <w:color w:val="auto"/>
        </w:rPr>
      </w:pPr>
      <w:r>
        <w:rPr>
          <w:rFonts w:ascii="Arial" w:cs="Arial" w:eastAsia="Arial" w:hAnsi="Arial"/>
          <w:sz w:val="18"/>
          <w:szCs w:val="18"/>
          <w:color w:val="auto"/>
        </w:rPr>
        <w:t>The certificates of designation for the Series A and B Preferred Stock restrict the declaration of preferred dividends if we fail to meet specified capital adequacy, net income or stockholders' equity levels. As of December 31, 2013, we have no preferred dividend restrictions.</w:t>
      </w:r>
    </w:p>
    <w:p>
      <w:pPr>
        <w:spacing w:after="0" w:line="186" w:lineRule="exact"/>
        <w:rPr>
          <w:sz w:val="20"/>
          <w:szCs w:val="20"/>
          <w:color w:val="auto"/>
        </w:rPr>
      </w:pPr>
    </w:p>
    <w:p>
      <w:pPr>
        <w:jc w:val="both"/>
        <w:ind w:firstLine="360"/>
        <w:spacing w:after="0" w:line="306" w:lineRule="auto"/>
        <w:rPr>
          <w:sz w:val="20"/>
          <w:szCs w:val="20"/>
          <w:color w:val="auto"/>
        </w:rPr>
      </w:pPr>
      <w:r>
        <w:rPr>
          <w:rFonts w:ascii="Arial" w:cs="Arial" w:eastAsia="Arial" w:hAnsi="Arial"/>
          <w:sz w:val="16"/>
          <w:szCs w:val="16"/>
          <w:color w:val="auto"/>
        </w:rPr>
        <w:t>On April 1, 2013; July 1, 2013; September 30, 2013 and December 30, 2013, we paid a dividend of $8.2 million, $8.3 million, $8.2 million and $8.3 million, respectively, equal to $1.39 per share on Series A non-cumulative perpetual preferred stock and equal to $0.41 per share on Series B non-cumulative perpetual preferred stock. Dividends were paid to stockholders of record as of March 14, 2013; June 13, 2013; September 12, 2013 and December 12, 2013, respectively.</w:t>
      </w:r>
    </w:p>
    <w:p>
      <w:pPr>
        <w:spacing w:after="0" w:line="161" w:lineRule="exact"/>
        <w:rPr>
          <w:sz w:val="20"/>
          <w:szCs w:val="20"/>
          <w:color w:val="auto"/>
        </w:rPr>
      </w:pPr>
    </w:p>
    <w:p>
      <w:pPr>
        <w:jc w:val="both"/>
        <w:ind w:firstLine="379"/>
        <w:spacing w:after="0" w:line="306" w:lineRule="auto"/>
        <w:rPr>
          <w:sz w:val="20"/>
          <w:szCs w:val="20"/>
          <w:color w:val="auto"/>
        </w:rPr>
      </w:pPr>
      <w:r>
        <w:rPr>
          <w:rFonts w:ascii="Arial" w:cs="Arial" w:eastAsia="Arial" w:hAnsi="Arial"/>
          <w:sz w:val="16"/>
          <w:szCs w:val="16"/>
          <w:color w:val="auto"/>
        </w:rPr>
        <w:t>On March 30, 2012; July 2, 2012; October 1, 2012 and December 31, 2012, we paid a dividend of $8.2 million, $8.3 million, $8.2 million and $8.3 million, respectively, equal to $1.39 per share on Series A non-cumulative perpetual preferred stock and equal to $0.41 per share on Series B non-cumulative perpetual preferred stock. Dividends were paid to stockholders of record as of March 15, 2012; June 14, 2012; September 13, 2012 and December 13, 2012, respectively.</w:t>
      </w:r>
    </w:p>
    <w:p>
      <w:pPr>
        <w:spacing w:after="0" w:line="161" w:lineRule="exact"/>
        <w:rPr>
          <w:sz w:val="20"/>
          <w:szCs w:val="20"/>
          <w:color w:val="auto"/>
        </w:rPr>
      </w:pPr>
    </w:p>
    <w:p>
      <w:pPr>
        <w:jc w:val="both"/>
        <w:ind w:firstLine="521"/>
        <w:spacing w:after="0" w:line="256" w:lineRule="auto"/>
        <w:rPr>
          <w:sz w:val="20"/>
          <w:szCs w:val="20"/>
          <w:color w:val="auto"/>
        </w:rPr>
      </w:pPr>
      <w:r>
        <w:rPr>
          <w:rFonts w:ascii="Arial" w:cs="Arial" w:eastAsia="Arial" w:hAnsi="Arial"/>
          <w:sz w:val="18"/>
          <w:szCs w:val="18"/>
          <w:color w:val="auto"/>
        </w:rPr>
        <w:t>On March 30, 2011; June 30, 2011; September 30, 2011 and December 30, 2011, we paid a dividend of $8.2 million, $8.3 million, $8.2 million and $8.3 million, respectively, equal to $1.39 per share on Series A non-cumulative perpetual preferred stock and equal to $0.41 per share on Series B non-cumulative perpetual preferred stock. Dividends were paid to stockholders of record as of March 11, 2011; June 9, 2011; September 8, 2011 and December 8, 2011, respectively.</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Stock</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tcPr>
          <w:p>
            <w:pPr>
              <w:jc w:val="right"/>
              <w:ind w:right="72"/>
              <w:spacing w:after="0"/>
              <w:rPr>
                <w:sz w:val="20"/>
                <w:szCs w:val="20"/>
                <w:color w:val="auto"/>
              </w:rPr>
            </w:pPr>
            <w:r>
              <w:rPr>
                <w:rFonts w:ascii="Arial" w:cs="Arial" w:eastAsia="Arial" w:hAnsi="Arial"/>
                <w:sz w:val="14"/>
                <w:szCs w:val="14"/>
                <w:b w:val="1"/>
                <w:bCs w:val="1"/>
                <w:color w:val="auto"/>
                <w:w w:val="91"/>
              </w:rPr>
              <w:t>Dividend per</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4"/>
              </w:rPr>
              <w:t>Common stock</w:t>
            </w:r>
          </w:p>
        </w:tc>
      </w:tr>
      <w:tr>
        <w:trPr>
          <w:trHeight w:val="161"/>
        </w:trPr>
        <w:tc>
          <w:tcPr>
            <w:tcW w:w="5260" w:type="dxa"/>
            <w:vAlign w:val="bottom"/>
            <w:gridSpan w:val="2"/>
          </w:tcPr>
          <w:p>
            <w:pPr>
              <w:spacing w:after="0"/>
              <w:rPr>
                <w:sz w:val="20"/>
                <w:szCs w:val="20"/>
                <w:color w:val="auto"/>
              </w:rPr>
            </w:pPr>
            <w:r>
              <w:rPr>
                <w:rFonts w:ascii="Arial" w:cs="Arial" w:eastAsia="Arial" w:hAnsi="Arial"/>
                <w:sz w:val="14"/>
                <w:szCs w:val="14"/>
                <w:b w:val="1"/>
                <w:bCs w:val="1"/>
                <w:color w:val="auto"/>
              </w:rPr>
              <w:t>Date of dividend payment</w:t>
            </w:r>
          </w:p>
        </w:tc>
        <w:tc>
          <w:tcPr>
            <w:tcW w:w="160" w:type="dxa"/>
            <w:vAlign w:val="bottom"/>
          </w:tcPr>
          <w:p>
            <w:pPr>
              <w:spacing w:after="0"/>
              <w:rPr>
                <w:sz w:val="14"/>
                <w:szCs w:val="14"/>
                <w:color w:val="auto"/>
              </w:rPr>
            </w:pPr>
          </w:p>
        </w:tc>
        <w:tc>
          <w:tcPr>
            <w:tcW w:w="1200" w:type="dxa"/>
            <w:vAlign w:val="bottom"/>
          </w:tcPr>
          <w:p>
            <w:pPr>
              <w:ind w:left="180"/>
              <w:spacing w:after="0"/>
              <w:rPr>
                <w:sz w:val="20"/>
                <w:szCs w:val="20"/>
                <w:color w:val="auto"/>
              </w:rPr>
            </w:pPr>
            <w:r>
              <w:rPr>
                <w:rFonts w:ascii="Arial" w:cs="Arial" w:eastAsia="Arial" w:hAnsi="Arial"/>
                <w:sz w:val="14"/>
                <w:szCs w:val="14"/>
                <w:b w:val="1"/>
                <w:bCs w:val="1"/>
                <w:color w:val="auto"/>
              </w:rPr>
              <w:t>Date of record</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tcPr>
          <w:p>
            <w:pPr>
              <w:jc w:val="right"/>
              <w:ind w:right="32"/>
              <w:spacing w:after="0"/>
              <w:rPr>
                <w:sz w:val="20"/>
                <w:szCs w:val="20"/>
                <w:color w:val="auto"/>
              </w:rPr>
            </w:pPr>
            <w:r>
              <w:rPr>
                <w:rFonts w:ascii="Arial" w:cs="Arial" w:eastAsia="Arial" w:hAnsi="Arial"/>
                <w:sz w:val="14"/>
                <w:szCs w:val="14"/>
                <w:b w:val="1"/>
                <w:bCs w:val="1"/>
                <w:color w:val="auto"/>
                <w:w w:val="82"/>
              </w:rPr>
              <w:t>common share</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6"/>
              </w:rPr>
              <w:t>dividend</w:t>
            </w:r>
          </w:p>
        </w:tc>
      </w:tr>
      <w:tr>
        <w:trPr>
          <w:trHeight w:val="142"/>
        </w:trPr>
        <w:tc>
          <w:tcPr>
            <w:tcW w:w="20" w:type="dxa"/>
            <w:vAlign w:val="bottom"/>
          </w:tcPr>
          <w:p>
            <w:pPr>
              <w:spacing w:after="0"/>
              <w:rPr>
                <w:sz w:val="12"/>
                <w:szCs w:val="12"/>
                <w:color w:val="auto"/>
              </w:rPr>
            </w:pPr>
          </w:p>
        </w:tc>
        <w:tc>
          <w:tcPr>
            <w:tcW w:w="52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9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940" w:type="dxa"/>
            <w:vAlign w:val="bottom"/>
            <w:tcBorders>
              <w:top w:val="single" w:sz="8" w:color="auto"/>
            </w:tcBorders>
          </w:tcPr>
          <w:p>
            <w:pPr>
              <w:jc w:val="center"/>
              <w:ind w:right="32"/>
              <w:spacing w:after="0" w:line="142" w:lineRule="exact"/>
              <w:rPr>
                <w:sz w:val="20"/>
                <w:szCs w:val="20"/>
                <w:color w:val="auto"/>
              </w:rPr>
            </w:pPr>
            <w:r>
              <w:rPr>
                <w:rFonts w:ascii="Arial" w:cs="Arial" w:eastAsia="Arial" w:hAnsi="Arial"/>
                <w:sz w:val="14"/>
                <w:szCs w:val="14"/>
                <w:b w:val="1"/>
                <w:bCs w:val="1"/>
                <w:i w:val="1"/>
                <w:iCs w:val="1"/>
                <w:color w:val="auto"/>
                <w:w w:val="86"/>
              </w:rPr>
              <w:t>(in millions)</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240" w:type="dxa"/>
            <w:vAlign w:val="bottom"/>
            <w:shd w:val="clear" w:color="auto" w:fill="CCEEFF"/>
          </w:tcPr>
          <w:p>
            <w:pPr>
              <w:jc w:val="right"/>
              <w:ind w:right="4872"/>
              <w:spacing w:after="0" w:line="149" w:lineRule="exact"/>
              <w:rPr>
                <w:sz w:val="20"/>
                <w:szCs w:val="20"/>
                <w:color w:val="auto"/>
              </w:rPr>
            </w:pPr>
            <w:r>
              <w:rPr>
                <w:rFonts w:ascii="Arial" w:cs="Arial" w:eastAsia="Arial" w:hAnsi="Arial"/>
                <w:sz w:val="14"/>
                <w:szCs w:val="14"/>
                <w:b w:val="1"/>
                <w:bCs w:val="1"/>
                <w:color w:val="auto"/>
                <w:w w:val="78"/>
              </w:rPr>
              <w:t>2013:</w:t>
            </w:r>
          </w:p>
        </w:tc>
        <w:tc>
          <w:tcPr>
            <w:tcW w:w="16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240" w:type="dxa"/>
            <w:vAlign w:val="bottom"/>
          </w:tcPr>
          <w:p>
            <w:pPr>
              <w:spacing w:after="0" w:line="149" w:lineRule="exact"/>
              <w:rPr>
                <w:sz w:val="20"/>
                <w:szCs w:val="20"/>
                <w:color w:val="auto"/>
              </w:rPr>
            </w:pPr>
            <w:r>
              <w:rPr>
                <w:rFonts w:ascii="Arial" w:cs="Arial" w:eastAsia="Arial" w:hAnsi="Arial"/>
                <w:sz w:val="14"/>
                <w:szCs w:val="14"/>
                <w:color w:val="auto"/>
              </w:rPr>
              <w:t>December 27, 2013</w:t>
            </w:r>
          </w:p>
        </w:tc>
        <w:tc>
          <w:tcPr>
            <w:tcW w:w="1360" w:type="dxa"/>
            <w:vAlign w:val="bottom"/>
            <w:gridSpan w:val="2"/>
          </w:tcPr>
          <w:p>
            <w:pPr>
              <w:ind w:left="160"/>
              <w:spacing w:after="0" w:line="149" w:lineRule="exact"/>
              <w:rPr>
                <w:sz w:val="20"/>
                <w:szCs w:val="20"/>
                <w:color w:val="auto"/>
              </w:rPr>
            </w:pPr>
            <w:r>
              <w:rPr>
                <w:rFonts w:ascii="Arial" w:cs="Arial" w:eastAsia="Arial" w:hAnsi="Arial"/>
                <w:sz w:val="14"/>
                <w:szCs w:val="14"/>
                <w:color w:val="auto"/>
              </w:rPr>
              <w:t>December 9, 2013</w:t>
            </w:r>
          </w:p>
        </w:tc>
        <w:tc>
          <w:tcPr>
            <w:tcW w:w="24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9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0.26</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76.7</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2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September 27, 2013</w:t>
            </w:r>
          </w:p>
        </w:tc>
        <w:tc>
          <w:tcPr>
            <w:tcW w:w="136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w w:val="99"/>
              </w:rPr>
              <w:t>September 5, 2013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0.26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76.5</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240" w:type="dxa"/>
            <w:vAlign w:val="bottom"/>
          </w:tcPr>
          <w:p>
            <w:pPr>
              <w:spacing w:after="0" w:line="149" w:lineRule="exact"/>
              <w:rPr>
                <w:sz w:val="20"/>
                <w:szCs w:val="20"/>
                <w:color w:val="auto"/>
              </w:rPr>
            </w:pPr>
            <w:r>
              <w:rPr>
                <w:rFonts w:ascii="Arial" w:cs="Arial" w:eastAsia="Arial" w:hAnsi="Arial"/>
                <w:sz w:val="14"/>
                <w:szCs w:val="14"/>
                <w:color w:val="auto"/>
              </w:rPr>
              <w:t>June 28, 2013</w:t>
            </w:r>
          </w:p>
        </w:tc>
        <w:tc>
          <w:tcPr>
            <w:tcW w:w="1360" w:type="dxa"/>
            <w:vAlign w:val="bottom"/>
            <w:gridSpan w:val="2"/>
          </w:tcPr>
          <w:p>
            <w:pPr>
              <w:ind w:left="160"/>
              <w:spacing w:after="0" w:line="149" w:lineRule="exact"/>
              <w:rPr>
                <w:sz w:val="20"/>
                <w:szCs w:val="20"/>
                <w:color w:val="auto"/>
              </w:rPr>
            </w:pPr>
            <w:r>
              <w:rPr>
                <w:rFonts w:ascii="Arial" w:cs="Arial" w:eastAsia="Arial" w:hAnsi="Arial"/>
                <w:sz w:val="14"/>
                <w:szCs w:val="14"/>
                <w:color w:val="auto"/>
              </w:rPr>
              <w:t>June 3, 2013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0.23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67.6</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2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March 29, 2013</w:t>
            </w:r>
          </w:p>
        </w:tc>
        <w:tc>
          <w:tcPr>
            <w:tcW w:w="136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rPr>
              <w:t>March 11, 2013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0.23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67.6</w:t>
            </w:r>
          </w:p>
        </w:tc>
        <w:tc>
          <w:tcPr>
            <w:tcW w:w="160" w:type="dxa"/>
            <w:vAlign w:val="bottom"/>
            <w:shd w:val="clear" w:color="auto" w:fill="CCEEFF"/>
          </w:tcPr>
          <w:p>
            <w:pPr>
              <w:spacing w:after="0"/>
              <w:rPr>
                <w:sz w:val="12"/>
                <w:szCs w:val="12"/>
                <w:color w:val="auto"/>
              </w:rPr>
            </w:pPr>
          </w:p>
        </w:tc>
      </w:tr>
      <w:tr>
        <w:trPr>
          <w:trHeight w:val="311"/>
        </w:trPr>
        <w:tc>
          <w:tcPr>
            <w:tcW w:w="5260" w:type="dxa"/>
            <w:vAlign w:val="bottom"/>
            <w:gridSpan w:val="2"/>
          </w:tcPr>
          <w:p>
            <w:pPr>
              <w:jc w:val="right"/>
              <w:ind w:right="4872"/>
              <w:spacing w:after="0"/>
              <w:rPr>
                <w:sz w:val="20"/>
                <w:szCs w:val="20"/>
                <w:color w:val="auto"/>
              </w:rPr>
            </w:pPr>
            <w:r>
              <w:rPr>
                <w:rFonts w:ascii="Arial" w:cs="Arial" w:eastAsia="Arial" w:hAnsi="Arial"/>
                <w:sz w:val="14"/>
                <w:szCs w:val="14"/>
                <w:b w:val="1"/>
                <w:bCs w:val="1"/>
                <w:color w:val="auto"/>
                <w:w w:val="83"/>
              </w:rPr>
              <w:t>2012:</w:t>
            </w: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149"/>
        </w:trPr>
        <w:tc>
          <w:tcPr>
            <w:tcW w:w="20" w:type="dxa"/>
            <w:vAlign w:val="bottom"/>
          </w:tcPr>
          <w:p>
            <w:pPr>
              <w:spacing w:after="0"/>
              <w:rPr>
                <w:sz w:val="12"/>
                <w:szCs w:val="12"/>
                <w:color w:val="auto"/>
              </w:rPr>
            </w:pPr>
          </w:p>
        </w:tc>
        <w:tc>
          <w:tcPr>
            <w:tcW w:w="52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December 28, 2012</w:t>
            </w:r>
          </w:p>
        </w:tc>
        <w:tc>
          <w:tcPr>
            <w:tcW w:w="136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w w:val="95"/>
              </w:rPr>
              <w:t>December 10, 2012</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0.21</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61.7</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240" w:type="dxa"/>
            <w:vAlign w:val="bottom"/>
          </w:tcPr>
          <w:p>
            <w:pPr>
              <w:spacing w:after="0" w:line="149" w:lineRule="exact"/>
              <w:rPr>
                <w:sz w:val="20"/>
                <w:szCs w:val="20"/>
                <w:color w:val="auto"/>
              </w:rPr>
            </w:pPr>
            <w:r>
              <w:rPr>
                <w:rFonts w:ascii="Arial" w:cs="Arial" w:eastAsia="Arial" w:hAnsi="Arial"/>
                <w:sz w:val="14"/>
                <w:szCs w:val="14"/>
                <w:color w:val="auto"/>
              </w:rPr>
              <w:t>September 28, 2012</w:t>
            </w:r>
          </w:p>
        </w:tc>
        <w:tc>
          <w:tcPr>
            <w:tcW w:w="1360" w:type="dxa"/>
            <w:vAlign w:val="bottom"/>
            <w:gridSpan w:val="2"/>
          </w:tcPr>
          <w:p>
            <w:pPr>
              <w:ind w:left="160"/>
              <w:spacing w:after="0" w:line="149" w:lineRule="exact"/>
              <w:rPr>
                <w:sz w:val="20"/>
                <w:szCs w:val="20"/>
                <w:color w:val="auto"/>
              </w:rPr>
            </w:pPr>
            <w:r>
              <w:rPr>
                <w:rFonts w:ascii="Arial" w:cs="Arial" w:eastAsia="Arial" w:hAnsi="Arial"/>
                <w:sz w:val="14"/>
                <w:szCs w:val="14"/>
                <w:color w:val="auto"/>
                <w:w w:val="99"/>
              </w:rPr>
              <w:t>September 6, 2012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tcPr>
          <w:p>
            <w:pPr>
              <w:jc w:val="right"/>
              <w:spacing w:after="0" w:line="149" w:lineRule="exact"/>
              <w:rPr>
                <w:sz w:val="20"/>
                <w:szCs w:val="20"/>
                <w:color w:val="auto"/>
              </w:rPr>
            </w:pPr>
            <w:r>
              <w:rPr>
                <w:rFonts w:ascii="Arial" w:cs="Arial" w:eastAsia="Arial" w:hAnsi="Arial"/>
                <w:sz w:val="14"/>
                <w:szCs w:val="14"/>
                <w:color w:val="auto"/>
              </w:rPr>
              <w:t>0.21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tcPr>
          <w:p>
            <w:pPr>
              <w:jc w:val="right"/>
              <w:spacing w:after="0" w:line="149" w:lineRule="exact"/>
              <w:rPr>
                <w:sz w:val="20"/>
                <w:szCs w:val="20"/>
                <w:color w:val="auto"/>
              </w:rPr>
            </w:pPr>
            <w:r>
              <w:rPr>
                <w:rFonts w:ascii="Arial" w:cs="Arial" w:eastAsia="Arial" w:hAnsi="Arial"/>
                <w:sz w:val="14"/>
                <w:szCs w:val="14"/>
                <w:color w:val="auto"/>
              </w:rPr>
              <w:t>61.6</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2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June 29, 2012</w:t>
            </w:r>
          </w:p>
        </w:tc>
        <w:tc>
          <w:tcPr>
            <w:tcW w:w="136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rPr>
              <w:t>June 11, 2012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0.18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53.7</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240" w:type="dxa"/>
            <w:vAlign w:val="bottom"/>
          </w:tcPr>
          <w:p>
            <w:pPr>
              <w:spacing w:after="0" w:line="149" w:lineRule="exact"/>
              <w:rPr>
                <w:sz w:val="20"/>
                <w:szCs w:val="20"/>
                <w:color w:val="auto"/>
              </w:rPr>
            </w:pPr>
            <w:r>
              <w:rPr>
                <w:rFonts w:ascii="Arial" w:cs="Arial" w:eastAsia="Arial" w:hAnsi="Arial"/>
                <w:sz w:val="14"/>
                <w:szCs w:val="14"/>
                <w:color w:val="auto"/>
              </w:rPr>
              <w:t>March 30, 2012</w:t>
            </w:r>
          </w:p>
        </w:tc>
        <w:tc>
          <w:tcPr>
            <w:tcW w:w="1360" w:type="dxa"/>
            <w:vAlign w:val="bottom"/>
            <w:gridSpan w:val="2"/>
          </w:tcPr>
          <w:p>
            <w:pPr>
              <w:ind w:left="160"/>
              <w:spacing w:after="0" w:line="149" w:lineRule="exact"/>
              <w:rPr>
                <w:sz w:val="20"/>
                <w:szCs w:val="20"/>
                <w:color w:val="auto"/>
              </w:rPr>
            </w:pPr>
            <w:r>
              <w:rPr>
                <w:rFonts w:ascii="Arial" w:cs="Arial" w:eastAsia="Arial" w:hAnsi="Arial"/>
                <w:sz w:val="14"/>
                <w:szCs w:val="14"/>
                <w:color w:val="auto"/>
              </w:rPr>
              <w:t>March 12, 2012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tcPr>
          <w:p>
            <w:pPr>
              <w:jc w:val="right"/>
              <w:spacing w:after="0" w:line="149" w:lineRule="exact"/>
              <w:rPr>
                <w:sz w:val="20"/>
                <w:szCs w:val="20"/>
                <w:color w:val="auto"/>
              </w:rPr>
            </w:pPr>
            <w:r>
              <w:rPr>
                <w:rFonts w:ascii="Arial" w:cs="Arial" w:eastAsia="Arial" w:hAnsi="Arial"/>
                <w:sz w:val="14"/>
                <w:szCs w:val="14"/>
                <w:color w:val="auto"/>
              </w:rPr>
              <w:t>0.18</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tcPr>
          <w:p>
            <w:pPr>
              <w:jc w:val="right"/>
              <w:spacing w:after="0" w:line="149" w:lineRule="exact"/>
              <w:rPr>
                <w:sz w:val="20"/>
                <w:szCs w:val="20"/>
                <w:color w:val="auto"/>
              </w:rPr>
            </w:pPr>
            <w:r>
              <w:rPr>
                <w:rFonts w:ascii="Arial" w:cs="Arial" w:eastAsia="Arial" w:hAnsi="Arial"/>
                <w:sz w:val="14"/>
                <w:szCs w:val="14"/>
                <w:color w:val="auto"/>
              </w:rPr>
              <w:t>54.3</w:t>
            </w:r>
          </w:p>
        </w:tc>
        <w:tc>
          <w:tcPr>
            <w:tcW w:w="160" w:type="dxa"/>
            <w:vAlign w:val="bottom"/>
          </w:tcPr>
          <w:p>
            <w:pPr>
              <w:spacing w:after="0"/>
              <w:rPr>
                <w:sz w:val="12"/>
                <w:szCs w:val="12"/>
                <w:color w:val="auto"/>
              </w:rPr>
            </w:pPr>
          </w:p>
        </w:tc>
      </w:tr>
      <w:tr>
        <w:trPr>
          <w:trHeight w:val="311"/>
        </w:trPr>
        <w:tc>
          <w:tcPr>
            <w:tcW w:w="20" w:type="dxa"/>
            <w:vAlign w:val="bottom"/>
          </w:tcPr>
          <w:p>
            <w:pPr>
              <w:spacing w:after="0"/>
              <w:rPr>
                <w:sz w:val="24"/>
                <w:szCs w:val="24"/>
                <w:color w:val="auto"/>
              </w:rPr>
            </w:pPr>
          </w:p>
        </w:tc>
        <w:tc>
          <w:tcPr>
            <w:tcW w:w="524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2011:</w:t>
            </w: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r>
      <w:tr>
        <w:trPr>
          <w:trHeight w:val="172"/>
        </w:trPr>
        <w:tc>
          <w:tcPr>
            <w:tcW w:w="20" w:type="dxa"/>
            <w:vAlign w:val="bottom"/>
          </w:tcPr>
          <w:p>
            <w:pPr>
              <w:spacing w:after="0"/>
              <w:rPr>
                <w:sz w:val="14"/>
                <w:szCs w:val="14"/>
                <w:color w:val="auto"/>
              </w:rPr>
            </w:pPr>
          </w:p>
        </w:tc>
        <w:tc>
          <w:tcPr>
            <w:tcW w:w="5240" w:type="dxa"/>
            <w:vAlign w:val="bottom"/>
          </w:tcPr>
          <w:p>
            <w:pPr>
              <w:spacing w:after="0"/>
              <w:rPr>
                <w:sz w:val="20"/>
                <w:szCs w:val="20"/>
                <w:color w:val="auto"/>
              </w:rPr>
            </w:pPr>
            <w:r>
              <w:rPr>
                <w:rFonts w:ascii="Arial" w:cs="Arial" w:eastAsia="Arial" w:hAnsi="Arial"/>
                <w:sz w:val="14"/>
                <w:szCs w:val="14"/>
                <w:color w:val="auto"/>
              </w:rPr>
              <w:t>December 2, 2011</w:t>
            </w:r>
          </w:p>
        </w:tc>
        <w:tc>
          <w:tcPr>
            <w:tcW w:w="1360" w:type="dxa"/>
            <w:vAlign w:val="bottom"/>
            <w:gridSpan w:val="2"/>
          </w:tcPr>
          <w:p>
            <w:pPr>
              <w:ind w:left="160"/>
              <w:spacing w:after="0"/>
              <w:rPr>
                <w:sz w:val="20"/>
                <w:szCs w:val="20"/>
                <w:color w:val="auto"/>
              </w:rPr>
            </w:pPr>
            <w:r>
              <w:rPr>
                <w:rFonts w:ascii="Arial" w:cs="Arial" w:eastAsia="Arial" w:hAnsi="Arial"/>
                <w:sz w:val="14"/>
                <w:szCs w:val="14"/>
                <w:color w:val="auto"/>
                <w:w w:val="95"/>
              </w:rPr>
              <w:t>November 10, 2011</w:t>
            </w:r>
          </w:p>
        </w:tc>
        <w:tc>
          <w:tcPr>
            <w:tcW w:w="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0.70</w:t>
            </w:r>
          </w:p>
        </w:tc>
        <w:tc>
          <w:tcPr>
            <w:tcW w:w="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213.7</w:t>
            </w:r>
          </w:p>
        </w:tc>
        <w:tc>
          <w:tcPr>
            <w:tcW w:w="160" w:type="dxa"/>
            <w:vAlign w:val="bottom"/>
          </w:tcPr>
          <w:p>
            <w:pPr>
              <w:spacing w:after="0"/>
              <w:rPr>
                <w:sz w:val="14"/>
                <w:szCs w:val="14"/>
                <w:color w:val="auto"/>
              </w:rPr>
            </w:pPr>
          </w:p>
        </w:tc>
      </w:tr>
    </w:tbl>
    <w:p>
      <w:pPr>
        <w:spacing w:after="0" w:line="3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Reconciliation of Outstanding Shares</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860" w:type="dxa"/>
            <w:vAlign w:val="bottom"/>
          </w:tcPr>
          <w:p>
            <w:pPr>
              <w:spacing w:after="0"/>
              <w:rPr>
                <w:sz w:val="14"/>
                <w:szCs w:val="14"/>
                <w:color w:val="auto"/>
              </w:rPr>
            </w:pPr>
          </w:p>
        </w:tc>
        <w:tc>
          <w:tcPr>
            <w:tcW w:w="1060" w:type="dxa"/>
            <w:vAlign w:val="bottom"/>
          </w:tcPr>
          <w:p>
            <w:pPr>
              <w:jc w:val="right"/>
              <w:ind w:right="232"/>
              <w:spacing w:after="0"/>
              <w:rPr>
                <w:sz w:val="20"/>
                <w:szCs w:val="20"/>
                <w:color w:val="auto"/>
              </w:rPr>
            </w:pPr>
            <w:r>
              <w:rPr>
                <w:rFonts w:ascii="Arial" w:cs="Arial" w:eastAsia="Arial" w:hAnsi="Arial"/>
                <w:sz w:val="14"/>
                <w:szCs w:val="14"/>
                <w:b w:val="1"/>
                <w:bCs w:val="1"/>
                <w:color w:val="auto"/>
              </w:rPr>
              <w:t>Series A</w:t>
            </w:r>
          </w:p>
        </w:tc>
        <w:tc>
          <w:tcPr>
            <w:tcW w:w="160" w:type="dxa"/>
            <w:vAlign w:val="bottom"/>
          </w:tcPr>
          <w:p>
            <w:pPr>
              <w:spacing w:after="0"/>
              <w:rPr>
                <w:sz w:val="14"/>
                <w:szCs w:val="14"/>
                <w:color w:val="auto"/>
              </w:rPr>
            </w:pPr>
          </w:p>
        </w:tc>
        <w:tc>
          <w:tcPr>
            <w:tcW w:w="1040" w:type="dxa"/>
            <w:vAlign w:val="bottom"/>
          </w:tcPr>
          <w:p>
            <w:pPr>
              <w:jc w:val="right"/>
              <w:ind w:right="232"/>
              <w:spacing w:after="0"/>
              <w:rPr>
                <w:sz w:val="20"/>
                <w:szCs w:val="20"/>
                <w:color w:val="auto"/>
              </w:rPr>
            </w:pPr>
            <w:r>
              <w:rPr>
                <w:rFonts w:ascii="Arial" w:cs="Arial" w:eastAsia="Arial" w:hAnsi="Arial"/>
                <w:sz w:val="14"/>
                <w:szCs w:val="14"/>
                <w:b w:val="1"/>
                <w:bCs w:val="1"/>
                <w:color w:val="auto"/>
              </w:rPr>
              <w:t>Series B</w:t>
            </w:r>
          </w:p>
        </w:tc>
        <w:tc>
          <w:tcPr>
            <w:tcW w:w="160" w:type="dxa"/>
            <w:vAlign w:val="bottom"/>
          </w:tcPr>
          <w:p>
            <w:pPr>
              <w:spacing w:after="0"/>
              <w:rPr>
                <w:sz w:val="14"/>
                <w:szCs w:val="14"/>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95"/>
              </w:rPr>
              <w:t>Common</w:t>
            </w:r>
          </w:p>
        </w:tc>
      </w:tr>
      <w:tr>
        <w:trPr>
          <w:trHeight w:val="161"/>
        </w:trPr>
        <w:tc>
          <w:tcPr>
            <w:tcW w:w="20" w:type="dxa"/>
            <w:vAlign w:val="bottom"/>
          </w:tcPr>
          <w:p>
            <w:pPr>
              <w:spacing w:after="0"/>
              <w:rPr>
                <w:sz w:val="14"/>
                <w:szCs w:val="14"/>
                <w:color w:val="auto"/>
              </w:rPr>
            </w:pPr>
          </w:p>
        </w:tc>
        <w:tc>
          <w:tcPr>
            <w:tcW w:w="5860" w:type="dxa"/>
            <w:vAlign w:val="bottom"/>
          </w:tcPr>
          <w:p>
            <w:pPr>
              <w:spacing w:after="0"/>
              <w:rPr>
                <w:sz w:val="14"/>
                <w:szCs w:val="14"/>
                <w:color w:val="auto"/>
              </w:rPr>
            </w:pPr>
          </w:p>
        </w:tc>
        <w:tc>
          <w:tcPr>
            <w:tcW w:w="1060" w:type="dxa"/>
            <w:vAlign w:val="bottom"/>
          </w:tcPr>
          <w:p>
            <w:pPr>
              <w:jc w:val="right"/>
              <w:ind w:right="32"/>
              <w:spacing w:after="0"/>
              <w:rPr>
                <w:sz w:val="20"/>
                <w:szCs w:val="20"/>
                <w:color w:val="auto"/>
              </w:rPr>
            </w:pPr>
            <w:r>
              <w:rPr>
                <w:rFonts w:ascii="Arial" w:cs="Arial" w:eastAsia="Arial" w:hAnsi="Arial"/>
                <w:sz w:val="14"/>
                <w:szCs w:val="14"/>
                <w:b w:val="1"/>
                <w:bCs w:val="1"/>
                <w:color w:val="auto"/>
                <w:w w:val="92"/>
              </w:rPr>
              <w:t>preferred stock</w:t>
            </w:r>
          </w:p>
        </w:tc>
        <w:tc>
          <w:tcPr>
            <w:tcW w:w="160" w:type="dxa"/>
            <w:vAlign w:val="bottom"/>
          </w:tcPr>
          <w:p>
            <w:pPr>
              <w:spacing w:after="0"/>
              <w:rPr>
                <w:sz w:val="14"/>
                <w:szCs w:val="14"/>
                <w:color w:val="auto"/>
              </w:rPr>
            </w:pPr>
          </w:p>
        </w:tc>
        <w:tc>
          <w:tcPr>
            <w:tcW w:w="1040" w:type="dxa"/>
            <w:vAlign w:val="bottom"/>
          </w:tcPr>
          <w:p>
            <w:pPr>
              <w:jc w:val="right"/>
              <w:ind w:right="12"/>
              <w:spacing w:after="0"/>
              <w:rPr>
                <w:sz w:val="20"/>
                <w:szCs w:val="20"/>
                <w:color w:val="auto"/>
              </w:rPr>
            </w:pPr>
            <w:r>
              <w:rPr>
                <w:rFonts w:ascii="Arial" w:cs="Arial" w:eastAsia="Arial" w:hAnsi="Arial"/>
                <w:sz w:val="14"/>
                <w:szCs w:val="14"/>
                <w:b w:val="1"/>
                <w:bCs w:val="1"/>
                <w:color w:val="auto"/>
                <w:w w:val="92"/>
              </w:rPr>
              <w:t>preferred stock</w:t>
            </w:r>
          </w:p>
        </w:tc>
        <w:tc>
          <w:tcPr>
            <w:tcW w:w="160" w:type="dxa"/>
            <w:vAlign w:val="bottom"/>
          </w:tcPr>
          <w:p>
            <w:pPr>
              <w:spacing w:after="0"/>
              <w:rPr>
                <w:sz w:val="14"/>
                <w:szCs w:val="14"/>
                <w:color w:val="auto"/>
              </w:rPr>
            </w:pPr>
          </w:p>
        </w:tc>
        <w:tc>
          <w:tcPr>
            <w:tcW w:w="84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rPr>
              <w:t>stock</w:t>
            </w:r>
          </w:p>
        </w:tc>
      </w:tr>
      <w:tr>
        <w:trPr>
          <w:trHeight w:val="142"/>
        </w:trPr>
        <w:tc>
          <w:tcPr>
            <w:tcW w:w="20" w:type="dxa"/>
            <w:vAlign w:val="bottom"/>
          </w:tcPr>
          <w:p>
            <w:pPr>
              <w:spacing w:after="0"/>
              <w:rPr>
                <w:sz w:val="12"/>
                <w:szCs w:val="12"/>
                <w:color w:val="auto"/>
              </w:rPr>
            </w:pPr>
          </w:p>
        </w:tc>
        <w:tc>
          <w:tcPr>
            <w:tcW w:w="5860" w:type="dxa"/>
            <w:vAlign w:val="bottom"/>
          </w:tcPr>
          <w:p>
            <w:pPr>
              <w:spacing w:after="0"/>
              <w:rPr>
                <w:sz w:val="12"/>
                <w:szCs w:val="12"/>
                <w:color w:val="auto"/>
              </w:rPr>
            </w:pPr>
          </w:p>
        </w:tc>
        <w:tc>
          <w:tcPr>
            <w:tcW w:w="10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tcBorders>
              <w:top w:val="single" w:sz="8" w:color="auto"/>
            </w:tcBorders>
          </w:tcPr>
          <w:p>
            <w:pPr>
              <w:jc w:val="right"/>
              <w:ind w:right="312"/>
              <w:spacing w:after="0" w:line="142" w:lineRule="exact"/>
              <w:rPr>
                <w:sz w:val="20"/>
                <w:szCs w:val="20"/>
                <w:color w:val="auto"/>
              </w:rPr>
            </w:pPr>
            <w:r>
              <w:rPr>
                <w:rFonts w:ascii="Arial" w:cs="Arial" w:eastAsia="Arial" w:hAnsi="Arial"/>
                <w:sz w:val="14"/>
                <w:szCs w:val="14"/>
                <w:b w:val="1"/>
                <w:bCs w:val="1"/>
                <w:i w:val="1"/>
                <w:iCs w:val="1"/>
                <w:color w:val="auto"/>
                <w:w w:val="81"/>
              </w:rPr>
              <w:t>(in millions)</w:t>
            </w:r>
          </w:p>
        </w:tc>
        <w:tc>
          <w:tcPr>
            <w:tcW w:w="160" w:type="dxa"/>
            <w:vAlign w:val="bottom"/>
          </w:tcPr>
          <w:p>
            <w:pPr>
              <w:spacing w:after="0"/>
              <w:rPr>
                <w:sz w:val="12"/>
                <w:szCs w:val="12"/>
                <w:color w:val="auto"/>
              </w:rPr>
            </w:pPr>
          </w:p>
        </w:tc>
        <w:tc>
          <w:tcPr>
            <w:tcW w:w="6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Outstanding shares at January 1, 2011</w:t>
            </w:r>
          </w:p>
        </w:tc>
        <w:tc>
          <w:tcPr>
            <w:tcW w:w="10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w:t>
            </w:r>
          </w:p>
        </w:tc>
        <w:tc>
          <w:tcPr>
            <w:tcW w:w="12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10.0</w:t>
            </w:r>
          </w:p>
        </w:tc>
        <w:tc>
          <w:tcPr>
            <w:tcW w:w="8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320.4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60" w:type="dxa"/>
            <w:vAlign w:val="bottom"/>
          </w:tcPr>
          <w:p>
            <w:pPr>
              <w:spacing w:after="0" w:line="149" w:lineRule="exact"/>
              <w:rPr>
                <w:sz w:val="20"/>
                <w:szCs w:val="20"/>
                <w:color w:val="auto"/>
              </w:rPr>
            </w:pPr>
            <w:r>
              <w:rPr>
                <w:rFonts w:ascii="Arial" w:cs="Arial" w:eastAsia="Arial" w:hAnsi="Arial"/>
                <w:sz w:val="14"/>
                <w:szCs w:val="14"/>
                <w:color w:val="auto"/>
              </w:rPr>
              <w:t>Shares issued</w:t>
            </w:r>
          </w:p>
        </w:tc>
        <w:tc>
          <w:tcPr>
            <w:tcW w:w="10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8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Treasury stock acquired</w:t>
            </w:r>
          </w:p>
        </w:tc>
        <w:tc>
          <w:tcPr>
            <w:tcW w:w="10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0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3"/>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(21.1)</w:t>
            </w:r>
          </w:p>
        </w:tc>
      </w:tr>
      <w:tr>
        <w:trPr>
          <w:trHeight w:val="142"/>
        </w:trPr>
        <w:tc>
          <w:tcPr>
            <w:tcW w:w="5880" w:type="dxa"/>
            <w:vAlign w:val="bottom"/>
            <w:gridSpan w:val="2"/>
          </w:tcPr>
          <w:p>
            <w:pPr>
              <w:spacing w:after="0" w:line="142" w:lineRule="exact"/>
              <w:rPr>
                <w:sz w:val="20"/>
                <w:szCs w:val="20"/>
                <w:color w:val="auto"/>
              </w:rPr>
            </w:pPr>
            <w:r>
              <w:rPr>
                <w:rFonts w:ascii="Arial" w:cs="Arial" w:eastAsia="Arial" w:hAnsi="Arial"/>
                <w:sz w:val="14"/>
                <w:szCs w:val="14"/>
                <w:color w:val="auto"/>
              </w:rPr>
              <w:t>Outstanding shares at December 31, 2011</w:t>
            </w:r>
          </w:p>
        </w:tc>
        <w:tc>
          <w:tcPr>
            <w:tcW w:w="10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3.0</w:t>
            </w:r>
          </w:p>
        </w:tc>
        <w:tc>
          <w:tcPr>
            <w:tcW w:w="160" w:type="dxa"/>
            <w:vAlign w:val="bottom"/>
          </w:tcPr>
          <w:p>
            <w:pPr>
              <w:spacing w:after="0"/>
              <w:rPr>
                <w:sz w:val="12"/>
                <w:szCs w:val="12"/>
                <w:color w:val="auto"/>
              </w:rPr>
            </w:pPr>
          </w:p>
        </w:tc>
        <w:tc>
          <w:tcPr>
            <w:tcW w:w="10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10.0</w:t>
            </w:r>
          </w:p>
        </w:tc>
        <w:tc>
          <w:tcPr>
            <w:tcW w:w="160" w:type="dxa"/>
            <w:vAlign w:val="bottom"/>
          </w:tcPr>
          <w:p>
            <w:pPr>
              <w:spacing w:after="0"/>
              <w:rPr>
                <w:sz w:val="12"/>
                <w:szCs w:val="12"/>
                <w:color w:val="auto"/>
              </w:rPr>
            </w:pPr>
          </w:p>
        </w:tc>
        <w:tc>
          <w:tcPr>
            <w:tcW w:w="6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301.1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Shares issued</w:t>
            </w:r>
          </w:p>
        </w:tc>
        <w:tc>
          <w:tcPr>
            <w:tcW w:w="10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0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3.2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60" w:type="dxa"/>
            <w:vAlign w:val="bottom"/>
          </w:tcPr>
          <w:p>
            <w:pPr>
              <w:spacing w:after="0" w:line="149" w:lineRule="exact"/>
              <w:rPr>
                <w:sz w:val="20"/>
                <w:szCs w:val="20"/>
                <w:color w:val="auto"/>
              </w:rPr>
            </w:pPr>
            <w:r>
              <w:rPr>
                <w:rFonts w:ascii="Arial" w:cs="Arial" w:eastAsia="Arial" w:hAnsi="Arial"/>
                <w:sz w:val="14"/>
                <w:szCs w:val="14"/>
                <w:color w:val="auto"/>
              </w:rPr>
              <w:t>Treasury stock acquired</w:t>
            </w:r>
          </w:p>
        </w:tc>
        <w:tc>
          <w:tcPr>
            <w:tcW w:w="10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(10.5)</w:t>
            </w:r>
          </w:p>
        </w:tc>
      </w:tr>
      <w:tr>
        <w:trPr>
          <w:trHeight w:val="142"/>
        </w:trPr>
        <w:tc>
          <w:tcPr>
            <w:tcW w:w="20" w:type="dxa"/>
            <w:vAlign w:val="bottom"/>
          </w:tcPr>
          <w:p>
            <w:pPr>
              <w:spacing w:after="0"/>
              <w:rPr>
                <w:sz w:val="12"/>
                <w:szCs w:val="12"/>
                <w:color w:val="auto"/>
              </w:rPr>
            </w:pPr>
          </w:p>
        </w:tc>
        <w:tc>
          <w:tcPr>
            <w:tcW w:w="586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Outstanding shares at December 31, 2012</w:t>
            </w:r>
          </w:p>
        </w:tc>
        <w:tc>
          <w:tcPr>
            <w:tcW w:w="106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3.0</w:t>
            </w:r>
          </w:p>
        </w:tc>
        <w:tc>
          <w:tcPr>
            <w:tcW w:w="160" w:type="dxa"/>
            <w:vAlign w:val="bottom"/>
            <w:shd w:val="clear" w:color="auto" w:fill="CCEEFF"/>
          </w:tcPr>
          <w:p>
            <w:pPr>
              <w:spacing w:after="0"/>
              <w:rPr>
                <w:sz w:val="12"/>
                <w:szCs w:val="12"/>
                <w:color w:val="auto"/>
              </w:rPr>
            </w:pPr>
          </w:p>
        </w:tc>
        <w:tc>
          <w:tcPr>
            <w:tcW w:w="104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10.0</w:t>
            </w:r>
          </w:p>
        </w:tc>
        <w:tc>
          <w:tcPr>
            <w:tcW w:w="160" w:type="dxa"/>
            <w:vAlign w:val="bottom"/>
            <w:shd w:val="clear" w:color="auto" w:fill="CCEEFF"/>
          </w:tcPr>
          <w:p>
            <w:pPr>
              <w:spacing w:after="0"/>
              <w:rPr>
                <w:sz w:val="12"/>
                <w:szCs w:val="12"/>
                <w:color w:val="auto"/>
              </w:rPr>
            </w:pPr>
          </w:p>
        </w:tc>
        <w:tc>
          <w:tcPr>
            <w:tcW w:w="68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293.8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60" w:type="dxa"/>
            <w:vAlign w:val="bottom"/>
          </w:tcPr>
          <w:p>
            <w:pPr>
              <w:spacing w:after="0" w:line="149" w:lineRule="exact"/>
              <w:rPr>
                <w:sz w:val="20"/>
                <w:szCs w:val="20"/>
                <w:color w:val="auto"/>
              </w:rPr>
            </w:pPr>
            <w:r>
              <w:rPr>
                <w:rFonts w:ascii="Arial" w:cs="Arial" w:eastAsia="Arial" w:hAnsi="Arial"/>
                <w:sz w:val="14"/>
                <w:szCs w:val="14"/>
                <w:color w:val="auto"/>
              </w:rPr>
              <w:t>Shares issued</w:t>
            </w:r>
          </w:p>
        </w:tc>
        <w:tc>
          <w:tcPr>
            <w:tcW w:w="10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10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5.8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8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Treasury stock acquired</w:t>
            </w:r>
          </w:p>
        </w:tc>
        <w:tc>
          <w:tcPr>
            <w:tcW w:w="10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10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000" w:type="dxa"/>
            <w:vAlign w:val="bottom"/>
            <w:gridSpan w:val="3"/>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(4.4)</w:t>
            </w:r>
          </w:p>
        </w:tc>
      </w:tr>
      <w:tr>
        <w:trPr>
          <w:trHeight w:val="142"/>
        </w:trPr>
        <w:tc>
          <w:tcPr>
            <w:tcW w:w="5880" w:type="dxa"/>
            <w:vAlign w:val="bottom"/>
            <w:gridSpan w:val="2"/>
          </w:tcPr>
          <w:p>
            <w:pPr>
              <w:spacing w:after="0" w:line="142" w:lineRule="exact"/>
              <w:rPr>
                <w:sz w:val="20"/>
                <w:szCs w:val="20"/>
                <w:color w:val="auto"/>
              </w:rPr>
            </w:pPr>
            <w:r>
              <w:rPr>
                <w:rFonts w:ascii="Arial" w:cs="Arial" w:eastAsia="Arial" w:hAnsi="Arial"/>
                <w:sz w:val="14"/>
                <w:szCs w:val="14"/>
                <w:color w:val="auto"/>
              </w:rPr>
              <w:t>Outstanding shares at December 31, 2013</w:t>
            </w:r>
          </w:p>
        </w:tc>
        <w:tc>
          <w:tcPr>
            <w:tcW w:w="10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3.0</w:t>
            </w:r>
          </w:p>
        </w:tc>
        <w:tc>
          <w:tcPr>
            <w:tcW w:w="160" w:type="dxa"/>
            <w:vAlign w:val="bottom"/>
          </w:tcPr>
          <w:p>
            <w:pPr>
              <w:spacing w:after="0"/>
              <w:rPr>
                <w:sz w:val="12"/>
                <w:szCs w:val="12"/>
                <w:color w:val="auto"/>
              </w:rPr>
            </w:pPr>
          </w:p>
        </w:tc>
        <w:tc>
          <w:tcPr>
            <w:tcW w:w="10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10.0</w:t>
            </w:r>
          </w:p>
        </w:tc>
        <w:tc>
          <w:tcPr>
            <w:tcW w:w="160" w:type="dxa"/>
            <w:vAlign w:val="bottom"/>
          </w:tcPr>
          <w:p>
            <w:pPr>
              <w:spacing w:after="0"/>
              <w:rPr>
                <w:sz w:val="12"/>
                <w:szCs w:val="12"/>
                <w:color w:val="auto"/>
              </w:rPr>
            </w:pPr>
          </w:p>
        </w:tc>
        <w:tc>
          <w:tcPr>
            <w:tcW w:w="6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295.2</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586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61" w:name="page162"/>
    <w:bookmarkEnd w:id="16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Stockholders' Equity — (continued)</w:t>
      </w:r>
    </w:p>
    <w:p>
      <w:pPr>
        <w:spacing w:after="0" w:line="231" w:lineRule="exact"/>
        <w:rPr>
          <w:sz w:val="20"/>
          <w:szCs w:val="20"/>
          <w:color w:val="auto"/>
        </w:rPr>
      </w:pPr>
    </w:p>
    <w:p>
      <w:pPr>
        <w:jc w:val="both"/>
        <w:ind w:firstLine="421"/>
        <w:spacing w:after="0" w:line="290" w:lineRule="auto"/>
        <w:rPr>
          <w:sz w:val="20"/>
          <w:szCs w:val="20"/>
          <w:color w:val="auto"/>
        </w:rPr>
      </w:pPr>
      <w:r>
        <w:rPr>
          <w:rFonts w:ascii="Arial" w:cs="Arial" w:eastAsia="Arial" w:hAnsi="Arial"/>
          <w:sz w:val="16"/>
          <w:szCs w:val="16"/>
          <w:color w:val="auto"/>
        </w:rPr>
        <w:t>In May 2011, our Board of Directors reinstated the November 2007 share repurchase program. In July 2011, we completed this program. In August 2011, our Board of Directors authorized a share repurchase program of up to $200.0 million of our outstanding common stock. We completed this program in September 2011. In November 2011, our Board of Directors authorized a share repurchase program of up to $100.0 million of our outstanding common stock. We completed this program in December 2011. In February 2012, our Board of Directors authorized a share repurchase program of up to $100.0 million of our outstanding common stock. We completed this program in May 2012. In May 2012, our Board of Directors authorized a share repurchase program of up to $200.0 million of our outstanding common stock. We completed this program in February 2013. Also in February 2013, our Board of Directors authorized a share repurchase program up to $150.0 million of our outstanding common stock.</w:t>
      </w:r>
    </w:p>
    <w:p>
      <w:pPr>
        <w:spacing w:after="0" w:line="172" w:lineRule="exact"/>
        <w:rPr>
          <w:sz w:val="20"/>
          <w:szCs w:val="20"/>
          <w:color w:val="auto"/>
        </w:rPr>
      </w:pPr>
    </w:p>
    <w:p>
      <w:pPr>
        <w:ind w:left="500"/>
        <w:spacing w:after="0"/>
        <w:rPr>
          <w:sz w:val="20"/>
          <w:szCs w:val="20"/>
          <w:color w:val="auto"/>
        </w:rPr>
      </w:pPr>
      <w:r>
        <w:rPr>
          <w:rFonts w:ascii="Arial" w:cs="Arial" w:eastAsia="Arial" w:hAnsi="Arial"/>
          <w:sz w:val="16"/>
          <w:szCs w:val="16"/>
          <w:color w:val="auto"/>
        </w:rPr>
        <w:t>Our Board of Directors has authorized various repurchase programs under which we are allowed to purchase shares of our outstanding common stock.</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Shares repurchased under these programs are accounted for as treasury stock, carried at cost and reflected as a reduction to stockholders' equity.</w:t>
      </w:r>
    </w:p>
    <w:p>
      <w:pPr>
        <w:spacing w:after="0" w:line="200" w:lineRule="exact"/>
        <w:rPr>
          <w:sz w:val="20"/>
          <w:szCs w:val="20"/>
          <w:color w:val="auto"/>
        </w:rPr>
      </w:pP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Comprehensive Income (Loss)</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40" w:type="dxa"/>
            <w:vAlign w:val="bottom"/>
            <w:gridSpan w:val="8"/>
          </w:tcPr>
          <w:p>
            <w:pPr>
              <w:jc w:val="center"/>
              <w:ind w:left="372"/>
              <w:spacing w:after="0"/>
              <w:rPr>
                <w:sz w:val="20"/>
                <w:szCs w:val="20"/>
                <w:color w:val="auto"/>
              </w:rPr>
            </w:pPr>
            <w:r>
              <w:rPr>
                <w:rFonts w:ascii="Arial" w:cs="Arial" w:eastAsia="Arial" w:hAnsi="Arial"/>
                <w:sz w:val="14"/>
                <w:szCs w:val="14"/>
                <w:b w:val="1"/>
                <w:bCs w:val="1"/>
                <w:color w:val="auto"/>
                <w:w w:val="86"/>
              </w:rPr>
              <w:t>For the year ended</w:t>
            </w:r>
          </w:p>
        </w:tc>
        <w:tc>
          <w:tcPr>
            <w:tcW w:w="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6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gridSpan w:val="8"/>
          </w:tcPr>
          <w:p>
            <w:pPr>
              <w:jc w:val="center"/>
              <w:ind w:left="372"/>
              <w:spacing w:after="0"/>
              <w:rPr>
                <w:sz w:val="20"/>
                <w:szCs w:val="20"/>
                <w:color w:val="auto"/>
              </w:rPr>
            </w:pPr>
            <w:r>
              <w:rPr>
                <w:rFonts w:ascii="Arial" w:cs="Arial" w:eastAsia="Arial" w:hAnsi="Arial"/>
                <w:sz w:val="14"/>
                <w:szCs w:val="14"/>
                <w:b w:val="1"/>
                <w:bCs w:val="1"/>
                <w:color w:val="auto"/>
                <w:w w:val="85"/>
              </w:rPr>
              <w:t>December 31, 2013</w:t>
            </w:r>
          </w:p>
        </w:tc>
        <w:tc>
          <w:tcPr>
            <w:tcW w:w="5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9"/>
              </w:rPr>
              <w:t>Pre-Tax</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jc w:val="center"/>
              <w:ind w:right="72"/>
              <w:spacing w:after="0" w:line="142" w:lineRule="exact"/>
              <w:rPr>
                <w:sz w:val="20"/>
                <w:szCs w:val="20"/>
                <w:color w:val="auto"/>
              </w:rPr>
            </w:pPr>
            <w:r>
              <w:rPr>
                <w:rFonts w:ascii="Arial" w:cs="Arial" w:eastAsia="Arial" w:hAnsi="Arial"/>
                <w:sz w:val="14"/>
                <w:szCs w:val="14"/>
                <w:b w:val="1"/>
                <w:bCs w:val="1"/>
                <w:color w:val="auto"/>
                <w:w w:val="90"/>
              </w:rPr>
              <w:t>Tax</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8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7"/>
              </w:rPr>
              <w:t>After-Tax</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gridSpan w:val="3"/>
          </w:tcPr>
          <w:p>
            <w:pPr>
              <w:jc w:val="right"/>
              <w:spacing w:after="0" w:line="142" w:lineRule="exact"/>
              <w:rPr>
                <w:sz w:val="20"/>
                <w:szCs w:val="20"/>
                <w:color w:val="auto"/>
              </w:rPr>
            </w:pPr>
            <w:r>
              <w:rPr>
                <w:rFonts w:ascii="Arial" w:cs="Arial" w:eastAsia="Arial" w:hAnsi="Arial"/>
                <w:sz w:val="14"/>
                <w:szCs w:val="14"/>
                <w:b w:val="1"/>
                <w:bCs w:val="1"/>
                <w:i w:val="1"/>
                <w:iCs w:val="1"/>
                <w:color w:val="auto"/>
                <w:w w:val="81"/>
              </w:rPr>
              <w:t>(in millions)</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unrealized losses on available-for-sale securities during the period</w:t>
            </w:r>
          </w:p>
        </w:tc>
        <w:tc>
          <w:tcPr>
            <w:tcW w:w="80" w:type="dxa"/>
            <w:vAlign w:val="bottom"/>
            <w:gridSpan w:val="2"/>
            <w:shd w:val="clear" w:color="auto" w:fill="CCEEFF"/>
          </w:tcPr>
          <w:p>
            <w:pPr>
              <w:jc w:val="right"/>
              <w:spacing w:after="0"/>
              <w:rPr>
                <w:sz w:val="20"/>
                <w:szCs w:val="20"/>
                <w:color w:val="auto"/>
              </w:rPr>
            </w:pPr>
            <w:r>
              <w:rPr>
                <w:rFonts w:ascii="Arial" w:cs="Arial" w:eastAsia="Arial" w:hAnsi="Arial"/>
                <w:sz w:val="10"/>
                <w:szCs w:val="10"/>
                <w:b w:val="1"/>
                <w:bCs w:val="1"/>
                <w:color w:val="auto"/>
                <w:w w:val="71"/>
              </w:rPr>
              <w:t>$</w:t>
            </w:r>
          </w:p>
        </w:tc>
        <w:tc>
          <w:tcPr>
            <w:tcW w:w="6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(1,686.5)</w:t>
            </w:r>
          </w:p>
        </w:tc>
        <w:tc>
          <w:tcPr>
            <w:tcW w:w="22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b w:val="1"/>
                <w:bCs w:val="1"/>
                <w:color w:val="auto"/>
              </w:rPr>
              <w:t>$</w:t>
            </w: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559.5</w:t>
            </w:r>
          </w:p>
        </w:tc>
        <w:tc>
          <w:tcPr>
            <w:tcW w:w="120" w:type="dxa"/>
            <w:vAlign w:val="bottom"/>
            <w:shd w:val="clear" w:color="auto" w:fill="CCEEFF"/>
          </w:tcPr>
          <w:p>
            <w:pPr>
              <w:spacing w:after="0"/>
              <w:rPr>
                <w:sz w:val="12"/>
                <w:szCs w:val="12"/>
                <w:color w:val="auto"/>
              </w:rPr>
            </w:pPr>
          </w:p>
        </w:tc>
        <w:tc>
          <w:tcPr>
            <w:tcW w:w="200" w:type="dxa"/>
            <w:vAlign w:val="bottom"/>
            <w:gridSpan w:val="2"/>
            <w:shd w:val="clear" w:color="auto" w:fill="CCEEFF"/>
          </w:tcPr>
          <w:p>
            <w:pPr>
              <w:jc w:val="right"/>
              <w:ind w:right="41"/>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gridSpan w:val="2"/>
            <w:shd w:val="clear" w:color="auto" w:fill="CCEEFF"/>
          </w:tcPr>
          <w:p>
            <w:pPr>
              <w:jc w:val="right"/>
              <w:ind w:right="81"/>
              <w:spacing w:after="0" w:line="149" w:lineRule="exact"/>
              <w:rPr>
                <w:sz w:val="20"/>
                <w:szCs w:val="20"/>
                <w:color w:val="auto"/>
              </w:rPr>
            </w:pPr>
            <w:r>
              <w:rPr>
                <w:rFonts w:ascii="Arial" w:cs="Arial" w:eastAsia="Arial" w:hAnsi="Arial"/>
                <w:sz w:val="14"/>
                <w:szCs w:val="14"/>
                <w:b w:val="1"/>
                <w:bCs w:val="1"/>
                <w:color w:val="auto"/>
                <w:w w:val="96"/>
              </w:rPr>
              <w:t>(1,127.0)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20" w:type="dxa"/>
            <w:vAlign w:val="bottom"/>
          </w:tcPr>
          <w:p>
            <w:pPr>
              <w:spacing w:after="0" w:line="149" w:lineRule="exact"/>
              <w:rPr>
                <w:sz w:val="20"/>
                <w:szCs w:val="20"/>
                <w:color w:val="auto"/>
              </w:rPr>
            </w:pPr>
            <w:r>
              <w:rPr>
                <w:rFonts w:ascii="Arial" w:cs="Arial" w:eastAsia="Arial" w:hAnsi="Arial"/>
                <w:sz w:val="14"/>
                <w:szCs w:val="14"/>
                <w:color w:val="auto"/>
              </w:rPr>
              <w:t>Reclassification adjustment for losses included in net income (1)</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61.1</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gridSpan w:val="2"/>
          </w:tcPr>
          <w:p>
            <w:pPr>
              <w:jc w:val="right"/>
              <w:ind w:right="80"/>
              <w:spacing w:after="0" w:line="149" w:lineRule="exact"/>
              <w:rPr>
                <w:sz w:val="20"/>
                <w:szCs w:val="20"/>
                <w:color w:val="auto"/>
              </w:rPr>
            </w:pPr>
            <w:r>
              <w:rPr>
                <w:rFonts w:ascii="Arial" w:cs="Arial" w:eastAsia="Arial" w:hAnsi="Arial"/>
                <w:sz w:val="14"/>
                <w:szCs w:val="14"/>
                <w:b w:val="1"/>
                <w:bCs w:val="1"/>
                <w:color w:val="auto"/>
              </w:rPr>
              <w:t>(20.9)</w:t>
            </w: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40.2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Adjustments for assumed changes in amortization patterns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252.8</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b w:val="1"/>
                <w:bCs w:val="1"/>
                <w:color w:val="auto"/>
              </w:rPr>
              <w:t>(88.5)</w:t>
            </w:r>
          </w:p>
        </w:tc>
        <w:tc>
          <w:tcPr>
            <w:tcW w:w="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164.3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20" w:type="dxa"/>
            <w:vAlign w:val="bottom"/>
          </w:tcPr>
          <w:p>
            <w:pPr>
              <w:spacing w:after="0" w:line="149" w:lineRule="exact"/>
              <w:rPr>
                <w:sz w:val="20"/>
                <w:szCs w:val="20"/>
                <w:color w:val="auto"/>
              </w:rPr>
            </w:pPr>
            <w:r>
              <w:rPr>
                <w:rFonts w:ascii="Arial" w:cs="Arial" w:eastAsia="Arial" w:hAnsi="Arial"/>
                <w:sz w:val="14"/>
                <w:szCs w:val="14"/>
                <w:color w:val="auto"/>
              </w:rPr>
              <w:t>Adjustments for assumed changes in policyholder liabilities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575.7</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gridSpan w:val="2"/>
          </w:tcPr>
          <w:p>
            <w:pPr>
              <w:jc w:val="right"/>
              <w:ind w:right="80"/>
              <w:spacing w:after="0" w:line="149" w:lineRule="exact"/>
              <w:rPr>
                <w:sz w:val="20"/>
                <w:szCs w:val="20"/>
                <w:color w:val="auto"/>
              </w:rPr>
            </w:pPr>
            <w:r>
              <w:rPr>
                <w:rFonts w:ascii="Arial" w:cs="Arial" w:eastAsia="Arial" w:hAnsi="Arial"/>
                <w:sz w:val="14"/>
                <w:szCs w:val="14"/>
                <w:b w:val="1"/>
                <w:bCs w:val="1"/>
                <w:color w:val="auto"/>
              </w:rPr>
              <w:t>(193.4)</w:t>
            </w: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382.3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6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67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unrealized losses on available-for-sale securities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(796.9)</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256.7</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81"/>
              <w:spacing w:after="0" w:line="142" w:lineRule="exact"/>
              <w:rPr>
                <w:sz w:val="20"/>
                <w:szCs w:val="20"/>
                <w:color w:val="auto"/>
              </w:rPr>
            </w:pPr>
            <w:r>
              <w:rPr>
                <w:rFonts w:ascii="Arial" w:cs="Arial" w:eastAsia="Arial" w:hAnsi="Arial"/>
                <w:sz w:val="14"/>
                <w:szCs w:val="14"/>
                <w:b w:val="1"/>
                <w:bCs w:val="1"/>
                <w:color w:val="auto"/>
              </w:rPr>
              <w:t>(540.2)</w:t>
            </w:r>
          </w:p>
        </w:tc>
        <w:tc>
          <w:tcPr>
            <w:tcW w:w="0" w:type="dxa"/>
            <w:vAlign w:val="bottom"/>
          </w:tcPr>
          <w:p>
            <w:pPr>
              <w:spacing w:after="0"/>
              <w:rPr>
                <w:sz w:val="1"/>
                <w:szCs w:val="1"/>
                <w:color w:val="auto"/>
              </w:rPr>
            </w:pPr>
          </w:p>
        </w:tc>
      </w:tr>
      <w:tr>
        <w:trPr>
          <w:trHeight w:val="142"/>
        </w:trPr>
        <w:tc>
          <w:tcPr>
            <w:tcW w:w="6740" w:type="dxa"/>
            <w:vAlign w:val="bottom"/>
            <w:gridSpan w:val="2"/>
          </w:tcPr>
          <w:p>
            <w:pPr>
              <w:spacing w:after="0" w:line="142" w:lineRule="exact"/>
              <w:rPr>
                <w:sz w:val="20"/>
                <w:szCs w:val="20"/>
                <w:color w:val="auto"/>
              </w:rPr>
            </w:pPr>
            <w:r>
              <w:rPr>
                <w:rFonts w:ascii="Arial" w:cs="Arial" w:eastAsia="Arial" w:hAnsi="Arial"/>
                <w:sz w:val="14"/>
                <w:szCs w:val="14"/>
                <w:color w:val="auto"/>
              </w:rPr>
              <w:t>Noncredit component of impairment losses on fixed maturities, available-for-sale during the period</w:t>
            </w:r>
          </w:p>
        </w:tc>
        <w:tc>
          <w:tcPr>
            <w:tcW w:w="2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24.5</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(8.3)</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5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16.2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Adjustments for assumed changes in amortization patterns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(14.4)</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5.1</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81"/>
              <w:spacing w:after="0" w:line="149" w:lineRule="exact"/>
              <w:rPr>
                <w:sz w:val="20"/>
                <w:szCs w:val="20"/>
                <w:color w:val="auto"/>
              </w:rPr>
            </w:pPr>
            <w:r>
              <w:rPr>
                <w:rFonts w:ascii="Arial" w:cs="Arial" w:eastAsia="Arial" w:hAnsi="Arial"/>
                <w:sz w:val="14"/>
                <w:szCs w:val="14"/>
                <w:b w:val="1"/>
                <w:bCs w:val="1"/>
                <w:color w:val="auto"/>
              </w:rPr>
              <w:t>(9.3)</w:t>
            </w:r>
          </w:p>
        </w:tc>
        <w:tc>
          <w:tcPr>
            <w:tcW w:w="0" w:type="dxa"/>
            <w:vAlign w:val="bottom"/>
          </w:tcPr>
          <w:p>
            <w:pPr>
              <w:spacing w:after="0"/>
              <w:rPr>
                <w:sz w:val="1"/>
                <w:szCs w:val="1"/>
                <w:color w:val="auto"/>
              </w:rPr>
            </w:pPr>
          </w:p>
        </w:tc>
      </w:tr>
      <w:tr>
        <w:trPr>
          <w:trHeight w:val="142"/>
        </w:trPr>
        <w:tc>
          <w:tcPr>
            <w:tcW w:w="6740" w:type="dxa"/>
            <w:vAlign w:val="bottom"/>
            <w:gridSpan w:val="2"/>
          </w:tcPr>
          <w:p>
            <w:pPr>
              <w:spacing w:after="0" w:line="142" w:lineRule="exact"/>
              <w:rPr>
                <w:sz w:val="20"/>
                <w:szCs w:val="20"/>
                <w:color w:val="auto"/>
              </w:rPr>
            </w:pPr>
            <w:r>
              <w:rPr>
                <w:rFonts w:ascii="Arial" w:cs="Arial" w:eastAsia="Arial" w:hAnsi="Arial"/>
                <w:sz w:val="14"/>
                <w:szCs w:val="14"/>
                <w:color w:val="auto"/>
              </w:rPr>
              <w:t>Noncredit component of impairment losses on fixed maturities, available-for-sale (2)</w:t>
            </w:r>
          </w:p>
        </w:tc>
        <w:tc>
          <w:tcPr>
            <w:tcW w:w="2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10.1</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(3.2)</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5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6.9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7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unrealized losses on derivative instruments during the period</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(46.3)</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16.8</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81"/>
              <w:spacing w:after="0" w:line="142" w:lineRule="exact"/>
              <w:rPr>
                <w:sz w:val="20"/>
                <w:szCs w:val="20"/>
                <w:color w:val="auto"/>
              </w:rPr>
            </w:pPr>
            <w:r>
              <w:rPr>
                <w:rFonts w:ascii="Arial" w:cs="Arial" w:eastAsia="Arial" w:hAnsi="Arial"/>
                <w:sz w:val="14"/>
                <w:szCs w:val="14"/>
                <w:b w:val="1"/>
                <w:bCs w:val="1"/>
                <w:color w:val="auto"/>
              </w:rPr>
              <w:t>(29.5)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20" w:type="dxa"/>
            <w:vAlign w:val="bottom"/>
          </w:tcPr>
          <w:p>
            <w:pPr>
              <w:spacing w:after="0" w:line="149" w:lineRule="exact"/>
              <w:rPr>
                <w:sz w:val="20"/>
                <w:szCs w:val="20"/>
                <w:color w:val="auto"/>
              </w:rPr>
            </w:pPr>
            <w:r>
              <w:rPr>
                <w:rFonts w:ascii="Arial" w:cs="Arial" w:eastAsia="Arial" w:hAnsi="Arial"/>
                <w:sz w:val="14"/>
                <w:szCs w:val="14"/>
                <w:color w:val="auto"/>
              </w:rPr>
              <w:t>Reclassification adjustment for losses included in net income (3)</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11.6</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gridSpan w:val="2"/>
          </w:tcPr>
          <w:p>
            <w:pPr>
              <w:jc w:val="right"/>
              <w:ind w:right="80"/>
              <w:spacing w:after="0" w:line="149" w:lineRule="exact"/>
              <w:rPr>
                <w:sz w:val="20"/>
                <w:szCs w:val="20"/>
                <w:color w:val="auto"/>
              </w:rPr>
            </w:pPr>
            <w:r>
              <w:rPr>
                <w:rFonts w:ascii="Arial" w:cs="Arial" w:eastAsia="Arial" w:hAnsi="Arial"/>
                <w:sz w:val="14"/>
                <w:szCs w:val="14"/>
                <w:b w:val="1"/>
                <w:bCs w:val="1"/>
                <w:color w:val="auto"/>
              </w:rPr>
              <w:t>(4.3)</w:t>
            </w: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Adjustments for assumed changes in amortization patterns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10.9</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b w:val="1"/>
                <w:bCs w:val="1"/>
                <w:color w:val="auto"/>
              </w:rPr>
              <w:t>(3.8)</w:t>
            </w:r>
          </w:p>
        </w:tc>
        <w:tc>
          <w:tcPr>
            <w:tcW w:w="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20" w:type="dxa"/>
            <w:vAlign w:val="bottom"/>
          </w:tcPr>
          <w:p>
            <w:pPr>
              <w:spacing w:after="0" w:line="149" w:lineRule="exact"/>
              <w:rPr>
                <w:sz w:val="20"/>
                <w:szCs w:val="20"/>
                <w:color w:val="auto"/>
              </w:rPr>
            </w:pPr>
            <w:r>
              <w:rPr>
                <w:rFonts w:ascii="Arial" w:cs="Arial" w:eastAsia="Arial" w:hAnsi="Arial"/>
                <w:sz w:val="14"/>
                <w:szCs w:val="14"/>
                <w:color w:val="auto"/>
              </w:rPr>
              <w:t>Adjustments for assumed changes in policyholder liabilities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20.5</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gridSpan w:val="2"/>
          </w:tcPr>
          <w:p>
            <w:pPr>
              <w:jc w:val="right"/>
              <w:ind w:right="80"/>
              <w:spacing w:after="0" w:line="149" w:lineRule="exact"/>
              <w:rPr>
                <w:sz w:val="20"/>
                <w:szCs w:val="20"/>
                <w:color w:val="auto"/>
              </w:rPr>
            </w:pPr>
            <w:r>
              <w:rPr>
                <w:rFonts w:ascii="Arial" w:cs="Arial" w:eastAsia="Arial" w:hAnsi="Arial"/>
                <w:sz w:val="14"/>
                <w:szCs w:val="14"/>
                <w:b w:val="1"/>
                <w:bCs w:val="1"/>
                <w:color w:val="auto"/>
              </w:rPr>
              <w:t>(7.2)</w:t>
            </w: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6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67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unrealized losses on derivative instruments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(3.3)</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1.5</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81"/>
              <w:spacing w:after="0" w:line="142" w:lineRule="exact"/>
              <w:rPr>
                <w:sz w:val="20"/>
                <w:szCs w:val="20"/>
                <w:color w:val="auto"/>
              </w:rPr>
            </w:pPr>
            <w:r>
              <w:rPr>
                <w:rFonts w:ascii="Arial" w:cs="Arial" w:eastAsia="Arial" w:hAnsi="Arial"/>
                <w:sz w:val="14"/>
                <w:szCs w:val="14"/>
                <w:b w:val="1"/>
                <w:bCs w:val="1"/>
                <w:color w:val="auto"/>
              </w:rPr>
              <w:t>(1.8)</w:t>
            </w:r>
          </w:p>
        </w:tc>
        <w:tc>
          <w:tcPr>
            <w:tcW w:w="0" w:type="dxa"/>
            <w:vAlign w:val="bottom"/>
          </w:tcPr>
          <w:p>
            <w:pPr>
              <w:spacing w:after="0"/>
              <w:rPr>
                <w:sz w:val="1"/>
                <w:szCs w:val="1"/>
                <w:color w:val="auto"/>
              </w:rPr>
            </w:pPr>
          </w:p>
        </w:tc>
      </w:tr>
      <w:tr>
        <w:trPr>
          <w:trHeight w:val="142"/>
        </w:trPr>
        <w:tc>
          <w:tcPr>
            <w:tcW w:w="6740" w:type="dxa"/>
            <w:vAlign w:val="bottom"/>
            <w:gridSpan w:val="2"/>
          </w:tcPr>
          <w:p>
            <w:pPr>
              <w:spacing w:after="0" w:line="142" w:lineRule="exact"/>
              <w:rPr>
                <w:sz w:val="20"/>
                <w:szCs w:val="20"/>
                <w:color w:val="auto"/>
              </w:rPr>
            </w:pPr>
            <w:r>
              <w:rPr>
                <w:rFonts w:ascii="Arial" w:cs="Arial" w:eastAsia="Arial" w:hAnsi="Arial"/>
                <w:sz w:val="14"/>
                <w:szCs w:val="14"/>
                <w:color w:val="auto"/>
              </w:rPr>
              <w:t>Foreign currency translation adjustment</w:t>
            </w:r>
          </w:p>
        </w:tc>
        <w:tc>
          <w:tcPr>
            <w:tcW w:w="2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(282.6)</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13.2</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5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(269.4)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7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Unrecognized postretirement benefit obligation during the period</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426.7</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80"/>
              <w:spacing w:after="0" w:line="142" w:lineRule="exact"/>
              <w:rPr>
                <w:sz w:val="20"/>
                <w:szCs w:val="20"/>
                <w:color w:val="auto"/>
              </w:rPr>
            </w:pPr>
            <w:r>
              <w:rPr>
                <w:rFonts w:ascii="Arial" w:cs="Arial" w:eastAsia="Arial" w:hAnsi="Arial"/>
                <w:sz w:val="14"/>
                <w:szCs w:val="14"/>
                <w:b w:val="1"/>
                <w:bCs w:val="1"/>
                <w:color w:val="auto"/>
              </w:rPr>
              <w:t>(149.3)</w:t>
            </w:r>
          </w:p>
        </w:tc>
        <w:tc>
          <w:tcPr>
            <w:tcW w:w="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277.4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20" w:type="dxa"/>
            <w:vAlign w:val="bottom"/>
          </w:tcPr>
          <w:p>
            <w:pPr>
              <w:spacing w:after="0" w:line="149" w:lineRule="exact"/>
              <w:rPr>
                <w:sz w:val="20"/>
                <w:szCs w:val="20"/>
                <w:color w:val="auto"/>
              </w:rPr>
            </w:pPr>
            <w:r>
              <w:rPr>
                <w:rFonts w:ascii="Arial" w:cs="Arial" w:eastAsia="Arial" w:hAnsi="Arial"/>
                <w:sz w:val="14"/>
                <w:szCs w:val="14"/>
                <w:color w:val="auto"/>
              </w:rPr>
              <w:t>Amortization of prior service cost and actuarial loss included in net periodic benefit cost (4)</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84.9</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gridSpan w:val="2"/>
          </w:tcPr>
          <w:p>
            <w:pPr>
              <w:jc w:val="right"/>
              <w:ind w:right="80"/>
              <w:spacing w:after="0" w:line="149" w:lineRule="exact"/>
              <w:rPr>
                <w:sz w:val="20"/>
                <w:szCs w:val="20"/>
                <w:color w:val="auto"/>
              </w:rPr>
            </w:pPr>
            <w:r>
              <w:rPr>
                <w:rFonts w:ascii="Arial" w:cs="Arial" w:eastAsia="Arial" w:hAnsi="Arial"/>
                <w:sz w:val="14"/>
                <w:szCs w:val="14"/>
                <w:b w:val="1"/>
                <w:bCs w:val="1"/>
                <w:color w:val="auto"/>
              </w:rPr>
              <w:t>(29.7)</w:t>
            </w: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55.2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6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67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unrecognized postretirement benefit obligation</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511.6</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80"/>
              <w:spacing w:after="0" w:line="142" w:lineRule="exact"/>
              <w:rPr>
                <w:sz w:val="20"/>
                <w:szCs w:val="20"/>
                <w:color w:val="auto"/>
              </w:rPr>
            </w:pPr>
            <w:r>
              <w:rPr>
                <w:rFonts w:ascii="Arial" w:cs="Arial" w:eastAsia="Arial" w:hAnsi="Arial"/>
                <w:sz w:val="14"/>
                <w:szCs w:val="14"/>
                <w:b w:val="1"/>
                <w:bCs w:val="1"/>
                <w:color w:val="auto"/>
              </w:rPr>
              <w:t>(179.0)</w:t>
            </w:r>
          </w:p>
        </w:tc>
        <w:tc>
          <w:tcPr>
            <w:tcW w:w="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332.6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740" w:type="dxa"/>
            <w:vAlign w:val="bottom"/>
            <w:gridSpan w:val="2"/>
          </w:tcPr>
          <w:p>
            <w:pPr>
              <w:spacing w:after="0" w:line="142" w:lineRule="exact"/>
              <w:rPr>
                <w:sz w:val="20"/>
                <w:szCs w:val="20"/>
                <w:color w:val="auto"/>
              </w:rPr>
            </w:pPr>
            <w:r>
              <w:rPr>
                <w:rFonts w:ascii="Arial" w:cs="Arial" w:eastAsia="Arial" w:hAnsi="Arial"/>
                <w:sz w:val="14"/>
                <w:szCs w:val="14"/>
                <w:color w:val="auto"/>
              </w:rPr>
              <w:t>Other comprehensive loss</w:t>
            </w:r>
          </w:p>
        </w:tc>
        <w:tc>
          <w:tcPr>
            <w:tcW w:w="20" w:type="dxa"/>
            <w:vAlign w:val="bottom"/>
            <w:tcBorders>
              <w:bottom w:val="single" w:sz="8" w:color="auto"/>
            </w:tcBorders>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5"/>
                <w:szCs w:val="5"/>
                <w:b w:val="1"/>
                <w:bCs w:val="1"/>
                <w:color w:val="auto"/>
                <w:w w:val="70"/>
              </w:rPr>
              <w:t>$</w:t>
            </w:r>
          </w:p>
        </w:tc>
        <w:tc>
          <w:tcPr>
            <w:tcW w:w="6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(561.1</w:t>
            </w:r>
          </w:p>
        </w:tc>
        <w:tc>
          <w:tcPr>
            <w:tcW w:w="60" w:type="dxa"/>
            <w:vAlign w:val="bottom"/>
          </w:tcPr>
          <w:p>
            <w:pPr>
              <w:jc w:val="right"/>
              <w:spacing w:after="0"/>
              <w:rPr>
                <w:sz w:val="20"/>
                <w:szCs w:val="20"/>
                <w:color w:val="auto"/>
              </w:rPr>
            </w:pPr>
            <w:r>
              <w:rPr>
                <w:rFonts w:ascii="Arial" w:cs="Arial" w:eastAsia="Arial" w:hAnsi="Arial"/>
                <w:sz w:val="8"/>
                <w:szCs w:val="8"/>
                <w:b w:val="1"/>
                <w:bCs w:val="1"/>
                <w:color w:val="auto"/>
                <w:w w:val="73"/>
              </w:rPr>
              <w:t>)</w:t>
            </w:r>
          </w:p>
        </w:tc>
        <w:tc>
          <w:tcPr>
            <w:tcW w:w="10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4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89.2</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0"/>
                <w:szCs w:val="10"/>
                <w:b w:val="1"/>
                <w:bCs w:val="1"/>
                <w:color w:val="auto"/>
                <w:w w:val="71"/>
              </w:rPr>
              <w:t>$</w:t>
            </w:r>
          </w:p>
        </w:tc>
        <w:tc>
          <w:tcPr>
            <w:tcW w:w="5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(471.9</w:t>
            </w:r>
          </w:p>
        </w:tc>
        <w:tc>
          <w:tcPr>
            <w:tcW w:w="160" w:type="dxa"/>
            <w:vAlign w:val="bottom"/>
          </w:tcPr>
          <w:p>
            <w:pPr>
              <w:jc w:val="right"/>
              <w:ind w:right="81"/>
              <w:spacing w:after="0"/>
              <w:rPr>
                <w:sz w:val="20"/>
                <w:szCs w:val="20"/>
                <w:color w:val="auto"/>
              </w:rPr>
            </w:pPr>
            <w:r>
              <w:rPr>
                <w:rFonts w:ascii="Arial" w:cs="Arial" w:eastAsia="Arial" w:hAnsi="Arial"/>
                <w:sz w:val="8"/>
                <w:szCs w:val="8"/>
                <w:b w:val="1"/>
                <w:bCs w:val="1"/>
                <w:color w:val="auto"/>
                <w:w w:val="73"/>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62" w:name="page163"/>
    <w:bookmarkEnd w:id="16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Stockholders' Equity — (continued)</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56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60" w:type="dxa"/>
            <w:vAlign w:val="bottom"/>
            <w:gridSpan w:val="7"/>
          </w:tcPr>
          <w:p>
            <w:pPr>
              <w:jc w:val="right"/>
              <w:ind w:right="32"/>
              <w:spacing w:after="0"/>
              <w:rPr>
                <w:sz w:val="20"/>
                <w:szCs w:val="20"/>
                <w:color w:val="auto"/>
              </w:rPr>
            </w:pPr>
            <w:r>
              <w:rPr>
                <w:rFonts w:ascii="Arial" w:cs="Arial" w:eastAsia="Arial" w:hAnsi="Arial"/>
                <w:sz w:val="14"/>
                <w:szCs w:val="14"/>
                <w:b w:val="1"/>
                <w:bCs w:val="1"/>
                <w:color w:val="auto"/>
              </w:rPr>
              <w:t>For the year ended</w:t>
            </w:r>
          </w:p>
        </w:tc>
        <w:tc>
          <w:tcPr>
            <w:tcW w:w="4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5660" w:type="dxa"/>
            <w:vAlign w:val="bottom"/>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gridSpan w:val="7"/>
          </w:tcPr>
          <w:p>
            <w:pPr>
              <w:jc w:val="right"/>
              <w:ind w:right="32"/>
              <w:spacing w:after="0"/>
              <w:rPr>
                <w:sz w:val="20"/>
                <w:szCs w:val="20"/>
                <w:color w:val="auto"/>
              </w:rPr>
            </w:pPr>
            <w:r>
              <w:rPr>
                <w:rFonts w:ascii="Arial" w:cs="Arial" w:eastAsia="Arial" w:hAnsi="Arial"/>
                <w:sz w:val="14"/>
                <w:szCs w:val="14"/>
                <w:b w:val="1"/>
                <w:bCs w:val="1"/>
                <w:color w:val="auto"/>
              </w:rPr>
              <w:t>December 31, 2012</w:t>
            </w:r>
          </w:p>
        </w:tc>
        <w:tc>
          <w:tcPr>
            <w:tcW w:w="4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5660" w:type="dxa"/>
            <w:vAlign w:val="bottom"/>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gridSpan w:val="2"/>
          </w:tcPr>
          <w:p>
            <w:pPr>
              <w:jc w:val="right"/>
              <w:ind w:right="32"/>
              <w:spacing w:after="0" w:line="142" w:lineRule="exact"/>
              <w:rPr>
                <w:sz w:val="20"/>
                <w:szCs w:val="20"/>
                <w:color w:val="auto"/>
              </w:rPr>
            </w:pPr>
            <w:r>
              <w:rPr>
                <w:rFonts w:ascii="Arial" w:cs="Arial" w:eastAsia="Arial" w:hAnsi="Arial"/>
                <w:sz w:val="14"/>
                <w:szCs w:val="14"/>
                <w:b w:val="1"/>
                <w:bCs w:val="1"/>
                <w:color w:val="auto"/>
                <w:w w:val="89"/>
              </w:rPr>
              <w:t>Pre-Tax</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w w:val="99"/>
              </w:rPr>
              <w:t>Tax</w:t>
            </w:r>
          </w:p>
        </w:tc>
        <w:tc>
          <w:tcPr>
            <w:tcW w:w="160" w:type="dxa"/>
            <w:vAlign w:val="bottom"/>
          </w:tcPr>
          <w:p>
            <w:pPr>
              <w:spacing w:after="0"/>
              <w:rPr>
                <w:sz w:val="12"/>
                <w:szCs w:val="12"/>
                <w:color w:val="auto"/>
              </w:rPr>
            </w:pPr>
          </w:p>
        </w:tc>
        <w:tc>
          <w:tcPr>
            <w:tcW w:w="68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7"/>
              </w:rPr>
              <w:t>After-Tax</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56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gridSpan w:val="3"/>
          </w:tcPr>
          <w:p>
            <w:pPr>
              <w:jc w:val="right"/>
              <w:spacing w:after="0" w:line="142" w:lineRule="exact"/>
              <w:rPr>
                <w:sz w:val="20"/>
                <w:szCs w:val="20"/>
                <w:color w:val="auto"/>
              </w:rPr>
            </w:pPr>
            <w:r>
              <w:rPr>
                <w:rFonts w:ascii="Arial" w:cs="Arial" w:eastAsia="Arial" w:hAnsi="Arial"/>
                <w:sz w:val="14"/>
                <w:szCs w:val="14"/>
                <w:b w:val="1"/>
                <w:bCs w:val="1"/>
                <w:i w:val="1"/>
                <w:iCs w:val="1"/>
                <w:color w:val="auto"/>
                <w:w w:val="78"/>
              </w:rPr>
              <w:t>(in millions)</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Net unrealized gains on available-for-sale securities during the period</w:t>
            </w:r>
          </w:p>
        </w:tc>
        <w:tc>
          <w:tcPr>
            <w:tcW w:w="160" w:type="dxa"/>
            <w:vAlign w:val="bottom"/>
            <w:gridSpan w:val="2"/>
            <w:shd w:val="clear" w:color="auto" w:fill="CCEEFF"/>
          </w:tcPr>
          <w:p>
            <w:pPr>
              <w:jc w:val="right"/>
              <w:ind w:right="32"/>
              <w:spacing w:after="0"/>
              <w:rPr>
                <w:sz w:val="20"/>
                <w:szCs w:val="20"/>
                <w:color w:val="auto"/>
              </w:rPr>
            </w:pPr>
            <w:r>
              <w:rPr>
                <w:rFonts w:ascii="Arial" w:cs="Arial" w:eastAsia="Arial" w:hAnsi="Arial"/>
                <w:sz w:val="10"/>
                <w:szCs w:val="10"/>
                <w:color w:val="auto"/>
                <w:w w:val="71"/>
              </w:rPr>
              <w:t>$</w:t>
            </w: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4"/>
              </w:rPr>
              <w:t>1,577.3</w:t>
            </w:r>
          </w:p>
        </w:tc>
        <w:tc>
          <w:tcPr>
            <w:tcW w:w="80" w:type="dxa"/>
            <w:vAlign w:val="bottom"/>
            <w:shd w:val="clear" w:color="auto" w:fill="CCEEFF"/>
          </w:tcPr>
          <w:p>
            <w:pPr>
              <w:spacing w:after="0"/>
              <w:rPr>
                <w:sz w:val="12"/>
                <w:szCs w:val="12"/>
                <w:color w:val="auto"/>
              </w:rPr>
            </w:pPr>
          </w:p>
        </w:tc>
        <w:tc>
          <w:tcPr>
            <w:tcW w:w="200" w:type="dxa"/>
            <w:vAlign w:val="bottom"/>
            <w:gridSpan w:val="2"/>
            <w:shd w:val="clear" w:color="auto" w:fill="CCEEFF"/>
          </w:tcPr>
          <w:p>
            <w:pPr>
              <w:ind w:left="80"/>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(520.6)</w:t>
            </w:r>
          </w:p>
        </w:tc>
        <w:tc>
          <w:tcPr>
            <w:tcW w:w="220" w:type="dxa"/>
            <w:vAlign w:val="bottom"/>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w w:val="76"/>
              </w:rPr>
              <w:t>$</w:t>
            </w: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4"/>
              </w:rPr>
              <w:t>1,056.7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gridSpan w:val="2"/>
          </w:tcPr>
          <w:p>
            <w:pPr>
              <w:spacing w:after="0" w:line="149" w:lineRule="exact"/>
              <w:rPr>
                <w:sz w:val="20"/>
                <w:szCs w:val="20"/>
                <w:color w:val="auto"/>
              </w:rPr>
            </w:pPr>
            <w:r>
              <w:rPr>
                <w:rFonts w:ascii="Arial" w:cs="Arial" w:eastAsia="Arial" w:hAnsi="Arial"/>
                <w:sz w:val="14"/>
                <w:szCs w:val="14"/>
                <w:color w:val="auto"/>
              </w:rPr>
              <w:t>Reclassification adjustment for losses included in net income (1)</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107.8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(38.4)</w:t>
            </w:r>
          </w:p>
        </w:tc>
        <w:tc>
          <w:tcPr>
            <w:tcW w:w="22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69.4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Adjustments for assumed changes in amortization patterns</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(169.0)</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59.1</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(109.9)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gridSpan w:val="2"/>
          </w:tcPr>
          <w:p>
            <w:pPr>
              <w:spacing w:after="0" w:line="149" w:lineRule="exact"/>
              <w:rPr>
                <w:sz w:val="20"/>
                <w:szCs w:val="20"/>
                <w:color w:val="auto"/>
              </w:rPr>
            </w:pPr>
            <w:r>
              <w:rPr>
                <w:rFonts w:ascii="Arial" w:cs="Arial" w:eastAsia="Arial" w:hAnsi="Arial"/>
                <w:sz w:val="14"/>
                <w:szCs w:val="14"/>
                <w:color w:val="auto"/>
              </w:rPr>
              <w:t>Adjustments for assumed changes in policyholder liabilities</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(689.2)</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jc w:val="right"/>
              <w:spacing w:after="0" w:line="149" w:lineRule="exact"/>
              <w:rPr>
                <w:sz w:val="20"/>
                <w:szCs w:val="20"/>
                <w:color w:val="auto"/>
              </w:rPr>
            </w:pPr>
            <w:r>
              <w:rPr>
                <w:rFonts w:ascii="Arial" w:cs="Arial" w:eastAsia="Arial" w:hAnsi="Arial"/>
                <w:sz w:val="14"/>
                <w:szCs w:val="14"/>
                <w:color w:val="auto"/>
              </w:rPr>
              <w:t>230.6</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(458.6)</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5660" w:type="dxa"/>
            <w:vAlign w:val="bottom"/>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678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Net unrealized gains on available-for-sale securities</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826.9</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(269.3)</w:t>
            </w:r>
          </w:p>
        </w:tc>
        <w:tc>
          <w:tcPr>
            <w:tcW w:w="22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557.6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6800" w:type="dxa"/>
            <w:vAlign w:val="bottom"/>
            <w:gridSpan w:val="3"/>
            <w:vMerge w:val="restart"/>
          </w:tcPr>
          <w:p>
            <w:pPr>
              <w:spacing w:after="0"/>
              <w:rPr>
                <w:sz w:val="20"/>
                <w:szCs w:val="20"/>
                <w:color w:val="auto"/>
              </w:rPr>
            </w:pPr>
            <w:r>
              <w:rPr>
                <w:rFonts w:ascii="Arial" w:cs="Arial" w:eastAsia="Arial" w:hAnsi="Arial"/>
                <w:sz w:val="14"/>
                <w:szCs w:val="14"/>
                <w:color w:val="auto"/>
              </w:rPr>
              <w:t>Noncredit component of impairment losses on fixed maturities, available-for-sale during the period</w:t>
            </w:r>
          </w:p>
        </w:tc>
        <w:tc>
          <w:tcPr>
            <w:tcW w:w="4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6800" w:type="dxa"/>
            <w:vAlign w:val="bottom"/>
            <w:gridSpan w:val="3"/>
            <w:vMerge w:val="continue"/>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gridSpan w:val="2"/>
          </w:tcPr>
          <w:p>
            <w:pPr>
              <w:jc w:val="right"/>
              <w:ind w:right="40"/>
              <w:spacing w:after="0" w:line="142" w:lineRule="exact"/>
              <w:rPr>
                <w:sz w:val="20"/>
                <w:szCs w:val="20"/>
                <w:color w:val="auto"/>
              </w:rPr>
            </w:pPr>
            <w:r>
              <w:rPr>
                <w:rFonts w:ascii="Arial" w:cs="Arial" w:eastAsia="Arial" w:hAnsi="Arial"/>
                <w:sz w:val="14"/>
                <w:szCs w:val="14"/>
                <w:color w:val="auto"/>
              </w:rPr>
              <w:t>(17.3)</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jc w:val="right"/>
              <w:spacing w:after="0" w:line="142" w:lineRule="exact"/>
              <w:rPr>
                <w:sz w:val="20"/>
                <w:szCs w:val="20"/>
                <w:color w:val="auto"/>
              </w:rPr>
            </w:pPr>
            <w:r>
              <w:rPr>
                <w:rFonts w:ascii="Arial" w:cs="Arial" w:eastAsia="Arial" w:hAnsi="Arial"/>
                <w:sz w:val="14"/>
                <w:szCs w:val="14"/>
                <w:color w:val="auto"/>
              </w:rPr>
              <w:t>6.1</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(11.2)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Adjustments for assumed changes in amortization patterns</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(1.6)</w:t>
            </w:r>
          </w:p>
        </w:tc>
        <w:tc>
          <w:tcPr>
            <w:tcW w:w="22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gridSpan w:val="2"/>
          </w:tcPr>
          <w:p>
            <w:pPr>
              <w:spacing w:after="0" w:line="149" w:lineRule="exact"/>
              <w:rPr>
                <w:sz w:val="20"/>
                <w:szCs w:val="20"/>
                <w:color w:val="auto"/>
              </w:rPr>
            </w:pPr>
            <w:r>
              <w:rPr>
                <w:rFonts w:ascii="Arial" w:cs="Arial" w:eastAsia="Arial" w:hAnsi="Arial"/>
                <w:sz w:val="14"/>
                <w:szCs w:val="14"/>
                <w:color w:val="auto"/>
              </w:rPr>
              <w:t>Adjustments for assumed changes in policyholder liabilities</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3.2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(1.1)</w:t>
            </w:r>
          </w:p>
        </w:tc>
        <w:tc>
          <w:tcPr>
            <w:tcW w:w="22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2.1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5660" w:type="dxa"/>
            <w:vAlign w:val="bottom"/>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678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Noncredit component of impairment losses on fixed maturities, available-for-sale (2)</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(10.1)</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3.4</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(6.7)</w:t>
            </w:r>
          </w:p>
        </w:tc>
        <w:tc>
          <w:tcPr>
            <w:tcW w:w="0" w:type="dxa"/>
            <w:vAlign w:val="bottom"/>
          </w:tcPr>
          <w:p>
            <w:pPr>
              <w:spacing w:after="0"/>
              <w:rPr>
                <w:sz w:val="1"/>
                <w:szCs w:val="1"/>
                <w:color w:val="auto"/>
              </w:rPr>
            </w:pPr>
          </w:p>
        </w:tc>
      </w:tr>
      <w:tr>
        <w:trPr>
          <w:trHeight w:val="20"/>
        </w:trPr>
        <w:tc>
          <w:tcPr>
            <w:tcW w:w="6800" w:type="dxa"/>
            <w:vAlign w:val="bottom"/>
            <w:gridSpan w:val="3"/>
            <w:vMerge w:val="restart"/>
          </w:tcPr>
          <w:p>
            <w:pPr>
              <w:spacing w:after="0"/>
              <w:rPr>
                <w:sz w:val="20"/>
                <w:szCs w:val="20"/>
                <w:color w:val="auto"/>
              </w:rPr>
            </w:pPr>
            <w:r>
              <w:rPr>
                <w:rFonts w:ascii="Arial" w:cs="Arial" w:eastAsia="Arial" w:hAnsi="Arial"/>
                <w:sz w:val="14"/>
                <w:szCs w:val="14"/>
                <w:color w:val="auto"/>
              </w:rPr>
              <w:t>Net unrealized losses on derivative instruments during the period</w:t>
            </w:r>
          </w:p>
        </w:tc>
        <w:tc>
          <w:tcPr>
            <w:tcW w:w="4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6800" w:type="dxa"/>
            <w:vAlign w:val="bottom"/>
            <w:gridSpan w:val="3"/>
            <w:vMerge w:val="continue"/>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gridSpan w:val="2"/>
          </w:tcPr>
          <w:p>
            <w:pPr>
              <w:jc w:val="right"/>
              <w:ind w:right="40"/>
              <w:spacing w:after="0" w:line="142" w:lineRule="exact"/>
              <w:rPr>
                <w:sz w:val="20"/>
                <w:szCs w:val="20"/>
                <w:color w:val="auto"/>
              </w:rPr>
            </w:pPr>
            <w:r>
              <w:rPr>
                <w:rFonts w:ascii="Arial" w:cs="Arial" w:eastAsia="Arial" w:hAnsi="Arial"/>
                <w:sz w:val="14"/>
                <w:szCs w:val="14"/>
                <w:color w:val="auto"/>
              </w:rPr>
              <w:t>(25.9)</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jc w:val="right"/>
              <w:spacing w:after="0" w:line="142" w:lineRule="exact"/>
              <w:rPr>
                <w:sz w:val="20"/>
                <w:szCs w:val="20"/>
                <w:color w:val="auto"/>
              </w:rPr>
            </w:pPr>
            <w:r>
              <w:rPr>
                <w:rFonts w:ascii="Arial" w:cs="Arial" w:eastAsia="Arial" w:hAnsi="Arial"/>
                <w:sz w:val="14"/>
                <w:szCs w:val="14"/>
                <w:color w:val="auto"/>
              </w:rPr>
              <w:t>9.1</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(16.8)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Reclassification adjustment for losses included in net income (3)</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3.4</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(1.5)</w:t>
            </w:r>
          </w:p>
        </w:tc>
        <w:tc>
          <w:tcPr>
            <w:tcW w:w="22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gridSpan w:val="2"/>
          </w:tcPr>
          <w:p>
            <w:pPr>
              <w:spacing w:after="0" w:line="149" w:lineRule="exact"/>
              <w:rPr>
                <w:sz w:val="20"/>
                <w:szCs w:val="20"/>
                <w:color w:val="auto"/>
              </w:rPr>
            </w:pPr>
            <w:r>
              <w:rPr>
                <w:rFonts w:ascii="Arial" w:cs="Arial" w:eastAsia="Arial" w:hAnsi="Arial"/>
                <w:sz w:val="14"/>
                <w:szCs w:val="14"/>
                <w:color w:val="auto"/>
              </w:rPr>
              <w:t>Adjustments for assumed changes in amortization patterns</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25.9</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(9.1)</w:t>
            </w:r>
          </w:p>
        </w:tc>
        <w:tc>
          <w:tcPr>
            <w:tcW w:w="22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16.8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Adjustments for assumed changes in policyholder liabilities</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(70.0)</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24.5</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(45.5)</w:t>
            </w:r>
          </w:p>
        </w:tc>
        <w:tc>
          <w:tcPr>
            <w:tcW w:w="0" w:type="dxa"/>
            <w:vAlign w:val="bottom"/>
          </w:tcPr>
          <w:p>
            <w:pPr>
              <w:spacing w:after="0"/>
              <w:rPr>
                <w:sz w:val="1"/>
                <w:szCs w:val="1"/>
                <w:color w:val="auto"/>
              </w:rPr>
            </w:pPr>
          </w:p>
        </w:tc>
      </w:tr>
      <w:tr>
        <w:trPr>
          <w:trHeight w:val="142"/>
        </w:trPr>
        <w:tc>
          <w:tcPr>
            <w:tcW w:w="6800" w:type="dxa"/>
            <w:vAlign w:val="bottom"/>
            <w:gridSpan w:val="3"/>
          </w:tcPr>
          <w:p>
            <w:pPr>
              <w:spacing w:after="0" w:line="142" w:lineRule="exact"/>
              <w:rPr>
                <w:sz w:val="20"/>
                <w:szCs w:val="20"/>
                <w:color w:val="auto"/>
              </w:rPr>
            </w:pPr>
            <w:r>
              <w:rPr>
                <w:rFonts w:ascii="Arial" w:cs="Arial" w:eastAsia="Arial" w:hAnsi="Arial"/>
                <w:sz w:val="14"/>
                <w:szCs w:val="14"/>
                <w:color w:val="auto"/>
              </w:rPr>
              <w:t>Net unrealized losses on derivative instruments</w:t>
            </w:r>
          </w:p>
        </w:tc>
        <w:tc>
          <w:tcPr>
            <w:tcW w:w="40" w:type="dxa"/>
            <w:vAlign w:val="bottom"/>
            <w:tcBorders>
              <w:top w:val="single" w:sz="8" w:color="auto"/>
              <w:bottom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(66.6)</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23.0</w:t>
            </w:r>
          </w:p>
        </w:tc>
        <w:tc>
          <w:tcPr>
            <w:tcW w:w="160" w:type="dxa"/>
            <w:vAlign w:val="bottom"/>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(43.6)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78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Foreign currency translation adjustment</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(25.4)</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15.6</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(9.8)</w:t>
            </w:r>
          </w:p>
        </w:tc>
        <w:tc>
          <w:tcPr>
            <w:tcW w:w="0" w:type="dxa"/>
            <w:vAlign w:val="bottom"/>
          </w:tcPr>
          <w:p>
            <w:pPr>
              <w:spacing w:after="0"/>
              <w:rPr>
                <w:sz w:val="1"/>
                <w:szCs w:val="1"/>
                <w:color w:val="auto"/>
              </w:rPr>
            </w:pPr>
          </w:p>
        </w:tc>
      </w:tr>
      <w:tr>
        <w:trPr>
          <w:trHeight w:val="142"/>
        </w:trPr>
        <w:tc>
          <w:tcPr>
            <w:tcW w:w="6800" w:type="dxa"/>
            <w:vAlign w:val="bottom"/>
            <w:gridSpan w:val="3"/>
          </w:tcPr>
          <w:p>
            <w:pPr>
              <w:spacing w:after="0" w:line="142" w:lineRule="exact"/>
              <w:rPr>
                <w:sz w:val="20"/>
                <w:szCs w:val="20"/>
                <w:color w:val="auto"/>
              </w:rPr>
            </w:pPr>
            <w:r>
              <w:rPr>
                <w:rFonts w:ascii="Arial" w:cs="Arial" w:eastAsia="Arial" w:hAnsi="Arial"/>
                <w:sz w:val="14"/>
                <w:szCs w:val="14"/>
                <w:color w:val="auto"/>
              </w:rPr>
              <w:t>Unrecognized postretirement benefit obligation during the period</w:t>
            </w:r>
          </w:p>
        </w:tc>
        <w:tc>
          <w:tcPr>
            <w:tcW w:w="4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4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w w:val="99"/>
              </w:rPr>
              <w:t>(245.7)</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86.0</w:t>
            </w:r>
          </w:p>
        </w:tc>
        <w:tc>
          <w:tcPr>
            <w:tcW w:w="16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4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w w:val="99"/>
              </w:rPr>
              <w:t>(159.7)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Amortization of prior service cost and actuarial loss included in net periodic benefit cost (4)</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49.6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(17.3)</w:t>
            </w:r>
          </w:p>
        </w:tc>
        <w:tc>
          <w:tcPr>
            <w:tcW w:w="22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800" w:type="dxa"/>
            <w:vAlign w:val="bottom"/>
            <w:gridSpan w:val="3"/>
          </w:tcPr>
          <w:p>
            <w:pPr>
              <w:spacing w:after="0" w:line="142" w:lineRule="exact"/>
              <w:rPr>
                <w:sz w:val="20"/>
                <w:szCs w:val="20"/>
                <w:color w:val="auto"/>
              </w:rPr>
            </w:pPr>
            <w:r>
              <w:rPr>
                <w:rFonts w:ascii="Arial" w:cs="Arial" w:eastAsia="Arial" w:hAnsi="Arial"/>
                <w:sz w:val="14"/>
                <w:szCs w:val="14"/>
                <w:color w:val="auto"/>
              </w:rPr>
              <w:t>Net unrecognized postretirement benefit obligation</w:t>
            </w:r>
          </w:p>
        </w:tc>
        <w:tc>
          <w:tcPr>
            <w:tcW w:w="40" w:type="dxa"/>
            <w:vAlign w:val="bottom"/>
            <w:tcBorders>
              <w:top w:val="single" w:sz="8" w:color="auto"/>
              <w:bottom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99"/>
              </w:rPr>
              <w:t>(196.1)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68.7</w:t>
            </w:r>
          </w:p>
        </w:tc>
        <w:tc>
          <w:tcPr>
            <w:tcW w:w="160" w:type="dxa"/>
            <w:vAlign w:val="bottom"/>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99"/>
              </w:rPr>
              <w:t>(127.4)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78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Other comprehensive income</w:t>
            </w:r>
          </w:p>
        </w:tc>
        <w:tc>
          <w:tcPr>
            <w:tcW w:w="160" w:type="dxa"/>
            <w:vAlign w:val="bottom"/>
            <w:gridSpan w:val="2"/>
            <w:shd w:val="clear" w:color="auto" w:fill="CCEEFF"/>
          </w:tcPr>
          <w:p>
            <w:pPr>
              <w:jc w:val="right"/>
              <w:ind w:right="32"/>
              <w:spacing w:after="0"/>
              <w:rPr>
                <w:sz w:val="20"/>
                <w:szCs w:val="20"/>
                <w:color w:val="auto"/>
              </w:rPr>
            </w:pPr>
            <w:r>
              <w:rPr>
                <w:rFonts w:ascii="Arial" w:cs="Arial" w:eastAsia="Arial" w:hAnsi="Arial"/>
                <w:sz w:val="10"/>
                <w:szCs w:val="10"/>
                <w:color w:val="auto"/>
                <w:w w:val="71"/>
              </w:rPr>
              <w:t>$</w:t>
            </w:r>
          </w:p>
        </w:tc>
        <w:tc>
          <w:tcPr>
            <w:tcW w:w="4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528.7</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(158.6)</w:t>
            </w:r>
          </w:p>
        </w:tc>
        <w:tc>
          <w:tcPr>
            <w:tcW w:w="220" w:type="dxa"/>
            <w:vAlign w:val="bottom"/>
            <w:shd w:val="clear" w:color="auto" w:fill="CCEEFF"/>
          </w:tcPr>
          <w:p>
            <w:pPr>
              <w:jc w:val="right"/>
              <w:ind w:right="72"/>
              <w:spacing w:after="0" w:line="142" w:lineRule="exact"/>
              <w:rPr>
                <w:sz w:val="20"/>
                <w:szCs w:val="20"/>
                <w:color w:val="auto"/>
              </w:rPr>
            </w:pPr>
            <w:r>
              <w:rPr>
                <w:rFonts w:ascii="Arial" w:cs="Arial" w:eastAsia="Arial" w:hAnsi="Arial"/>
                <w:sz w:val="14"/>
                <w:szCs w:val="14"/>
                <w:color w:val="auto"/>
                <w:w w:val="76"/>
              </w:rPr>
              <w:t>$</w:t>
            </w:r>
          </w:p>
        </w:tc>
        <w:tc>
          <w:tcPr>
            <w:tcW w:w="4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370.1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566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6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65"/>
        </w:trPr>
        <w:tc>
          <w:tcPr>
            <w:tcW w:w="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56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60" w:type="dxa"/>
            <w:vAlign w:val="bottom"/>
            <w:gridSpan w:val="7"/>
          </w:tcPr>
          <w:p>
            <w:pPr>
              <w:jc w:val="right"/>
              <w:ind w:right="12"/>
              <w:spacing w:after="0"/>
              <w:rPr>
                <w:sz w:val="20"/>
                <w:szCs w:val="20"/>
                <w:color w:val="auto"/>
              </w:rPr>
            </w:pPr>
            <w:r>
              <w:rPr>
                <w:rFonts w:ascii="Arial" w:cs="Arial" w:eastAsia="Arial" w:hAnsi="Arial"/>
                <w:sz w:val="14"/>
                <w:szCs w:val="14"/>
                <w:b w:val="1"/>
                <w:bCs w:val="1"/>
                <w:color w:val="auto"/>
              </w:rPr>
              <w:t>For the year ended</w:t>
            </w: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56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gridSpan w:val="7"/>
          </w:tcPr>
          <w:p>
            <w:pPr>
              <w:jc w:val="right"/>
              <w:ind w:right="12"/>
              <w:spacing w:after="0"/>
              <w:rPr>
                <w:sz w:val="20"/>
                <w:szCs w:val="20"/>
                <w:color w:val="auto"/>
              </w:rPr>
            </w:pPr>
            <w:r>
              <w:rPr>
                <w:rFonts w:ascii="Arial" w:cs="Arial" w:eastAsia="Arial" w:hAnsi="Arial"/>
                <w:sz w:val="14"/>
                <w:szCs w:val="14"/>
                <w:b w:val="1"/>
                <w:bCs w:val="1"/>
                <w:color w:val="auto"/>
              </w:rPr>
              <w:t>December 31, 2011</w:t>
            </w:r>
          </w:p>
        </w:tc>
        <w:tc>
          <w:tcPr>
            <w:tcW w:w="4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56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60" w:type="dxa"/>
            <w:vAlign w:val="bottom"/>
            <w:gridSpan w:val="3"/>
          </w:tcPr>
          <w:p>
            <w:pPr>
              <w:jc w:val="right"/>
              <w:ind w:right="160"/>
              <w:spacing w:after="0" w:line="142" w:lineRule="exact"/>
              <w:rPr>
                <w:sz w:val="20"/>
                <w:szCs w:val="20"/>
                <w:color w:val="auto"/>
              </w:rPr>
            </w:pPr>
            <w:r>
              <w:rPr>
                <w:rFonts w:ascii="Arial" w:cs="Arial" w:eastAsia="Arial" w:hAnsi="Arial"/>
                <w:sz w:val="14"/>
                <w:szCs w:val="14"/>
                <w:b w:val="1"/>
                <w:bCs w:val="1"/>
                <w:color w:val="auto"/>
                <w:w w:val="93"/>
              </w:rPr>
              <w:t>Pre-Tax</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340"/>
              <w:spacing w:after="0" w:line="142" w:lineRule="exact"/>
              <w:rPr>
                <w:sz w:val="20"/>
                <w:szCs w:val="20"/>
                <w:color w:val="auto"/>
              </w:rPr>
            </w:pPr>
            <w:r>
              <w:rPr>
                <w:rFonts w:ascii="Arial" w:cs="Arial" w:eastAsia="Arial" w:hAnsi="Arial"/>
                <w:sz w:val="14"/>
                <w:szCs w:val="14"/>
                <w:b w:val="1"/>
                <w:bCs w:val="1"/>
                <w:color w:val="auto"/>
                <w:w w:val="99"/>
              </w:rPr>
              <w:t>Tax</w:t>
            </w:r>
          </w:p>
        </w:tc>
        <w:tc>
          <w:tcPr>
            <w:tcW w:w="68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w w:val="97"/>
              </w:rPr>
              <w:t>After-Tax</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56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46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Borders>
              <w:top w:val="single" w:sz="8" w:color="auto"/>
            </w:tcBorders>
            <w:gridSpan w:val="2"/>
          </w:tcPr>
          <w:p>
            <w:pPr>
              <w:spacing w:after="0"/>
              <w:rPr>
                <w:sz w:val="20"/>
                <w:szCs w:val="20"/>
                <w:color w:val="auto"/>
              </w:rPr>
            </w:pPr>
            <w:r>
              <w:rPr>
                <w:rFonts w:ascii="Arial" w:cs="Arial" w:eastAsia="Arial" w:hAnsi="Arial"/>
                <w:sz w:val="12"/>
                <w:szCs w:val="12"/>
                <w:b w:val="1"/>
                <w:bCs w:val="1"/>
                <w:i w:val="1"/>
                <w:iCs w:val="1"/>
                <w:color w:val="auto"/>
                <w:w w:val="80"/>
              </w:rPr>
              <w:t>(in millions)</w:t>
            </w:r>
          </w:p>
        </w:tc>
        <w:tc>
          <w:tcPr>
            <w:tcW w:w="16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4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Net unrealized gains on available-for-sale securities during the period</w:t>
            </w:r>
          </w:p>
        </w:tc>
        <w:tc>
          <w:tcPr>
            <w:tcW w:w="1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559.4</w:t>
            </w:r>
          </w:p>
        </w:tc>
        <w:tc>
          <w:tcPr>
            <w:tcW w:w="80" w:type="dxa"/>
            <w:vAlign w:val="bottom"/>
            <w:shd w:val="clear" w:color="auto" w:fill="CCEEFF"/>
          </w:tcPr>
          <w:p>
            <w:pPr>
              <w:spacing w:after="0"/>
              <w:rPr>
                <w:sz w:val="12"/>
                <w:szCs w:val="12"/>
                <w:color w:val="auto"/>
              </w:rPr>
            </w:pPr>
          </w:p>
        </w:tc>
        <w:tc>
          <w:tcPr>
            <w:tcW w:w="200" w:type="dxa"/>
            <w:vAlign w:val="bottom"/>
            <w:gridSpan w:val="2"/>
            <w:shd w:val="clear" w:color="auto" w:fill="CCEEFF"/>
          </w:tcPr>
          <w:p>
            <w:pPr>
              <w:ind w:left="80"/>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(207.9)</w:t>
            </w:r>
          </w:p>
        </w:tc>
        <w:tc>
          <w:tcPr>
            <w:tcW w:w="220" w:type="dxa"/>
            <w:vAlign w:val="bottom"/>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w w:val="76"/>
              </w:rPr>
              <w:t>$</w:t>
            </w: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351.5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gridSpan w:val="2"/>
          </w:tcPr>
          <w:p>
            <w:pPr>
              <w:spacing w:after="0" w:line="149" w:lineRule="exact"/>
              <w:rPr>
                <w:sz w:val="20"/>
                <w:szCs w:val="20"/>
                <w:color w:val="auto"/>
              </w:rPr>
            </w:pPr>
            <w:r>
              <w:rPr>
                <w:rFonts w:ascii="Arial" w:cs="Arial" w:eastAsia="Arial" w:hAnsi="Arial"/>
                <w:sz w:val="14"/>
                <w:szCs w:val="14"/>
                <w:color w:val="auto"/>
              </w:rPr>
              <w:t>Reclassification adjustment for losses included in net income (1)</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112.0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(42.9)</w:t>
            </w:r>
          </w:p>
        </w:tc>
        <w:tc>
          <w:tcPr>
            <w:tcW w:w="22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69.1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Adjustments for assumed changes in amortization patterns</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(114.9)</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40.2</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(74.7)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gridSpan w:val="2"/>
          </w:tcPr>
          <w:p>
            <w:pPr>
              <w:spacing w:after="0" w:line="149" w:lineRule="exact"/>
              <w:rPr>
                <w:sz w:val="20"/>
                <w:szCs w:val="20"/>
                <w:color w:val="auto"/>
              </w:rPr>
            </w:pPr>
            <w:r>
              <w:rPr>
                <w:rFonts w:ascii="Arial" w:cs="Arial" w:eastAsia="Arial" w:hAnsi="Arial"/>
                <w:sz w:val="14"/>
                <w:szCs w:val="14"/>
                <w:color w:val="auto"/>
              </w:rPr>
              <w:t>Adjustments for assumed changes in policyholder liabilities</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(230.3)</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jc w:val="right"/>
              <w:spacing w:after="0" w:line="149" w:lineRule="exact"/>
              <w:rPr>
                <w:sz w:val="20"/>
                <w:szCs w:val="20"/>
                <w:color w:val="auto"/>
              </w:rPr>
            </w:pPr>
            <w:r>
              <w:rPr>
                <w:rFonts w:ascii="Arial" w:cs="Arial" w:eastAsia="Arial" w:hAnsi="Arial"/>
                <w:sz w:val="14"/>
                <w:szCs w:val="14"/>
                <w:color w:val="auto"/>
              </w:rPr>
              <w:t>93.0</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(137.3)</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56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678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Net unrealized gains on available-for-sale securities</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326.2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(117.6)</w:t>
            </w:r>
          </w:p>
        </w:tc>
        <w:tc>
          <w:tcPr>
            <w:tcW w:w="22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208.6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800" w:type="dxa"/>
            <w:vAlign w:val="bottom"/>
            <w:gridSpan w:val="3"/>
          </w:tcPr>
          <w:p>
            <w:pPr>
              <w:spacing w:after="0" w:line="142" w:lineRule="exact"/>
              <w:rPr>
                <w:sz w:val="20"/>
                <w:szCs w:val="20"/>
                <w:color w:val="auto"/>
              </w:rPr>
            </w:pPr>
            <w:r>
              <w:rPr>
                <w:rFonts w:ascii="Arial" w:cs="Arial" w:eastAsia="Arial" w:hAnsi="Arial"/>
                <w:sz w:val="14"/>
                <w:szCs w:val="14"/>
                <w:color w:val="auto"/>
              </w:rPr>
              <w:t>Noncredit component of impairment losses on fixed maturities, available-for-sale during the period</w:t>
            </w:r>
          </w:p>
        </w:tc>
        <w:tc>
          <w:tcPr>
            <w:tcW w:w="4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4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49.9</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(18.0)</w:t>
            </w:r>
          </w:p>
        </w:tc>
        <w:tc>
          <w:tcPr>
            <w:tcW w:w="16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4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31.9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Adjustments for assumed changes in amortization patterns</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(1.4)</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0.5</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(0.9)</w:t>
            </w:r>
          </w:p>
        </w:tc>
        <w:tc>
          <w:tcPr>
            <w:tcW w:w="0" w:type="dxa"/>
            <w:vAlign w:val="bottom"/>
          </w:tcPr>
          <w:p>
            <w:pPr>
              <w:spacing w:after="0"/>
              <w:rPr>
                <w:sz w:val="1"/>
                <w:szCs w:val="1"/>
                <w:color w:val="auto"/>
              </w:rPr>
            </w:pPr>
          </w:p>
        </w:tc>
      </w:tr>
      <w:tr>
        <w:trPr>
          <w:trHeight w:val="142"/>
        </w:trPr>
        <w:tc>
          <w:tcPr>
            <w:tcW w:w="6800" w:type="dxa"/>
            <w:vAlign w:val="bottom"/>
            <w:gridSpan w:val="3"/>
          </w:tcPr>
          <w:p>
            <w:pPr>
              <w:spacing w:after="0" w:line="142" w:lineRule="exact"/>
              <w:rPr>
                <w:sz w:val="20"/>
                <w:szCs w:val="20"/>
                <w:color w:val="auto"/>
              </w:rPr>
            </w:pPr>
            <w:r>
              <w:rPr>
                <w:rFonts w:ascii="Arial" w:cs="Arial" w:eastAsia="Arial" w:hAnsi="Arial"/>
                <w:sz w:val="14"/>
                <w:szCs w:val="14"/>
                <w:color w:val="auto"/>
              </w:rPr>
              <w:t>Noncredit component of impairment losses on fixed maturities, available-for-sale (2)</w:t>
            </w:r>
          </w:p>
        </w:tc>
        <w:tc>
          <w:tcPr>
            <w:tcW w:w="4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48.5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(17.5)</w:t>
            </w:r>
          </w:p>
        </w:tc>
        <w:tc>
          <w:tcPr>
            <w:tcW w:w="160" w:type="dxa"/>
            <w:vAlign w:val="bottom"/>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31.0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78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Net unrealized gains on derivative instruments during the period</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39.6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(13.8)</w:t>
            </w:r>
          </w:p>
        </w:tc>
        <w:tc>
          <w:tcPr>
            <w:tcW w:w="22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25.8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gridSpan w:val="2"/>
          </w:tcPr>
          <w:p>
            <w:pPr>
              <w:spacing w:after="0" w:line="149" w:lineRule="exact"/>
              <w:rPr>
                <w:sz w:val="20"/>
                <w:szCs w:val="20"/>
                <w:color w:val="auto"/>
              </w:rPr>
            </w:pPr>
            <w:r>
              <w:rPr>
                <w:rFonts w:ascii="Arial" w:cs="Arial" w:eastAsia="Arial" w:hAnsi="Arial"/>
                <w:sz w:val="14"/>
                <w:szCs w:val="14"/>
                <w:color w:val="auto"/>
              </w:rPr>
              <w:t>Reclassification adjustment for losses included in net income (3)</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20.7</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(7.4)</w:t>
            </w:r>
          </w:p>
        </w:tc>
        <w:tc>
          <w:tcPr>
            <w:tcW w:w="22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13.3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Adjustments for assumed changes in amortization patterns</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(23.9)</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8.4</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(15.5)</w:t>
            </w:r>
          </w:p>
        </w:tc>
        <w:tc>
          <w:tcPr>
            <w:tcW w:w="0" w:type="dxa"/>
            <w:vAlign w:val="bottom"/>
          </w:tcPr>
          <w:p>
            <w:pPr>
              <w:spacing w:after="0"/>
              <w:rPr>
                <w:sz w:val="1"/>
                <w:szCs w:val="1"/>
                <w:color w:val="auto"/>
              </w:rPr>
            </w:pPr>
          </w:p>
        </w:tc>
      </w:tr>
      <w:tr>
        <w:trPr>
          <w:trHeight w:val="142"/>
        </w:trPr>
        <w:tc>
          <w:tcPr>
            <w:tcW w:w="6800" w:type="dxa"/>
            <w:vAlign w:val="bottom"/>
            <w:gridSpan w:val="3"/>
          </w:tcPr>
          <w:p>
            <w:pPr>
              <w:spacing w:after="0" w:line="142" w:lineRule="exact"/>
              <w:rPr>
                <w:sz w:val="20"/>
                <w:szCs w:val="20"/>
                <w:color w:val="auto"/>
              </w:rPr>
            </w:pPr>
            <w:r>
              <w:rPr>
                <w:rFonts w:ascii="Arial" w:cs="Arial" w:eastAsia="Arial" w:hAnsi="Arial"/>
                <w:sz w:val="14"/>
                <w:szCs w:val="14"/>
                <w:color w:val="auto"/>
              </w:rPr>
              <w:t>Net unrealized gains on derivative instruments</w:t>
            </w:r>
          </w:p>
        </w:tc>
        <w:tc>
          <w:tcPr>
            <w:tcW w:w="4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36.4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(12.8)</w:t>
            </w:r>
          </w:p>
        </w:tc>
        <w:tc>
          <w:tcPr>
            <w:tcW w:w="160" w:type="dxa"/>
            <w:vAlign w:val="bottom"/>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23.6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78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Foreign currency translation adjustment</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(130.8)</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(0.1)</w:t>
            </w:r>
          </w:p>
        </w:tc>
        <w:tc>
          <w:tcPr>
            <w:tcW w:w="2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(130.9)</w:t>
            </w:r>
          </w:p>
        </w:tc>
        <w:tc>
          <w:tcPr>
            <w:tcW w:w="0" w:type="dxa"/>
            <w:vAlign w:val="bottom"/>
          </w:tcPr>
          <w:p>
            <w:pPr>
              <w:spacing w:after="0"/>
              <w:rPr>
                <w:sz w:val="1"/>
                <w:szCs w:val="1"/>
                <w:color w:val="auto"/>
              </w:rPr>
            </w:pPr>
          </w:p>
        </w:tc>
      </w:tr>
      <w:tr>
        <w:trPr>
          <w:trHeight w:val="142"/>
        </w:trPr>
        <w:tc>
          <w:tcPr>
            <w:tcW w:w="6800" w:type="dxa"/>
            <w:vAlign w:val="bottom"/>
            <w:gridSpan w:val="3"/>
          </w:tcPr>
          <w:p>
            <w:pPr>
              <w:spacing w:after="0" w:line="142" w:lineRule="exact"/>
              <w:rPr>
                <w:sz w:val="20"/>
                <w:szCs w:val="20"/>
                <w:color w:val="auto"/>
              </w:rPr>
            </w:pPr>
            <w:r>
              <w:rPr>
                <w:rFonts w:ascii="Arial" w:cs="Arial" w:eastAsia="Arial" w:hAnsi="Arial"/>
                <w:sz w:val="14"/>
                <w:szCs w:val="14"/>
                <w:color w:val="auto"/>
              </w:rPr>
              <w:t>Unrecognized postretirement benefit obligation during the period</w:t>
            </w:r>
          </w:p>
        </w:tc>
        <w:tc>
          <w:tcPr>
            <w:tcW w:w="4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4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w w:val="99"/>
              </w:rPr>
              <w:t>(286.7)</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100.3</w:t>
            </w:r>
          </w:p>
        </w:tc>
        <w:tc>
          <w:tcPr>
            <w:tcW w:w="16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4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w w:val="99"/>
              </w:rPr>
              <w:t>(186.4)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7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Amortization of prior service cost and actuarial loss included in net periodic benefit cost (4)</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20.7</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(7.2)</w:t>
            </w:r>
          </w:p>
        </w:tc>
        <w:tc>
          <w:tcPr>
            <w:tcW w:w="22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800" w:type="dxa"/>
            <w:vAlign w:val="bottom"/>
            <w:gridSpan w:val="3"/>
          </w:tcPr>
          <w:p>
            <w:pPr>
              <w:spacing w:after="0" w:line="142" w:lineRule="exact"/>
              <w:rPr>
                <w:sz w:val="20"/>
                <w:szCs w:val="20"/>
                <w:color w:val="auto"/>
              </w:rPr>
            </w:pPr>
            <w:r>
              <w:rPr>
                <w:rFonts w:ascii="Arial" w:cs="Arial" w:eastAsia="Arial" w:hAnsi="Arial"/>
                <w:sz w:val="14"/>
                <w:szCs w:val="14"/>
                <w:color w:val="auto"/>
              </w:rPr>
              <w:t>Net unrecognized postretirement benefit obligation</w:t>
            </w:r>
          </w:p>
        </w:tc>
        <w:tc>
          <w:tcPr>
            <w:tcW w:w="4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99"/>
              </w:rPr>
              <w:t>(266.0)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93.1</w:t>
            </w:r>
          </w:p>
        </w:tc>
        <w:tc>
          <w:tcPr>
            <w:tcW w:w="160" w:type="dxa"/>
            <w:vAlign w:val="bottom"/>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99"/>
              </w:rPr>
              <w:t>(172.9)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78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Other comprehensive loss</w:t>
            </w:r>
          </w:p>
        </w:tc>
        <w:tc>
          <w:tcPr>
            <w:tcW w:w="1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14.3</w:t>
            </w:r>
          </w:p>
        </w:tc>
        <w:tc>
          <w:tcPr>
            <w:tcW w:w="80" w:type="dxa"/>
            <w:vAlign w:val="bottom"/>
            <w:shd w:val="clear" w:color="auto" w:fill="CCEEFF"/>
          </w:tcPr>
          <w:p>
            <w:pPr>
              <w:spacing w:after="0"/>
              <w:rPr>
                <w:sz w:val="12"/>
                <w:szCs w:val="12"/>
                <w:color w:val="auto"/>
              </w:rPr>
            </w:pPr>
          </w:p>
        </w:tc>
        <w:tc>
          <w:tcPr>
            <w:tcW w:w="200" w:type="dxa"/>
            <w:vAlign w:val="bottom"/>
            <w:gridSpan w:val="2"/>
            <w:shd w:val="clear" w:color="auto" w:fill="CCEEFF"/>
          </w:tcPr>
          <w:p>
            <w:pPr>
              <w:ind w:left="80"/>
              <w:spacing w:after="0" w:line="142"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(54.9)</w:t>
            </w:r>
          </w:p>
        </w:tc>
        <w:tc>
          <w:tcPr>
            <w:tcW w:w="220" w:type="dxa"/>
            <w:vAlign w:val="bottom"/>
            <w:shd w:val="clear" w:color="auto" w:fill="CCEEFF"/>
          </w:tcPr>
          <w:p>
            <w:pPr>
              <w:jc w:val="right"/>
              <w:ind w:right="72"/>
              <w:spacing w:after="0" w:line="142" w:lineRule="exact"/>
              <w:rPr>
                <w:sz w:val="20"/>
                <w:szCs w:val="20"/>
                <w:color w:val="auto"/>
              </w:rPr>
            </w:pPr>
            <w:r>
              <w:rPr>
                <w:rFonts w:ascii="Arial" w:cs="Arial" w:eastAsia="Arial" w:hAnsi="Arial"/>
                <w:sz w:val="14"/>
                <w:szCs w:val="14"/>
                <w:color w:val="auto"/>
                <w:w w:val="76"/>
              </w:rPr>
              <w:t>$</w:t>
            </w:r>
          </w:p>
        </w:tc>
        <w:tc>
          <w:tcPr>
            <w:tcW w:w="6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(40.6)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56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566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4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440" w:type="dxa"/>
            <w:vAlign w:val="bottom"/>
          </w:tcPr>
          <w:p>
            <w:pPr>
              <w:spacing w:after="0"/>
              <w:rPr>
                <w:sz w:val="7"/>
                <w:szCs w:val="7"/>
                <w:color w:val="auto"/>
              </w:rPr>
            </w:pPr>
          </w:p>
        </w:tc>
        <w:tc>
          <w:tcPr>
            <w:tcW w:w="160" w:type="dxa"/>
            <w:vAlign w:val="bottom"/>
          </w:tcPr>
          <w:p>
            <w:pPr>
              <w:spacing w:after="0"/>
              <w:rPr>
                <w:sz w:val="7"/>
                <w:szCs w:val="7"/>
                <w:color w:val="auto"/>
              </w:rPr>
            </w:pPr>
          </w:p>
        </w:tc>
        <w:tc>
          <w:tcPr>
            <w:tcW w:w="22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ind w:left="1680" w:hanging="531"/>
        <w:spacing w:after="0"/>
        <w:tabs>
          <w:tab w:leader="none" w:pos="1680" w:val="left"/>
        </w:tabs>
        <w:numPr>
          <w:ilvl w:val="0"/>
          <w:numId w:val="72"/>
        </w:numPr>
        <w:rPr>
          <w:rFonts w:ascii="Arial" w:cs="Arial" w:eastAsia="Arial" w:hAnsi="Arial"/>
          <w:sz w:val="12"/>
          <w:szCs w:val="12"/>
          <w:color w:val="auto"/>
        </w:rPr>
      </w:pPr>
      <w:r>
        <w:rPr>
          <w:rFonts w:ascii="Arial" w:cs="Arial" w:eastAsia="Arial" w:hAnsi="Arial"/>
          <w:sz w:val="12"/>
          <w:szCs w:val="12"/>
          <w:color w:val="auto"/>
        </w:rPr>
        <w:t>Pre-tax reclassification adjustments relating to available-for-sale securities are reported in net realized capital gains (losses) on the consolidated statements of operations.</w:t>
      </w:r>
    </w:p>
    <w:p>
      <w:pPr>
        <w:spacing w:after="0" w:line="145" w:lineRule="exact"/>
        <w:rPr>
          <w:rFonts w:ascii="Arial" w:cs="Arial" w:eastAsia="Arial" w:hAnsi="Arial"/>
          <w:sz w:val="12"/>
          <w:szCs w:val="12"/>
          <w:color w:val="auto"/>
        </w:rPr>
      </w:pPr>
    </w:p>
    <w:p>
      <w:pPr>
        <w:jc w:val="both"/>
        <w:ind w:left="1680" w:hanging="531"/>
        <w:spacing w:after="0" w:line="230" w:lineRule="auto"/>
        <w:tabs>
          <w:tab w:leader="none" w:pos="1680" w:val="left"/>
        </w:tabs>
        <w:numPr>
          <w:ilvl w:val="0"/>
          <w:numId w:val="72"/>
        </w:numPr>
        <w:rPr>
          <w:rFonts w:ascii="Arial" w:cs="Arial" w:eastAsia="Arial" w:hAnsi="Arial"/>
          <w:sz w:val="14"/>
          <w:szCs w:val="14"/>
          <w:color w:val="auto"/>
        </w:rPr>
      </w:pPr>
      <w:r>
        <w:rPr>
          <w:rFonts w:ascii="Arial" w:cs="Arial" w:eastAsia="Arial" w:hAnsi="Arial"/>
          <w:sz w:val="14"/>
          <w:szCs w:val="14"/>
          <w:color w:val="auto"/>
        </w:rPr>
        <w:t>Represents the net impact of (1) unrealized gains resulting from reclassification of previously recognized noncredit impairment losses from OCI to net realized capital gains (losses) for fixed maturities with bifurcated OTTI that had additional credit losses or fixed maturities that previously had bifurcated OTTI that have now been sold or are intended to be sold and (2) unrealized losses resulting from reclassification of noncredit impairment losses for fixed maturities with bifurcated OTTI from net realized capital gains (losses) to OCI.</w:t>
      </w:r>
    </w:p>
    <w:p>
      <w:pPr>
        <w:spacing w:after="0" w:line="112" w:lineRule="exact"/>
        <w:rPr>
          <w:rFonts w:ascii="Arial" w:cs="Arial" w:eastAsia="Arial" w:hAnsi="Arial"/>
          <w:sz w:val="14"/>
          <w:szCs w:val="14"/>
          <w:color w:val="auto"/>
        </w:rPr>
      </w:pPr>
    </w:p>
    <w:p>
      <w:pPr>
        <w:ind w:left="1680" w:hanging="531"/>
        <w:spacing w:after="0"/>
        <w:tabs>
          <w:tab w:leader="none" w:pos="1680" w:val="left"/>
        </w:tabs>
        <w:numPr>
          <w:ilvl w:val="0"/>
          <w:numId w:val="72"/>
        </w:numPr>
        <w:rPr>
          <w:rFonts w:ascii="Arial" w:cs="Arial" w:eastAsia="Arial" w:hAnsi="Arial"/>
          <w:sz w:val="14"/>
          <w:szCs w:val="14"/>
          <w:color w:val="auto"/>
        </w:rPr>
      </w:pPr>
      <w:r>
        <w:rPr>
          <w:rFonts w:ascii="Arial" w:cs="Arial" w:eastAsia="Arial" w:hAnsi="Arial"/>
          <w:sz w:val="14"/>
          <w:szCs w:val="14"/>
          <w:color w:val="auto"/>
        </w:rPr>
        <w:t>See Note 6, Derivative Financial Instruments — Cash Flow Hedges, for further details.</w:t>
      </w:r>
    </w:p>
    <w:p>
      <w:pPr>
        <w:spacing w:after="0" w:line="2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63" w:name="page164"/>
    <w:bookmarkEnd w:id="16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ind w:left="280" w:hanging="272"/>
        <w:spacing w:after="0"/>
        <w:tabs>
          <w:tab w:leader="none" w:pos="280" w:val="left"/>
        </w:tabs>
        <w:numPr>
          <w:ilvl w:val="0"/>
          <w:numId w:val="73"/>
        </w:numPr>
        <w:rPr>
          <w:rFonts w:ascii="Arial" w:cs="Arial" w:eastAsia="Arial" w:hAnsi="Arial"/>
          <w:sz w:val="18"/>
          <w:szCs w:val="18"/>
          <w:b w:val="1"/>
          <w:bCs w:val="1"/>
          <w:color w:val="auto"/>
        </w:rPr>
      </w:pPr>
      <w:r>
        <w:rPr>
          <w:rFonts w:ascii="Arial" w:cs="Arial" w:eastAsia="Arial" w:hAnsi="Arial"/>
          <w:sz w:val="18"/>
          <w:szCs w:val="18"/>
          <w:b w:val="1"/>
          <w:bCs w:val="1"/>
          <w:color w:val="auto"/>
        </w:rPr>
        <w:t>Stockholders' Equity — (continued)</w:t>
      </w:r>
    </w:p>
    <w:p>
      <w:pPr>
        <w:spacing w:after="0" w:line="215" w:lineRule="exact"/>
        <w:rPr>
          <w:rFonts w:ascii="Arial" w:cs="Arial" w:eastAsia="Arial" w:hAnsi="Arial"/>
          <w:sz w:val="18"/>
          <w:szCs w:val="18"/>
          <w:b w:val="1"/>
          <w:bCs w:val="1"/>
          <w:color w:val="auto"/>
        </w:rPr>
      </w:pPr>
    </w:p>
    <w:p>
      <w:pPr>
        <w:jc w:val="both"/>
        <w:ind w:left="1680" w:hanging="531"/>
        <w:spacing w:after="0" w:line="233" w:lineRule="auto"/>
        <w:tabs>
          <w:tab w:leader="none" w:pos="1680" w:val="left"/>
        </w:tabs>
        <w:numPr>
          <w:ilvl w:val="1"/>
          <w:numId w:val="73"/>
        </w:numPr>
        <w:rPr>
          <w:rFonts w:ascii="Arial" w:cs="Arial" w:eastAsia="Arial" w:hAnsi="Arial"/>
          <w:sz w:val="14"/>
          <w:szCs w:val="14"/>
          <w:color w:val="auto"/>
        </w:rPr>
      </w:pPr>
      <w:r>
        <w:rPr>
          <w:rFonts w:ascii="Arial" w:cs="Arial" w:eastAsia="Arial" w:hAnsi="Arial"/>
          <w:sz w:val="14"/>
          <w:szCs w:val="14"/>
          <w:color w:val="auto"/>
        </w:rPr>
        <w:t>Pre-tax amortization of prior service cost and actuarial loss included in net periodic benefit cost, which is comprised of amortization of prior service cost (benefit) and recognized net actuarial (gain) loss, is reported in operating expenses on the consolidated statements of operations. See Note 12, Employee and Agent Benefits — Components of Net Periodic Benefit Cost, for further details.</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Accumulated Other Comprehensive Income</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8"/>
              </w:rPr>
              <w:t>Noncredit</w:t>
            </w:r>
          </w:p>
        </w:tc>
        <w:tc>
          <w:tcPr>
            <w:tcW w:w="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7"/>
              </w:rPr>
              <w:t>Net unrealized</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4"/>
              </w:rPr>
              <w:t>component of</w:t>
            </w:r>
          </w:p>
        </w:tc>
        <w:tc>
          <w:tcPr>
            <w:tcW w:w="120" w:type="dxa"/>
            <w:vAlign w:val="bottom"/>
          </w:tcPr>
          <w:p>
            <w:pPr>
              <w:spacing w:after="0"/>
              <w:rPr>
                <w:sz w:val="12"/>
                <w:szCs w:val="12"/>
                <w:color w:val="auto"/>
              </w:rPr>
            </w:pPr>
          </w:p>
        </w:tc>
        <w:tc>
          <w:tcPr>
            <w:tcW w:w="11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7"/>
              </w:rPr>
              <w:t>Net unrealized</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9"/>
              </w:rPr>
              <w:t>Foreign</w:t>
            </w:r>
          </w:p>
        </w:tc>
        <w:tc>
          <w:tcPr>
            <w:tcW w:w="140" w:type="dxa"/>
            <w:vAlign w:val="bottom"/>
          </w:tcPr>
          <w:p>
            <w:pPr>
              <w:spacing w:after="0"/>
              <w:rPr>
                <w:sz w:val="12"/>
                <w:szCs w:val="12"/>
                <w:color w:val="auto"/>
              </w:rPr>
            </w:pPr>
          </w:p>
        </w:tc>
        <w:tc>
          <w:tcPr>
            <w:tcW w:w="9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4"/>
              </w:rPr>
              <w:t>Unrecognized</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Accumulated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3"/>
              </w:rPr>
              <w:t>gains on</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4"/>
              </w:rPr>
              <w:t>impairment losses</w:t>
            </w:r>
          </w:p>
        </w:tc>
        <w:tc>
          <w:tcPr>
            <w:tcW w:w="120" w:type="dxa"/>
            <w:vAlign w:val="bottom"/>
          </w:tcPr>
          <w:p>
            <w:pPr>
              <w:spacing w:after="0"/>
              <w:rPr>
                <w:sz w:val="12"/>
                <w:szCs w:val="12"/>
                <w:color w:val="auto"/>
              </w:rPr>
            </w:pPr>
          </w:p>
        </w:tc>
        <w:tc>
          <w:tcPr>
            <w:tcW w:w="11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0"/>
              </w:rPr>
              <w:t>gains (losses) on</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4"/>
              </w:rPr>
              <w:t>currency</w:t>
            </w:r>
          </w:p>
        </w:tc>
        <w:tc>
          <w:tcPr>
            <w:tcW w:w="140" w:type="dxa"/>
            <w:vAlign w:val="bottom"/>
          </w:tcPr>
          <w:p>
            <w:pPr>
              <w:spacing w:after="0"/>
              <w:rPr>
                <w:sz w:val="12"/>
                <w:szCs w:val="12"/>
                <w:color w:val="auto"/>
              </w:rPr>
            </w:pPr>
          </w:p>
        </w:tc>
        <w:tc>
          <w:tcPr>
            <w:tcW w:w="9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3"/>
              </w:rPr>
              <w:t>postretirement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other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7"/>
              </w:rPr>
              <w:t>available-for-sale</w:t>
            </w:r>
          </w:p>
        </w:tc>
        <w:tc>
          <w:tcPr>
            <w:tcW w:w="60" w:type="dxa"/>
            <w:vAlign w:val="bottom"/>
          </w:tcPr>
          <w:p>
            <w:pPr>
              <w:spacing w:after="0"/>
              <w:rPr>
                <w:sz w:val="12"/>
                <w:szCs w:val="12"/>
                <w:color w:val="auto"/>
              </w:rPr>
            </w:pPr>
          </w:p>
        </w:tc>
        <w:tc>
          <w:tcPr>
            <w:tcW w:w="130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6"/>
              </w:rPr>
              <w:t>on fixed maturities</w:t>
            </w:r>
          </w:p>
        </w:tc>
        <w:tc>
          <w:tcPr>
            <w:tcW w:w="120" w:type="dxa"/>
            <w:vAlign w:val="bottom"/>
          </w:tcPr>
          <w:p>
            <w:pPr>
              <w:spacing w:after="0"/>
              <w:rPr>
                <w:sz w:val="12"/>
                <w:szCs w:val="12"/>
                <w:color w:val="auto"/>
              </w:rPr>
            </w:pPr>
          </w:p>
        </w:tc>
        <w:tc>
          <w:tcPr>
            <w:tcW w:w="11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derivative</w:t>
            </w:r>
          </w:p>
        </w:tc>
        <w:tc>
          <w:tcPr>
            <w:tcW w:w="40" w:type="dxa"/>
            <w:vAlign w:val="bottom"/>
          </w:tcPr>
          <w:p>
            <w:pPr>
              <w:spacing w:after="0"/>
              <w:rPr>
                <w:sz w:val="12"/>
                <w:szCs w:val="12"/>
                <w:color w:val="auto"/>
              </w:rPr>
            </w:pPr>
          </w:p>
        </w:tc>
        <w:tc>
          <w:tcPr>
            <w:tcW w:w="84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6"/>
              </w:rPr>
              <w:t>translation</w:t>
            </w:r>
          </w:p>
        </w:tc>
        <w:tc>
          <w:tcPr>
            <w:tcW w:w="140" w:type="dxa"/>
            <w:vAlign w:val="bottom"/>
          </w:tcPr>
          <w:p>
            <w:pPr>
              <w:spacing w:after="0"/>
              <w:rPr>
                <w:sz w:val="12"/>
                <w:szCs w:val="12"/>
                <w:color w:val="auto"/>
              </w:rPr>
            </w:pPr>
          </w:p>
        </w:tc>
        <w:tc>
          <w:tcPr>
            <w:tcW w:w="9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7"/>
              </w:rPr>
              <w:t>benefit</w:t>
            </w:r>
          </w:p>
        </w:tc>
        <w:tc>
          <w:tcPr>
            <w:tcW w:w="60" w:type="dxa"/>
            <w:vAlign w:val="bottom"/>
          </w:tcPr>
          <w:p>
            <w:pPr>
              <w:spacing w:after="0"/>
              <w:rPr>
                <w:sz w:val="12"/>
                <w:szCs w:val="12"/>
                <w:color w:val="auto"/>
              </w:rPr>
            </w:pPr>
          </w:p>
        </w:tc>
        <w:tc>
          <w:tcPr>
            <w:tcW w:w="112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3"/>
              </w:rPr>
              <w:t>comprehensive</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8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2"/>
              </w:rPr>
              <w:t>securities</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2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7"/>
              </w:rPr>
              <w:t>available-for-sale</w:t>
            </w:r>
          </w:p>
        </w:tc>
        <w:tc>
          <w:tcPr>
            <w:tcW w:w="120" w:type="dxa"/>
            <w:vAlign w:val="bottom"/>
          </w:tcPr>
          <w:p>
            <w:pPr>
              <w:spacing w:after="0"/>
              <w:rPr>
                <w:sz w:val="14"/>
                <w:szCs w:val="14"/>
                <w:color w:val="auto"/>
              </w:rPr>
            </w:pPr>
          </w:p>
        </w:tc>
        <w:tc>
          <w:tcPr>
            <w:tcW w:w="112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7"/>
              </w:rPr>
              <w:t>instruments</w:t>
            </w:r>
          </w:p>
        </w:tc>
        <w:tc>
          <w:tcPr>
            <w:tcW w:w="40" w:type="dxa"/>
            <w:vAlign w:val="bottom"/>
          </w:tcPr>
          <w:p>
            <w:pPr>
              <w:spacing w:after="0"/>
              <w:rPr>
                <w:sz w:val="14"/>
                <w:szCs w:val="14"/>
                <w:color w:val="auto"/>
              </w:rPr>
            </w:pPr>
          </w:p>
        </w:tc>
        <w:tc>
          <w:tcPr>
            <w:tcW w:w="84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8"/>
              </w:rPr>
              <w:t>adjustment</w:t>
            </w:r>
          </w:p>
        </w:tc>
        <w:tc>
          <w:tcPr>
            <w:tcW w:w="140" w:type="dxa"/>
            <w:vAlign w:val="bottom"/>
          </w:tcPr>
          <w:p>
            <w:pPr>
              <w:spacing w:after="0"/>
              <w:rPr>
                <w:sz w:val="14"/>
                <w:szCs w:val="14"/>
                <w:color w:val="auto"/>
              </w:rPr>
            </w:pPr>
          </w:p>
        </w:tc>
        <w:tc>
          <w:tcPr>
            <w:tcW w:w="96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6"/>
              </w:rPr>
              <w:t>obligation</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5"/>
              </w:rPr>
              <w:t>income</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98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1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4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Balances at January 1, 2011</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652.1</w:t>
            </w:r>
          </w:p>
        </w:tc>
        <w:tc>
          <w:tcPr>
            <w:tcW w:w="10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(198.2)</w:t>
            </w:r>
          </w:p>
        </w:tc>
        <w:tc>
          <w:tcPr>
            <w:tcW w:w="12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11.3</w:t>
            </w:r>
          </w:p>
        </w:tc>
        <w:tc>
          <w:tcPr>
            <w:tcW w:w="12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34.5</w:t>
            </w:r>
          </w:p>
        </w:tc>
        <w:tc>
          <w:tcPr>
            <w:tcW w:w="8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9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(188.2)</w:t>
            </w:r>
          </w:p>
        </w:tc>
        <w:tc>
          <w:tcPr>
            <w:tcW w:w="1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311.5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40" w:type="dxa"/>
            <w:vAlign w:val="bottom"/>
          </w:tcPr>
          <w:p>
            <w:pPr>
              <w:spacing w:after="0" w:line="138" w:lineRule="exact"/>
              <w:rPr>
                <w:sz w:val="20"/>
                <w:szCs w:val="20"/>
                <w:color w:val="auto"/>
              </w:rPr>
            </w:pPr>
            <w:r>
              <w:rPr>
                <w:rFonts w:ascii="Arial" w:cs="Arial" w:eastAsia="Arial" w:hAnsi="Arial"/>
                <w:sz w:val="14"/>
                <w:szCs w:val="14"/>
                <w:color w:val="auto"/>
                <w:w w:val="93"/>
              </w:rPr>
              <w:t>Other comprehensive income during</w:t>
            </w: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40" w:type="dxa"/>
            <w:vAlign w:val="bottom"/>
          </w:tcPr>
          <w:p>
            <w:pPr>
              <w:ind w:left="120"/>
              <w:spacing w:after="0" w:line="159" w:lineRule="exact"/>
              <w:rPr>
                <w:sz w:val="20"/>
                <w:szCs w:val="20"/>
                <w:color w:val="auto"/>
              </w:rPr>
            </w:pPr>
            <w:r>
              <w:rPr>
                <w:rFonts w:ascii="Arial" w:cs="Arial" w:eastAsia="Arial" w:hAnsi="Arial"/>
                <w:sz w:val="14"/>
                <w:szCs w:val="14"/>
                <w:color w:val="auto"/>
              </w:rPr>
              <w:t>the period, net of adjustments</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80" w:type="dxa"/>
            <w:vAlign w:val="bottom"/>
          </w:tcPr>
          <w:p>
            <w:pPr>
              <w:jc w:val="right"/>
              <w:spacing w:after="0" w:line="159" w:lineRule="exact"/>
              <w:rPr>
                <w:sz w:val="20"/>
                <w:szCs w:val="20"/>
                <w:color w:val="auto"/>
              </w:rPr>
            </w:pPr>
            <w:r>
              <w:rPr>
                <w:rFonts w:ascii="Arial" w:cs="Arial" w:eastAsia="Arial" w:hAnsi="Arial"/>
                <w:sz w:val="14"/>
                <w:szCs w:val="14"/>
                <w:color w:val="auto"/>
              </w:rPr>
              <w:t>139.5</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2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1000" w:type="dxa"/>
            <w:vAlign w:val="bottom"/>
          </w:tcPr>
          <w:p>
            <w:pPr>
              <w:jc w:val="right"/>
              <w:spacing w:after="0" w:line="159" w:lineRule="exact"/>
              <w:rPr>
                <w:sz w:val="20"/>
                <w:szCs w:val="20"/>
                <w:color w:val="auto"/>
              </w:rPr>
            </w:pPr>
            <w:r>
              <w:rPr>
                <w:rFonts w:ascii="Arial" w:cs="Arial" w:eastAsia="Arial" w:hAnsi="Arial"/>
                <w:sz w:val="14"/>
                <w:szCs w:val="14"/>
                <w:color w:val="auto"/>
              </w:rPr>
              <w:t>10.3</w:t>
            </w: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(130.4)</w:t>
            </w:r>
          </w:p>
        </w:tc>
        <w:tc>
          <w:tcPr>
            <w:tcW w:w="140" w:type="dxa"/>
            <w:vAlign w:val="bottom"/>
          </w:tcPr>
          <w:p>
            <w:pPr>
              <w:spacing w:after="0"/>
              <w:rPr>
                <w:sz w:val="13"/>
                <w:szCs w:val="13"/>
                <w:color w:val="auto"/>
              </w:rPr>
            </w:pPr>
          </w:p>
        </w:tc>
        <w:tc>
          <w:tcPr>
            <w:tcW w:w="96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(186.4)</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4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(167.0)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Amounts reclassified from AOCI</w:t>
            </w:r>
          </w:p>
        </w:tc>
        <w:tc>
          <w:tcPr>
            <w:tcW w:w="18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9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69.1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11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31.0</w:t>
            </w: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10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13.3</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6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8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13.5</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8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126.9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160" w:type="dxa"/>
            <w:vAlign w:val="bottom"/>
            <w:gridSpan w:val="2"/>
          </w:tcPr>
          <w:p>
            <w:pPr>
              <w:spacing w:after="0" w:line="142" w:lineRule="exact"/>
              <w:rPr>
                <w:sz w:val="20"/>
                <w:szCs w:val="20"/>
                <w:color w:val="auto"/>
              </w:rPr>
            </w:pPr>
            <w:r>
              <w:rPr>
                <w:rFonts w:ascii="Arial" w:cs="Arial" w:eastAsia="Arial" w:hAnsi="Arial"/>
                <w:sz w:val="14"/>
                <w:szCs w:val="14"/>
                <w:color w:val="auto"/>
              </w:rPr>
              <w:t>Other comprehensive loss</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right"/>
              <w:spacing w:after="0" w:line="142" w:lineRule="exact"/>
              <w:rPr>
                <w:sz w:val="20"/>
                <w:szCs w:val="20"/>
                <w:color w:val="auto"/>
              </w:rPr>
            </w:pPr>
            <w:r>
              <w:rPr>
                <w:rFonts w:ascii="Arial" w:cs="Arial" w:eastAsia="Arial" w:hAnsi="Arial"/>
                <w:sz w:val="14"/>
                <w:szCs w:val="14"/>
                <w:color w:val="auto"/>
              </w:rPr>
              <w:t>208.6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20" w:type="dxa"/>
            <w:vAlign w:val="bottom"/>
          </w:tcPr>
          <w:p>
            <w:pPr>
              <w:jc w:val="right"/>
              <w:spacing w:after="0" w:line="142" w:lineRule="exact"/>
              <w:rPr>
                <w:sz w:val="20"/>
                <w:szCs w:val="20"/>
                <w:color w:val="auto"/>
              </w:rPr>
            </w:pPr>
            <w:r>
              <w:rPr>
                <w:rFonts w:ascii="Arial" w:cs="Arial" w:eastAsia="Arial" w:hAnsi="Arial"/>
                <w:sz w:val="14"/>
                <w:szCs w:val="14"/>
                <w:color w:val="auto"/>
              </w:rPr>
              <w:t>31.0</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jc w:val="right"/>
              <w:spacing w:after="0" w:line="142" w:lineRule="exact"/>
              <w:rPr>
                <w:sz w:val="20"/>
                <w:szCs w:val="20"/>
                <w:color w:val="auto"/>
              </w:rPr>
            </w:pPr>
            <w:r>
              <w:rPr>
                <w:rFonts w:ascii="Arial" w:cs="Arial" w:eastAsia="Arial" w:hAnsi="Arial"/>
                <w:sz w:val="14"/>
                <w:szCs w:val="14"/>
                <w:color w:val="auto"/>
              </w:rPr>
              <w:t>23.6</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right"/>
              <w:ind w:right="60"/>
              <w:spacing w:after="0" w:line="142" w:lineRule="exact"/>
              <w:rPr>
                <w:sz w:val="20"/>
                <w:szCs w:val="20"/>
                <w:color w:val="auto"/>
              </w:rPr>
            </w:pPr>
            <w:r>
              <w:rPr>
                <w:rFonts w:ascii="Arial" w:cs="Arial" w:eastAsia="Arial" w:hAnsi="Arial"/>
                <w:sz w:val="14"/>
                <w:szCs w:val="14"/>
                <w:color w:val="auto"/>
              </w:rPr>
              <w:t>(130.4)</w:t>
            </w:r>
          </w:p>
        </w:tc>
        <w:tc>
          <w:tcPr>
            <w:tcW w:w="140" w:type="dxa"/>
            <w:vAlign w:val="bottom"/>
          </w:tcPr>
          <w:p>
            <w:pPr>
              <w:spacing w:after="0"/>
              <w:rPr>
                <w:sz w:val="12"/>
                <w:szCs w:val="12"/>
                <w:color w:val="auto"/>
              </w:rPr>
            </w:pPr>
          </w:p>
        </w:tc>
        <w:tc>
          <w:tcPr>
            <w:tcW w:w="960" w:type="dxa"/>
            <w:vAlign w:val="bottom"/>
            <w:gridSpan w:val="2"/>
          </w:tcPr>
          <w:p>
            <w:pPr>
              <w:jc w:val="right"/>
              <w:ind w:right="60"/>
              <w:spacing w:after="0" w:line="142" w:lineRule="exact"/>
              <w:rPr>
                <w:sz w:val="20"/>
                <w:szCs w:val="20"/>
                <w:color w:val="auto"/>
              </w:rPr>
            </w:pPr>
            <w:r>
              <w:rPr>
                <w:rFonts w:ascii="Arial" w:cs="Arial" w:eastAsia="Arial" w:hAnsi="Arial"/>
                <w:sz w:val="14"/>
                <w:szCs w:val="14"/>
                <w:color w:val="auto"/>
              </w:rPr>
              <w:t>(172.9)</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gridSpan w:val="2"/>
          </w:tcPr>
          <w:p>
            <w:pPr>
              <w:jc w:val="right"/>
              <w:ind w:right="140"/>
              <w:spacing w:after="0" w:line="142" w:lineRule="exact"/>
              <w:rPr>
                <w:sz w:val="20"/>
                <w:szCs w:val="20"/>
                <w:color w:val="auto"/>
              </w:rPr>
            </w:pPr>
            <w:r>
              <w:rPr>
                <w:rFonts w:ascii="Arial" w:cs="Arial" w:eastAsia="Arial" w:hAnsi="Arial"/>
                <w:sz w:val="14"/>
                <w:szCs w:val="14"/>
                <w:color w:val="auto"/>
              </w:rPr>
              <w:t>(40.1)</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214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Balances at December 31, 2011</w:t>
            </w: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860.7</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(167.2)</w:t>
            </w:r>
          </w:p>
        </w:tc>
        <w:tc>
          <w:tcPr>
            <w:tcW w:w="120" w:type="dxa"/>
            <w:vAlign w:val="bottom"/>
            <w:tcBorders>
              <w:right w:val="single" w:sz="8" w:color="CCEEFF"/>
            </w:tcBorders>
            <w:shd w:val="clear" w:color="auto" w:fill="CCEEFF"/>
          </w:tcPr>
          <w:p>
            <w:pPr>
              <w:spacing w:after="0"/>
              <w:rPr>
                <w:sz w:val="12"/>
                <w:szCs w:val="12"/>
                <w:color w:val="auto"/>
              </w:rPr>
            </w:pPr>
          </w:p>
        </w:tc>
        <w:tc>
          <w:tcPr>
            <w:tcW w:w="10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34.9</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(95.9)</w:t>
            </w:r>
          </w:p>
        </w:tc>
        <w:tc>
          <w:tcPr>
            <w:tcW w:w="140" w:type="dxa"/>
            <w:vAlign w:val="bottom"/>
            <w:tcBorders>
              <w:right w:val="single" w:sz="8" w:color="CCEEFF"/>
            </w:tcBorders>
            <w:shd w:val="clear" w:color="auto" w:fill="CCEEFF"/>
          </w:tcPr>
          <w:p>
            <w:pPr>
              <w:spacing w:after="0"/>
              <w:rPr>
                <w:sz w:val="12"/>
                <w:szCs w:val="12"/>
                <w:color w:val="auto"/>
              </w:rPr>
            </w:pPr>
          </w:p>
        </w:tc>
        <w:tc>
          <w:tcPr>
            <w:tcW w:w="96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(361.1)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271.4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40" w:type="dxa"/>
            <w:vAlign w:val="bottom"/>
          </w:tcPr>
          <w:p>
            <w:pPr>
              <w:spacing w:after="0" w:line="138" w:lineRule="exact"/>
              <w:rPr>
                <w:sz w:val="20"/>
                <w:szCs w:val="20"/>
                <w:color w:val="auto"/>
              </w:rPr>
            </w:pPr>
            <w:r>
              <w:rPr>
                <w:rFonts w:ascii="Arial" w:cs="Arial" w:eastAsia="Arial" w:hAnsi="Arial"/>
                <w:sz w:val="14"/>
                <w:szCs w:val="14"/>
                <w:color w:val="auto"/>
                <w:w w:val="93"/>
              </w:rPr>
              <w:t>Other comprehensive income during</w:t>
            </w: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40" w:type="dxa"/>
            <w:vAlign w:val="bottom"/>
          </w:tcPr>
          <w:p>
            <w:pPr>
              <w:ind w:left="120"/>
              <w:spacing w:after="0" w:line="159" w:lineRule="exact"/>
              <w:rPr>
                <w:sz w:val="20"/>
                <w:szCs w:val="20"/>
                <w:color w:val="auto"/>
              </w:rPr>
            </w:pPr>
            <w:r>
              <w:rPr>
                <w:rFonts w:ascii="Arial" w:cs="Arial" w:eastAsia="Arial" w:hAnsi="Arial"/>
                <w:sz w:val="14"/>
                <w:szCs w:val="14"/>
                <w:color w:val="auto"/>
              </w:rPr>
              <w:t>the period, net of adjustments</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80" w:type="dxa"/>
            <w:vAlign w:val="bottom"/>
          </w:tcPr>
          <w:p>
            <w:pPr>
              <w:jc w:val="right"/>
              <w:spacing w:after="0" w:line="159" w:lineRule="exact"/>
              <w:rPr>
                <w:sz w:val="20"/>
                <w:szCs w:val="20"/>
                <w:color w:val="auto"/>
              </w:rPr>
            </w:pPr>
            <w:r>
              <w:rPr>
                <w:rFonts w:ascii="Arial" w:cs="Arial" w:eastAsia="Arial" w:hAnsi="Arial"/>
                <w:sz w:val="14"/>
                <w:szCs w:val="14"/>
                <w:color w:val="auto"/>
              </w:rPr>
              <w:t>488.2</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2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(6.7)</w:t>
            </w:r>
          </w:p>
        </w:tc>
        <w:tc>
          <w:tcPr>
            <w:tcW w:w="120" w:type="dxa"/>
            <w:vAlign w:val="bottom"/>
          </w:tcPr>
          <w:p>
            <w:pPr>
              <w:spacing w:after="0"/>
              <w:rPr>
                <w:sz w:val="13"/>
                <w:szCs w:val="13"/>
                <w:color w:val="auto"/>
              </w:rPr>
            </w:pPr>
          </w:p>
        </w:tc>
        <w:tc>
          <w:tcPr>
            <w:tcW w:w="1120" w:type="dxa"/>
            <w:vAlign w:val="bottom"/>
            <w:gridSpan w:val="2"/>
          </w:tcPr>
          <w:p>
            <w:pPr>
              <w:jc w:val="right"/>
              <w:ind w:right="80"/>
              <w:spacing w:after="0" w:line="159" w:lineRule="exact"/>
              <w:rPr>
                <w:sz w:val="20"/>
                <w:szCs w:val="20"/>
                <w:color w:val="auto"/>
              </w:rPr>
            </w:pPr>
            <w:r>
              <w:rPr>
                <w:rFonts w:ascii="Arial" w:cs="Arial" w:eastAsia="Arial" w:hAnsi="Arial"/>
                <w:sz w:val="14"/>
                <w:szCs w:val="14"/>
                <w:color w:val="auto"/>
              </w:rPr>
              <w:t>(45.5)</w:t>
            </w: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(11.0)</w:t>
            </w:r>
          </w:p>
        </w:tc>
        <w:tc>
          <w:tcPr>
            <w:tcW w:w="140" w:type="dxa"/>
            <w:vAlign w:val="bottom"/>
          </w:tcPr>
          <w:p>
            <w:pPr>
              <w:spacing w:after="0"/>
              <w:rPr>
                <w:sz w:val="13"/>
                <w:szCs w:val="13"/>
                <w:color w:val="auto"/>
              </w:rPr>
            </w:pPr>
          </w:p>
        </w:tc>
        <w:tc>
          <w:tcPr>
            <w:tcW w:w="96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(159.7)</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80" w:type="dxa"/>
            <w:vAlign w:val="bottom"/>
          </w:tcPr>
          <w:p>
            <w:pPr>
              <w:jc w:val="right"/>
              <w:spacing w:after="0" w:line="159" w:lineRule="exact"/>
              <w:rPr>
                <w:sz w:val="20"/>
                <w:szCs w:val="20"/>
                <w:color w:val="auto"/>
              </w:rPr>
            </w:pPr>
            <w:r>
              <w:rPr>
                <w:rFonts w:ascii="Arial" w:cs="Arial" w:eastAsia="Arial" w:hAnsi="Arial"/>
                <w:sz w:val="14"/>
                <w:szCs w:val="14"/>
                <w:color w:val="auto"/>
              </w:rPr>
              <w:t>265.3</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Amounts reclassified from AOCI</w:t>
            </w:r>
          </w:p>
        </w:tc>
        <w:tc>
          <w:tcPr>
            <w:tcW w:w="18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9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69.4</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11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10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1.9</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6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8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32.3</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8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103.6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160" w:type="dxa"/>
            <w:vAlign w:val="bottom"/>
            <w:gridSpan w:val="2"/>
          </w:tcPr>
          <w:p>
            <w:pPr>
              <w:spacing w:after="0" w:line="142" w:lineRule="exact"/>
              <w:rPr>
                <w:sz w:val="20"/>
                <w:szCs w:val="20"/>
                <w:color w:val="auto"/>
              </w:rPr>
            </w:pPr>
            <w:r>
              <w:rPr>
                <w:rFonts w:ascii="Arial" w:cs="Arial" w:eastAsia="Arial" w:hAnsi="Arial"/>
                <w:sz w:val="14"/>
                <w:szCs w:val="14"/>
                <w:color w:val="auto"/>
              </w:rPr>
              <w:t>Other comprehensive income</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right"/>
              <w:spacing w:after="0" w:line="142" w:lineRule="exact"/>
              <w:rPr>
                <w:sz w:val="20"/>
                <w:szCs w:val="20"/>
                <w:color w:val="auto"/>
              </w:rPr>
            </w:pPr>
            <w:r>
              <w:rPr>
                <w:rFonts w:ascii="Arial" w:cs="Arial" w:eastAsia="Arial" w:hAnsi="Arial"/>
                <w:sz w:val="14"/>
                <w:szCs w:val="14"/>
                <w:color w:val="auto"/>
              </w:rPr>
              <w:t>557.6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gridSpan w:val="2"/>
          </w:tcPr>
          <w:p>
            <w:pPr>
              <w:jc w:val="right"/>
              <w:ind w:right="60"/>
              <w:spacing w:after="0" w:line="142" w:lineRule="exact"/>
              <w:rPr>
                <w:sz w:val="20"/>
                <w:szCs w:val="20"/>
                <w:color w:val="auto"/>
              </w:rPr>
            </w:pPr>
            <w:r>
              <w:rPr>
                <w:rFonts w:ascii="Arial" w:cs="Arial" w:eastAsia="Arial" w:hAnsi="Arial"/>
                <w:sz w:val="14"/>
                <w:szCs w:val="14"/>
                <w:color w:val="auto"/>
              </w:rPr>
              <w:t>(6.7)</w:t>
            </w:r>
          </w:p>
        </w:tc>
        <w:tc>
          <w:tcPr>
            <w:tcW w:w="120" w:type="dxa"/>
            <w:vAlign w:val="bottom"/>
          </w:tcPr>
          <w:p>
            <w:pPr>
              <w:spacing w:after="0"/>
              <w:rPr>
                <w:sz w:val="12"/>
                <w:szCs w:val="12"/>
                <w:color w:val="auto"/>
              </w:rPr>
            </w:pPr>
          </w:p>
        </w:tc>
        <w:tc>
          <w:tcPr>
            <w:tcW w:w="1120" w:type="dxa"/>
            <w:vAlign w:val="bottom"/>
            <w:gridSpan w:val="2"/>
          </w:tcPr>
          <w:p>
            <w:pPr>
              <w:jc w:val="right"/>
              <w:ind w:right="80"/>
              <w:spacing w:after="0" w:line="142" w:lineRule="exact"/>
              <w:rPr>
                <w:sz w:val="20"/>
                <w:szCs w:val="20"/>
                <w:color w:val="auto"/>
              </w:rPr>
            </w:pPr>
            <w:r>
              <w:rPr>
                <w:rFonts w:ascii="Arial" w:cs="Arial" w:eastAsia="Arial" w:hAnsi="Arial"/>
                <w:sz w:val="14"/>
                <w:szCs w:val="14"/>
                <w:color w:val="auto"/>
              </w:rPr>
              <w:t>(43.6)</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right"/>
              <w:ind w:right="60"/>
              <w:spacing w:after="0" w:line="142" w:lineRule="exact"/>
              <w:rPr>
                <w:sz w:val="20"/>
                <w:szCs w:val="20"/>
                <w:color w:val="auto"/>
              </w:rPr>
            </w:pPr>
            <w:r>
              <w:rPr>
                <w:rFonts w:ascii="Arial" w:cs="Arial" w:eastAsia="Arial" w:hAnsi="Arial"/>
                <w:sz w:val="14"/>
                <w:szCs w:val="14"/>
                <w:color w:val="auto"/>
              </w:rPr>
              <w:t>(11.0)</w:t>
            </w:r>
          </w:p>
        </w:tc>
        <w:tc>
          <w:tcPr>
            <w:tcW w:w="140" w:type="dxa"/>
            <w:vAlign w:val="bottom"/>
          </w:tcPr>
          <w:p>
            <w:pPr>
              <w:spacing w:after="0"/>
              <w:rPr>
                <w:sz w:val="12"/>
                <w:szCs w:val="12"/>
                <w:color w:val="auto"/>
              </w:rPr>
            </w:pPr>
          </w:p>
        </w:tc>
        <w:tc>
          <w:tcPr>
            <w:tcW w:w="960" w:type="dxa"/>
            <w:vAlign w:val="bottom"/>
            <w:gridSpan w:val="2"/>
          </w:tcPr>
          <w:p>
            <w:pPr>
              <w:jc w:val="right"/>
              <w:ind w:right="60"/>
              <w:spacing w:after="0" w:line="142" w:lineRule="exact"/>
              <w:rPr>
                <w:sz w:val="20"/>
                <w:szCs w:val="20"/>
                <w:color w:val="auto"/>
              </w:rPr>
            </w:pPr>
            <w:r>
              <w:rPr>
                <w:rFonts w:ascii="Arial" w:cs="Arial" w:eastAsia="Arial" w:hAnsi="Arial"/>
                <w:sz w:val="14"/>
                <w:szCs w:val="14"/>
                <w:color w:val="auto"/>
              </w:rPr>
              <w:t>(127.4)</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2" w:lineRule="exact"/>
              <w:rPr>
                <w:sz w:val="20"/>
                <w:szCs w:val="20"/>
                <w:color w:val="auto"/>
              </w:rPr>
            </w:pPr>
            <w:r>
              <w:rPr>
                <w:rFonts w:ascii="Arial" w:cs="Arial" w:eastAsia="Arial" w:hAnsi="Arial"/>
                <w:sz w:val="14"/>
                <w:szCs w:val="14"/>
                <w:color w:val="auto"/>
              </w:rPr>
              <w:t>368.9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214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Balances at December 31, 2012</w:t>
            </w: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1,418.3</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(173.9)</w:t>
            </w:r>
          </w:p>
        </w:tc>
        <w:tc>
          <w:tcPr>
            <w:tcW w:w="120" w:type="dxa"/>
            <w:vAlign w:val="bottom"/>
            <w:tcBorders>
              <w:right w:val="single" w:sz="8" w:color="CCEEFF"/>
            </w:tcBorders>
            <w:shd w:val="clear" w:color="auto" w:fill="CCEEFF"/>
          </w:tcPr>
          <w:p>
            <w:pPr>
              <w:spacing w:after="0"/>
              <w:rPr>
                <w:sz w:val="12"/>
                <w:szCs w:val="12"/>
                <w:color w:val="auto"/>
              </w:rPr>
            </w:pPr>
          </w:p>
        </w:tc>
        <w:tc>
          <w:tcPr>
            <w:tcW w:w="1120" w:type="dxa"/>
            <w:vAlign w:val="bottom"/>
            <w:gridSpan w:val="2"/>
            <w:shd w:val="clear" w:color="auto" w:fill="CCEEFF"/>
          </w:tcPr>
          <w:p>
            <w:pPr>
              <w:jc w:val="right"/>
              <w:ind w:right="80"/>
              <w:spacing w:after="0" w:line="142" w:lineRule="exact"/>
              <w:rPr>
                <w:sz w:val="20"/>
                <w:szCs w:val="20"/>
                <w:color w:val="auto"/>
              </w:rPr>
            </w:pPr>
            <w:r>
              <w:rPr>
                <w:rFonts w:ascii="Arial" w:cs="Arial" w:eastAsia="Arial" w:hAnsi="Arial"/>
                <w:sz w:val="14"/>
                <w:szCs w:val="14"/>
                <w:color w:val="auto"/>
              </w:rPr>
              <w:t>(8.7)</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(106.9)</w:t>
            </w:r>
          </w:p>
        </w:tc>
        <w:tc>
          <w:tcPr>
            <w:tcW w:w="140" w:type="dxa"/>
            <w:vAlign w:val="bottom"/>
            <w:tcBorders>
              <w:right w:val="single" w:sz="8" w:color="CCEEFF"/>
            </w:tcBorders>
            <w:shd w:val="clear" w:color="auto" w:fill="CCEEFF"/>
          </w:tcPr>
          <w:p>
            <w:pPr>
              <w:spacing w:after="0"/>
              <w:rPr>
                <w:sz w:val="12"/>
                <w:szCs w:val="12"/>
                <w:color w:val="auto"/>
              </w:rPr>
            </w:pPr>
          </w:p>
        </w:tc>
        <w:tc>
          <w:tcPr>
            <w:tcW w:w="96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(488.5)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640.3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40" w:type="dxa"/>
            <w:vAlign w:val="bottom"/>
          </w:tcPr>
          <w:p>
            <w:pPr>
              <w:spacing w:after="0" w:line="138" w:lineRule="exact"/>
              <w:rPr>
                <w:sz w:val="20"/>
                <w:szCs w:val="20"/>
                <w:color w:val="auto"/>
              </w:rPr>
            </w:pPr>
            <w:r>
              <w:rPr>
                <w:rFonts w:ascii="Arial" w:cs="Arial" w:eastAsia="Arial" w:hAnsi="Arial"/>
                <w:sz w:val="14"/>
                <w:szCs w:val="14"/>
                <w:color w:val="auto"/>
                <w:w w:val="93"/>
              </w:rPr>
              <w:t>Other comprehensive income during</w:t>
            </w: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80" w:type="dxa"/>
            <w:vAlign w:val="bottom"/>
            <w:gridSpan w:val="2"/>
            <w:vMerge w:val="restart"/>
          </w:tcPr>
          <w:p>
            <w:pPr>
              <w:jc w:val="right"/>
              <w:ind w:right="60"/>
              <w:spacing w:after="0"/>
              <w:rPr>
                <w:sz w:val="20"/>
                <w:szCs w:val="20"/>
                <w:color w:val="auto"/>
              </w:rPr>
            </w:pPr>
            <w:r>
              <w:rPr>
                <w:rFonts w:ascii="Arial" w:cs="Arial" w:eastAsia="Arial" w:hAnsi="Arial"/>
                <w:sz w:val="14"/>
                <w:szCs w:val="14"/>
                <w:b w:val="1"/>
                <w:bCs w:val="1"/>
                <w:color w:val="auto"/>
              </w:rPr>
              <w:t>(580.4)</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20" w:type="dxa"/>
            <w:vAlign w:val="bottom"/>
            <w:gridSpan w:val="2"/>
            <w:vMerge w:val="restart"/>
          </w:tcPr>
          <w:p>
            <w:pPr>
              <w:jc w:val="right"/>
              <w:ind w:right="120"/>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1"/>
                <w:szCs w:val="11"/>
                <w:color w:val="auto"/>
              </w:rPr>
            </w:pPr>
          </w:p>
        </w:tc>
        <w:tc>
          <w:tcPr>
            <w:tcW w:w="1120" w:type="dxa"/>
            <w:vAlign w:val="bottom"/>
            <w:gridSpan w:val="2"/>
            <w:vMerge w:val="restart"/>
          </w:tcPr>
          <w:p>
            <w:pPr>
              <w:jc w:val="right"/>
              <w:ind w:right="80"/>
              <w:spacing w:after="0"/>
              <w:rPr>
                <w:sz w:val="20"/>
                <w:szCs w:val="20"/>
                <w:color w:val="auto"/>
              </w:rPr>
            </w:pPr>
            <w:r>
              <w:rPr>
                <w:rFonts w:ascii="Arial" w:cs="Arial" w:eastAsia="Arial" w:hAnsi="Arial"/>
                <w:sz w:val="14"/>
                <w:szCs w:val="14"/>
                <w:b w:val="1"/>
                <w:bCs w:val="1"/>
                <w:color w:val="auto"/>
              </w:rPr>
              <w:t>(9.1)</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gridSpan w:val="2"/>
            <w:vMerge w:val="restart"/>
          </w:tcPr>
          <w:p>
            <w:pPr>
              <w:jc w:val="right"/>
              <w:ind w:right="60"/>
              <w:spacing w:after="0"/>
              <w:rPr>
                <w:sz w:val="20"/>
                <w:szCs w:val="20"/>
                <w:color w:val="auto"/>
              </w:rPr>
            </w:pPr>
            <w:r>
              <w:rPr>
                <w:rFonts w:ascii="Arial" w:cs="Arial" w:eastAsia="Arial" w:hAnsi="Arial"/>
                <w:sz w:val="14"/>
                <w:szCs w:val="14"/>
                <w:b w:val="1"/>
                <w:bCs w:val="1"/>
                <w:color w:val="auto"/>
              </w:rPr>
              <w:t>(254.6)</w:t>
            </w:r>
          </w:p>
        </w:tc>
        <w:tc>
          <w:tcPr>
            <w:tcW w:w="140" w:type="dxa"/>
            <w:vAlign w:val="bottom"/>
          </w:tcPr>
          <w:p>
            <w:pPr>
              <w:spacing w:after="0"/>
              <w:rPr>
                <w:sz w:val="11"/>
                <w:szCs w:val="11"/>
                <w:color w:val="auto"/>
              </w:rPr>
            </w:pPr>
          </w:p>
        </w:tc>
        <w:tc>
          <w:tcPr>
            <w:tcW w:w="86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277.4</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40" w:type="dxa"/>
            <w:vAlign w:val="bottom"/>
            <w:gridSpan w:val="2"/>
            <w:vMerge w:val="restart"/>
          </w:tcPr>
          <w:p>
            <w:pPr>
              <w:jc w:val="right"/>
              <w:ind w:right="140"/>
              <w:spacing w:after="0"/>
              <w:rPr>
                <w:sz w:val="20"/>
                <w:szCs w:val="20"/>
                <w:color w:val="auto"/>
              </w:rPr>
            </w:pPr>
            <w:r>
              <w:rPr>
                <w:rFonts w:ascii="Arial" w:cs="Arial" w:eastAsia="Arial" w:hAnsi="Arial"/>
                <w:sz w:val="14"/>
                <w:szCs w:val="14"/>
                <w:b w:val="1"/>
                <w:bCs w:val="1"/>
                <w:color w:val="auto"/>
              </w:rPr>
              <w:t>(566.7)</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40" w:type="dxa"/>
            <w:vAlign w:val="bottom"/>
          </w:tcPr>
          <w:p>
            <w:pPr>
              <w:ind w:left="120"/>
              <w:spacing w:after="0" w:line="159" w:lineRule="exact"/>
              <w:rPr>
                <w:sz w:val="20"/>
                <w:szCs w:val="20"/>
                <w:color w:val="auto"/>
              </w:rPr>
            </w:pPr>
            <w:r>
              <w:rPr>
                <w:rFonts w:ascii="Arial" w:cs="Arial" w:eastAsia="Arial" w:hAnsi="Arial"/>
                <w:sz w:val="14"/>
                <w:szCs w:val="14"/>
                <w:color w:val="auto"/>
              </w:rPr>
              <w:t>the period, net of adjustments</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8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20" w:type="dxa"/>
            <w:vAlign w:val="bottom"/>
            <w:gridSpan w:val="2"/>
            <w:vMerge w:val="continue"/>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gridSpan w:val="2"/>
            <w:vMerge w:val="continue"/>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gridSpan w:val="2"/>
            <w:vMerge w:val="continue"/>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4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Amounts reclassified from AOCI</w:t>
            </w: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40.2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6.9</w:t>
            </w: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7.3</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55.2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109.6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160" w:type="dxa"/>
            <w:vAlign w:val="bottom"/>
            <w:gridSpan w:val="2"/>
          </w:tcPr>
          <w:p>
            <w:pPr>
              <w:spacing w:after="0" w:line="142" w:lineRule="exact"/>
              <w:rPr>
                <w:sz w:val="20"/>
                <w:szCs w:val="20"/>
                <w:color w:val="auto"/>
              </w:rPr>
            </w:pPr>
            <w:r>
              <w:rPr>
                <w:rFonts w:ascii="Arial" w:cs="Arial" w:eastAsia="Arial" w:hAnsi="Arial"/>
                <w:sz w:val="14"/>
                <w:szCs w:val="14"/>
                <w:color w:val="auto"/>
              </w:rPr>
              <w:t>Other comprehensive loss</w:t>
            </w:r>
          </w:p>
        </w:tc>
        <w:tc>
          <w:tcPr>
            <w:tcW w:w="18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9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(540.2)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11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6.9</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(1.8)</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(254.6)</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332.6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(457.1)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14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Balances at December 31, 2013</w:t>
            </w:r>
          </w:p>
        </w:tc>
        <w:tc>
          <w:tcPr>
            <w:tcW w:w="2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9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878.1</w:t>
            </w:r>
          </w:p>
        </w:tc>
        <w:tc>
          <w:tcPr>
            <w:tcW w:w="10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2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(167.0)</w:t>
            </w:r>
          </w:p>
        </w:tc>
        <w:tc>
          <w:tcPr>
            <w:tcW w:w="120" w:type="dxa"/>
            <w:vAlign w:val="bottom"/>
            <w:tcBorders>
              <w:right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120" w:type="dxa"/>
            <w:vAlign w:val="bottom"/>
            <w:gridSpan w:val="2"/>
            <w:shd w:val="clear" w:color="auto" w:fill="CCEEFF"/>
          </w:tcPr>
          <w:p>
            <w:pPr>
              <w:jc w:val="right"/>
              <w:ind w:right="80"/>
              <w:spacing w:after="0" w:line="142" w:lineRule="exact"/>
              <w:rPr>
                <w:sz w:val="20"/>
                <w:szCs w:val="20"/>
                <w:color w:val="auto"/>
              </w:rPr>
            </w:pPr>
            <w:r>
              <w:rPr>
                <w:rFonts w:ascii="Arial" w:cs="Arial" w:eastAsia="Arial" w:hAnsi="Arial"/>
                <w:sz w:val="14"/>
                <w:szCs w:val="14"/>
                <w:b w:val="1"/>
                <w:bCs w:val="1"/>
                <w:color w:val="auto"/>
              </w:rPr>
              <w:t>(10.5)</w:t>
            </w:r>
          </w:p>
        </w:tc>
        <w:tc>
          <w:tcPr>
            <w:tcW w:w="1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74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(361.5)</w:t>
            </w:r>
          </w:p>
        </w:tc>
        <w:tc>
          <w:tcPr>
            <w:tcW w:w="140" w:type="dxa"/>
            <w:vAlign w:val="bottom"/>
            <w:tcBorders>
              <w:right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96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(155.9)</w:t>
            </w:r>
          </w:p>
        </w:tc>
        <w:tc>
          <w:tcPr>
            <w:tcW w:w="1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183.2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Noncontrolling Interest</w:t>
      </w:r>
    </w:p>
    <w:p>
      <w:pPr>
        <w:spacing w:after="0" w:line="231" w:lineRule="exact"/>
        <w:rPr>
          <w:sz w:val="20"/>
          <w:szCs w:val="20"/>
          <w:color w:val="auto"/>
        </w:rPr>
      </w:pPr>
    </w:p>
    <w:p>
      <w:pPr>
        <w:jc w:val="both"/>
        <w:ind w:firstLine="378"/>
        <w:spacing w:after="0" w:line="259" w:lineRule="auto"/>
        <w:rPr>
          <w:sz w:val="20"/>
          <w:szCs w:val="20"/>
          <w:color w:val="auto"/>
        </w:rPr>
      </w:pPr>
      <w:r>
        <w:rPr>
          <w:rFonts w:ascii="Arial" w:cs="Arial" w:eastAsia="Arial" w:hAnsi="Arial"/>
          <w:sz w:val="18"/>
          <w:szCs w:val="18"/>
          <w:color w:val="auto"/>
        </w:rPr>
        <w:t>Interest held by unaffiliated parties in consolidated entities are reflected in noncontrolling interest, which represents the noncontrolling partners' share of the underlying net assets of our consolidated subsidiaries. Noncontrolling interest that is not redeemable is reported in the equity section of the consolidated statements of financial position.</w:t>
      </w:r>
    </w:p>
    <w:p>
      <w:pPr>
        <w:spacing w:after="0" w:line="194" w:lineRule="exact"/>
        <w:rPr>
          <w:sz w:val="20"/>
          <w:szCs w:val="20"/>
          <w:color w:val="auto"/>
        </w:rPr>
      </w:pPr>
    </w:p>
    <w:p>
      <w:pPr>
        <w:jc w:val="both"/>
        <w:ind w:firstLine="443"/>
        <w:spacing w:after="0" w:line="287" w:lineRule="auto"/>
        <w:rPr>
          <w:sz w:val="20"/>
          <w:szCs w:val="20"/>
          <w:color w:val="auto"/>
        </w:rPr>
      </w:pPr>
      <w:r>
        <w:rPr>
          <w:rFonts w:ascii="Arial" w:cs="Arial" w:eastAsia="Arial" w:hAnsi="Arial"/>
          <w:sz w:val="16"/>
          <w:szCs w:val="16"/>
          <w:color w:val="auto"/>
        </w:rPr>
        <w:t>The noncontrolling interest holders in certain of our subsidiaries maintain an equity interest that is redeemable at the option of the holder, which may be exercised on varying dates. Since redemption of the noncontrolling interest is outside of our control, this interest is presented on the consolidated statements of financial position line item titled "Redeemable noncontrolling interest." If the interest were to be redeemed, we would be required to purchase such interest at a redemption value based on fair value or a formula that management intended to reasonably approximate fair value based on a fixed multiple of earnings over a measurement period. As such, the carrying value of the redeemable noncontrolling interest is compared to the redemption value at each reporting period. Any adjustments to the carrying amount of the redeemable noncontrolling interest for changes in redemption value prior to exercise of the redemption option are determined after the attribution of net income or loss of the subsidiary and are recognized in the redemption value as they occur. Adjustments to the carrying value of redeemable noncontrolling interest result in adjustments to additional paid-in capital and/or retained earnings. Adjustments are recorded in retained earnings to the extent the redemption value of the redeemable noncontrolling interest exceeds its fair value and will impact the numerator in our earnings per share calculations. All other adjustments to the redeemable noncontrolling interest are recorded in additional paid-in capital.</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64" w:name="page165"/>
    <w:bookmarkEnd w:id="16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Stockholders' Equity — (continued)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Following is a reconciliation of the changes in the redeemable noncontrolling interest (in millions):</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120" w:type="dxa"/>
            <w:vAlign w:val="bottom"/>
            <w:gridSpan w:val="2"/>
            <w:shd w:val="clear" w:color="auto" w:fill="CCEEFF"/>
          </w:tcPr>
          <w:p>
            <w:pPr>
              <w:spacing w:after="0"/>
              <w:rPr>
                <w:sz w:val="20"/>
                <w:szCs w:val="20"/>
                <w:color w:val="auto"/>
              </w:rPr>
            </w:pPr>
            <w:r>
              <w:rPr>
                <w:rFonts w:ascii="Arial" w:cs="Arial" w:eastAsia="Arial" w:hAnsi="Arial"/>
                <w:sz w:val="14"/>
                <w:szCs w:val="14"/>
                <w:b w:val="1"/>
                <w:bCs w:val="1"/>
                <w:color w:val="auto"/>
              </w:rPr>
              <w:t>Balance at January 1, 2011</w:t>
            </w:r>
          </w:p>
        </w:tc>
        <w:tc>
          <w:tcPr>
            <w:tcW w:w="246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5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20" w:type="dxa"/>
            <w:vAlign w:val="bottom"/>
            <w:gridSpan w:val="2"/>
          </w:tcPr>
          <w:p>
            <w:pPr>
              <w:spacing w:after="0" w:line="149" w:lineRule="exact"/>
              <w:rPr>
                <w:sz w:val="20"/>
                <w:szCs w:val="20"/>
                <w:color w:val="auto"/>
              </w:rPr>
            </w:pPr>
            <w:r>
              <w:rPr>
                <w:rFonts w:ascii="Arial" w:cs="Arial" w:eastAsia="Arial" w:hAnsi="Arial"/>
                <w:sz w:val="14"/>
                <w:szCs w:val="14"/>
                <w:color w:val="auto"/>
              </w:rPr>
              <w:t>Net income attributable to redeemable noncontrolling interest</w:t>
            </w:r>
          </w:p>
        </w:tc>
        <w:tc>
          <w:tcPr>
            <w:tcW w:w="2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80" w:type="dxa"/>
            <w:vAlign w:val="bottom"/>
          </w:tcPr>
          <w:p>
            <w:pPr>
              <w:jc w:val="right"/>
              <w:spacing w:after="0" w:line="149" w:lineRule="exact"/>
              <w:rPr>
                <w:sz w:val="20"/>
                <w:szCs w:val="20"/>
                <w:color w:val="auto"/>
              </w:rPr>
            </w:pPr>
            <w:r>
              <w:rPr>
                <w:rFonts w:ascii="Arial" w:cs="Arial" w:eastAsia="Arial" w:hAnsi="Arial"/>
                <w:sz w:val="14"/>
                <w:szCs w:val="14"/>
                <w:color w:val="auto"/>
              </w:rPr>
              <w:t>0.2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Redeemable noncontrolling interest assumed related to acquisition</w:t>
            </w:r>
          </w:p>
        </w:tc>
        <w:tc>
          <w:tcPr>
            <w:tcW w:w="234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3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22.0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14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Balance at December 31, 2011</w:t>
            </w:r>
          </w:p>
        </w:tc>
        <w:tc>
          <w:tcPr>
            <w:tcW w:w="2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80" w:type="dxa"/>
            <w:vAlign w:val="bottom"/>
          </w:tcPr>
          <w:p>
            <w:pPr>
              <w:jc w:val="right"/>
              <w:spacing w:after="0" w:line="142" w:lineRule="exact"/>
              <w:rPr>
                <w:sz w:val="20"/>
                <w:szCs w:val="20"/>
                <w:color w:val="auto"/>
              </w:rPr>
            </w:pPr>
            <w:r>
              <w:rPr>
                <w:rFonts w:ascii="Arial" w:cs="Arial" w:eastAsia="Arial" w:hAnsi="Arial"/>
                <w:sz w:val="14"/>
                <w:szCs w:val="14"/>
                <w:color w:val="auto"/>
              </w:rPr>
              <w:t>22.2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Net income attributable to redeemable noncontrolling interest</w:t>
            </w:r>
          </w:p>
        </w:tc>
        <w:tc>
          <w:tcPr>
            <w:tcW w:w="23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20" w:type="dxa"/>
            <w:vAlign w:val="bottom"/>
            <w:gridSpan w:val="2"/>
          </w:tcPr>
          <w:p>
            <w:pPr>
              <w:spacing w:after="0" w:line="149" w:lineRule="exact"/>
              <w:rPr>
                <w:sz w:val="20"/>
                <w:szCs w:val="20"/>
                <w:color w:val="auto"/>
              </w:rPr>
            </w:pPr>
            <w:r>
              <w:rPr>
                <w:rFonts w:ascii="Arial" w:cs="Arial" w:eastAsia="Arial" w:hAnsi="Arial"/>
                <w:sz w:val="14"/>
                <w:szCs w:val="14"/>
                <w:color w:val="auto"/>
              </w:rPr>
              <w:t>Redeemable noncontrolling interest assumed related to acquisition</w:t>
            </w:r>
          </w:p>
        </w:tc>
        <w:tc>
          <w:tcPr>
            <w:tcW w:w="2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80" w:type="dxa"/>
            <w:vAlign w:val="bottom"/>
          </w:tcPr>
          <w:p>
            <w:pPr>
              <w:jc w:val="right"/>
              <w:spacing w:after="0" w:line="149" w:lineRule="exact"/>
              <w:rPr>
                <w:sz w:val="20"/>
                <w:szCs w:val="20"/>
                <w:color w:val="auto"/>
              </w:rPr>
            </w:pPr>
            <w:r>
              <w:rPr>
                <w:rFonts w:ascii="Arial" w:cs="Arial" w:eastAsia="Arial" w:hAnsi="Arial"/>
                <w:sz w:val="14"/>
                <w:szCs w:val="14"/>
                <w:color w:val="auto"/>
              </w:rPr>
              <w:t>37.2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Distributions to redeemable noncontrolling interest</w:t>
            </w:r>
          </w:p>
        </w:tc>
        <w:tc>
          <w:tcPr>
            <w:tcW w:w="23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20" w:type="dxa"/>
            <w:vAlign w:val="bottom"/>
            <w:gridSpan w:val="2"/>
          </w:tcPr>
          <w:p>
            <w:pPr>
              <w:spacing w:after="0" w:line="149" w:lineRule="exact"/>
              <w:rPr>
                <w:sz w:val="20"/>
                <w:szCs w:val="20"/>
                <w:color w:val="auto"/>
              </w:rPr>
            </w:pPr>
            <w:r>
              <w:rPr>
                <w:rFonts w:ascii="Arial" w:cs="Arial" w:eastAsia="Arial" w:hAnsi="Arial"/>
                <w:sz w:val="14"/>
                <w:szCs w:val="14"/>
                <w:color w:val="auto"/>
              </w:rPr>
              <w:t>Foreign currency translation adjustment</w:t>
            </w:r>
          </w:p>
        </w:tc>
        <w:tc>
          <w:tcPr>
            <w:tcW w:w="23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12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Balance at December 31, 2012</w:t>
            </w:r>
          </w:p>
        </w:tc>
        <w:tc>
          <w:tcPr>
            <w:tcW w:w="23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60.4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20" w:type="dxa"/>
            <w:vAlign w:val="bottom"/>
            <w:gridSpan w:val="2"/>
          </w:tcPr>
          <w:p>
            <w:pPr>
              <w:spacing w:after="0" w:line="149" w:lineRule="exact"/>
              <w:rPr>
                <w:sz w:val="20"/>
                <w:szCs w:val="20"/>
                <w:color w:val="auto"/>
              </w:rPr>
            </w:pPr>
            <w:r>
              <w:rPr>
                <w:rFonts w:ascii="Arial" w:cs="Arial" w:eastAsia="Arial" w:hAnsi="Arial"/>
                <w:sz w:val="14"/>
                <w:szCs w:val="14"/>
                <w:color w:val="auto"/>
              </w:rPr>
              <w:t>Net income attributable to redeemable noncontrolling interest</w:t>
            </w:r>
          </w:p>
        </w:tc>
        <w:tc>
          <w:tcPr>
            <w:tcW w:w="2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Reclassification from stockholders' equity (1)</w:t>
            </w:r>
          </w:p>
        </w:tc>
        <w:tc>
          <w:tcPr>
            <w:tcW w:w="23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173.9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20" w:type="dxa"/>
            <w:vAlign w:val="bottom"/>
            <w:gridSpan w:val="2"/>
          </w:tcPr>
          <w:p>
            <w:pPr>
              <w:spacing w:after="0" w:line="149" w:lineRule="exact"/>
              <w:rPr>
                <w:sz w:val="20"/>
                <w:szCs w:val="20"/>
                <w:color w:val="auto"/>
              </w:rPr>
            </w:pPr>
            <w:r>
              <w:rPr>
                <w:rFonts w:ascii="Arial" w:cs="Arial" w:eastAsia="Arial" w:hAnsi="Arial"/>
                <w:sz w:val="14"/>
                <w:szCs w:val="14"/>
                <w:color w:val="auto"/>
              </w:rPr>
              <w:t>Contributions from redeemable noncontrolling interest</w:t>
            </w:r>
          </w:p>
        </w:tc>
        <w:tc>
          <w:tcPr>
            <w:tcW w:w="2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Distributions to redeemable noncontrolling interest</w:t>
            </w:r>
          </w:p>
        </w:tc>
        <w:tc>
          <w:tcPr>
            <w:tcW w:w="23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(13.9</w:t>
            </w: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20" w:type="dxa"/>
            <w:vAlign w:val="bottom"/>
            <w:gridSpan w:val="2"/>
          </w:tcPr>
          <w:p>
            <w:pPr>
              <w:spacing w:after="0" w:line="149" w:lineRule="exact"/>
              <w:rPr>
                <w:sz w:val="20"/>
                <w:szCs w:val="20"/>
                <w:color w:val="auto"/>
              </w:rPr>
            </w:pPr>
            <w:r>
              <w:rPr>
                <w:rFonts w:ascii="Arial" w:cs="Arial" w:eastAsia="Arial" w:hAnsi="Arial"/>
                <w:sz w:val="14"/>
                <w:szCs w:val="14"/>
                <w:color w:val="auto"/>
              </w:rPr>
              <w:t>Purchase of subsidiary shares from redeemable noncontrolling interest</w:t>
            </w:r>
          </w:p>
        </w:tc>
        <w:tc>
          <w:tcPr>
            <w:tcW w:w="2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(2.4</w:t>
            </w: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Change in redemption value of redeemable noncontrolling interest</w:t>
            </w:r>
          </w:p>
        </w:tc>
        <w:tc>
          <w:tcPr>
            <w:tcW w:w="23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19.2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20" w:type="dxa"/>
            <w:vAlign w:val="bottom"/>
            <w:gridSpan w:val="2"/>
          </w:tcPr>
          <w:p>
            <w:pPr>
              <w:spacing w:after="0" w:line="149" w:lineRule="exact"/>
              <w:rPr>
                <w:sz w:val="20"/>
                <w:szCs w:val="20"/>
                <w:color w:val="auto"/>
              </w:rPr>
            </w:pPr>
            <w:r>
              <w:rPr>
                <w:rFonts w:ascii="Arial" w:cs="Arial" w:eastAsia="Arial" w:hAnsi="Arial"/>
                <w:sz w:val="14"/>
                <w:szCs w:val="14"/>
                <w:color w:val="auto"/>
              </w:rPr>
              <w:t>Foreign currency translation adjustment</w:t>
            </w:r>
          </w:p>
        </w:tc>
        <w:tc>
          <w:tcPr>
            <w:tcW w:w="2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(4.8</w:t>
            </w: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500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612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Balance at December 31, 2013</w:t>
            </w:r>
          </w:p>
        </w:tc>
        <w:tc>
          <w:tcPr>
            <w:tcW w:w="246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w:t>
            </w:r>
          </w:p>
        </w:tc>
        <w:tc>
          <w:tcPr>
            <w:tcW w:w="3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247.2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500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5000" w:type="dxa"/>
            <w:vAlign w:val="bottom"/>
          </w:tcPr>
          <w:p>
            <w:pPr>
              <w:spacing w:after="0"/>
              <w:rPr>
                <w:sz w:val="7"/>
                <w:szCs w:val="7"/>
                <w:color w:val="auto"/>
              </w:rPr>
            </w:pPr>
          </w:p>
        </w:tc>
        <w:tc>
          <w:tcPr>
            <w:tcW w:w="2340" w:type="dxa"/>
            <w:vAlign w:val="bottom"/>
          </w:tcPr>
          <w:p>
            <w:pPr>
              <w:spacing w:after="0"/>
              <w:rPr>
                <w:sz w:val="7"/>
                <w:szCs w:val="7"/>
                <w:color w:val="auto"/>
              </w:rPr>
            </w:pPr>
          </w:p>
        </w:tc>
        <w:tc>
          <w:tcPr>
            <w:tcW w:w="120" w:type="dxa"/>
            <w:vAlign w:val="bottom"/>
          </w:tcPr>
          <w:p>
            <w:pPr>
              <w:spacing w:after="0"/>
              <w:rPr>
                <w:sz w:val="7"/>
                <w:szCs w:val="7"/>
                <w:color w:val="auto"/>
              </w:rPr>
            </w:pPr>
          </w:p>
        </w:tc>
        <w:tc>
          <w:tcPr>
            <w:tcW w:w="38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jc w:val="both"/>
        <w:ind w:left="1680" w:hanging="531"/>
        <w:spacing w:after="0" w:line="273" w:lineRule="auto"/>
        <w:tabs>
          <w:tab w:leader="none" w:pos="1680" w:val="left"/>
        </w:tabs>
        <w:numPr>
          <w:ilvl w:val="0"/>
          <w:numId w:val="74"/>
        </w:numPr>
        <w:rPr>
          <w:rFonts w:ascii="Arial" w:cs="Arial" w:eastAsia="Arial" w:hAnsi="Arial"/>
          <w:sz w:val="12"/>
          <w:szCs w:val="12"/>
          <w:color w:val="auto"/>
        </w:rPr>
      </w:pPr>
      <w:r>
        <w:rPr>
          <w:rFonts w:ascii="Arial" w:cs="Arial" w:eastAsia="Arial" w:hAnsi="Arial"/>
          <w:sz w:val="12"/>
          <w:szCs w:val="12"/>
          <w:color w:val="auto"/>
        </w:rPr>
        <w:t>During the third quarter of 2013, we identified a classification error of certain of our noncontrolling interests. The classification error had no impact on net income, but did impact earnings per share to the extent the redemption value of the redeemable noncontrolling interest exceeds the fair value. We evaluated the classification error and related earnings per share impact based on qualitative and quantitative factors in accordance with SEC Staff Accounting Bulletins 99 and 108 and concluded the impact was not material in the current or any prior quarterly or annual periods presented. During the third quarter of 2013, we recorded a $173.9 million increase to redeemable noncontrolling interest and a corresponding decrease to stockholders' equity. See related discussion in Note 19, Earnings Per Share.</w:t>
      </w:r>
    </w:p>
    <w:p>
      <w:pPr>
        <w:spacing w:after="0" w:line="3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 Limitations</w:t>
      </w:r>
    </w:p>
    <w:p>
      <w:pPr>
        <w:spacing w:after="0" w:line="231" w:lineRule="exact"/>
        <w:rPr>
          <w:sz w:val="20"/>
          <w:szCs w:val="20"/>
          <w:color w:val="auto"/>
        </w:rPr>
      </w:pPr>
    </w:p>
    <w:p>
      <w:pPr>
        <w:jc w:val="both"/>
        <w:ind w:firstLine="394"/>
        <w:spacing w:after="0" w:line="256" w:lineRule="auto"/>
        <w:rPr>
          <w:sz w:val="20"/>
          <w:szCs w:val="20"/>
          <w:color w:val="auto"/>
        </w:rPr>
      </w:pPr>
      <w:r>
        <w:rPr>
          <w:rFonts w:ascii="Arial" w:cs="Arial" w:eastAsia="Arial" w:hAnsi="Arial"/>
          <w:sz w:val="18"/>
          <w:szCs w:val="18"/>
          <w:color w:val="auto"/>
        </w:rPr>
        <w:t>The declaration and payment of our common stock dividends is subject to the discretion of our Board of Directors and will depend on our overall financial condition, results of operations, capital levels, cash requirements, future prospects, receipt of dividends from Principal Life (as described below), risk management considerations and other factors deemed relevant by the Board. There are no significant restrictions that limit the payment of dividends by us, except those generally applicable to corporations incorporated in Delaware.</w:t>
      </w:r>
    </w:p>
    <w:p>
      <w:pPr>
        <w:spacing w:after="0" w:line="197" w:lineRule="exact"/>
        <w:rPr>
          <w:sz w:val="20"/>
          <w:szCs w:val="20"/>
          <w:color w:val="auto"/>
        </w:rPr>
      </w:pPr>
    </w:p>
    <w:p>
      <w:pPr>
        <w:jc w:val="both"/>
        <w:ind w:firstLine="375"/>
        <w:spacing w:after="0" w:line="255" w:lineRule="auto"/>
        <w:rPr>
          <w:sz w:val="20"/>
          <w:szCs w:val="20"/>
          <w:color w:val="auto"/>
        </w:rPr>
      </w:pPr>
      <w:r>
        <w:rPr>
          <w:rFonts w:ascii="Arial" w:cs="Arial" w:eastAsia="Arial" w:hAnsi="Arial"/>
          <w:sz w:val="18"/>
          <w:szCs w:val="18"/>
          <w:color w:val="auto"/>
        </w:rPr>
        <w:t>Under Iowa law, Principal Life may pay stockholder dividends only from the earned surplus arising from its business and must receive the prior approval of the Commissioner to pay a stockholder dividend if such a stockholder dividend would exceed certain statutory limitations. In general, the current statutory limitation is the greater of 10% of Principal Life's policyholder surplus as of the preceding year-end or the net gain from operations from the previous calendar year. Based on this limitation and 2013 statutory results, Principal Life could pay approximately $687.2 million in stockholder dividends in 2014 without exceeding the statutory limitation.</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Fair Value Measurements</w:t>
      </w:r>
    </w:p>
    <w:p>
      <w:pPr>
        <w:spacing w:after="0" w:line="231" w:lineRule="exact"/>
        <w:rPr>
          <w:sz w:val="20"/>
          <w:szCs w:val="20"/>
          <w:color w:val="auto"/>
        </w:rPr>
      </w:pPr>
    </w:p>
    <w:p>
      <w:pPr>
        <w:jc w:val="both"/>
        <w:ind w:firstLine="430"/>
        <w:spacing w:after="0" w:line="259" w:lineRule="auto"/>
        <w:rPr>
          <w:sz w:val="20"/>
          <w:szCs w:val="20"/>
          <w:color w:val="auto"/>
        </w:rPr>
      </w:pPr>
      <w:r>
        <w:rPr>
          <w:rFonts w:ascii="Arial" w:cs="Arial" w:eastAsia="Arial" w:hAnsi="Arial"/>
          <w:sz w:val="18"/>
          <w:szCs w:val="18"/>
          <w:color w:val="auto"/>
        </w:rPr>
        <w:t>We use fair value measurements to record fair value of certain assets and liabilities and to estimate fair value of financial instruments not recorded at fair value but required to be disclosed at fair value. Certain financial instruments, particularly policyholder liabilities other than investment-type insurance contracts, are excluded from these fair value disclosure requirements.</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Valuation Hierarchy</w:t>
      </w:r>
    </w:p>
    <w:p>
      <w:pPr>
        <w:spacing w:after="0" w:line="231" w:lineRule="exact"/>
        <w:rPr>
          <w:sz w:val="20"/>
          <w:szCs w:val="20"/>
          <w:color w:val="auto"/>
        </w:rPr>
      </w:pPr>
    </w:p>
    <w:p>
      <w:pPr>
        <w:jc w:val="both"/>
        <w:ind w:firstLine="375"/>
        <w:spacing w:after="0" w:line="298" w:lineRule="auto"/>
        <w:rPr>
          <w:sz w:val="20"/>
          <w:szCs w:val="20"/>
          <w:color w:val="auto"/>
        </w:rPr>
      </w:pPr>
      <w:r>
        <w:rPr>
          <w:rFonts w:ascii="Arial" w:cs="Arial" w:eastAsia="Arial" w:hAnsi="Arial"/>
          <w:sz w:val="16"/>
          <w:szCs w:val="16"/>
          <w:color w:val="auto"/>
        </w:rPr>
        <w:t>Fair value is defined as the price that would be received to sell an asset or paid to transfer a liability in an orderly transaction between market participants at the measurement date (an exit price). The fair value hierarchy prioritizes the inputs to valuation techniques used to measure fair value into three levels. The level in the fair value hierarchy within which the fair value measurement in its entirety falls is determined based on the lowest level input that is significant to the fair value measurement in its entirety considering factors specific to the asset or liability.</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65" w:name="page166"/>
    <w:bookmarkEnd w:id="16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ind w:left="280" w:hanging="272"/>
        <w:spacing w:after="0"/>
        <w:tabs>
          <w:tab w:leader="none" w:pos="280" w:val="left"/>
        </w:tabs>
        <w:numPr>
          <w:ilvl w:val="0"/>
          <w:numId w:val="75"/>
        </w:numPr>
        <w:rPr>
          <w:rFonts w:ascii="Arial" w:cs="Arial" w:eastAsia="Arial" w:hAnsi="Arial"/>
          <w:sz w:val="18"/>
          <w:szCs w:val="18"/>
          <w:b w:val="1"/>
          <w:bCs w:val="1"/>
          <w:color w:val="auto"/>
        </w:rPr>
      </w:pPr>
      <w:r>
        <w:rPr>
          <w:rFonts w:ascii="Arial" w:cs="Arial" w:eastAsia="Arial" w:hAnsi="Arial"/>
          <w:sz w:val="18"/>
          <w:szCs w:val="18"/>
          <w:b w:val="1"/>
          <w:bCs w:val="1"/>
          <w:color w:val="auto"/>
        </w:rPr>
        <w:t>Fair Value Measurements — (continued)</w:t>
      </w:r>
    </w:p>
    <w:p>
      <w:pPr>
        <w:spacing w:after="0" w:line="238" w:lineRule="exact"/>
        <w:rPr>
          <w:rFonts w:ascii="Arial" w:cs="Arial" w:eastAsia="Arial" w:hAnsi="Arial"/>
          <w:sz w:val="18"/>
          <w:szCs w:val="18"/>
          <w:b w:val="1"/>
          <w:bCs w:val="1"/>
          <w:color w:val="auto"/>
        </w:rPr>
      </w:pPr>
    </w:p>
    <w:p>
      <w:pPr>
        <w:ind w:left="1080" w:hanging="532"/>
        <w:spacing w:after="0" w:line="275" w:lineRule="auto"/>
        <w:tabs>
          <w:tab w:leader="none" w:pos="1080" w:val="left"/>
        </w:tabs>
        <w:numPr>
          <w:ilvl w:val="1"/>
          <w:numId w:val="75"/>
        </w:numPr>
        <w:rPr>
          <w:rFonts w:ascii="Arial" w:cs="Arial" w:eastAsia="Arial" w:hAnsi="Arial"/>
          <w:sz w:val="18"/>
          <w:szCs w:val="18"/>
          <w:color w:val="auto"/>
        </w:rPr>
      </w:pPr>
      <w:r>
        <w:rPr>
          <w:rFonts w:ascii="Arial" w:cs="Arial" w:eastAsia="Arial" w:hAnsi="Arial"/>
          <w:sz w:val="18"/>
          <w:szCs w:val="18"/>
          <w:b w:val="1"/>
          <w:bCs w:val="1"/>
          <w:color w:val="auto"/>
        </w:rPr>
        <w:t xml:space="preserve">Level 1 </w:t>
      </w:r>
      <w:r>
        <w:rPr>
          <w:rFonts w:ascii="Arial" w:cs="Arial" w:eastAsia="Arial" w:hAnsi="Arial"/>
          <w:sz w:val="18"/>
          <w:szCs w:val="18"/>
          <w:color w:val="auto"/>
        </w:rPr>
        <w:t>— Fair values are based on unadjusted quoted prices in active markets for identical assets or liabilities. Our Level 1 assets and liabilities</w:t>
      </w:r>
      <w:r>
        <w:rPr>
          <w:rFonts w:ascii="Arial" w:cs="Arial" w:eastAsia="Arial" w:hAnsi="Arial"/>
          <w:sz w:val="18"/>
          <w:szCs w:val="18"/>
          <w:b w:val="1"/>
          <w:bCs w:val="1"/>
          <w:color w:val="auto"/>
        </w:rPr>
        <w:t xml:space="preserve"> </w:t>
      </w:r>
      <w:r>
        <w:rPr>
          <w:rFonts w:ascii="Arial" w:cs="Arial" w:eastAsia="Arial" w:hAnsi="Arial"/>
          <w:sz w:val="18"/>
          <w:szCs w:val="18"/>
          <w:color w:val="auto"/>
        </w:rPr>
        <w:t>primarily include exchange traded equity securities, mutual funds and U.S. Treasury bonds.</w:t>
      </w:r>
    </w:p>
    <w:p>
      <w:pPr>
        <w:spacing w:after="0" w:line="200" w:lineRule="exact"/>
        <w:rPr>
          <w:rFonts w:ascii="Arial" w:cs="Arial" w:eastAsia="Arial" w:hAnsi="Arial"/>
          <w:sz w:val="18"/>
          <w:szCs w:val="18"/>
          <w:color w:val="auto"/>
        </w:rPr>
      </w:pPr>
    </w:p>
    <w:p>
      <w:pPr>
        <w:jc w:val="both"/>
        <w:ind w:left="1080" w:hanging="532"/>
        <w:spacing w:after="0" w:line="258" w:lineRule="auto"/>
        <w:tabs>
          <w:tab w:leader="none" w:pos="1080" w:val="left"/>
        </w:tabs>
        <w:numPr>
          <w:ilvl w:val="1"/>
          <w:numId w:val="75"/>
        </w:numPr>
        <w:rPr>
          <w:rFonts w:ascii="Arial" w:cs="Arial" w:eastAsia="Arial" w:hAnsi="Arial"/>
          <w:sz w:val="18"/>
          <w:szCs w:val="18"/>
          <w:color w:val="auto"/>
        </w:rPr>
      </w:pPr>
      <w:r>
        <w:rPr>
          <w:rFonts w:ascii="Arial" w:cs="Arial" w:eastAsia="Arial" w:hAnsi="Arial"/>
          <w:sz w:val="18"/>
          <w:szCs w:val="18"/>
          <w:b w:val="1"/>
          <w:bCs w:val="1"/>
          <w:color w:val="auto"/>
        </w:rPr>
        <w:t xml:space="preserve">Level 2 </w:t>
      </w:r>
      <w:r>
        <w:rPr>
          <w:rFonts w:ascii="Arial" w:cs="Arial" w:eastAsia="Arial" w:hAnsi="Arial"/>
          <w:sz w:val="18"/>
          <w:szCs w:val="18"/>
          <w:color w:val="auto"/>
        </w:rPr>
        <w:t>— Fair values are based on inputs other than quoted prices within Level 1 that are observable for the asset or liability, either directly or</w:t>
      </w:r>
      <w:r>
        <w:rPr>
          <w:rFonts w:ascii="Arial" w:cs="Arial" w:eastAsia="Arial" w:hAnsi="Arial"/>
          <w:sz w:val="18"/>
          <w:szCs w:val="18"/>
          <w:b w:val="1"/>
          <w:bCs w:val="1"/>
          <w:color w:val="auto"/>
        </w:rPr>
        <w:t xml:space="preserve"> </w:t>
      </w:r>
      <w:r>
        <w:rPr>
          <w:rFonts w:ascii="Arial" w:cs="Arial" w:eastAsia="Arial" w:hAnsi="Arial"/>
          <w:sz w:val="18"/>
          <w:szCs w:val="18"/>
          <w:color w:val="auto"/>
        </w:rPr>
        <w:t>indirectly. Our Level 2 assets and liabilities primarily include fixed maturities (including public and private bonds), equity securities, derivatives and other investments for which public quotations are not available but that are priced by third-party pricing services or internal models using substantially all observable inputs.</w:t>
      </w:r>
    </w:p>
    <w:p>
      <w:pPr>
        <w:spacing w:after="0" w:line="203" w:lineRule="exact"/>
        <w:rPr>
          <w:rFonts w:ascii="Arial" w:cs="Arial" w:eastAsia="Arial" w:hAnsi="Arial"/>
          <w:sz w:val="18"/>
          <w:szCs w:val="18"/>
          <w:color w:val="auto"/>
        </w:rPr>
      </w:pPr>
    </w:p>
    <w:p>
      <w:pPr>
        <w:jc w:val="both"/>
        <w:ind w:left="1080" w:hanging="532"/>
        <w:spacing w:after="0" w:line="296" w:lineRule="auto"/>
        <w:tabs>
          <w:tab w:leader="none" w:pos="1080" w:val="left"/>
        </w:tabs>
        <w:numPr>
          <w:ilvl w:val="1"/>
          <w:numId w:val="75"/>
        </w:numPr>
        <w:rPr>
          <w:rFonts w:ascii="Arial" w:cs="Arial" w:eastAsia="Arial" w:hAnsi="Arial"/>
          <w:sz w:val="16"/>
          <w:szCs w:val="16"/>
          <w:color w:val="auto"/>
        </w:rPr>
      </w:pPr>
      <w:r>
        <w:rPr>
          <w:rFonts w:ascii="Arial" w:cs="Arial" w:eastAsia="Arial" w:hAnsi="Arial"/>
          <w:sz w:val="16"/>
          <w:szCs w:val="16"/>
          <w:b w:val="1"/>
          <w:bCs w:val="1"/>
          <w:color w:val="auto"/>
        </w:rPr>
        <w:t xml:space="preserve">Level 3 </w:t>
      </w:r>
      <w:r>
        <w:rPr>
          <w:rFonts w:ascii="Arial" w:cs="Arial" w:eastAsia="Arial" w:hAnsi="Arial"/>
          <w:sz w:val="16"/>
          <w:szCs w:val="16"/>
          <w:color w:val="auto"/>
        </w:rPr>
        <w:t>— Fair values are based on significant unobservable inputs for the asset or liability. Our Level 3 assets and liabilities include certain assets</w:t>
      </w:r>
      <w:r>
        <w:rPr>
          <w:rFonts w:ascii="Arial" w:cs="Arial" w:eastAsia="Arial" w:hAnsi="Arial"/>
          <w:sz w:val="16"/>
          <w:szCs w:val="16"/>
          <w:b w:val="1"/>
          <w:bCs w:val="1"/>
          <w:color w:val="auto"/>
        </w:rPr>
        <w:t xml:space="preserve"> </w:t>
      </w:r>
      <w:r>
        <w:rPr>
          <w:rFonts w:ascii="Arial" w:cs="Arial" w:eastAsia="Arial" w:hAnsi="Arial"/>
          <w:sz w:val="16"/>
          <w:szCs w:val="16"/>
          <w:color w:val="auto"/>
        </w:rPr>
        <w:t>and liabilities priced using broker quotes or other valuation methods that utilize at least one significant unobservable input. These include fixed maturities, private equity securities, real estate and commercial mortgage loan investments of our separate accounts, commercial mortgage loan investments and obligations of consolidated VIEs for which the fair value option was elected, complex derivatives, embedded derivatives and equity method real estate investments for which the fair value option was elected.</w:t>
      </w:r>
    </w:p>
    <w:p>
      <w:pPr>
        <w:spacing w:after="0" w:line="3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Determination of Fair Value</w:t>
      </w:r>
    </w:p>
    <w:p>
      <w:pPr>
        <w:spacing w:after="0" w:line="231" w:lineRule="exact"/>
        <w:rPr>
          <w:sz w:val="20"/>
          <w:szCs w:val="20"/>
          <w:color w:val="auto"/>
        </w:rPr>
      </w:pPr>
    </w:p>
    <w:p>
      <w:pPr>
        <w:jc w:val="both"/>
        <w:ind w:right="20" w:firstLine="481"/>
        <w:spacing w:after="0" w:line="306" w:lineRule="auto"/>
        <w:rPr>
          <w:sz w:val="20"/>
          <w:szCs w:val="20"/>
          <w:color w:val="auto"/>
        </w:rPr>
      </w:pPr>
      <w:r>
        <w:rPr>
          <w:rFonts w:ascii="Arial" w:cs="Arial" w:eastAsia="Arial" w:hAnsi="Arial"/>
          <w:sz w:val="16"/>
          <w:szCs w:val="16"/>
          <w:color w:val="auto"/>
        </w:rPr>
        <w:t>The following discussion describes the valuation methodologies and inputs used for assets and liabilities measured at fair value on a recurring basis or disclosed at fair value. The techniques utilized in estimating the fair values of financial instruments are reliant on the assumptions used. Care should be exercised in deriving conclusions about our business, its value or financial position based on the fair value information of financial instruments presented below.</w:t>
      </w:r>
    </w:p>
    <w:p>
      <w:pPr>
        <w:spacing w:after="0" w:line="161" w:lineRule="exact"/>
        <w:rPr>
          <w:sz w:val="20"/>
          <w:szCs w:val="20"/>
          <w:color w:val="auto"/>
        </w:rPr>
      </w:pPr>
    </w:p>
    <w:p>
      <w:pPr>
        <w:jc w:val="both"/>
        <w:ind w:firstLine="362"/>
        <w:spacing w:after="0" w:line="291" w:lineRule="auto"/>
        <w:rPr>
          <w:sz w:val="20"/>
          <w:szCs w:val="20"/>
          <w:color w:val="auto"/>
        </w:rPr>
      </w:pPr>
      <w:r>
        <w:rPr>
          <w:rFonts w:ascii="Arial" w:cs="Arial" w:eastAsia="Arial" w:hAnsi="Arial"/>
          <w:sz w:val="16"/>
          <w:szCs w:val="16"/>
          <w:color w:val="auto"/>
        </w:rPr>
        <w:t>Fair value estimates are made based on available market information and judgments about the financial instrument at a specific point in time. Such estimates do not consider the tax impact of the realization of unrealized gains or losses. In addition, the disclosed fair value may not be realized in the immediate settlement of the financial instrument. We validate prices through an investment analyst review process, which includes validation through direct interaction with external sources, review of recent trade activity or use of internal models. In circumstances where broker quotes are used to value an instrument, we generally receive one non-binding quote. Broker quotes are validated through an investment analyst review process, which includes validation through direct interaction with external sources and use of internal models or other relevant information. We did not make any significant changes to our valuation processes during 2013.</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Fixed Maturities</w:t>
      </w:r>
    </w:p>
    <w:p>
      <w:pPr>
        <w:spacing w:after="0" w:line="225" w:lineRule="exact"/>
        <w:rPr>
          <w:sz w:val="20"/>
          <w:szCs w:val="20"/>
          <w:color w:val="auto"/>
        </w:rPr>
      </w:pPr>
    </w:p>
    <w:p>
      <w:pPr>
        <w:jc w:val="both"/>
        <w:ind w:firstLine="451"/>
        <w:spacing w:after="0" w:line="259" w:lineRule="auto"/>
        <w:rPr>
          <w:sz w:val="20"/>
          <w:szCs w:val="20"/>
          <w:color w:val="auto"/>
        </w:rPr>
      </w:pPr>
      <w:r>
        <w:rPr>
          <w:rFonts w:ascii="Arial" w:cs="Arial" w:eastAsia="Arial" w:hAnsi="Arial"/>
          <w:sz w:val="18"/>
          <w:szCs w:val="18"/>
          <w:color w:val="auto"/>
        </w:rPr>
        <w:t>Fixed maturities include bonds, ABS, redeemable preferred stock and certain nonredeemable preferred securities. When available, the fair value of fixed maturities is based on quoted prices of identical assets in active markets. These are reflected in Level 1 and primarily include U.S. Treasury bonds and actively traded redeemable corporate preferred securities.</w:t>
      </w:r>
    </w:p>
    <w:p>
      <w:pPr>
        <w:spacing w:after="0" w:line="194" w:lineRule="exact"/>
        <w:rPr>
          <w:sz w:val="20"/>
          <w:szCs w:val="20"/>
          <w:color w:val="auto"/>
        </w:rPr>
      </w:pPr>
    </w:p>
    <w:p>
      <w:pPr>
        <w:jc w:val="both"/>
        <w:ind w:firstLine="446"/>
        <w:spacing w:after="0" w:line="287" w:lineRule="auto"/>
        <w:rPr>
          <w:sz w:val="20"/>
          <w:szCs w:val="20"/>
          <w:color w:val="auto"/>
        </w:rPr>
      </w:pPr>
      <w:r>
        <w:rPr>
          <w:rFonts w:ascii="Arial" w:cs="Arial" w:eastAsia="Arial" w:hAnsi="Arial"/>
          <w:sz w:val="16"/>
          <w:szCs w:val="16"/>
          <w:color w:val="auto"/>
        </w:rPr>
        <w:t>When quoted prices of identical assets in active markets are not available, our first priority is to obtain prices from third party pricing vendors. We have regular interaction with these vendors to ensure we understand their pricing methodologies and to confirm they are utilizing observable market information. Their methodologies vary by asset class and include inputs such as estimated cash flows, benchmark yields, reported trades, broker quotes, credit quality, industry events and economic events. Fixed maturities with validated prices from pricing services, which includes the majority of our public fixed maturities in all asset classes, are generally reflected in Level 2. Also included in Level 2 are corporate bonds where quoted market prices are not available, for which an internal model using substantially all observable inputs or a matrix pricing valuation approach is used. In the matrix approach, securities are grouped into pricing categories that vary by sector, rating and average life. Each pricing category is assigned a risk spread based on studies of observable public market data from the investment professionals assigned to specific security classes. The expected cash flows of the security are then discounted back at the current Treasury curve plus the appropriate risk spread. Although the matrix valuation approach provides a fair valuation of each pricing category, the valuation of an individual security within each pricing category may actually be impacted by company specific factors.</w:t>
      </w:r>
    </w:p>
    <w:p>
      <w:pPr>
        <w:spacing w:after="0" w:line="177" w:lineRule="exact"/>
        <w:rPr>
          <w:sz w:val="20"/>
          <w:szCs w:val="20"/>
          <w:color w:val="auto"/>
        </w:rPr>
      </w:pPr>
    </w:p>
    <w:p>
      <w:pPr>
        <w:jc w:val="both"/>
        <w:ind w:firstLine="390"/>
        <w:spacing w:after="0" w:line="298" w:lineRule="auto"/>
        <w:rPr>
          <w:sz w:val="20"/>
          <w:szCs w:val="20"/>
          <w:color w:val="auto"/>
        </w:rPr>
      </w:pPr>
      <w:r>
        <w:rPr>
          <w:rFonts w:ascii="Arial" w:cs="Arial" w:eastAsia="Arial" w:hAnsi="Arial"/>
          <w:sz w:val="16"/>
          <w:szCs w:val="16"/>
          <w:color w:val="auto"/>
        </w:rPr>
        <w:t>If we are unable to price a fixed maturity security using prices from third party pricing vendors or other sources specific to the asset class, we may obtain a broker quote or utilize an internal pricing model specific to the asset utilizing relevant market information, to the extent available and where at least one significant unobservable input is utilized, which are reflected in Level 3 and can include fixed maturities across all asset classes. As of December 31, 2013, less than 1% of our fixed maturities were valued using internal pricing models, which were classified as Level 3 assets accordingly.</w:t>
      </w:r>
    </w:p>
    <w:p>
      <w:pPr>
        <w:sectPr>
          <w:pgSz w:w="11900" w:h="16838" w:orient="portrait"/>
          <w:cols w:equalWidth="0" w:num="1">
            <w:col w:w="11420"/>
          </w:cols>
          <w:pgMar w:left="240" w:top="131" w:right="239" w:bottom="1440" w:gutter="0" w:footer="0" w:header="0"/>
        </w:sectPr>
      </w:pP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66" w:name="page167"/>
    <w:bookmarkEnd w:id="16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Fair Value Measurements — (continued)</w:t>
      </w:r>
    </w:p>
    <w:p>
      <w:pPr>
        <w:spacing w:after="0" w:line="231" w:lineRule="exact"/>
        <w:rPr>
          <w:sz w:val="20"/>
          <w:szCs w:val="20"/>
          <w:color w:val="auto"/>
        </w:rPr>
      </w:pPr>
    </w:p>
    <w:p>
      <w:pPr>
        <w:jc w:val="both"/>
        <w:ind w:firstLine="351"/>
        <w:spacing w:after="0" w:line="268" w:lineRule="auto"/>
        <w:rPr>
          <w:sz w:val="20"/>
          <w:szCs w:val="20"/>
          <w:color w:val="auto"/>
        </w:rPr>
      </w:pPr>
      <w:r>
        <w:rPr>
          <w:rFonts w:ascii="Arial" w:cs="Arial" w:eastAsia="Arial" w:hAnsi="Arial"/>
          <w:sz w:val="18"/>
          <w:szCs w:val="18"/>
          <w:color w:val="auto"/>
        </w:rPr>
        <w:t>The primary inputs, by asset class, for valuations of the majority of our Level 2 investments from third party pricing vendors or our internal pricing valuation approach are described below.</w:t>
      </w:r>
    </w:p>
    <w:p>
      <w:pPr>
        <w:spacing w:after="0" w:line="186" w:lineRule="exact"/>
        <w:rPr>
          <w:sz w:val="20"/>
          <w:szCs w:val="20"/>
          <w:color w:val="auto"/>
        </w:rPr>
      </w:pPr>
    </w:p>
    <w:p>
      <w:pPr>
        <w:jc w:val="both"/>
        <w:ind w:right="20" w:firstLine="405"/>
        <w:spacing w:after="0" w:line="268" w:lineRule="auto"/>
        <w:rPr>
          <w:sz w:val="20"/>
          <w:szCs w:val="20"/>
          <w:color w:val="auto"/>
        </w:rPr>
      </w:pPr>
      <w:r>
        <w:rPr>
          <w:rFonts w:ascii="Arial" w:cs="Arial" w:eastAsia="Arial" w:hAnsi="Arial"/>
          <w:sz w:val="18"/>
          <w:szCs w:val="18"/>
          <w:b w:val="1"/>
          <w:bCs w:val="1"/>
          <w:i w:val="1"/>
          <w:iCs w:val="1"/>
          <w:color w:val="auto"/>
        </w:rPr>
        <w:t xml:space="preserve">U.S. Government and Agencies/Non-U.S. Governments. </w:t>
      </w:r>
      <w:r>
        <w:rPr>
          <w:rFonts w:ascii="Arial" w:cs="Arial" w:eastAsia="Arial" w:hAnsi="Arial"/>
          <w:sz w:val="18"/>
          <w:szCs w:val="18"/>
          <w:color w:val="auto"/>
        </w:rPr>
        <w:t>Inputs include recently executed market transactions, interest rate yield curves, maturity dates,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market price quotations and credit spreads relating to similar instruments.</w:t>
      </w:r>
    </w:p>
    <w:p>
      <w:pPr>
        <w:spacing w:after="0" w:line="186" w:lineRule="exact"/>
        <w:rPr>
          <w:sz w:val="20"/>
          <w:szCs w:val="20"/>
          <w:color w:val="auto"/>
        </w:rPr>
      </w:pPr>
    </w:p>
    <w:p>
      <w:pPr>
        <w:jc w:val="both"/>
        <w:ind w:firstLine="459"/>
        <w:spacing w:after="0" w:line="268" w:lineRule="auto"/>
        <w:rPr>
          <w:sz w:val="20"/>
          <w:szCs w:val="20"/>
          <w:color w:val="auto"/>
        </w:rPr>
      </w:pPr>
      <w:r>
        <w:rPr>
          <w:rFonts w:ascii="Arial" w:cs="Arial" w:eastAsia="Arial" w:hAnsi="Arial"/>
          <w:sz w:val="18"/>
          <w:szCs w:val="18"/>
          <w:b w:val="1"/>
          <w:bCs w:val="1"/>
          <w:i w:val="1"/>
          <w:iCs w:val="1"/>
          <w:color w:val="auto"/>
        </w:rPr>
        <w:t xml:space="preserve">States and Political Subdivisions. </w:t>
      </w:r>
      <w:r>
        <w:rPr>
          <w:rFonts w:ascii="Arial" w:cs="Arial" w:eastAsia="Arial" w:hAnsi="Arial"/>
          <w:sz w:val="18"/>
          <w:szCs w:val="18"/>
          <w:color w:val="auto"/>
        </w:rPr>
        <w:t>Inputs include Municipal Securities Rulemaking Board reported trades, U.S. Treasury and other benchmark curves,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material event notices, new issue data and obligor credit ratings.</w:t>
      </w:r>
    </w:p>
    <w:p>
      <w:pPr>
        <w:spacing w:after="0" w:line="186" w:lineRule="exact"/>
        <w:rPr>
          <w:sz w:val="20"/>
          <w:szCs w:val="20"/>
          <w:color w:val="auto"/>
        </w:rPr>
      </w:pPr>
    </w:p>
    <w:p>
      <w:pPr>
        <w:jc w:val="both"/>
        <w:ind w:firstLine="392"/>
        <w:spacing w:after="0" w:line="259" w:lineRule="auto"/>
        <w:rPr>
          <w:sz w:val="20"/>
          <w:szCs w:val="20"/>
          <w:color w:val="auto"/>
        </w:rPr>
      </w:pPr>
      <w:r>
        <w:rPr>
          <w:rFonts w:ascii="Arial" w:cs="Arial" w:eastAsia="Arial" w:hAnsi="Arial"/>
          <w:sz w:val="18"/>
          <w:szCs w:val="18"/>
          <w:b w:val="1"/>
          <w:bCs w:val="1"/>
          <w:i w:val="1"/>
          <w:iCs w:val="1"/>
          <w:color w:val="auto"/>
        </w:rPr>
        <w:t xml:space="preserve">Corporate. </w:t>
      </w:r>
      <w:r>
        <w:rPr>
          <w:rFonts w:ascii="Arial" w:cs="Arial" w:eastAsia="Arial" w:hAnsi="Arial"/>
          <w:sz w:val="18"/>
          <w:szCs w:val="18"/>
          <w:color w:val="auto"/>
        </w:rPr>
        <w:t>Inputs include recently executed transactions, market price quotations, benchmark yields, issuer spreads and observations of equity and credit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default swap curves related to the issuer. For private placement corporate securities valued through the matrix valuation approach inputs include the current Treasury curve and risk spreads based on sector, rating and average life of the issuance.</w:t>
      </w:r>
    </w:p>
    <w:p>
      <w:pPr>
        <w:spacing w:after="0" w:line="194" w:lineRule="exact"/>
        <w:rPr>
          <w:sz w:val="20"/>
          <w:szCs w:val="20"/>
          <w:color w:val="auto"/>
        </w:rPr>
      </w:pPr>
    </w:p>
    <w:p>
      <w:pPr>
        <w:jc w:val="both"/>
        <w:ind w:firstLine="425"/>
        <w:spacing w:after="0" w:line="256" w:lineRule="auto"/>
        <w:rPr>
          <w:sz w:val="20"/>
          <w:szCs w:val="20"/>
          <w:color w:val="auto"/>
        </w:rPr>
      </w:pPr>
      <w:r>
        <w:rPr>
          <w:rFonts w:ascii="Arial" w:cs="Arial" w:eastAsia="Arial" w:hAnsi="Arial"/>
          <w:sz w:val="18"/>
          <w:szCs w:val="18"/>
          <w:b w:val="1"/>
          <w:bCs w:val="1"/>
          <w:i w:val="1"/>
          <w:iCs w:val="1"/>
          <w:color w:val="auto"/>
        </w:rPr>
        <w:t xml:space="preserve">RMBS, CMBS, Collateralized Debt Obligations and Other Debt Obligations. </w:t>
      </w:r>
      <w:r>
        <w:rPr>
          <w:rFonts w:ascii="Arial" w:cs="Arial" w:eastAsia="Arial" w:hAnsi="Arial"/>
          <w:sz w:val="18"/>
          <w:szCs w:val="18"/>
          <w:color w:val="auto"/>
        </w:rPr>
        <w:t>Inputs include cash flows, priority of the tranche in the capital structure,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expected time to maturity for the specific tranche, reinvestment period remaining and performance of the underlying collateral including prepayments, defaults, deferrals, loss severity of defaulted collateral and, for RMBS, prepayment speed assumptions. Other inputs include market indices and recently executed market transactions.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Securities</w:t>
      </w:r>
    </w:p>
    <w:p>
      <w:pPr>
        <w:spacing w:after="0" w:line="225" w:lineRule="exact"/>
        <w:rPr>
          <w:sz w:val="20"/>
          <w:szCs w:val="20"/>
          <w:color w:val="auto"/>
        </w:rPr>
      </w:pPr>
    </w:p>
    <w:p>
      <w:pPr>
        <w:jc w:val="both"/>
        <w:ind w:firstLine="372"/>
        <w:spacing w:after="0" w:line="254" w:lineRule="auto"/>
        <w:rPr>
          <w:sz w:val="20"/>
          <w:szCs w:val="20"/>
          <w:color w:val="auto"/>
        </w:rPr>
      </w:pPr>
      <w:r>
        <w:rPr>
          <w:rFonts w:ascii="Arial" w:cs="Arial" w:eastAsia="Arial" w:hAnsi="Arial"/>
          <w:sz w:val="18"/>
          <w:szCs w:val="18"/>
          <w:color w:val="auto"/>
        </w:rPr>
        <w:t>Equity securities include mutual funds, common stock, nonredeemable preferred stock and mandatory regulatory required investments. Fair values of equity securities are determined using quoted prices in active markets for identical assets when available, which are reflected in Level 1. When quoted prices are not available, we may utilize internal valuation methodologies appropriate for the specific asset that use observable inputs such as underlying share prices, which are reflected in Level 2. Fair values might also be determined using broker quotes or through the use of internal models or analysis that incorporate significant assumptions deemed appropriate given the circumstances and consistent with what other market participants would use when pricing such securities, which are reflected in Level 3.</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w:t>
      </w:r>
    </w:p>
    <w:p>
      <w:pPr>
        <w:spacing w:after="0" w:line="225" w:lineRule="exact"/>
        <w:rPr>
          <w:sz w:val="20"/>
          <w:szCs w:val="20"/>
          <w:color w:val="auto"/>
        </w:rPr>
      </w:pPr>
    </w:p>
    <w:p>
      <w:pPr>
        <w:jc w:val="both"/>
        <w:ind w:firstLine="444"/>
        <w:spacing w:after="0" w:line="288" w:lineRule="auto"/>
        <w:rPr>
          <w:sz w:val="20"/>
          <w:szCs w:val="20"/>
          <w:color w:val="auto"/>
        </w:rPr>
      </w:pPr>
      <w:r>
        <w:rPr>
          <w:rFonts w:ascii="Arial" w:cs="Arial" w:eastAsia="Arial" w:hAnsi="Arial"/>
          <w:sz w:val="16"/>
          <w:szCs w:val="16"/>
          <w:color w:val="auto"/>
        </w:rPr>
        <w:t>The fair values of exchange-traded derivatives are determined through quoted market prices, which are reflected in Level 1. Exchange-traded derivatives include futures that are settled daily such that their fair value is not reflected in the consolidated statements of financial position. The fair values of derivative instruments cleared through centralized clearinghouses are determined through market prices published by the clearinghouses, which are reflected in Level 2. The clearinghouses may utilize the overnight indexed swap ("OIS") curve in their valuation. The fair values of bilateral OTC derivative instruments are determined using either pricing valuation models that utilize market observable inputs or broker quotes. The majority of our bilateral OTC derivatives are valued with models that use market observable inputs, which are reflected in Level 2. Significant inputs include contractual terms, interest rates, currency exchange rates, credit spread curves, equity prices and volatilities. These valuation models consider projected discounted cash flows, relevant swap curves and appropriate implied volatilities. Certain bilateral OTC derivatives utilize unobservable market data, primarily independent broker quotes that are nonbinding quotes based on models that do not reflect the result of market transactions, which are reflected in Level 3.</w:t>
      </w:r>
    </w:p>
    <w:p>
      <w:pPr>
        <w:spacing w:after="0" w:line="174" w:lineRule="exact"/>
        <w:rPr>
          <w:sz w:val="20"/>
          <w:szCs w:val="20"/>
          <w:color w:val="auto"/>
        </w:rPr>
      </w:pPr>
    </w:p>
    <w:p>
      <w:pPr>
        <w:jc w:val="both"/>
        <w:ind w:firstLine="380"/>
        <w:spacing w:after="0" w:line="314" w:lineRule="auto"/>
        <w:rPr>
          <w:sz w:val="20"/>
          <w:szCs w:val="20"/>
          <w:color w:val="auto"/>
        </w:rPr>
      </w:pPr>
      <w:r>
        <w:rPr>
          <w:rFonts w:ascii="Arial" w:cs="Arial" w:eastAsia="Arial" w:hAnsi="Arial"/>
          <w:sz w:val="15"/>
          <w:szCs w:val="15"/>
          <w:color w:val="auto"/>
        </w:rPr>
        <w:t>Our non-cleared derivative contracts are generally documented under ISDA Master Agreements, which provide for legally enforceable set-off and close-out netting of exposures to specific counterparties. Collateral arrangements are bilateral and based on current ratings of each entity. We utilize the LIBOR interest rate curve to value our positions, which includes a credit spread. This credit spread incorporates an appropriate level of nonperformance risk into our valuations given the current ratings of our counterparties, as well as the collateral agreements in place. Counterparty credit risk is routinely monitored to ensure our adjustment for non-performance risk is appropriate. Our centrally cleared derivative contracts are conducted with regulated centralized clearinghouses, which provide for daily exchange of cash collateral equal to the difference in the daily market values of those contracts that eliminates the non-performance risk on these trades.</w:t>
      </w:r>
    </w:p>
    <w:p>
      <w:pPr>
        <w:spacing w:after="0" w:line="159" w:lineRule="exact"/>
        <w:rPr>
          <w:sz w:val="20"/>
          <w:szCs w:val="20"/>
          <w:color w:val="auto"/>
        </w:rPr>
      </w:pPr>
    </w:p>
    <w:p>
      <w:pPr>
        <w:jc w:val="both"/>
        <w:ind w:firstLine="448"/>
        <w:spacing w:after="0" w:line="256" w:lineRule="auto"/>
        <w:rPr>
          <w:sz w:val="20"/>
          <w:szCs w:val="20"/>
          <w:color w:val="auto"/>
        </w:rPr>
      </w:pPr>
      <w:r>
        <w:rPr>
          <w:rFonts w:ascii="Arial" w:cs="Arial" w:eastAsia="Arial" w:hAnsi="Arial"/>
          <w:sz w:val="18"/>
          <w:szCs w:val="18"/>
          <w:b w:val="1"/>
          <w:bCs w:val="1"/>
          <w:i w:val="1"/>
          <w:iCs w:val="1"/>
          <w:color w:val="auto"/>
        </w:rPr>
        <w:t xml:space="preserve">Interest Rate Contracts. </w:t>
      </w:r>
      <w:r>
        <w:rPr>
          <w:rFonts w:ascii="Arial" w:cs="Arial" w:eastAsia="Arial" w:hAnsi="Arial"/>
          <w:sz w:val="18"/>
          <w:szCs w:val="18"/>
          <w:color w:val="auto"/>
        </w:rPr>
        <w:t>For non-cleared contracts we use discounted cash flow valuation techniques to determine the fair value of interest rate swaps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using observable swap curves as the inputs. These are reflected in Level 2. For centrally cleared contracts we use published prices from clearinghouses. These are reflected in Level 2. In addition, we have a limited number of complex inflation-linked interest rate swaps, interest rate collars and swaptions that are valued using broker quotes. These are reflected in Level 3.</w:t>
      </w:r>
    </w:p>
    <w:p>
      <w:pPr>
        <w:sectPr>
          <w:pgSz w:w="11900" w:h="16838" w:orient="portrait"/>
          <w:cols w:equalWidth="0" w:num="1">
            <w:col w:w="11420"/>
          </w:cols>
          <w:pgMar w:left="240" w:top="131" w:right="239" w:bottom="1440" w:gutter="0" w:footer="0" w:header="0"/>
        </w:sectPr>
      </w:pP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67" w:name="page168"/>
    <w:bookmarkEnd w:id="16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Fair Value Measurements — (continued)</w:t>
      </w:r>
    </w:p>
    <w:p>
      <w:pPr>
        <w:spacing w:after="0" w:line="231" w:lineRule="exact"/>
        <w:rPr>
          <w:sz w:val="20"/>
          <w:szCs w:val="20"/>
          <w:color w:val="auto"/>
        </w:rPr>
      </w:pPr>
    </w:p>
    <w:p>
      <w:pPr>
        <w:jc w:val="both"/>
        <w:ind w:firstLine="405"/>
        <w:spacing w:after="0" w:line="256" w:lineRule="auto"/>
        <w:rPr>
          <w:sz w:val="20"/>
          <w:szCs w:val="20"/>
          <w:color w:val="auto"/>
        </w:rPr>
      </w:pPr>
      <w:r>
        <w:rPr>
          <w:rFonts w:ascii="Arial" w:cs="Arial" w:eastAsia="Arial" w:hAnsi="Arial"/>
          <w:sz w:val="18"/>
          <w:szCs w:val="18"/>
          <w:b w:val="1"/>
          <w:bCs w:val="1"/>
          <w:i w:val="1"/>
          <w:iCs w:val="1"/>
          <w:color w:val="auto"/>
        </w:rPr>
        <w:t xml:space="preserve">Foreign Exchange Contracts. </w:t>
      </w:r>
      <w:r>
        <w:rPr>
          <w:rFonts w:ascii="Arial" w:cs="Arial" w:eastAsia="Arial" w:hAnsi="Arial"/>
          <w:sz w:val="18"/>
          <w:szCs w:val="18"/>
          <w:color w:val="auto"/>
        </w:rPr>
        <w:t>We use discounted cash flow valuation techniques that utilize observable swap curves and exchange rates as the inputs to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determine the fair value of foreign currency swaps. These are reflected in Level 2. Currency forwards are valued using observable market inputs, including forward currency exchange rates. These are reflected in Level 2. In addition, we have a limited number of currency options and non-standard currency swaps that are valued using broker quotes. These are reflected within Level 3.</w:t>
      </w:r>
    </w:p>
    <w:p>
      <w:pPr>
        <w:spacing w:after="0" w:line="197" w:lineRule="exact"/>
        <w:rPr>
          <w:sz w:val="20"/>
          <w:szCs w:val="20"/>
          <w:color w:val="auto"/>
        </w:rPr>
      </w:pPr>
    </w:p>
    <w:p>
      <w:pPr>
        <w:jc w:val="both"/>
        <w:ind w:firstLine="435"/>
        <w:spacing w:after="0" w:line="268" w:lineRule="auto"/>
        <w:rPr>
          <w:sz w:val="20"/>
          <w:szCs w:val="20"/>
          <w:color w:val="auto"/>
        </w:rPr>
      </w:pPr>
      <w:r>
        <w:rPr>
          <w:rFonts w:ascii="Arial" w:cs="Arial" w:eastAsia="Arial" w:hAnsi="Arial"/>
          <w:sz w:val="18"/>
          <w:szCs w:val="18"/>
          <w:b w:val="1"/>
          <w:bCs w:val="1"/>
          <w:i w:val="1"/>
          <w:iCs w:val="1"/>
          <w:color w:val="auto"/>
        </w:rPr>
        <w:t xml:space="preserve">Equity Contracts. </w:t>
      </w:r>
      <w:r>
        <w:rPr>
          <w:rFonts w:ascii="Arial" w:cs="Arial" w:eastAsia="Arial" w:hAnsi="Arial"/>
          <w:sz w:val="18"/>
          <w:szCs w:val="18"/>
          <w:color w:val="auto"/>
        </w:rPr>
        <w:t>We use an option pricing model using observable implied volatilities, dividend yields, index prices and swap curves as the inputs to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determine the fair value of equity options. These are reflected in Level 2.</w:t>
      </w:r>
    </w:p>
    <w:p>
      <w:pPr>
        <w:spacing w:after="0" w:line="186" w:lineRule="exact"/>
        <w:rPr>
          <w:sz w:val="20"/>
          <w:szCs w:val="20"/>
          <w:color w:val="auto"/>
        </w:rPr>
      </w:pPr>
    </w:p>
    <w:p>
      <w:pPr>
        <w:jc w:val="both"/>
        <w:ind w:firstLine="447"/>
        <w:spacing w:after="0" w:line="306" w:lineRule="auto"/>
        <w:rPr>
          <w:sz w:val="20"/>
          <w:szCs w:val="20"/>
          <w:color w:val="auto"/>
        </w:rPr>
      </w:pPr>
      <w:r>
        <w:rPr>
          <w:rFonts w:ascii="Arial" w:cs="Arial" w:eastAsia="Arial" w:hAnsi="Arial"/>
          <w:sz w:val="16"/>
          <w:szCs w:val="16"/>
          <w:b w:val="1"/>
          <w:bCs w:val="1"/>
          <w:i w:val="1"/>
          <w:iCs w:val="1"/>
          <w:color w:val="auto"/>
        </w:rPr>
        <w:t xml:space="preserve">Credit Contracts. </w:t>
      </w:r>
      <w:r>
        <w:rPr>
          <w:rFonts w:ascii="Arial" w:cs="Arial" w:eastAsia="Arial" w:hAnsi="Arial"/>
          <w:sz w:val="16"/>
          <w:szCs w:val="16"/>
          <w:color w:val="auto"/>
        </w:rPr>
        <w:t>We use either the ISDA Credit Default Swap Standard discounted cash flow model that utilizes observable default probabilities and</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recovery rates as inputs or broker prices to determine the fair value of credit default swaps. These are reflected in Level 3. In addition, we have a limited number of total return swaps that are valued based on the observable quoted price of underlying equity indices. These are reflected in Level 2.</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Investments</w:t>
      </w:r>
    </w:p>
    <w:p>
      <w:pPr>
        <w:spacing w:after="0" w:line="225" w:lineRule="exact"/>
        <w:rPr>
          <w:sz w:val="20"/>
          <w:szCs w:val="20"/>
          <w:color w:val="auto"/>
        </w:rPr>
      </w:pPr>
    </w:p>
    <w:p>
      <w:pPr>
        <w:jc w:val="both"/>
        <w:ind w:firstLine="429"/>
        <w:spacing w:after="0" w:line="256" w:lineRule="auto"/>
        <w:rPr>
          <w:sz w:val="20"/>
          <w:szCs w:val="20"/>
          <w:color w:val="auto"/>
        </w:rPr>
      </w:pPr>
      <w:r>
        <w:rPr>
          <w:rFonts w:ascii="Arial" w:cs="Arial" w:eastAsia="Arial" w:hAnsi="Arial"/>
          <w:sz w:val="18"/>
          <w:szCs w:val="18"/>
          <w:color w:val="auto"/>
        </w:rPr>
        <w:t>Other investments reported at fair value primarily include seed money investments, for which the fair value is determined using the net asset value of the fund. The net asset value of the fund represents the price at which we feel we would be able to initiate a transaction. Seed money investments in mutual funds for which the net asset value is published are reflected in Level 1. Seed money investments in mutual funds or other investment funds in markets that do not have a published net asset value are reflected in Level 2.</w:t>
      </w:r>
    </w:p>
    <w:p>
      <w:pPr>
        <w:spacing w:after="0" w:line="197" w:lineRule="exact"/>
        <w:rPr>
          <w:sz w:val="20"/>
          <w:szCs w:val="20"/>
          <w:color w:val="auto"/>
        </w:rPr>
      </w:pPr>
    </w:p>
    <w:p>
      <w:pPr>
        <w:jc w:val="both"/>
        <w:ind w:firstLine="392"/>
        <w:spacing w:after="0" w:line="291" w:lineRule="auto"/>
        <w:rPr>
          <w:sz w:val="20"/>
          <w:szCs w:val="20"/>
          <w:color w:val="auto"/>
        </w:rPr>
      </w:pPr>
      <w:r>
        <w:rPr>
          <w:rFonts w:ascii="Arial" w:cs="Arial" w:eastAsia="Arial" w:hAnsi="Arial"/>
          <w:sz w:val="16"/>
          <w:szCs w:val="16"/>
          <w:color w:val="auto"/>
        </w:rPr>
        <w:t>Other investments reported at fair value also include commercial mortgage loans of consolidated VIEs and equity method real estate investments for which the fair value option was elected, which are reflected in Level 3. Fair value of the commercial mortgage loans is computed utilizing a discount rate based on the current market. The market discount rate is then adjusted based on various factors that differentiate it from our pool of loans. The equity method real estate investments consist of underlying real estate and debt. The real estate fair value is estimated using a discounted cash flow valuation model that utilizes public real estate market data inputs such as transaction prices, market rents, vacancy levels, leasing absorption, market cap rates and discount rates. The debt fair value is estimated using a discounted cash flow analysis based on our incremental borrowing rate for similar borrowing arrangements.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225" w:lineRule="exact"/>
        <w:rPr>
          <w:sz w:val="20"/>
          <w:szCs w:val="20"/>
          <w:color w:val="auto"/>
        </w:rPr>
      </w:pPr>
    </w:p>
    <w:p>
      <w:pPr>
        <w:jc w:val="both"/>
        <w:ind w:firstLine="534"/>
        <w:spacing w:after="0" w:line="256" w:lineRule="auto"/>
        <w:rPr>
          <w:sz w:val="20"/>
          <w:szCs w:val="20"/>
          <w:color w:val="auto"/>
        </w:rPr>
      </w:pPr>
      <w:r>
        <w:rPr>
          <w:rFonts w:ascii="Arial" w:cs="Arial" w:eastAsia="Arial" w:hAnsi="Arial"/>
          <w:sz w:val="18"/>
          <w:szCs w:val="18"/>
          <w:color w:val="auto"/>
        </w:rPr>
        <w:t>Certain cash equivalents are reported at fair value on a recurring basis and include money market instruments and other short-term investments with maturities of less than three months. Fair values of these cash equivalents may be determined using public quotations, when available, which are reflected in Level 1. When public quotations are not available, because of the highly liquid nature of these assets, carrying amounts may be used to approximate fair values, which are reflected in Level 2.</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Separate Account Assets</w:t>
      </w:r>
    </w:p>
    <w:p>
      <w:pPr>
        <w:spacing w:after="0" w:line="225" w:lineRule="exact"/>
        <w:rPr>
          <w:sz w:val="20"/>
          <w:szCs w:val="20"/>
          <w:color w:val="auto"/>
        </w:rPr>
      </w:pPr>
    </w:p>
    <w:p>
      <w:pPr>
        <w:jc w:val="both"/>
        <w:ind w:firstLine="435"/>
        <w:spacing w:after="0" w:line="289" w:lineRule="auto"/>
        <w:rPr>
          <w:sz w:val="20"/>
          <w:szCs w:val="20"/>
          <w:color w:val="auto"/>
        </w:rPr>
      </w:pPr>
      <w:r>
        <w:rPr>
          <w:rFonts w:ascii="Arial" w:cs="Arial" w:eastAsia="Arial" w:hAnsi="Arial"/>
          <w:sz w:val="16"/>
          <w:szCs w:val="16"/>
          <w:color w:val="auto"/>
        </w:rPr>
        <w:t>Separate account assets include equity securities, debt securities and derivative instruments, for which fair values are determined as previously described, and are reflected in Level 1, Level 2 and Level 3. Separate account assets also include commercial mortgage loans, for which the fair value is estimated by discounting the expected total cash flows using market rates that are applicable to the yield, credit quality and maturity of the loans. The market clearing spreads vary based on mortgage type, weighted average life, rating and liquidity. These are reflected in Level 3. Finally, separate account assets include real estate, for which the fair value is estimated using discounted cash flow valuation models that utilize public real estate market data inputs such as transaction prices, market rents, vacancy levels, leasing absorption, market cap rates and discount rates. In addition, each property is appraised annually by an independent appraiser. The real estate included in separate account assets is recorded net of related mortgage encumbrances for which the fair value is estimated using discounted cash flow analysis based on our incremental borrowing rate for similar borrowing arrangements. The real estate within the separate accounts is reflected in Level 3.</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Investment-Type Insurance Contracts</w:t>
      </w:r>
    </w:p>
    <w:p>
      <w:pPr>
        <w:spacing w:after="0" w:line="225" w:lineRule="exact"/>
        <w:rPr>
          <w:sz w:val="20"/>
          <w:szCs w:val="20"/>
          <w:color w:val="auto"/>
        </w:rPr>
      </w:pPr>
    </w:p>
    <w:p>
      <w:pPr>
        <w:jc w:val="both"/>
        <w:ind w:firstLine="403"/>
        <w:spacing w:after="0" w:line="255" w:lineRule="auto"/>
        <w:rPr>
          <w:sz w:val="20"/>
          <w:szCs w:val="20"/>
          <w:color w:val="auto"/>
        </w:rPr>
      </w:pPr>
      <w:r>
        <w:rPr>
          <w:rFonts w:ascii="Arial" w:cs="Arial" w:eastAsia="Arial" w:hAnsi="Arial"/>
          <w:sz w:val="18"/>
          <w:szCs w:val="18"/>
          <w:color w:val="auto"/>
        </w:rPr>
        <w:t>Certain annuity contracts and other investment-type insurance contracts include embedded derivatives that have been bifurcated from the host contract and that are measured at fair value on a recurring basis, which are reflected in Level 3. The key assumptions for calculating the fair value of the embedded derivative liabilities are market assumptions (such as equity market returns, interest rate levels, market volatility and correlations) and policyholder behavior assumptions (such as lapse, mortality, utilization and withdrawal patterns). Risk margins are included in the policyholder behavior assumptions. The assumptions are based on a combination of historical data and actuarial judgment. The</w:t>
      </w:r>
    </w:p>
    <w:p>
      <w:pPr>
        <w:sectPr>
          <w:pgSz w:w="11900" w:h="16838" w:orient="portrait"/>
          <w:cols w:equalWidth="0" w:num="1">
            <w:col w:w="11420"/>
          </w:cols>
          <w:pgMar w:left="240" w:top="132" w:right="239" w:bottom="1440" w:gutter="0" w:footer="0" w:header="0"/>
        </w:sectPr>
      </w:pP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type w:val="continuous"/>
        </w:sectPr>
      </w:pPr>
    </w:p>
    <w:bookmarkStart w:id="168" w:name="page169"/>
    <w:bookmarkEnd w:id="16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Fair Value Measurements —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embedded derivative liabilities are valued using stochastic models that incorporate a spread reflecting our own creditworthiness.</w:t>
      </w:r>
    </w:p>
    <w:p>
      <w:pPr>
        <w:spacing w:after="0" w:line="225" w:lineRule="exact"/>
        <w:rPr>
          <w:sz w:val="20"/>
          <w:szCs w:val="20"/>
          <w:color w:val="auto"/>
        </w:rPr>
      </w:pPr>
    </w:p>
    <w:p>
      <w:pPr>
        <w:jc w:val="both"/>
        <w:ind w:firstLine="435"/>
        <w:spacing w:after="0" w:line="259" w:lineRule="auto"/>
        <w:rPr>
          <w:sz w:val="20"/>
          <w:szCs w:val="20"/>
          <w:color w:val="auto"/>
        </w:rPr>
      </w:pPr>
      <w:r>
        <w:rPr>
          <w:rFonts w:ascii="Arial" w:cs="Arial" w:eastAsia="Arial" w:hAnsi="Arial"/>
          <w:sz w:val="18"/>
          <w:szCs w:val="18"/>
          <w:color w:val="auto"/>
        </w:rPr>
        <w:t>The assumption for our own non-performance risk for investment-type insurance contracts and any embedded derivatives bifurcated from certain annuity and investment-type insurance contracts is based on the current market credit spreads for debt-like instruments that we have issued and are available in the market.</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Liabilities</w:t>
      </w:r>
    </w:p>
    <w:p>
      <w:pPr>
        <w:spacing w:after="0" w:line="225" w:lineRule="exact"/>
        <w:rPr>
          <w:sz w:val="20"/>
          <w:szCs w:val="20"/>
          <w:color w:val="auto"/>
        </w:rPr>
      </w:pPr>
    </w:p>
    <w:p>
      <w:pPr>
        <w:jc w:val="both"/>
        <w:ind w:firstLine="407"/>
        <w:spacing w:after="0" w:line="306" w:lineRule="auto"/>
        <w:rPr>
          <w:sz w:val="20"/>
          <w:szCs w:val="20"/>
          <w:color w:val="auto"/>
        </w:rPr>
      </w:pPr>
      <w:r>
        <w:rPr>
          <w:rFonts w:ascii="Arial" w:cs="Arial" w:eastAsia="Arial" w:hAnsi="Arial"/>
          <w:sz w:val="16"/>
          <w:szCs w:val="16"/>
          <w:color w:val="auto"/>
        </w:rPr>
        <w:t>Certain obligations reported in other liabilities include embedded derivatives to deliver underlying securities of structured investments to third parties. The fair value of the embedded derivatives is calculated based on the value of the underlying securities that are valued based on prices obtained from third party pricing vendors as utilized and described in our discussion of how fair value is determined for fixed maturities, which are reflected in Level 2.</w:t>
      </w:r>
    </w:p>
    <w:p>
      <w:pPr>
        <w:spacing w:after="0" w:line="161" w:lineRule="exact"/>
        <w:rPr>
          <w:sz w:val="20"/>
          <w:szCs w:val="20"/>
          <w:color w:val="auto"/>
        </w:rPr>
      </w:pPr>
    </w:p>
    <w:p>
      <w:pPr>
        <w:jc w:val="both"/>
        <w:ind w:firstLine="345"/>
        <w:spacing w:after="0" w:line="259" w:lineRule="auto"/>
        <w:rPr>
          <w:sz w:val="20"/>
          <w:szCs w:val="20"/>
          <w:color w:val="auto"/>
        </w:rPr>
      </w:pPr>
      <w:r>
        <w:rPr>
          <w:rFonts w:ascii="Arial" w:cs="Arial" w:eastAsia="Arial" w:hAnsi="Arial"/>
          <w:sz w:val="18"/>
          <w:szCs w:val="18"/>
          <w:color w:val="auto"/>
        </w:rPr>
        <w:t>Additionally, obligations of consolidated VIEs for which the fair value option was elected are included in other liabilities. These obligations are valued either based on prices obtained from third party pricing vendors as utilized and described in our discussion of how fair value is determined for fixed maturities, which are reflected in Level 2, or broker quotes, which are reflected in Level 3.</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Assets and Liabilities Measured at Fair Value on a Recurring Basis</w:t>
      </w:r>
    </w:p>
    <w:p>
      <w:pPr>
        <w:spacing w:after="0" w:line="23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Assets and liabilities measured at fair value on a recurring basis are summarized below.</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344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780" w:type="dxa"/>
            <w:vAlign w:val="bottom"/>
            <w:tcBorders>
              <w:bottom w:val="single" w:sz="8" w:color="auto"/>
            </w:tcBorders>
            <w:gridSpan w:val="7"/>
          </w:tcPr>
          <w:p>
            <w:pPr>
              <w:jc w:val="right"/>
              <w:ind w:right="320"/>
              <w:spacing w:after="0"/>
              <w:rPr>
                <w:sz w:val="20"/>
                <w:szCs w:val="20"/>
                <w:color w:val="auto"/>
              </w:rPr>
            </w:pPr>
            <w:r>
              <w:rPr>
                <w:rFonts w:ascii="Arial" w:cs="Arial" w:eastAsia="Arial" w:hAnsi="Arial"/>
                <w:sz w:val="14"/>
                <w:szCs w:val="14"/>
                <w:b w:val="1"/>
                <w:bCs w:val="1"/>
                <w:color w:val="auto"/>
                <w:w w:val="87"/>
              </w:rPr>
              <w:t>As of December 31, 2013</w:t>
            </w: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1160" w:type="dxa"/>
            <w:vAlign w:val="bottom"/>
          </w:tcPr>
          <w:p>
            <w:pPr>
              <w:spacing w:after="0"/>
              <w:rPr>
                <w:sz w:val="11"/>
                <w:szCs w:val="11"/>
                <w:color w:val="auto"/>
              </w:rPr>
            </w:pPr>
          </w:p>
        </w:tc>
        <w:tc>
          <w:tcPr>
            <w:tcW w:w="3440" w:type="dxa"/>
            <w:vAlign w:val="bottom"/>
          </w:tcPr>
          <w:p>
            <w:pPr>
              <w:spacing w:after="0"/>
              <w:rPr>
                <w:sz w:val="11"/>
                <w:szCs w:val="11"/>
                <w:color w:val="auto"/>
              </w:rPr>
            </w:pPr>
          </w:p>
        </w:tc>
        <w:tc>
          <w:tcPr>
            <w:tcW w:w="2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00" w:type="dxa"/>
            <w:vAlign w:val="bottom"/>
            <w:gridSpan w:val="2"/>
          </w:tcPr>
          <w:p>
            <w:pPr>
              <w:jc w:val="center"/>
              <w:ind w:right="180"/>
              <w:spacing w:after="0" w:line="129" w:lineRule="exact"/>
              <w:rPr>
                <w:sz w:val="20"/>
                <w:szCs w:val="20"/>
                <w:color w:val="auto"/>
              </w:rPr>
            </w:pPr>
            <w:r>
              <w:rPr>
                <w:rFonts w:ascii="Arial" w:cs="Arial" w:eastAsia="Arial" w:hAnsi="Arial"/>
                <w:sz w:val="14"/>
                <w:szCs w:val="14"/>
                <w:b w:val="1"/>
                <w:bCs w:val="1"/>
                <w:color w:val="auto"/>
                <w:w w:val="80"/>
              </w:rPr>
              <w:t>Assets/</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0" w:type="dxa"/>
            <w:vAlign w:val="bottom"/>
            <w:gridSpan w:val="10"/>
            <w:vMerge w:val="restart"/>
          </w:tcPr>
          <w:p>
            <w:pPr>
              <w:ind w:left="360"/>
              <w:spacing w:after="0"/>
              <w:rPr>
                <w:sz w:val="20"/>
                <w:szCs w:val="20"/>
                <w:color w:val="auto"/>
              </w:rPr>
            </w:pPr>
            <w:r>
              <w:rPr>
                <w:rFonts w:ascii="Arial" w:cs="Arial" w:eastAsia="Arial" w:hAnsi="Arial"/>
                <w:sz w:val="14"/>
                <w:szCs w:val="14"/>
                <w:b w:val="1"/>
                <w:bCs w:val="1"/>
                <w:color w:val="auto"/>
              </w:rPr>
              <w:t>Fair value hierarchy level</w:t>
            </w:r>
          </w:p>
        </w:tc>
        <w:tc>
          <w:tcPr>
            <w:tcW w:w="0" w:type="dxa"/>
            <w:vAlign w:val="bottom"/>
          </w:tcPr>
          <w:p>
            <w:pPr>
              <w:spacing w:after="0"/>
              <w:rPr>
                <w:sz w:val="1"/>
                <w:szCs w:val="1"/>
                <w:color w:val="auto"/>
              </w:rPr>
            </w:pPr>
          </w:p>
        </w:tc>
      </w:tr>
      <w:tr>
        <w:trPr>
          <w:trHeight w:val="148"/>
        </w:trPr>
        <w:tc>
          <w:tcPr>
            <w:tcW w:w="116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2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2"/>
          </w:tcPr>
          <w:p>
            <w:pPr>
              <w:jc w:val="center"/>
              <w:ind w:right="160"/>
              <w:spacing w:after="0" w:line="148" w:lineRule="exact"/>
              <w:rPr>
                <w:sz w:val="20"/>
                <w:szCs w:val="20"/>
                <w:color w:val="auto"/>
              </w:rPr>
            </w:pPr>
            <w:r>
              <w:rPr>
                <w:rFonts w:ascii="Arial" w:cs="Arial" w:eastAsia="Arial" w:hAnsi="Arial"/>
                <w:sz w:val="14"/>
                <w:szCs w:val="14"/>
                <w:b w:val="1"/>
                <w:bCs w:val="1"/>
                <w:color w:val="auto"/>
                <w:w w:val="89"/>
              </w:rPr>
              <w:t>(liabilities)</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0" w:type="dxa"/>
            <w:vAlign w:val="bottom"/>
            <w:gridSpan w:val="10"/>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1160" w:type="dxa"/>
            <w:vAlign w:val="bottom"/>
          </w:tcPr>
          <w:p>
            <w:pPr>
              <w:spacing w:after="0"/>
              <w:rPr>
                <w:sz w:val="11"/>
                <w:szCs w:val="11"/>
                <w:color w:val="auto"/>
              </w:rPr>
            </w:pPr>
          </w:p>
        </w:tc>
        <w:tc>
          <w:tcPr>
            <w:tcW w:w="3440" w:type="dxa"/>
            <w:vAlign w:val="bottom"/>
          </w:tcPr>
          <w:p>
            <w:pPr>
              <w:spacing w:after="0"/>
              <w:rPr>
                <w:sz w:val="11"/>
                <w:szCs w:val="11"/>
                <w:color w:val="auto"/>
              </w:rPr>
            </w:pPr>
          </w:p>
        </w:tc>
        <w:tc>
          <w:tcPr>
            <w:tcW w:w="2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00" w:type="dxa"/>
            <w:vAlign w:val="bottom"/>
            <w:gridSpan w:val="2"/>
          </w:tcPr>
          <w:p>
            <w:pPr>
              <w:jc w:val="center"/>
              <w:ind w:right="160"/>
              <w:spacing w:after="0" w:line="129" w:lineRule="exact"/>
              <w:rPr>
                <w:sz w:val="20"/>
                <w:szCs w:val="20"/>
                <w:color w:val="auto"/>
              </w:rPr>
            </w:pPr>
            <w:r>
              <w:rPr>
                <w:rFonts w:ascii="Arial" w:cs="Arial" w:eastAsia="Arial" w:hAnsi="Arial"/>
                <w:sz w:val="14"/>
                <w:szCs w:val="14"/>
                <w:b w:val="1"/>
                <w:bCs w:val="1"/>
                <w:color w:val="auto"/>
                <w:w w:val="84"/>
              </w:rPr>
              <w:t>measured at</w:t>
            </w:r>
          </w:p>
        </w:tc>
        <w:tc>
          <w:tcPr>
            <w:tcW w:w="8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60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6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54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344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91"/>
              </w:rPr>
              <w:t>fair value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72"/>
              <w:spacing w:after="0"/>
              <w:rPr>
                <w:sz w:val="20"/>
                <w:szCs w:val="20"/>
                <w:color w:val="auto"/>
              </w:rPr>
            </w:pPr>
            <w:r>
              <w:rPr>
                <w:rFonts w:ascii="Arial" w:cs="Arial" w:eastAsia="Arial" w:hAnsi="Arial"/>
                <w:sz w:val="14"/>
                <w:szCs w:val="14"/>
                <w:b w:val="1"/>
                <w:bCs w:val="1"/>
                <w:color w:val="auto"/>
                <w:w w:val="92"/>
              </w:rPr>
              <w:t>Level 1</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112"/>
              <w:spacing w:after="0"/>
              <w:rPr>
                <w:sz w:val="20"/>
                <w:szCs w:val="20"/>
                <w:color w:val="auto"/>
              </w:rPr>
            </w:pPr>
            <w:r>
              <w:rPr>
                <w:rFonts w:ascii="Arial" w:cs="Arial" w:eastAsia="Arial" w:hAnsi="Arial"/>
                <w:sz w:val="14"/>
                <w:szCs w:val="14"/>
                <w:b w:val="1"/>
                <w:bCs w:val="1"/>
                <w:color w:val="auto"/>
                <w:w w:val="84"/>
              </w:rPr>
              <w:t>Level 2</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8"/>
              </w:rPr>
              <w:t>Level 3</w:t>
            </w:r>
          </w:p>
        </w:tc>
        <w:tc>
          <w:tcPr>
            <w:tcW w:w="1300" w:type="dxa"/>
            <w:vAlign w:val="bottom"/>
            <w:gridSpan w:val="2"/>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2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3"/>
          </w:tcPr>
          <w:p>
            <w:pPr>
              <w:jc w:val="right"/>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44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2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2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4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U.S. government and agencies</w:t>
            </w:r>
          </w:p>
        </w:tc>
        <w:tc>
          <w:tcPr>
            <w:tcW w:w="21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780.5</w:t>
            </w:r>
          </w:p>
        </w:tc>
        <w:tc>
          <w:tcPr>
            <w:tcW w:w="8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409.3</w:t>
            </w:r>
          </w:p>
        </w:tc>
        <w:tc>
          <w:tcPr>
            <w:tcW w:w="320" w:type="dxa"/>
            <w:vAlign w:val="bottom"/>
            <w:gridSpan w:val="2"/>
            <w:shd w:val="clear" w:color="auto" w:fill="CCEEFF"/>
          </w:tcPr>
          <w:p>
            <w:pPr>
              <w:jc w:val="right"/>
              <w:ind w:right="49"/>
              <w:spacing w:after="0" w:line="149" w:lineRule="exact"/>
              <w:rPr>
                <w:sz w:val="20"/>
                <w:szCs w:val="20"/>
                <w:color w:val="auto"/>
              </w:rPr>
            </w:pPr>
            <w:r>
              <w:rPr>
                <w:rFonts w:ascii="Arial" w:cs="Arial" w:eastAsia="Arial" w:hAnsi="Arial"/>
                <w:sz w:val="14"/>
                <w:szCs w:val="14"/>
                <w:b w:val="1"/>
                <w:bCs w:val="1"/>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371.2</w:t>
            </w:r>
          </w:p>
        </w:tc>
        <w:tc>
          <w:tcPr>
            <w:tcW w:w="10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7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440" w:type="dxa"/>
            <w:vAlign w:val="bottom"/>
          </w:tcPr>
          <w:p>
            <w:pPr>
              <w:ind w:left="140"/>
              <w:spacing w:after="0" w:line="149" w:lineRule="exact"/>
              <w:rPr>
                <w:sz w:val="20"/>
                <w:szCs w:val="20"/>
                <w:color w:val="auto"/>
              </w:rPr>
            </w:pPr>
            <w:r>
              <w:rPr>
                <w:rFonts w:ascii="Arial" w:cs="Arial" w:eastAsia="Arial" w:hAnsi="Arial"/>
                <w:sz w:val="14"/>
                <w:szCs w:val="14"/>
                <w:color w:val="auto"/>
              </w:rPr>
              <w:t>Non-U.S. governments</w:t>
            </w:r>
          </w:p>
        </w:tc>
        <w:tc>
          <w:tcPr>
            <w:tcW w:w="2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996.8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949.3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47.5</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4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States and political subdivisions</w:t>
            </w:r>
          </w:p>
        </w:tc>
        <w:tc>
          <w:tcPr>
            <w:tcW w:w="2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3,658.0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3,656.2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440" w:type="dxa"/>
            <w:vAlign w:val="bottom"/>
          </w:tcPr>
          <w:p>
            <w:pPr>
              <w:ind w:left="140"/>
              <w:spacing w:after="0" w:line="149" w:lineRule="exact"/>
              <w:rPr>
                <w:sz w:val="20"/>
                <w:szCs w:val="20"/>
                <w:color w:val="auto"/>
              </w:rPr>
            </w:pPr>
            <w:r>
              <w:rPr>
                <w:rFonts w:ascii="Arial" w:cs="Arial" w:eastAsia="Arial" w:hAnsi="Arial"/>
                <w:sz w:val="14"/>
                <w:szCs w:val="14"/>
                <w:color w:val="auto"/>
              </w:rPr>
              <w:t>Corporate</w:t>
            </w:r>
          </w:p>
        </w:tc>
        <w:tc>
          <w:tcPr>
            <w:tcW w:w="2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31,919.0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40.3</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31,714.7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164.0</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4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Residential mortgage-backed securities</w:t>
            </w:r>
          </w:p>
        </w:tc>
        <w:tc>
          <w:tcPr>
            <w:tcW w:w="2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2,845.2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2,845.2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440" w:type="dxa"/>
            <w:vAlign w:val="bottom"/>
          </w:tcPr>
          <w:p>
            <w:pPr>
              <w:ind w:left="140"/>
              <w:spacing w:after="0" w:line="149" w:lineRule="exact"/>
              <w:rPr>
                <w:sz w:val="20"/>
                <w:szCs w:val="20"/>
                <w:color w:val="auto"/>
              </w:rPr>
            </w:pPr>
            <w:r>
              <w:rPr>
                <w:rFonts w:ascii="Arial" w:cs="Arial" w:eastAsia="Arial" w:hAnsi="Arial"/>
                <w:sz w:val="14"/>
                <w:szCs w:val="14"/>
                <w:color w:val="auto"/>
              </w:rPr>
              <w:t>Commercial mortgage-backed securities</w:t>
            </w:r>
          </w:p>
        </w:tc>
        <w:tc>
          <w:tcPr>
            <w:tcW w:w="2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4,026.4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4,024.8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1.6</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4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Collateralized debt obligations</w:t>
            </w:r>
          </w:p>
        </w:tc>
        <w:tc>
          <w:tcPr>
            <w:tcW w:w="2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363.4</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325.6</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37.8</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440" w:type="dxa"/>
            <w:vAlign w:val="bottom"/>
          </w:tcPr>
          <w:p>
            <w:pPr>
              <w:ind w:left="140"/>
              <w:spacing w:after="0" w:line="149" w:lineRule="exact"/>
              <w:rPr>
                <w:sz w:val="20"/>
                <w:szCs w:val="20"/>
                <w:color w:val="auto"/>
              </w:rPr>
            </w:pPr>
            <w:r>
              <w:rPr>
                <w:rFonts w:ascii="Arial" w:cs="Arial" w:eastAsia="Arial" w:hAnsi="Arial"/>
                <w:sz w:val="14"/>
                <w:szCs w:val="14"/>
                <w:color w:val="auto"/>
              </w:rPr>
              <w:t>Other debt obligations</w:t>
            </w:r>
          </w:p>
        </w:tc>
        <w:tc>
          <w:tcPr>
            <w:tcW w:w="210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4,167.8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4,083.7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84.1</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344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 fixed maturities, available-for-sale</w:t>
            </w:r>
          </w:p>
        </w:tc>
        <w:tc>
          <w:tcPr>
            <w:tcW w:w="2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48,757.1</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449.6</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47,970.7</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336.8</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Fixed maturities, trading</w:t>
            </w:r>
          </w:p>
        </w:tc>
        <w:tc>
          <w:tcPr>
            <w:tcW w:w="2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563.1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393.2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169.9</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4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Equity securities, available-for-sale</w:t>
            </w:r>
          </w:p>
        </w:tc>
        <w:tc>
          <w:tcPr>
            <w:tcW w:w="2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110.5</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38.1</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55.5</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16.9</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Equity securities, trading</w:t>
            </w:r>
          </w:p>
        </w:tc>
        <w:tc>
          <w:tcPr>
            <w:tcW w:w="2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716.9</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105.1</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611.8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4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Derivative assets (1)</w:t>
            </w:r>
          </w:p>
        </w:tc>
        <w:tc>
          <w:tcPr>
            <w:tcW w:w="2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665.1</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590.9</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74.2</w:t>
            </w:r>
          </w:p>
        </w:tc>
        <w:tc>
          <w:tcPr>
            <w:tcW w:w="160" w:type="dxa"/>
            <w:vAlign w:val="bottom"/>
            <w:shd w:val="clear" w:color="auto" w:fill="CCEEFF"/>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Other investments (2)</w:t>
            </w:r>
          </w:p>
        </w:tc>
        <w:tc>
          <w:tcPr>
            <w:tcW w:w="2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361.1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6.8</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211.4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142.9</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4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equivalents (3)</w:t>
            </w:r>
          </w:p>
        </w:tc>
        <w:tc>
          <w:tcPr>
            <w:tcW w:w="2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1,459.0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1,459.0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3440" w:type="dxa"/>
            <w:vAlign w:val="bottom"/>
          </w:tcPr>
          <w:p>
            <w:pPr>
              <w:ind w:left="140"/>
              <w:spacing w:after="0" w:line="142" w:lineRule="exact"/>
              <w:rPr>
                <w:sz w:val="20"/>
                <w:szCs w:val="20"/>
                <w:color w:val="auto"/>
              </w:rPr>
            </w:pPr>
            <w:r>
              <w:rPr>
                <w:rFonts w:ascii="Arial" w:cs="Arial" w:eastAsia="Arial" w:hAnsi="Arial"/>
                <w:sz w:val="14"/>
                <w:szCs w:val="14"/>
                <w:color w:val="auto"/>
              </w:rPr>
              <w:t>Sub-total excluding separate account assets</w:t>
            </w:r>
          </w:p>
        </w:tc>
        <w:tc>
          <w:tcPr>
            <w:tcW w:w="210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52,632.8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599.6</w:t>
            </w:r>
          </w:p>
        </w:tc>
        <w:tc>
          <w:tcPr>
            <w:tcW w:w="16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51,292.5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5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740.7</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1"/>
        </w:trPr>
        <w:tc>
          <w:tcPr>
            <w:tcW w:w="1160" w:type="dxa"/>
            <w:vAlign w:val="bottom"/>
          </w:tcPr>
          <w:p>
            <w:pPr>
              <w:spacing w:after="0"/>
              <w:rPr>
                <w:sz w:val="24"/>
                <w:szCs w:val="24"/>
                <w:color w:val="auto"/>
              </w:rPr>
            </w:pPr>
          </w:p>
        </w:tc>
        <w:tc>
          <w:tcPr>
            <w:tcW w:w="3440" w:type="dxa"/>
            <w:vAlign w:val="bottom"/>
            <w:shd w:val="clear" w:color="auto" w:fill="CCEEFF"/>
          </w:tcPr>
          <w:p>
            <w:pPr>
              <w:spacing w:after="0"/>
              <w:rPr>
                <w:sz w:val="20"/>
                <w:szCs w:val="20"/>
                <w:color w:val="auto"/>
              </w:rPr>
            </w:pPr>
            <w:r>
              <w:rPr>
                <w:rFonts w:ascii="Arial" w:cs="Arial" w:eastAsia="Arial" w:hAnsi="Arial"/>
                <w:sz w:val="14"/>
                <w:szCs w:val="14"/>
                <w:color w:val="auto"/>
              </w:rPr>
              <w:t>Separate account assets</w:t>
            </w:r>
          </w:p>
        </w:tc>
        <w:tc>
          <w:tcPr>
            <w:tcW w:w="2100" w:type="dxa"/>
            <w:vAlign w:val="bottom"/>
            <w:shd w:val="clear" w:color="auto" w:fill="CCEEFF"/>
          </w:tcPr>
          <w:p>
            <w:pPr>
              <w:spacing w:after="0"/>
              <w:rPr>
                <w:sz w:val="24"/>
                <w:szCs w:val="24"/>
                <w:color w:val="auto"/>
              </w:rPr>
            </w:pPr>
          </w:p>
        </w:tc>
        <w:tc>
          <w:tcPr>
            <w:tcW w:w="60" w:type="dxa"/>
            <w:vAlign w:val="bottom"/>
            <w:tcBorders>
              <w:bottom w:val="single" w:sz="8" w:color="auto"/>
            </w:tcBorders>
            <w:shd w:val="clear" w:color="auto" w:fill="CCEEFF"/>
          </w:tcPr>
          <w:p>
            <w:pPr>
              <w:spacing w:after="0"/>
              <w:rPr>
                <w:sz w:val="24"/>
                <w:szCs w:val="24"/>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b w:val="1"/>
                <w:bCs w:val="1"/>
                <w:color w:val="auto"/>
              </w:rPr>
              <w:t>130,018.4</w:t>
            </w:r>
          </w:p>
        </w:tc>
        <w:tc>
          <w:tcPr>
            <w:tcW w:w="8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0" w:type="dxa"/>
            <w:vAlign w:val="bottom"/>
            <w:tcBorders>
              <w:bottom w:val="single" w:sz="8" w:color="auto"/>
            </w:tcBorders>
            <w:shd w:val="clear" w:color="auto" w:fill="CCEEFF"/>
          </w:tcPr>
          <w:p>
            <w:pPr>
              <w:spacing w:after="0"/>
              <w:rPr>
                <w:sz w:val="24"/>
                <w:szCs w:val="24"/>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b w:val="1"/>
                <w:bCs w:val="1"/>
                <w:color w:val="auto"/>
              </w:rPr>
              <w:t>67,215.1</w:t>
            </w:r>
          </w:p>
        </w:tc>
        <w:tc>
          <w:tcPr>
            <w:tcW w:w="160" w:type="dxa"/>
            <w:vAlign w:val="bottom"/>
            <w:shd w:val="clear" w:color="auto" w:fill="CCEEFF"/>
          </w:tcPr>
          <w:p>
            <w:pPr>
              <w:spacing w:after="0"/>
              <w:rPr>
                <w:sz w:val="24"/>
                <w:szCs w:val="24"/>
                <w:color w:val="auto"/>
              </w:rPr>
            </w:pPr>
          </w:p>
        </w:tc>
        <w:tc>
          <w:tcPr>
            <w:tcW w:w="160" w:type="dxa"/>
            <w:vAlign w:val="bottom"/>
            <w:tcBorders>
              <w:bottom w:val="single" w:sz="8" w:color="auto"/>
            </w:tcBorders>
            <w:shd w:val="clear" w:color="auto" w:fill="CCEEFF"/>
          </w:tcPr>
          <w:p>
            <w:pPr>
              <w:spacing w:after="0"/>
              <w:rPr>
                <w:sz w:val="24"/>
                <w:szCs w:val="24"/>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b w:val="1"/>
                <w:bCs w:val="1"/>
                <w:color w:val="auto"/>
              </w:rPr>
              <w:t>57,538.1</w:t>
            </w: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80" w:type="dxa"/>
            <w:vAlign w:val="bottom"/>
            <w:tcBorders>
              <w:bottom w:val="single" w:sz="8" w:color="auto"/>
            </w:tcBorders>
            <w:shd w:val="clear" w:color="auto" w:fill="CCEEFF"/>
          </w:tcPr>
          <w:p>
            <w:pPr>
              <w:spacing w:after="0"/>
              <w:rPr>
                <w:sz w:val="24"/>
                <w:szCs w:val="24"/>
                <w:color w:val="auto"/>
              </w:rPr>
            </w:pP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b w:val="1"/>
                <w:bCs w:val="1"/>
                <w:color w:val="auto"/>
              </w:rPr>
              <w:t>5,265.2</w:t>
            </w:r>
          </w:p>
        </w:tc>
        <w:tc>
          <w:tcPr>
            <w:tcW w:w="160" w:type="dxa"/>
            <w:vAlign w:val="bottom"/>
            <w:shd w:val="clear" w:color="auto" w:fill="CCEEFF"/>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4600" w:type="dxa"/>
            <w:vAlign w:val="bottom"/>
            <w:gridSpan w:val="2"/>
          </w:tcPr>
          <w:p>
            <w:pPr>
              <w:ind w:left="1140"/>
              <w:spacing w:after="0" w:line="142" w:lineRule="exact"/>
              <w:rPr>
                <w:sz w:val="20"/>
                <w:szCs w:val="20"/>
                <w:color w:val="auto"/>
              </w:rPr>
            </w:pPr>
            <w:r>
              <w:rPr>
                <w:rFonts w:ascii="Arial" w:cs="Arial" w:eastAsia="Arial" w:hAnsi="Arial"/>
                <w:sz w:val="14"/>
                <w:szCs w:val="14"/>
                <w:b w:val="1"/>
                <w:bCs w:val="1"/>
                <w:color w:val="auto"/>
              </w:rPr>
              <w:t>Total assets</w:t>
            </w:r>
          </w:p>
        </w:tc>
        <w:tc>
          <w:tcPr>
            <w:tcW w:w="2100" w:type="dxa"/>
            <w:vAlign w:val="bottom"/>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182,651.2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6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67,814.7</w:t>
            </w:r>
          </w:p>
        </w:tc>
        <w:tc>
          <w:tcPr>
            <w:tcW w:w="160" w:type="dxa"/>
            <w:vAlign w:val="bottom"/>
          </w:tcPr>
          <w:p>
            <w:pPr>
              <w:spacing w:after="0"/>
              <w:rPr>
                <w:sz w:val="12"/>
                <w:szCs w:val="12"/>
                <w:color w:val="auto"/>
              </w:rPr>
            </w:pPr>
          </w:p>
        </w:tc>
        <w:tc>
          <w:tcPr>
            <w:tcW w:w="160" w:type="dxa"/>
            <w:vAlign w:val="bottom"/>
            <w:tcBorders>
              <w:bottom w:val="single" w:sz="8" w:color="auto"/>
            </w:tcBorders>
          </w:tcPr>
          <w:p>
            <w:pPr>
              <w:jc w:val="right"/>
              <w:ind w:right="49"/>
              <w:spacing w:after="0"/>
              <w:rPr>
                <w:sz w:val="20"/>
                <w:szCs w:val="20"/>
                <w:color w:val="auto"/>
              </w:rPr>
            </w:pPr>
            <w:r>
              <w:rPr>
                <w:rFonts w:ascii="Arial" w:cs="Arial" w:eastAsia="Arial" w:hAnsi="Arial"/>
                <w:sz w:val="10"/>
                <w:szCs w:val="10"/>
                <w:b w:val="1"/>
                <w:bCs w:val="1"/>
                <w:color w:val="auto"/>
                <w:w w:val="71"/>
              </w:rPr>
              <w:t>$</w:t>
            </w:r>
          </w:p>
        </w:tc>
        <w:tc>
          <w:tcPr>
            <w:tcW w:w="6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3"/>
              </w:rPr>
              <w:t>108,830.6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6,005.9</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1160" w:type="dxa"/>
            <w:vAlign w:val="bottom"/>
          </w:tcPr>
          <w:p>
            <w:pPr>
              <w:spacing w:after="0"/>
              <w:rPr>
                <w:sz w:val="11"/>
                <w:szCs w:val="11"/>
                <w:color w:val="auto"/>
              </w:rPr>
            </w:pPr>
          </w:p>
        </w:tc>
        <w:tc>
          <w:tcPr>
            <w:tcW w:w="3440" w:type="dxa"/>
            <w:vAlign w:val="bottom"/>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Liabilities</w:t>
            </w:r>
          </w:p>
        </w:tc>
        <w:tc>
          <w:tcPr>
            <w:tcW w:w="2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Investment-type insurance contracts (4)</w:t>
            </w:r>
          </w:p>
        </w:tc>
        <w:tc>
          <w:tcPr>
            <w:tcW w:w="21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(6.9)</w:t>
            </w: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320" w:type="dxa"/>
            <w:vAlign w:val="bottom"/>
            <w:gridSpan w:val="2"/>
          </w:tcPr>
          <w:p>
            <w:pPr>
              <w:jc w:val="right"/>
              <w:ind w:right="49"/>
              <w:spacing w:after="0" w:line="149" w:lineRule="exact"/>
              <w:rPr>
                <w:sz w:val="20"/>
                <w:szCs w:val="20"/>
                <w:color w:val="auto"/>
              </w:rPr>
            </w:pPr>
            <w:r>
              <w:rPr>
                <w:rFonts w:ascii="Arial" w:cs="Arial" w:eastAsia="Arial" w:hAnsi="Arial"/>
                <w:sz w:val="14"/>
                <w:szCs w:val="14"/>
                <w:b w:val="1"/>
                <w:bCs w:val="1"/>
                <w:color w:val="auto"/>
              </w:rPr>
              <w:t>$</w:t>
            </w:r>
          </w:p>
        </w:tc>
        <w:tc>
          <w:tcPr>
            <w:tcW w:w="7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70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(6.9)</w:t>
            </w: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4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Derivative liabilities (1)</w:t>
            </w:r>
          </w:p>
        </w:tc>
        <w:tc>
          <w:tcPr>
            <w:tcW w:w="2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(1,024.6)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(985.0)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(39.6)</w:t>
            </w: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Other liabilities (4)</w:t>
            </w:r>
          </w:p>
        </w:tc>
        <w:tc>
          <w:tcPr>
            <w:tcW w:w="2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(322.1)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(248.2)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(73.9)</w:t>
            </w: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1160" w:type="dxa"/>
            <w:vAlign w:val="bottom"/>
            <w:vMerge w:val="restart"/>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1160" w:type="dxa"/>
            <w:vAlign w:val="bottom"/>
            <w:vMerge w:val="continue"/>
          </w:tcPr>
          <w:p>
            <w:pPr>
              <w:spacing w:after="0"/>
              <w:rPr>
                <w:sz w:val="12"/>
                <w:szCs w:val="12"/>
                <w:color w:val="auto"/>
              </w:rPr>
            </w:pPr>
          </w:p>
        </w:tc>
        <w:tc>
          <w:tcPr>
            <w:tcW w:w="344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Total liabilities</w:t>
            </w:r>
          </w:p>
        </w:tc>
        <w:tc>
          <w:tcPr>
            <w:tcW w:w="21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90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(1,353.6)</w:t>
            </w:r>
          </w:p>
        </w:tc>
        <w:tc>
          <w:tcPr>
            <w:tcW w:w="1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6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320" w:type="dxa"/>
            <w:vAlign w:val="bottom"/>
            <w:gridSpan w:val="2"/>
            <w:shd w:val="clear" w:color="auto" w:fill="CCEEFF"/>
          </w:tcPr>
          <w:p>
            <w:pPr>
              <w:jc w:val="right"/>
              <w:ind w:right="49"/>
              <w:spacing w:after="0" w:line="142" w:lineRule="exact"/>
              <w:rPr>
                <w:sz w:val="20"/>
                <w:szCs w:val="20"/>
                <w:color w:val="auto"/>
              </w:rPr>
            </w:pPr>
            <w:r>
              <w:rPr>
                <w:rFonts w:ascii="Arial" w:cs="Arial" w:eastAsia="Arial" w:hAnsi="Arial"/>
                <w:sz w:val="14"/>
                <w:szCs w:val="14"/>
                <w:b w:val="1"/>
                <w:bCs w:val="1"/>
                <w:color w:val="auto"/>
              </w:rPr>
              <w:t>$</w:t>
            </w:r>
          </w:p>
        </w:tc>
        <w:tc>
          <w:tcPr>
            <w:tcW w:w="70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(1,233.2)</w:t>
            </w:r>
          </w:p>
        </w:tc>
        <w:tc>
          <w:tcPr>
            <w:tcW w:w="1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7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b w:val="1"/>
                <w:bCs w:val="1"/>
                <w:color w:val="auto"/>
              </w:rPr>
              <w:t>(120.4)</w:t>
            </w: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600" w:type="dxa"/>
            <w:vAlign w:val="bottom"/>
            <w:gridSpan w:val="2"/>
            <w:vMerge w:val="restart"/>
          </w:tcPr>
          <w:p>
            <w:pPr>
              <w:ind w:left="1140"/>
              <w:spacing w:after="0"/>
              <w:rPr>
                <w:sz w:val="20"/>
                <w:szCs w:val="20"/>
                <w:color w:val="auto"/>
              </w:rPr>
            </w:pPr>
            <w:r>
              <w:rPr>
                <w:rFonts w:ascii="Arial" w:cs="Arial" w:eastAsia="Arial" w:hAnsi="Arial"/>
                <w:sz w:val="14"/>
                <w:szCs w:val="14"/>
                <w:b w:val="1"/>
                <w:bCs w:val="1"/>
                <w:color w:val="auto"/>
              </w:rPr>
              <w:t>Net assets (liabilities)</w:t>
            </w:r>
          </w:p>
        </w:tc>
        <w:tc>
          <w:tcPr>
            <w:tcW w:w="210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4600" w:type="dxa"/>
            <w:vAlign w:val="bottom"/>
            <w:gridSpan w:val="2"/>
            <w:vMerge w:val="continue"/>
          </w:tcPr>
          <w:p>
            <w:pPr>
              <w:spacing w:after="0"/>
              <w:rPr>
                <w:sz w:val="11"/>
                <w:szCs w:val="11"/>
                <w:color w:val="auto"/>
              </w:rPr>
            </w:pPr>
          </w:p>
        </w:tc>
        <w:tc>
          <w:tcPr>
            <w:tcW w:w="2100" w:type="dxa"/>
            <w:vAlign w:val="bottom"/>
          </w:tcPr>
          <w:p>
            <w:pPr>
              <w:spacing w:after="0"/>
              <w:rPr>
                <w:sz w:val="11"/>
                <w:szCs w:val="11"/>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2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rPr>
              <w:t>181,297.6</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60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rPr>
              <w:t>67,814.7</w:t>
            </w:r>
          </w:p>
        </w:tc>
        <w:tc>
          <w:tcPr>
            <w:tcW w:w="160" w:type="dxa"/>
            <w:vAlign w:val="bottom"/>
          </w:tcPr>
          <w:p>
            <w:pPr>
              <w:spacing w:after="0"/>
              <w:rPr>
                <w:sz w:val="11"/>
                <w:szCs w:val="11"/>
                <w:color w:val="auto"/>
              </w:rPr>
            </w:pPr>
          </w:p>
        </w:tc>
        <w:tc>
          <w:tcPr>
            <w:tcW w:w="160" w:type="dxa"/>
            <w:vAlign w:val="bottom"/>
            <w:tcBorders>
              <w:bottom w:val="single" w:sz="8" w:color="auto"/>
            </w:tcBorders>
          </w:tcPr>
          <w:p>
            <w:pPr>
              <w:jc w:val="right"/>
              <w:ind w:right="49"/>
              <w:spacing w:after="0"/>
              <w:rPr>
                <w:sz w:val="20"/>
                <w:szCs w:val="20"/>
                <w:color w:val="auto"/>
              </w:rPr>
            </w:pPr>
            <w:r>
              <w:rPr>
                <w:rFonts w:ascii="Arial" w:cs="Arial" w:eastAsia="Arial" w:hAnsi="Arial"/>
                <w:sz w:val="10"/>
                <w:szCs w:val="10"/>
                <w:b w:val="1"/>
                <w:bCs w:val="1"/>
                <w:color w:val="auto"/>
                <w:w w:val="71"/>
              </w:rPr>
              <w:t>$</w:t>
            </w:r>
          </w:p>
        </w:tc>
        <w:tc>
          <w:tcPr>
            <w:tcW w:w="60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w w:val="93"/>
              </w:rPr>
              <w:t>107,597.4</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54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rPr>
              <w:t>5,885.5</w:t>
            </w:r>
          </w:p>
        </w:tc>
        <w:tc>
          <w:tcPr>
            <w:tcW w:w="16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2100" w:type="dxa"/>
            <w:vAlign w:val="bottom"/>
            <w:vMerge w:val="restart"/>
          </w:tcPr>
          <w:p>
            <w:pPr>
              <w:jc w:val="right"/>
              <w:ind w:right="787"/>
              <w:spacing w:after="0"/>
              <w:rPr>
                <w:sz w:val="20"/>
                <w:szCs w:val="20"/>
                <w:color w:val="auto"/>
              </w:rPr>
            </w:pPr>
            <w:r>
              <w:rPr>
                <w:rFonts w:ascii="Arial" w:cs="Arial" w:eastAsia="Arial" w:hAnsi="Arial"/>
                <w:sz w:val="18"/>
                <w:szCs w:val="18"/>
                <w:color w:val="auto"/>
              </w:rPr>
              <w:t>165</w:t>
            </w:r>
          </w:p>
        </w:tc>
        <w:tc>
          <w:tcPr>
            <w:tcW w:w="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160" w:type="dxa"/>
            <w:vAlign w:val="bottom"/>
          </w:tcPr>
          <w:p>
            <w:pPr>
              <w:spacing w:after="0"/>
              <w:rPr>
                <w:sz w:val="24"/>
                <w:szCs w:val="24"/>
                <w:color w:val="auto"/>
              </w:rPr>
            </w:pPr>
          </w:p>
        </w:tc>
        <w:tc>
          <w:tcPr>
            <w:tcW w:w="3440" w:type="dxa"/>
            <w:vAlign w:val="bottom"/>
          </w:tcPr>
          <w:p>
            <w:pPr>
              <w:spacing w:after="0"/>
              <w:rPr>
                <w:sz w:val="24"/>
                <w:szCs w:val="24"/>
                <w:color w:val="auto"/>
              </w:rPr>
            </w:pPr>
          </w:p>
        </w:tc>
        <w:tc>
          <w:tcPr>
            <w:tcW w:w="2100" w:type="dxa"/>
            <w:vAlign w:val="bottom"/>
            <w:vMerge w:val="continue"/>
          </w:tcPr>
          <w:p>
            <w:pPr>
              <w:spacing w:after="0"/>
              <w:rPr>
                <w:sz w:val="24"/>
                <w:szCs w:val="24"/>
                <w:color w:val="auto"/>
              </w:rPr>
            </w:pPr>
          </w:p>
        </w:tc>
        <w:tc>
          <w:tcPr>
            <w:tcW w:w="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3440" w:type="dxa"/>
            <w:vAlign w:val="bottom"/>
            <w:tcBorders>
              <w:bottom w:val="single" w:sz="8" w:color="808080"/>
            </w:tcBorders>
          </w:tcPr>
          <w:p>
            <w:pPr>
              <w:spacing w:after="0"/>
              <w:rPr>
                <w:sz w:val="19"/>
                <w:szCs w:val="19"/>
                <w:color w:val="auto"/>
              </w:rPr>
            </w:pPr>
          </w:p>
        </w:tc>
        <w:tc>
          <w:tcPr>
            <w:tcW w:w="210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69" w:name="page170"/>
    <w:bookmarkEnd w:id="16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Fair Value Measurements — (continued)</w:t>
      </w: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800" w:type="dxa"/>
            <w:vAlign w:val="bottom"/>
            <w:tcBorders>
              <w:bottom w:val="single" w:sz="8" w:color="auto"/>
            </w:tcBorders>
            <w:gridSpan w:val="7"/>
          </w:tcPr>
          <w:p>
            <w:pPr>
              <w:jc w:val="right"/>
              <w:ind w:right="360"/>
              <w:spacing w:after="0"/>
              <w:rPr>
                <w:sz w:val="20"/>
                <w:szCs w:val="20"/>
                <w:color w:val="auto"/>
              </w:rPr>
            </w:pPr>
            <w:r>
              <w:rPr>
                <w:rFonts w:ascii="Arial" w:cs="Arial" w:eastAsia="Arial" w:hAnsi="Arial"/>
                <w:sz w:val="14"/>
                <w:szCs w:val="14"/>
                <w:b w:val="1"/>
                <w:bCs w:val="1"/>
                <w:color w:val="auto"/>
                <w:w w:val="86"/>
              </w:rPr>
              <w:t>As of December 31, 2012</w:t>
            </w: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gridSpan w:val="2"/>
          </w:tcPr>
          <w:p>
            <w:pPr>
              <w:jc w:val="center"/>
              <w:ind w:right="140"/>
              <w:spacing w:after="0" w:line="129" w:lineRule="exact"/>
              <w:rPr>
                <w:sz w:val="20"/>
                <w:szCs w:val="20"/>
                <w:color w:val="auto"/>
              </w:rPr>
            </w:pPr>
            <w:r>
              <w:rPr>
                <w:rFonts w:ascii="Arial" w:cs="Arial" w:eastAsia="Arial" w:hAnsi="Arial"/>
                <w:sz w:val="14"/>
                <w:szCs w:val="14"/>
                <w:b w:val="1"/>
                <w:bCs w:val="1"/>
                <w:color w:val="auto"/>
                <w:w w:val="80"/>
              </w:rPr>
              <w:t>Assets/</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380" w:type="dxa"/>
            <w:vAlign w:val="bottom"/>
            <w:gridSpan w:val="8"/>
            <w:vMerge w:val="restart"/>
          </w:tcPr>
          <w:p>
            <w:pPr>
              <w:jc w:val="right"/>
              <w:ind w:right="580"/>
              <w:spacing w:after="0"/>
              <w:rPr>
                <w:sz w:val="20"/>
                <w:szCs w:val="20"/>
                <w:color w:val="auto"/>
              </w:rPr>
            </w:pPr>
            <w:r>
              <w:rPr>
                <w:rFonts w:ascii="Arial" w:cs="Arial" w:eastAsia="Arial" w:hAnsi="Arial"/>
                <w:sz w:val="14"/>
                <w:szCs w:val="14"/>
                <w:b w:val="1"/>
                <w:bCs w:val="1"/>
                <w:color w:val="auto"/>
              </w:rPr>
              <w:t>Fair value hierarchy level</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4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2"/>
          </w:tcPr>
          <w:p>
            <w:pPr>
              <w:jc w:val="center"/>
              <w:ind w:right="160"/>
              <w:spacing w:after="0" w:line="148" w:lineRule="exact"/>
              <w:rPr>
                <w:sz w:val="20"/>
                <w:szCs w:val="20"/>
                <w:color w:val="auto"/>
              </w:rPr>
            </w:pPr>
            <w:r>
              <w:rPr>
                <w:rFonts w:ascii="Arial" w:cs="Arial" w:eastAsia="Arial" w:hAnsi="Arial"/>
                <w:sz w:val="14"/>
                <w:szCs w:val="14"/>
                <w:b w:val="1"/>
                <w:bCs w:val="1"/>
                <w:color w:val="auto"/>
                <w:w w:val="89"/>
              </w:rPr>
              <w:t>(liabilities)</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80" w:type="dxa"/>
            <w:vAlign w:val="bottom"/>
            <w:gridSpan w:val="8"/>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gridSpan w:val="2"/>
          </w:tcPr>
          <w:p>
            <w:pPr>
              <w:jc w:val="center"/>
              <w:ind w:right="160"/>
              <w:spacing w:after="0" w:line="129" w:lineRule="exact"/>
              <w:rPr>
                <w:sz w:val="20"/>
                <w:szCs w:val="20"/>
                <w:color w:val="auto"/>
              </w:rPr>
            </w:pPr>
            <w:r>
              <w:rPr>
                <w:rFonts w:ascii="Arial" w:cs="Arial" w:eastAsia="Arial" w:hAnsi="Arial"/>
                <w:sz w:val="14"/>
                <w:szCs w:val="14"/>
                <w:b w:val="1"/>
                <w:bCs w:val="1"/>
                <w:color w:val="auto"/>
                <w:w w:val="84"/>
              </w:rPr>
              <w:t>measured at</w:t>
            </w:r>
          </w:p>
        </w:tc>
        <w:tc>
          <w:tcPr>
            <w:tcW w:w="10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58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5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54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7"/>
              </w:rPr>
              <w:t>fair value</w:t>
            </w: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72"/>
              <w:spacing w:after="0"/>
              <w:rPr>
                <w:sz w:val="20"/>
                <w:szCs w:val="20"/>
                <w:color w:val="auto"/>
              </w:rPr>
            </w:pPr>
            <w:r>
              <w:rPr>
                <w:rFonts w:ascii="Arial" w:cs="Arial" w:eastAsia="Arial" w:hAnsi="Arial"/>
                <w:sz w:val="14"/>
                <w:szCs w:val="14"/>
                <w:b w:val="1"/>
                <w:bCs w:val="1"/>
                <w:color w:val="auto"/>
                <w:w w:val="88"/>
              </w:rPr>
              <w:t>Level 1</w:t>
            </w:r>
          </w:p>
        </w:tc>
        <w:tc>
          <w:tcPr>
            <w:tcW w:w="1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ind w:right="72"/>
              <w:spacing w:after="0"/>
              <w:rPr>
                <w:sz w:val="20"/>
                <w:szCs w:val="20"/>
                <w:color w:val="auto"/>
              </w:rPr>
            </w:pPr>
            <w:r>
              <w:rPr>
                <w:rFonts w:ascii="Arial" w:cs="Arial" w:eastAsia="Arial" w:hAnsi="Arial"/>
                <w:sz w:val="14"/>
                <w:szCs w:val="14"/>
                <w:b w:val="1"/>
                <w:bCs w:val="1"/>
                <w:color w:val="auto"/>
                <w:w w:val="84"/>
              </w:rPr>
              <w:t>Level 2</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8"/>
              </w:rPr>
              <w:t>Level 3</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4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3"/>
          </w:tcPr>
          <w:p>
            <w:pPr>
              <w:jc w:val="right"/>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gridSpan w:val="2"/>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U.S. government and agencies</w:t>
            </w:r>
          </w:p>
        </w:tc>
        <w:tc>
          <w:tcPr>
            <w:tcW w:w="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944.3</w:t>
            </w:r>
          </w:p>
        </w:tc>
        <w:tc>
          <w:tcPr>
            <w:tcW w:w="60" w:type="dxa"/>
            <w:vAlign w:val="bottom"/>
            <w:shd w:val="clear" w:color="auto" w:fill="CCEEFF"/>
          </w:tcPr>
          <w:p>
            <w:pPr>
              <w:spacing w:after="0"/>
              <w:rPr>
                <w:sz w:val="12"/>
                <w:szCs w:val="12"/>
                <w:color w:val="auto"/>
              </w:rPr>
            </w:pPr>
          </w:p>
        </w:tc>
        <w:tc>
          <w:tcPr>
            <w:tcW w:w="2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203.5</w:t>
            </w:r>
          </w:p>
        </w:tc>
        <w:tc>
          <w:tcPr>
            <w:tcW w:w="30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740.8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7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Non-U.S. governments</w:t>
            </w: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1,208.3</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1,164.0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44.3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States and political subdivisions</w:t>
            </w: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3,178.8</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3,176.9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Corporate</w:t>
            </w: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34,325.4</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85.9</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w w:val="99"/>
              </w:rPr>
              <w:t>34,065.0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174.5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Residential mortgage-backed securities</w:t>
            </w: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3,226.7</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3,226.7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Commercial mortgage-backed securities</w:t>
            </w: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3,897.4</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3,897.4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Collateralized debt obligations</w:t>
            </w: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379.2</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301.6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77.6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Other debt obligations</w:t>
            </w:r>
          </w:p>
        </w:tc>
        <w:tc>
          <w:tcPr>
            <w:tcW w:w="8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3,779.2</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3,764.5</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14.7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60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Total fixed maturities, available-for-sale</w:t>
            </w: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50,939.3</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289.4</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9"/>
              </w:rPr>
              <w:t>50,336.9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313.0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gridSpan w:val="2"/>
          </w:tcPr>
          <w:p>
            <w:pPr>
              <w:spacing w:after="0" w:line="149" w:lineRule="exact"/>
              <w:rPr>
                <w:sz w:val="20"/>
                <w:szCs w:val="20"/>
                <w:color w:val="auto"/>
              </w:rPr>
            </w:pPr>
            <w:r>
              <w:rPr>
                <w:rFonts w:ascii="Arial" w:cs="Arial" w:eastAsia="Arial" w:hAnsi="Arial"/>
                <w:sz w:val="14"/>
                <w:szCs w:val="14"/>
                <w:color w:val="auto"/>
              </w:rPr>
              <w:t>Fixed maturities, trading</w:t>
            </w: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626.7</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9.4</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450.5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166.8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Equity securities, available-for-sale</w:t>
            </w: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136.5</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54.4</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66.8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gridSpan w:val="2"/>
          </w:tcPr>
          <w:p>
            <w:pPr>
              <w:spacing w:after="0" w:line="149" w:lineRule="exact"/>
              <w:rPr>
                <w:sz w:val="20"/>
                <w:szCs w:val="20"/>
                <w:color w:val="auto"/>
              </w:rPr>
            </w:pPr>
            <w:r>
              <w:rPr>
                <w:rFonts w:ascii="Arial" w:cs="Arial" w:eastAsia="Arial" w:hAnsi="Arial"/>
                <w:sz w:val="14"/>
                <w:szCs w:val="14"/>
                <w:color w:val="auto"/>
              </w:rPr>
              <w:t>Equity securities, trading</w:t>
            </w: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252.8</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99.8</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153.0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Derivative assets (1)</w:t>
            </w: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1,016.7</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941.6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75.1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gridSpan w:val="2"/>
          </w:tcPr>
          <w:p>
            <w:pPr>
              <w:spacing w:after="0" w:line="149" w:lineRule="exact"/>
              <w:rPr>
                <w:sz w:val="20"/>
                <w:szCs w:val="20"/>
                <w:color w:val="auto"/>
              </w:rPr>
            </w:pPr>
            <w:r>
              <w:rPr>
                <w:rFonts w:ascii="Arial" w:cs="Arial" w:eastAsia="Arial" w:hAnsi="Arial"/>
                <w:sz w:val="14"/>
                <w:szCs w:val="14"/>
                <w:color w:val="auto"/>
              </w:rPr>
              <w:t>Other investments (2)</w:t>
            </w: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272.1</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64.1</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94.1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113.9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Cash equivalents (3)</w:t>
            </w: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1,772.6</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561.4</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1,211.2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600" w:type="dxa"/>
            <w:vAlign w:val="bottom"/>
            <w:gridSpan w:val="2"/>
          </w:tcPr>
          <w:p>
            <w:pPr>
              <w:ind w:left="140"/>
              <w:spacing w:after="0" w:line="142" w:lineRule="exact"/>
              <w:rPr>
                <w:sz w:val="20"/>
                <w:szCs w:val="20"/>
                <w:color w:val="auto"/>
              </w:rPr>
            </w:pPr>
            <w:r>
              <w:rPr>
                <w:rFonts w:ascii="Arial" w:cs="Arial" w:eastAsia="Arial" w:hAnsi="Arial"/>
                <w:sz w:val="14"/>
                <w:szCs w:val="14"/>
                <w:color w:val="auto"/>
              </w:rPr>
              <w:t>Sub-total excluding separate account assets</w:t>
            </w:r>
          </w:p>
        </w:tc>
        <w:tc>
          <w:tcPr>
            <w:tcW w:w="8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55,016.7</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1,078.5</w:t>
            </w:r>
          </w:p>
        </w:tc>
        <w:tc>
          <w:tcPr>
            <w:tcW w:w="1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w w:val="99"/>
              </w:rPr>
              <w:t>53,254.1</w:t>
            </w: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5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684.1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560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Separate account assets</w:t>
            </w:r>
          </w:p>
        </w:tc>
        <w:tc>
          <w:tcPr>
            <w:tcW w:w="80" w:type="dxa"/>
            <w:vAlign w:val="bottom"/>
            <w:tcBorders>
              <w:bottom w:val="single" w:sz="8" w:color="auto"/>
            </w:tcBorders>
            <w:shd w:val="clear" w:color="auto" w:fill="CCEEFF"/>
          </w:tcPr>
          <w:p>
            <w:pPr>
              <w:spacing w:after="0"/>
              <w:rPr>
                <w:sz w:val="24"/>
                <w:szCs w:val="24"/>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81,653.8</w:t>
            </w:r>
          </w:p>
        </w:tc>
        <w:tc>
          <w:tcPr>
            <w:tcW w:w="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tcBorders>
              <w:bottom w:val="single" w:sz="8" w:color="auto"/>
            </w:tcBorders>
            <w:shd w:val="clear" w:color="auto" w:fill="CCEEFF"/>
          </w:tcPr>
          <w:p>
            <w:pPr>
              <w:spacing w:after="0"/>
              <w:rPr>
                <w:sz w:val="24"/>
                <w:szCs w:val="24"/>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54,010.1</w:t>
            </w:r>
          </w:p>
        </w:tc>
        <w:tc>
          <w:tcPr>
            <w:tcW w:w="180" w:type="dxa"/>
            <w:vAlign w:val="bottom"/>
            <w:shd w:val="clear" w:color="auto" w:fill="CCEEFF"/>
          </w:tcPr>
          <w:p>
            <w:pPr>
              <w:spacing w:after="0"/>
              <w:rPr>
                <w:sz w:val="24"/>
                <w:szCs w:val="24"/>
                <w:color w:val="auto"/>
              </w:rPr>
            </w:pPr>
          </w:p>
        </w:tc>
        <w:tc>
          <w:tcPr>
            <w:tcW w:w="120" w:type="dxa"/>
            <w:vAlign w:val="bottom"/>
            <w:tcBorders>
              <w:bottom w:val="single" w:sz="8" w:color="auto"/>
            </w:tcBorders>
            <w:shd w:val="clear" w:color="auto" w:fill="CCEEFF"/>
          </w:tcPr>
          <w:p>
            <w:pPr>
              <w:spacing w:after="0"/>
              <w:rPr>
                <w:sz w:val="24"/>
                <w:szCs w:val="24"/>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9"/>
              </w:rPr>
              <w:t>23,027.7</w:t>
            </w:r>
          </w:p>
        </w:tc>
        <w:tc>
          <w:tcPr>
            <w:tcW w:w="160" w:type="dxa"/>
            <w:vAlign w:val="bottom"/>
            <w:shd w:val="clear" w:color="auto" w:fill="CCEEFF"/>
          </w:tcPr>
          <w:p>
            <w:pPr>
              <w:spacing w:after="0"/>
              <w:rPr>
                <w:sz w:val="24"/>
                <w:szCs w:val="24"/>
                <w:color w:val="auto"/>
              </w:rPr>
            </w:pPr>
          </w:p>
        </w:tc>
        <w:tc>
          <w:tcPr>
            <w:tcW w:w="80" w:type="dxa"/>
            <w:vAlign w:val="bottom"/>
            <w:tcBorders>
              <w:bottom w:val="single" w:sz="8" w:color="auto"/>
            </w:tcBorders>
            <w:shd w:val="clear" w:color="auto" w:fill="CCEEFF"/>
          </w:tcPr>
          <w:p>
            <w:pPr>
              <w:spacing w:after="0"/>
              <w:rPr>
                <w:sz w:val="24"/>
                <w:szCs w:val="24"/>
                <w:color w:val="auto"/>
              </w:rPr>
            </w:pP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4,616.0</w:t>
            </w: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562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Total assets</w:t>
            </w:r>
          </w:p>
        </w:tc>
        <w:tc>
          <w:tcPr>
            <w:tcW w:w="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136,670.5</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5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55,088.6</w:t>
            </w:r>
          </w:p>
        </w:tc>
        <w:tc>
          <w:tcPr>
            <w:tcW w:w="180" w:type="dxa"/>
            <w:vAlign w:val="bottom"/>
          </w:tcPr>
          <w:p>
            <w:pPr>
              <w:spacing w:after="0"/>
              <w:rPr>
                <w:sz w:val="12"/>
                <w:szCs w:val="12"/>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99"/>
              </w:rPr>
              <w:t>76,281.8</w:t>
            </w:r>
          </w:p>
        </w:tc>
        <w:tc>
          <w:tcPr>
            <w:tcW w:w="160" w:type="dxa"/>
            <w:vAlign w:val="bottom"/>
          </w:tcPr>
          <w:p>
            <w:pPr>
              <w:spacing w:after="0"/>
              <w:rPr>
                <w:sz w:val="12"/>
                <w:szCs w:val="12"/>
                <w:color w:val="auto"/>
              </w:rPr>
            </w:pPr>
          </w:p>
        </w:tc>
        <w:tc>
          <w:tcPr>
            <w:tcW w:w="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5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5,300.1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44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5600" w:type="dxa"/>
            <w:vAlign w:val="bottom"/>
            <w:gridSpan w:val="2"/>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Liabilities</w:t>
            </w:r>
          </w:p>
        </w:tc>
        <w:tc>
          <w:tcPr>
            <w:tcW w:w="8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gridSpan w:val="2"/>
          </w:tcPr>
          <w:p>
            <w:pPr>
              <w:spacing w:after="0" w:line="149" w:lineRule="exact"/>
              <w:rPr>
                <w:sz w:val="20"/>
                <w:szCs w:val="20"/>
                <w:color w:val="auto"/>
              </w:rPr>
            </w:pPr>
            <w:r>
              <w:rPr>
                <w:rFonts w:ascii="Arial" w:cs="Arial" w:eastAsia="Arial" w:hAnsi="Arial"/>
                <w:sz w:val="14"/>
                <w:szCs w:val="14"/>
                <w:color w:val="auto"/>
              </w:rPr>
              <w:t>Investment-type insurance contracts (4)</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6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(170.5)</w:t>
            </w:r>
          </w:p>
        </w:tc>
        <w:tc>
          <w:tcPr>
            <w:tcW w:w="20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30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7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(170.5)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Derivative liabilities (1)</w:t>
            </w:r>
          </w:p>
        </w:tc>
        <w:tc>
          <w:tcPr>
            <w:tcW w:w="8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(1,205.1)</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(1,102.5)</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(102.6)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gridSpan w:val="2"/>
          </w:tcPr>
          <w:p>
            <w:pPr>
              <w:spacing w:after="0" w:line="149" w:lineRule="exact"/>
              <w:rPr>
                <w:sz w:val="20"/>
                <w:szCs w:val="20"/>
                <w:color w:val="auto"/>
              </w:rPr>
            </w:pPr>
            <w:r>
              <w:rPr>
                <w:rFonts w:ascii="Arial" w:cs="Arial" w:eastAsia="Arial" w:hAnsi="Arial"/>
                <w:sz w:val="14"/>
                <w:szCs w:val="14"/>
                <w:color w:val="auto"/>
              </w:rPr>
              <w:t>Other liabilities (4)</w:t>
            </w:r>
          </w:p>
        </w:tc>
        <w:tc>
          <w:tcPr>
            <w:tcW w:w="80" w:type="dxa"/>
            <w:vAlign w:val="bottom"/>
          </w:tcPr>
          <w:p>
            <w:pPr>
              <w:spacing w:after="0"/>
              <w:rPr>
                <w:sz w:val="12"/>
                <w:szCs w:val="12"/>
                <w:color w:val="auto"/>
              </w:rPr>
            </w:pPr>
          </w:p>
        </w:tc>
        <w:tc>
          <w:tcPr>
            <w:tcW w:w="86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(237.4)</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(197.8)</w:t>
            </w:r>
          </w:p>
        </w:tc>
        <w:tc>
          <w:tcPr>
            <w:tcW w:w="80" w:type="dxa"/>
            <w:vAlign w:val="bottom"/>
          </w:tcPr>
          <w:p>
            <w:pPr>
              <w:spacing w:after="0"/>
              <w:rPr>
                <w:sz w:val="12"/>
                <w:szCs w:val="12"/>
                <w:color w:val="auto"/>
              </w:rPr>
            </w:pPr>
          </w:p>
        </w:tc>
        <w:tc>
          <w:tcPr>
            <w:tcW w:w="7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(39.6)</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44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560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Total liabilities</w:t>
            </w:r>
          </w:p>
        </w:tc>
        <w:tc>
          <w:tcPr>
            <w:tcW w:w="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86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color w:val="auto"/>
              </w:rPr>
              <w:t>(1,613.0)</w:t>
            </w:r>
          </w:p>
        </w:tc>
        <w:tc>
          <w:tcPr>
            <w:tcW w:w="20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300" w:type="dxa"/>
            <w:vAlign w:val="bottom"/>
            <w:gridSpan w:val="2"/>
            <w:shd w:val="clear" w:color="auto" w:fill="CCEEFF"/>
          </w:tcPr>
          <w:p>
            <w:pPr>
              <w:jc w:val="right"/>
              <w:ind w:right="9"/>
              <w:spacing w:after="0" w:line="142" w:lineRule="exact"/>
              <w:rPr>
                <w:sz w:val="20"/>
                <w:szCs w:val="20"/>
                <w:color w:val="auto"/>
              </w:rPr>
            </w:pPr>
            <w:r>
              <w:rPr>
                <w:rFonts w:ascii="Arial" w:cs="Arial" w:eastAsia="Arial" w:hAnsi="Arial"/>
                <w:sz w:val="14"/>
                <w:szCs w:val="14"/>
                <w:color w:val="auto"/>
              </w:rPr>
              <w:t>$</w:t>
            </w:r>
          </w:p>
        </w:tc>
        <w:tc>
          <w:tcPr>
            <w:tcW w:w="7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(1,300.3)</w:t>
            </w:r>
          </w:p>
        </w:tc>
        <w:tc>
          <w:tcPr>
            <w:tcW w:w="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7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(312.7)</w:t>
            </w:r>
          </w:p>
        </w:tc>
        <w:tc>
          <w:tcPr>
            <w:tcW w:w="0" w:type="dxa"/>
            <w:vAlign w:val="bottom"/>
          </w:tcPr>
          <w:p>
            <w:pPr>
              <w:spacing w:after="0"/>
              <w:rPr>
                <w:sz w:val="1"/>
                <w:szCs w:val="1"/>
                <w:color w:val="auto"/>
              </w:rPr>
            </w:pPr>
          </w:p>
        </w:tc>
      </w:tr>
      <w:tr>
        <w:trPr>
          <w:trHeight w:val="20"/>
        </w:trPr>
        <w:tc>
          <w:tcPr>
            <w:tcW w:w="56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Net assets (liabilities)</w:t>
            </w: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5620" w:type="dxa"/>
            <w:vAlign w:val="bottom"/>
            <w:gridSpan w:val="3"/>
            <w:vMerge w:val="continue"/>
          </w:tcPr>
          <w:p>
            <w:pPr>
              <w:spacing w:after="0"/>
              <w:rPr>
                <w:sz w:val="11"/>
                <w:szCs w:val="11"/>
                <w:color w:val="auto"/>
              </w:rPr>
            </w:pPr>
          </w:p>
        </w:tc>
        <w:tc>
          <w:tcPr>
            <w:tcW w:w="8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color w:val="auto"/>
              </w:rPr>
              <w:t>135,057.5</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color w:val="auto"/>
                <w:w w:val="76"/>
              </w:rPr>
              <w:t>$</w:t>
            </w:r>
          </w:p>
        </w:tc>
        <w:tc>
          <w:tcPr>
            <w:tcW w:w="58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color w:val="auto"/>
              </w:rPr>
              <w:t>55,088.6</w:t>
            </w:r>
          </w:p>
        </w:tc>
        <w:tc>
          <w:tcPr>
            <w:tcW w:w="180" w:type="dxa"/>
            <w:vAlign w:val="bottom"/>
          </w:tcPr>
          <w:p>
            <w:pPr>
              <w:spacing w:after="0"/>
              <w:rPr>
                <w:sz w:val="11"/>
                <w:szCs w:val="11"/>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56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color w:val="auto"/>
                <w:w w:val="99"/>
              </w:rPr>
              <w:t>74,981.5</w:t>
            </w:r>
          </w:p>
        </w:tc>
        <w:tc>
          <w:tcPr>
            <w:tcW w:w="160" w:type="dxa"/>
            <w:vAlign w:val="bottom"/>
          </w:tcPr>
          <w:p>
            <w:pPr>
              <w:spacing w:after="0"/>
              <w:rPr>
                <w:sz w:val="11"/>
                <w:szCs w:val="11"/>
                <w:color w:val="auto"/>
              </w:rPr>
            </w:pPr>
          </w:p>
        </w:tc>
        <w:tc>
          <w:tcPr>
            <w:tcW w:w="8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color w:val="auto"/>
                <w:w w:val="76"/>
              </w:rPr>
              <w:t>$</w:t>
            </w:r>
          </w:p>
        </w:tc>
        <w:tc>
          <w:tcPr>
            <w:tcW w:w="54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color w:val="auto"/>
              </w:rPr>
              <w:t>4,987.4</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44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44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5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 w:type="dxa"/>
            <w:vAlign w:val="bottom"/>
          </w:tcPr>
          <w:p>
            <w:pPr>
              <w:spacing w:after="0"/>
              <w:rPr>
                <w:sz w:val="7"/>
                <w:szCs w:val="7"/>
                <w:color w:val="auto"/>
              </w:rPr>
            </w:pPr>
          </w:p>
        </w:tc>
        <w:tc>
          <w:tcPr>
            <w:tcW w:w="5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54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jc w:val="both"/>
        <w:ind w:left="1680" w:hanging="531"/>
        <w:spacing w:after="0" w:line="233" w:lineRule="auto"/>
        <w:tabs>
          <w:tab w:leader="none" w:pos="1680" w:val="left"/>
        </w:tabs>
        <w:numPr>
          <w:ilvl w:val="0"/>
          <w:numId w:val="76"/>
        </w:numPr>
        <w:rPr>
          <w:rFonts w:ascii="Arial" w:cs="Arial" w:eastAsia="Arial" w:hAnsi="Arial"/>
          <w:sz w:val="14"/>
          <w:szCs w:val="14"/>
          <w:color w:val="auto"/>
        </w:rPr>
      </w:pPr>
      <w:r>
        <w:rPr>
          <w:rFonts w:ascii="Arial" w:cs="Arial" w:eastAsia="Arial" w:hAnsi="Arial"/>
          <w:sz w:val="14"/>
          <w:szCs w:val="14"/>
          <w:color w:val="auto"/>
        </w:rPr>
        <w:t>Within the consolidated statements of financial position, derivative assets are reported with other investments and derivative liabilities are reported with other liabilities. Refer to Note 6, Derivative Financial Instruments, for further information on fair value by class of derivative instruments. Our derivatives are primarily Level 2, with the exception of certain credit default swaps and other swaps that are Level 3.</w:t>
      </w:r>
    </w:p>
    <w:p>
      <w:pPr>
        <w:spacing w:after="0" w:line="111" w:lineRule="exact"/>
        <w:rPr>
          <w:rFonts w:ascii="Arial" w:cs="Arial" w:eastAsia="Arial" w:hAnsi="Arial"/>
          <w:sz w:val="14"/>
          <w:szCs w:val="14"/>
          <w:color w:val="auto"/>
        </w:rPr>
      </w:pPr>
    </w:p>
    <w:p>
      <w:pPr>
        <w:ind w:left="1680" w:hanging="531"/>
        <w:spacing w:after="0"/>
        <w:tabs>
          <w:tab w:leader="none" w:pos="1680" w:val="left"/>
        </w:tabs>
        <w:numPr>
          <w:ilvl w:val="0"/>
          <w:numId w:val="76"/>
        </w:numPr>
        <w:rPr>
          <w:rFonts w:ascii="Arial" w:cs="Arial" w:eastAsia="Arial" w:hAnsi="Arial"/>
          <w:sz w:val="14"/>
          <w:szCs w:val="14"/>
          <w:color w:val="auto"/>
        </w:rPr>
      </w:pPr>
      <w:r>
        <w:rPr>
          <w:rFonts w:ascii="Arial" w:cs="Arial" w:eastAsia="Arial" w:hAnsi="Arial"/>
          <w:sz w:val="14"/>
          <w:szCs w:val="14"/>
          <w:color w:val="auto"/>
        </w:rPr>
        <w:t>Primarily includes seed money investments, commercial mortgage loans of consolidated VIEs and equity method investments reported at fair value.</w:t>
      </w:r>
    </w:p>
    <w:p>
      <w:pPr>
        <w:spacing w:after="0" w:line="122" w:lineRule="exact"/>
        <w:rPr>
          <w:rFonts w:ascii="Arial" w:cs="Arial" w:eastAsia="Arial" w:hAnsi="Arial"/>
          <w:sz w:val="14"/>
          <w:szCs w:val="14"/>
          <w:color w:val="auto"/>
        </w:rPr>
      </w:pPr>
    </w:p>
    <w:p>
      <w:pPr>
        <w:ind w:left="1680" w:hanging="531"/>
        <w:spacing w:after="0"/>
        <w:tabs>
          <w:tab w:leader="none" w:pos="1680" w:val="left"/>
        </w:tabs>
        <w:numPr>
          <w:ilvl w:val="0"/>
          <w:numId w:val="76"/>
        </w:numPr>
        <w:rPr>
          <w:rFonts w:ascii="Arial" w:cs="Arial" w:eastAsia="Arial" w:hAnsi="Arial"/>
          <w:sz w:val="14"/>
          <w:szCs w:val="14"/>
          <w:color w:val="auto"/>
        </w:rPr>
      </w:pPr>
      <w:r>
        <w:rPr>
          <w:rFonts w:ascii="Arial" w:cs="Arial" w:eastAsia="Arial" w:hAnsi="Arial"/>
          <w:sz w:val="14"/>
          <w:szCs w:val="14"/>
          <w:color w:val="auto"/>
        </w:rPr>
        <w:t>Includes money market instruments and short-term investments with a maturity date of three months or less when purchased.</w:t>
      </w:r>
    </w:p>
    <w:p>
      <w:pPr>
        <w:spacing w:after="0" w:line="122" w:lineRule="exact"/>
        <w:rPr>
          <w:rFonts w:ascii="Arial" w:cs="Arial" w:eastAsia="Arial" w:hAnsi="Arial"/>
          <w:sz w:val="14"/>
          <w:szCs w:val="14"/>
          <w:color w:val="auto"/>
        </w:rPr>
      </w:pPr>
    </w:p>
    <w:p>
      <w:pPr>
        <w:ind w:left="1680" w:hanging="531"/>
        <w:spacing w:after="0" w:line="239" w:lineRule="auto"/>
        <w:tabs>
          <w:tab w:leader="none" w:pos="1680" w:val="left"/>
        </w:tabs>
        <w:numPr>
          <w:ilvl w:val="0"/>
          <w:numId w:val="76"/>
        </w:numPr>
        <w:rPr>
          <w:rFonts w:ascii="Arial" w:cs="Arial" w:eastAsia="Arial" w:hAnsi="Arial"/>
          <w:sz w:val="14"/>
          <w:szCs w:val="14"/>
          <w:color w:val="auto"/>
        </w:rPr>
      </w:pPr>
      <w:r>
        <w:rPr>
          <w:rFonts w:ascii="Arial" w:cs="Arial" w:eastAsia="Arial" w:hAnsi="Arial"/>
          <w:sz w:val="14"/>
          <w:szCs w:val="14"/>
          <w:color w:val="auto"/>
        </w:rPr>
        <w:t>Includes bifurcated embedded derivatives that are reported at fair value within the same line item in the consolidated statements of financial position in which the host contract is reported. Other liabilities also include obligations of consolidated VIEs reported at fair value.</w:t>
      </w:r>
    </w:p>
    <w:p>
      <w:pPr>
        <w:spacing w:after="0" w:line="1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70" w:name="page171"/>
    <w:bookmarkEnd w:id="17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ind w:right="8020" w:firstLine="8"/>
        <w:spacing w:after="0" w:line="605" w:lineRule="auto"/>
        <w:tabs>
          <w:tab w:leader="none" w:pos="263" w:val="left"/>
        </w:tabs>
        <w:numPr>
          <w:ilvl w:val="0"/>
          <w:numId w:val="77"/>
        </w:numPr>
        <w:rPr>
          <w:rFonts w:ascii="Arial" w:cs="Arial" w:eastAsia="Arial" w:hAnsi="Arial"/>
          <w:sz w:val="15"/>
          <w:szCs w:val="15"/>
          <w:b w:val="1"/>
          <w:bCs w:val="1"/>
          <w:color w:val="auto"/>
        </w:rPr>
      </w:pPr>
      <w:r>
        <w:rPr>
          <w:rFonts w:ascii="Arial" w:cs="Arial" w:eastAsia="Arial" w:hAnsi="Arial"/>
          <w:sz w:val="15"/>
          <w:szCs w:val="15"/>
          <w:b w:val="1"/>
          <w:bCs w:val="1"/>
          <w:color w:val="auto"/>
        </w:rPr>
        <w:t>Fair Value Measurements — (continued) Changes in Level 3 Fair Value Measurements</w:t>
      </w:r>
    </w:p>
    <w:p>
      <w:pPr>
        <w:spacing w:after="0" w:line="1" w:lineRule="exact"/>
        <w:rPr>
          <w:sz w:val="20"/>
          <w:szCs w:val="20"/>
          <w:color w:val="auto"/>
        </w:rPr>
      </w:pPr>
    </w:p>
    <w:p>
      <w:pPr>
        <w:ind w:firstLine="383"/>
        <w:spacing w:after="0" w:line="268" w:lineRule="auto"/>
        <w:rPr>
          <w:sz w:val="20"/>
          <w:szCs w:val="20"/>
          <w:color w:val="auto"/>
        </w:rPr>
      </w:pPr>
      <w:r>
        <w:rPr>
          <w:rFonts w:ascii="Arial" w:cs="Arial" w:eastAsia="Arial" w:hAnsi="Arial"/>
          <w:sz w:val="18"/>
          <w:szCs w:val="18"/>
          <w:color w:val="auto"/>
        </w:rPr>
        <w:t>The reconciliation for all assets and liabilities measured at fair value on a recurring basis using significant unobservable inputs (Level 3) are summarized as follows:</w:t>
      </w:r>
    </w:p>
    <w:p>
      <w:pPr>
        <w:spacing w:after="0" w:line="18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600" w:type="dxa"/>
            <w:vAlign w:val="bottom"/>
            <w:tcBorders>
              <w:bottom w:val="single" w:sz="8" w:color="auto"/>
            </w:tcBorders>
            <w:gridSpan w:val="9"/>
          </w:tcPr>
          <w:p>
            <w:pPr>
              <w:jc w:val="right"/>
              <w:ind w:right="232"/>
              <w:spacing w:after="0"/>
              <w:rPr>
                <w:sz w:val="20"/>
                <w:szCs w:val="20"/>
                <w:color w:val="auto"/>
              </w:rPr>
            </w:pPr>
            <w:r>
              <w:rPr>
                <w:rFonts w:ascii="Arial" w:cs="Arial" w:eastAsia="Arial" w:hAnsi="Arial"/>
                <w:sz w:val="14"/>
                <w:szCs w:val="14"/>
                <w:b w:val="1"/>
                <w:bCs w:val="1"/>
                <w:color w:val="auto"/>
                <w:w w:val="89"/>
              </w:rPr>
              <w:t>For the year ended December 31, 2013</w:t>
            </w:r>
          </w:p>
        </w:tc>
        <w:tc>
          <w:tcPr>
            <w:tcW w:w="1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84"/>
              </w:rPr>
              <w:t>Changes in</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760" w:type="dxa"/>
            <w:vAlign w:val="bottom"/>
            <w:gridSpan w:val="6"/>
            <w:vMerge w:val="restart"/>
          </w:tcPr>
          <w:p>
            <w:pPr>
              <w:jc w:val="center"/>
              <w:ind w:right="200"/>
              <w:spacing w:after="0"/>
              <w:rPr>
                <w:sz w:val="20"/>
                <w:szCs w:val="20"/>
                <w:color w:val="auto"/>
              </w:rPr>
            </w:pPr>
            <w:r>
              <w:rPr>
                <w:rFonts w:ascii="Arial" w:cs="Arial" w:eastAsia="Arial" w:hAnsi="Arial"/>
                <w:sz w:val="14"/>
                <w:szCs w:val="14"/>
                <w:b w:val="1"/>
                <w:bCs w:val="1"/>
                <w:color w:val="auto"/>
                <w:w w:val="88"/>
              </w:rPr>
              <w:t>Total realized/unrealized</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60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7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1760" w:type="dxa"/>
            <w:vAlign w:val="bottom"/>
            <w:gridSpan w:val="6"/>
            <w:vMerge w:val="continue"/>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180" w:type="dxa"/>
            <w:vAlign w:val="bottom"/>
          </w:tcPr>
          <w:p>
            <w:pPr>
              <w:spacing w:after="0"/>
              <w:rPr>
                <w:sz w:val="8"/>
                <w:szCs w:val="8"/>
                <w:color w:val="auto"/>
              </w:rPr>
            </w:pPr>
          </w:p>
        </w:tc>
        <w:tc>
          <w:tcPr>
            <w:tcW w:w="80" w:type="dxa"/>
            <w:vAlign w:val="bottom"/>
          </w:tcPr>
          <w:p>
            <w:pPr>
              <w:spacing w:after="0"/>
              <w:rPr>
                <w:sz w:val="8"/>
                <w:szCs w:val="8"/>
                <w:color w:val="auto"/>
              </w:rPr>
            </w:pPr>
          </w:p>
        </w:tc>
        <w:tc>
          <w:tcPr>
            <w:tcW w:w="5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7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920" w:type="dxa"/>
            <w:vAlign w:val="bottom"/>
            <w:gridSpan w:val="2"/>
            <w:vMerge w:val="restart"/>
          </w:tcPr>
          <w:p>
            <w:pPr>
              <w:jc w:val="center"/>
              <w:ind w:right="280"/>
              <w:spacing w:after="0" w:line="149" w:lineRule="exact"/>
              <w:rPr>
                <w:sz w:val="20"/>
                <w:szCs w:val="20"/>
                <w:color w:val="auto"/>
              </w:rPr>
            </w:pPr>
            <w:r>
              <w:rPr>
                <w:rFonts w:ascii="Arial" w:cs="Arial" w:eastAsia="Arial" w:hAnsi="Arial"/>
                <w:sz w:val="14"/>
                <w:szCs w:val="14"/>
                <w:b w:val="1"/>
                <w:bCs w:val="1"/>
                <w:color w:val="auto"/>
                <w:w w:val="86"/>
              </w:rPr>
              <w:t>unrealized</w:t>
            </w: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60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74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1760" w:type="dxa"/>
            <w:vAlign w:val="bottom"/>
            <w:gridSpan w:val="6"/>
            <w:vMerge w:val="restart"/>
          </w:tcPr>
          <w:p>
            <w:pPr>
              <w:jc w:val="center"/>
              <w:ind w:right="200"/>
              <w:spacing w:after="0"/>
              <w:rPr>
                <w:sz w:val="20"/>
                <w:szCs w:val="20"/>
                <w:color w:val="auto"/>
              </w:rPr>
            </w:pPr>
            <w:r>
              <w:rPr>
                <w:rFonts w:ascii="Arial" w:cs="Arial" w:eastAsia="Arial" w:hAnsi="Arial"/>
                <w:sz w:val="14"/>
                <w:szCs w:val="14"/>
                <w:b w:val="1"/>
                <w:bCs w:val="1"/>
                <w:color w:val="auto"/>
                <w:w w:val="81"/>
              </w:rPr>
              <w:t>gains (losses)</w:t>
            </w: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520" w:type="dxa"/>
            <w:vAlign w:val="bottom"/>
          </w:tcPr>
          <w:p>
            <w:pPr>
              <w:spacing w:after="0"/>
              <w:rPr>
                <w:sz w:val="4"/>
                <w:szCs w:val="4"/>
                <w:color w:val="auto"/>
              </w:rPr>
            </w:pPr>
          </w:p>
        </w:tc>
        <w:tc>
          <w:tcPr>
            <w:tcW w:w="180" w:type="dxa"/>
            <w:vAlign w:val="bottom"/>
          </w:tcPr>
          <w:p>
            <w:pPr>
              <w:spacing w:after="0"/>
              <w:rPr>
                <w:sz w:val="4"/>
                <w:szCs w:val="4"/>
                <w:color w:val="auto"/>
              </w:rPr>
            </w:pPr>
          </w:p>
        </w:tc>
        <w:tc>
          <w:tcPr>
            <w:tcW w:w="80" w:type="dxa"/>
            <w:vAlign w:val="bottom"/>
          </w:tcPr>
          <w:p>
            <w:pPr>
              <w:spacing w:after="0"/>
              <w:rPr>
                <w:sz w:val="4"/>
                <w:szCs w:val="4"/>
                <w:color w:val="auto"/>
              </w:rPr>
            </w:pPr>
          </w:p>
        </w:tc>
        <w:tc>
          <w:tcPr>
            <w:tcW w:w="5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7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92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6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40" w:type="dxa"/>
            <w:vAlign w:val="bottom"/>
            <w:gridSpan w:val="2"/>
            <w:vMerge w:val="restart"/>
          </w:tcPr>
          <w:p>
            <w:pPr>
              <w:jc w:val="center"/>
              <w:ind w:right="220"/>
              <w:spacing w:after="0" w:line="149" w:lineRule="exact"/>
              <w:rPr>
                <w:sz w:val="20"/>
                <w:szCs w:val="20"/>
                <w:color w:val="auto"/>
              </w:rPr>
            </w:pPr>
            <w:r>
              <w:rPr>
                <w:rFonts w:ascii="Arial" w:cs="Arial" w:eastAsia="Arial" w:hAnsi="Arial"/>
                <w:sz w:val="14"/>
                <w:szCs w:val="14"/>
                <w:b w:val="1"/>
                <w:bCs w:val="1"/>
                <w:color w:val="auto"/>
                <w:w w:val="84"/>
              </w:rPr>
              <w:t>Beginning</w:t>
            </w: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1760" w:type="dxa"/>
            <w:vAlign w:val="bottom"/>
            <w:gridSpan w:val="6"/>
            <w:vMerge w:val="continue"/>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520" w:type="dxa"/>
            <w:vAlign w:val="bottom"/>
          </w:tcPr>
          <w:p>
            <w:pPr>
              <w:spacing w:after="0"/>
              <w:rPr>
                <w:sz w:val="9"/>
                <w:szCs w:val="9"/>
                <w:color w:val="auto"/>
              </w:rPr>
            </w:pPr>
          </w:p>
        </w:tc>
        <w:tc>
          <w:tcPr>
            <w:tcW w:w="180" w:type="dxa"/>
            <w:vAlign w:val="bottom"/>
          </w:tcPr>
          <w:p>
            <w:pPr>
              <w:spacing w:after="0"/>
              <w:rPr>
                <w:sz w:val="9"/>
                <w:szCs w:val="9"/>
                <w:color w:val="auto"/>
              </w:rPr>
            </w:pPr>
          </w:p>
        </w:tc>
        <w:tc>
          <w:tcPr>
            <w:tcW w:w="8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820" w:type="dxa"/>
            <w:vAlign w:val="bottom"/>
            <w:gridSpan w:val="2"/>
            <w:vMerge w:val="restart"/>
          </w:tcPr>
          <w:p>
            <w:pPr>
              <w:jc w:val="center"/>
              <w:ind w:right="200"/>
              <w:spacing w:after="0" w:line="149" w:lineRule="exact"/>
              <w:rPr>
                <w:sz w:val="20"/>
                <w:szCs w:val="20"/>
                <w:color w:val="auto"/>
              </w:rPr>
            </w:pPr>
            <w:r>
              <w:rPr>
                <w:rFonts w:ascii="Arial" w:cs="Arial" w:eastAsia="Arial" w:hAnsi="Arial"/>
                <w:sz w:val="14"/>
                <w:szCs w:val="14"/>
                <w:b w:val="1"/>
                <w:bCs w:val="1"/>
                <w:color w:val="auto"/>
                <w:w w:val="88"/>
              </w:rPr>
              <w:t>Ending</w:t>
            </w:r>
          </w:p>
        </w:tc>
        <w:tc>
          <w:tcPr>
            <w:tcW w:w="80" w:type="dxa"/>
            <w:vAlign w:val="bottom"/>
          </w:tcPr>
          <w:p>
            <w:pPr>
              <w:spacing w:after="0"/>
              <w:rPr>
                <w:sz w:val="9"/>
                <w:szCs w:val="9"/>
                <w:color w:val="auto"/>
              </w:rPr>
            </w:pPr>
          </w:p>
        </w:tc>
        <w:tc>
          <w:tcPr>
            <w:tcW w:w="1000" w:type="dxa"/>
            <w:vAlign w:val="bottom"/>
            <w:gridSpan w:val="3"/>
            <w:vMerge w:val="restart"/>
          </w:tcPr>
          <w:p>
            <w:pPr>
              <w:jc w:val="center"/>
              <w:ind w:right="180"/>
              <w:spacing w:after="0" w:line="149" w:lineRule="exact"/>
              <w:rPr>
                <w:sz w:val="20"/>
                <w:szCs w:val="20"/>
                <w:color w:val="auto"/>
              </w:rPr>
            </w:pPr>
            <w:r>
              <w:rPr>
                <w:rFonts w:ascii="Arial" w:cs="Arial" w:eastAsia="Arial" w:hAnsi="Arial"/>
                <w:sz w:val="14"/>
                <w:szCs w:val="14"/>
                <w:b w:val="1"/>
                <w:bCs w:val="1"/>
                <w:color w:val="auto"/>
                <w:w w:val="79"/>
              </w:rPr>
              <w:t>gains (losses)</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40" w:type="dxa"/>
            <w:vAlign w:val="bottom"/>
            <w:gridSpan w:val="2"/>
            <w:vMerge w:val="continu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tcBorders>
          </w:tcPr>
          <w:p>
            <w:pPr>
              <w:spacing w:after="0" w:line="20" w:lineRule="exact"/>
              <w:rPr>
                <w:sz w:val="1"/>
                <w:szCs w:val="1"/>
                <w:color w:val="auto"/>
              </w:rPr>
            </w:pPr>
          </w:p>
        </w:tc>
        <w:tc>
          <w:tcPr>
            <w:tcW w:w="600" w:type="dxa"/>
            <w:vAlign w:val="bottom"/>
            <w:tcBorders>
              <w:top w:val="single" w:sz="8" w:color="auto"/>
            </w:tcBorders>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60" w:type="dxa"/>
            <w:vAlign w:val="bottom"/>
            <w:tcBorders>
              <w:top w:val="single" w:sz="8" w:color="auto"/>
            </w:tcBorders>
          </w:tcPr>
          <w:p>
            <w:pPr>
              <w:spacing w:after="0" w:line="20" w:lineRule="exact"/>
              <w:rPr>
                <w:sz w:val="1"/>
                <w:szCs w:val="1"/>
                <w:color w:val="auto"/>
              </w:rPr>
            </w:pPr>
          </w:p>
        </w:tc>
        <w:tc>
          <w:tcPr>
            <w:tcW w:w="140" w:type="dxa"/>
            <w:vAlign w:val="bottom"/>
            <w:tcBorders>
              <w:top w:val="single" w:sz="8" w:color="auto"/>
            </w:tcBorders>
          </w:tcPr>
          <w:p>
            <w:pPr>
              <w:spacing w:after="0" w:line="20" w:lineRule="exact"/>
              <w:rPr>
                <w:sz w:val="1"/>
                <w:szCs w:val="1"/>
                <w:color w:val="auto"/>
              </w:rPr>
            </w:pPr>
          </w:p>
        </w:tc>
        <w:tc>
          <w:tcPr>
            <w:tcW w:w="760" w:type="dxa"/>
            <w:vAlign w:val="bottom"/>
            <w:tcBorders>
              <w:top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gridSpan w:val="2"/>
            <w:vMerge w:val="continu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75"/>
              </w:rPr>
              <w:t>asset/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3"/>
              </w:rPr>
              <w:t>Net purchases,</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0"/>
              </w:rPr>
              <w:t>asset/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6"/>
              </w:rPr>
              <w:t>included in</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3"/>
              </w:rPr>
              <w:t>(liability)</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6"/>
              </w:rPr>
              <w:t>Included</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76"/>
              </w:rPr>
              <w:t>sales,</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3"/>
              </w:rPr>
              <w:t>(liability)</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3"/>
              </w:rPr>
              <w:t>net income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3"/>
              </w:rPr>
              <w:t>balance as of</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0"/>
              </w:rPr>
              <w:t>Included</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in other</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79"/>
              </w:rPr>
              <w:t>issuances</w:t>
            </w:r>
          </w:p>
        </w:tc>
        <w:tc>
          <w:tcPr>
            <w:tcW w:w="60" w:type="dxa"/>
            <w:vAlign w:val="bottom"/>
          </w:tcPr>
          <w:p>
            <w:pPr>
              <w:spacing w:after="0"/>
              <w:rPr>
                <w:sz w:val="12"/>
                <w:szCs w:val="12"/>
                <w:color w:val="auto"/>
              </w:rPr>
            </w:pPr>
          </w:p>
        </w:tc>
        <w:tc>
          <w:tcPr>
            <w:tcW w:w="6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4"/>
              </w:rPr>
              <w:t>Transfers</w:t>
            </w:r>
          </w:p>
        </w:tc>
        <w:tc>
          <w:tcPr>
            <w:tcW w:w="180" w:type="dxa"/>
            <w:vAlign w:val="bottom"/>
          </w:tcPr>
          <w:p>
            <w:pPr>
              <w:spacing w:after="0"/>
              <w:rPr>
                <w:sz w:val="12"/>
                <w:szCs w:val="12"/>
                <w:color w:val="auto"/>
              </w:rPr>
            </w:pPr>
          </w:p>
        </w:tc>
        <w:tc>
          <w:tcPr>
            <w:tcW w:w="70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7"/>
              </w:rPr>
              <w:t>Transfers</w:t>
            </w:r>
          </w:p>
        </w:tc>
        <w:tc>
          <w:tcPr>
            <w:tcW w:w="80" w:type="dxa"/>
            <w:vAlign w:val="bottom"/>
          </w:tcPr>
          <w:p>
            <w:pPr>
              <w:spacing w:after="0"/>
              <w:rPr>
                <w:sz w:val="12"/>
                <w:szCs w:val="12"/>
                <w:color w:val="auto"/>
              </w:rPr>
            </w:pPr>
          </w:p>
        </w:tc>
        <w:tc>
          <w:tcPr>
            <w:tcW w:w="92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3"/>
              </w:rPr>
              <w:t>balance as of</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relating to</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in net</w:t>
            </w:r>
          </w:p>
        </w:tc>
        <w:tc>
          <w:tcPr>
            <w:tcW w:w="60" w:type="dxa"/>
            <w:vAlign w:val="bottom"/>
          </w:tcPr>
          <w:p>
            <w:pPr>
              <w:spacing w:after="0"/>
              <w:rPr>
                <w:sz w:val="12"/>
                <w:szCs w:val="12"/>
                <w:color w:val="auto"/>
              </w:rPr>
            </w:pPr>
          </w:p>
        </w:tc>
        <w:tc>
          <w:tcPr>
            <w:tcW w:w="100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3"/>
              </w:rPr>
              <w:t>comprehensive</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8"/>
              </w:rPr>
              <w:t>and</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5"/>
              </w:rPr>
              <w:t>into</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7"/>
              </w:rPr>
              <w:t>out of</w:t>
            </w:r>
          </w:p>
        </w:tc>
        <w:tc>
          <w:tcPr>
            <w:tcW w:w="80" w:type="dxa"/>
            <w:vAlign w:val="bottom"/>
          </w:tcPr>
          <w:p>
            <w:pPr>
              <w:spacing w:after="0"/>
              <w:rPr>
                <w:sz w:val="12"/>
                <w:szCs w:val="12"/>
                <w:color w:val="auto"/>
              </w:rPr>
            </w:pPr>
          </w:p>
        </w:tc>
        <w:tc>
          <w:tcPr>
            <w:tcW w:w="92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0"/>
              </w:rPr>
              <w:t>positions</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83"/>
              </w:rPr>
              <w:t>2012</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5"/>
              </w:rPr>
              <w:t>income (1)</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center"/>
              <w:ind w:right="72"/>
              <w:spacing w:after="0"/>
              <w:rPr>
                <w:sz w:val="20"/>
                <w:szCs w:val="20"/>
                <w:color w:val="auto"/>
              </w:rPr>
            </w:pPr>
            <w:r>
              <w:rPr>
                <w:rFonts w:ascii="Arial" w:cs="Arial" w:eastAsia="Arial" w:hAnsi="Arial"/>
                <w:sz w:val="14"/>
                <w:szCs w:val="14"/>
                <w:b w:val="1"/>
                <w:bCs w:val="1"/>
                <w:color w:val="auto"/>
                <w:w w:val="85"/>
              </w:rPr>
              <w:t>income</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4"/>
              </w:rPr>
              <w:t>settlements (4)</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8"/>
              </w:rPr>
              <w:t>Level 3</w:t>
            </w:r>
          </w:p>
        </w:tc>
        <w:tc>
          <w:tcPr>
            <w:tcW w:w="1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88"/>
              </w:rPr>
              <w:t>Level 3</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83"/>
              </w:rPr>
              <w:t>2013</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7"/>
              </w:rPr>
              <w:t>still held (1)</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4"/>
          </w:tcPr>
          <w:p>
            <w:pPr>
              <w:ind w:left="320"/>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5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600" w:type="dxa"/>
            <w:vAlign w:val="bottom"/>
          </w:tcPr>
          <w:p>
            <w:pPr>
              <w:spacing w:after="0" w:line="138" w:lineRule="exact"/>
              <w:rPr>
                <w:sz w:val="20"/>
                <w:szCs w:val="20"/>
                <w:color w:val="auto"/>
              </w:rPr>
            </w:pPr>
            <w:r>
              <w:rPr>
                <w:rFonts w:ascii="Arial" w:cs="Arial" w:eastAsia="Arial" w:hAnsi="Arial"/>
                <w:sz w:val="14"/>
                <w:szCs w:val="14"/>
                <w:color w:val="auto"/>
                <w:w w:val="94"/>
              </w:rPr>
              <w:t>Fixed maturities, available-</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600" w:type="dxa"/>
            <w:vAlign w:val="bottom"/>
          </w:tcPr>
          <w:p>
            <w:pPr>
              <w:ind w:left="140"/>
              <w:spacing w:after="0" w:line="159" w:lineRule="exact"/>
              <w:rPr>
                <w:sz w:val="20"/>
                <w:szCs w:val="20"/>
                <w:color w:val="auto"/>
              </w:rPr>
            </w:pPr>
            <w:r>
              <w:rPr>
                <w:rFonts w:ascii="Arial" w:cs="Arial" w:eastAsia="Arial" w:hAnsi="Arial"/>
                <w:sz w:val="14"/>
                <w:szCs w:val="14"/>
                <w:color w:val="auto"/>
              </w:rPr>
              <w:t>for-sale:</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Non-U.S. governments</w:t>
            </w:r>
          </w:p>
        </w:tc>
        <w:tc>
          <w:tcPr>
            <w:tcW w:w="2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44.3</w:t>
            </w:r>
          </w:p>
        </w:tc>
        <w:tc>
          <w:tcPr>
            <w:tcW w:w="10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7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(0.1)</w:t>
            </w:r>
          </w:p>
        </w:tc>
        <w:tc>
          <w:tcPr>
            <w:tcW w:w="200" w:type="dxa"/>
            <w:vAlign w:val="bottom"/>
            <w:gridSpan w:val="2"/>
            <w:shd w:val="clear" w:color="auto" w:fill="CCEEFF"/>
          </w:tcPr>
          <w:p>
            <w:pPr>
              <w:jc w:val="center"/>
              <w:spacing w:after="0" w:line="149" w:lineRule="exact"/>
              <w:rPr>
                <w:sz w:val="20"/>
                <w:szCs w:val="20"/>
                <w:color w:val="auto"/>
              </w:rPr>
            </w:pPr>
            <w:r>
              <w:rPr>
                <w:rFonts w:ascii="Arial" w:cs="Arial" w:eastAsia="Arial" w:hAnsi="Arial"/>
                <w:sz w:val="14"/>
                <w:szCs w:val="14"/>
                <w:b w:val="1"/>
                <w:bCs w:val="1"/>
                <w:color w:val="auto"/>
                <w:w w:val="76"/>
              </w:rPr>
              <w:t>$</w:t>
            </w:r>
          </w:p>
        </w:tc>
        <w:tc>
          <w:tcPr>
            <w:tcW w:w="8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(0.9)</w:t>
            </w:r>
          </w:p>
        </w:tc>
        <w:tc>
          <w:tcPr>
            <w:tcW w:w="1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4.2</w:t>
            </w:r>
          </w:p>
        </w:tc>
        <w:tc>
          <w:tcPr>
            <w:tcW w:w="10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47.5</w:t>
            </w:r>
          </w:p>
        </w:tc>
        <w:tc>
          <w:tcPr>
            <w:tcW w:w="8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(0.1)</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600" w:type="dxa"/>
            <w:vAlign w:val="bottom"/>
          </w:tcPr>
          <w:p>
            <w:pPr>
              <w:ind w:left="140"/>
              <w:spacing w:after="0" w:line="138" w:lineRule="exact"/>
              <w:rPr>
                <w:sz w:val="20"/>
                <w:szCs w:val="20"/>
                <w:color w:val="auto"/>
              </w:rPr>
            </w:pPr>
            <w:r>
              <w:rPr>
                <w:rFonts w:ascii="Arial" w:cs="Arial" w:eastAsia="Arial" w:hAnsi="Arial"/>
                <w:sz w:val="14"/>
                <w:szCs w:val="14"/>
                <w:color w:val="auto"/>
              </w:rPr>
              <w:t>States and political</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1.9</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gridSpan w:val="2"/>
            <w:vMerge w:val="restart"/>
          </w:tcPr>
          <w:p>
            <w:pPr>
              <w:jc w:val="right"/>
              <w:ind w:right="60"/>
              <w:spacing w:after="0"/>
              <w:rPr>
                <w:sz w:val="20"/>
                <w:szCs w:val="20"/>
                <w:color w:val="auto"/>
              </w:rPr>
            </w:pPr>
            <w:r>
              <w:rPr>
                <w:rFonts w:ascii="Arial" w:cs="Arial" w:eastAsia="Arial" w:hAnsi="Arial"/>
                <w:sz w:val="14"/>
                <w:szCs w:val="14"/>
                <w:b w:val="1"/>
                <w:bCs w:val="1"/>
                <w:color w:val="auto"/>
              </w:rPr>
              <w:t>(0.1)</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1.8</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gridSpan w:val="2"/>
            <w:vMerge w:val="restart"/>
          </w:tcPr>
          <w:p>
            <w:pPr>
              <w:jc w:val="right"/>
              <w:ind w:right="180"/>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600" w:type="dxa"/>
            <w:vAlign w:val="bottom"/>
          </w:tcPr>
          <w:p>
            <w:pPr>
              <w:ind w:left="280"/>
              <w:spacing w:after="0" w:line="159" w:lineRule="exact"/>
              <w:rPr>
                <w:sz w:val="20"/>
                <w:szCs w:val="20"/>
                <w:color w:val="auto"/>
              </w:rPr>
            </w:pPr>
            <w:r>
              <w:rPr>
                <w:rFonts w:ascii="Arial" w:cs="Arial" w:eastAsia="Arial" w:hAnsi="Arial"/>
                <w:sz w:val="14"/>
                <w:szCs w:val="14"/>
                <w:color w:val="auto"/>
              </w:rPr>
              <w:t>subdivisions</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vMerge w:val="continue"/>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vMerge w:val="continue"/>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vMerge w:val="continue"/>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Corporate</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174.5</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(13.4)</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4.5</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(23.0)</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105.3</w:t>
            </w: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b w:val="1"/>
                <w:bCs w:val="1"/>
                <w:color w:val="auto"/>
              </w:rPr>
              <w:t>(83.9)</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164.0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(10.4)</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600" w:type="dxa"/>
            <w:vAlign w:val="bottom"/>
          </w:tcPr>
          <w:p>
            <w:pPr>
              <w:ind w:left="140"/>
              <w:spacing w:after="0" w:line="138" w:lineRule="exact"/>
              <w:rPr>
                <w:sz w:val="20"/>
                <w:szCs w:val="20"/>
                <w:color w:val="auto"/>
              </w:rPr>
            </w:pPr>
            <w:r>
              <w:rPr>
                <w:rFonts w:ascii="Arial" w:cs="Arial" w:eastAsia="Arial" w:hAnsi="Arial"/>
                <w:sz w:val="14"/>
                <w:szCs w:val="14"/>
                <w:color w:val="auto"/>
              </w:rPr>
              <w:t>Commercial mortgage-</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gridSpan w:val="2"/>
            <w:vMerge w:val="restart"/>
          </w:tcPr>
          <w:p>
            <w:pPr>
              <w:jc w:val="right"/>
              <w:ind w:right="12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vMerge w:val="restart"/>
          </w:tcPr>
          <w:p>
            <w:pPr>
              <w:jc w:val="right"/>
              <w:ind w:right="60"/>
              <w:spacing w:after="0"/>
              <w:rPr>
                <w:sz w:val="20"/>
                <w:szCs w:val="20"/>
                <w:color w:val="auto"/>
              </w:rPr>
            </w:pPr>
            <w:r>
              <w:rPr>
                <w:rFonts w:ascii="Arial" w:cs="Arial" w:eastAsia="Arial" w:hAnsi="Arial"/>
                <w:sz w:val="14"/>
                <w:szCs w:val="14"/>
                <w:b w:val="1"/>
                <w:bCs w:val="1"/>
                <w:color w:val="auto"/>
              </w:rPr>
              <w:t>(0.1)</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gridSpan w:val="2"/>
            <w:vMerge w:val="restart"/>
          </w:tcPr>
          <w:p>
            <w:pPr>
              <w:jc w:val="right"/>
              <w:ind w:right="60"/>
              <w:spacing w:after="0"/>
              <w:rPr>
                <w:sz w:val="20"/>
                <w:szCs w:val="20"/>
                <w:color w:val="auto"/>
              </w:rPr>
            </w:pPr>
            <w:r>
              <w:rPr>
                <w:rFonts w:ascii="Arial" w:cs="Arial" w:eastAsia="Arial" w:hAnsi="Arial"/>
                <w:sz w:val="14"/>
                <w:szCs w:val="14"/>
                <w:b w:val="1"/>
                <w:bCs w:val="1"/>
                <w:color w:val="auto"/>
              </w:rPr>
              <w:t>(0.7)</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2.4</w:t>
            </w: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1.6</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gridSpan w:val="2"/>
            <w:vMerge w:val="restart"/>
          </w:tcPr>
          <w:p>
            <w:pPr>
              <w:jc w:val="right"/>
              <w:ind w:right="180"/>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600" w:type="dxa"/>
            <w:vAlign w:val="bottom"/>
          </w:tcPr>
          <w:p>
            <w:pPr>
              <w:ind w:left="280"/>
              <w:spacing w:after="0" w:line="159" w:lineRule="exact"/>
              <w:rPr>
                <w:sz w:val="20"/>
                <w:szCs w:val="20"/>
                <w:color w:val="auto"/>
              </w:rPr>
            </w:pPr>
            <w:r>
              <w:rPr>
                <w:rFonts w:ascii="Arial" w:cs="Arial" w:eastAsia="Arial" w:hAnsi="Arial"/>
                <w:sz w:val="14"/>
                <w:szCs w:val="14"/>
                <w:color w:val="auto"/>
              </w:rPr>
              <w:t>backed securities</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4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vMerge w:val="continue"/>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vMerge w:val="continue"/>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vMerge w:val="continue"/>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600" w:type="dxa"/>
            <w:vAlign w:val="bottom"/>
            <w:shd w:val="clear" w:color="auto" w:fill="CCEEFF"/>
          </w:tcPr>
          <w:p>
            <w:pPr>
              <w:ind w:left="140"/>
              <w:spacing w:after="0" w:line="138" w:lineRule="exact"/>
              <w:rPr>
                <w:sz w:val="20"/>
                <w:szCs w:val="20"/>
                <w:color w:val="auto"/>
              </w:rPr>
            </w:pPr>
            <w:r>
              <w:rPr>
                <w:rFonts w:ascii="Arial" w:cs="Arial" w:eastAsia="Arial" w:hAnsi="Arial"/>
                <w:sz w:val="14"/>
                <w:szCs w:val="14"/>
                <w:color w:val="auto"/>
              </w:rPr>
              <w:t>Collateralized debt</w:t>
            </w: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77.6</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2.1</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7.2</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8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(56.0)</w:t>
            </w: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2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31.7</w:t>
            </w:r>
          </w:p>
        </w:tc>
        <w:tc>
          <w:tcPr>
            <w:tcW w:w="1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2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4"/>
                <w:szCs w:val="14"/>
                <w:b w:val="1"/>
                <w:bCs w:val="1"/>
                <w:color w:val="auto"/>
              </w:rPr>
              <w:t>(24.8)</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37.8</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600" w:type="dxa"/>
            <w:vAlign w:val="bottom"/>
            <w:shd w:val="clear" w:color="auto" w:fill="CCEEFF"/>
          </w:tcPr>
          <w:p>
            <w:pPr>
              <w:ind w:left="280"/>
              <w:spacing w:after="0" w:line="159" w:lineRule="exact"/>
              <w:rPr>
                <w:sz w:val="20"/>
                <w:szCs w:val="20"/>
                <w:color w:val="auto"/>
              </w:rPr>
            </w:pPr>
            <w:r>
              <w:rPr>
                <w:rFonts w:ascii="Arial" w:cs="Arial" w:eastAsia="Arial" w:hAnsi="Arial"/>
                <w:sz w:val="14"/>
                <w:szCs w:val="14"/>
                <w:color w:val="auto"/>
              </w:rPr>
              <w:t>obligations</w:t>
            </w:r>
          </w:p>
        </w:tc>
        <w:tc>
          <w:tcPr>
            <w:tcW w:w="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40" w:type="dxa"/>
            <w:vAlign w:val="bottom"/>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00" w:type="dxa"/>
            <w:vAlign w:val="bottom"/>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760" w:type="dxa"/>
            <w:vAlign w:val="bottom"/>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8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20" w:type="dxa"/>
            <w:vAlign w:val="bottom"/>
            <w:vMerge w:val="continue"/>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vMerge w:val="continue"/>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40" w:type="dxa"/>
            <w:vAlign w:val="bottom"/>
            <w:vMerge w:val="continue"/>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20" w:type="dxa"/>
            <w:vAlign w:val="bottom"/>
            <w:gridSpan w:val="2"/>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tcPr>
          <w:p>
            <w:pPr>
              <w:ind w:left="140"/>
              <w:spacing w:after="0" w:line="149" w:lineRule="exact"/>
              <w:rPr>
                <w:sz w:val="20"/>
                <w:szCs w:val="20"/>
                <w:color w:val="auto"/>
              </w:rPr>
            </w:pPr>
            <w:r>
              <w:rPr>
                <w:rFonts w:ascii="Arial" w:cs="Arial" w:eastAsia="Arial" w:hAnsi="Arial"/>
                <w:sz w:val="14"/>
                <w:szCs w:val="14"/>
                <w:color w:val="auto"/>
              </w:rPr>
              <w:t>Other debt obligations</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(0.3)</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34.9</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32.0</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84.1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(0.3)</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1"/>
        </w:trPr>
        <w:tc>
          <w:tcPr>
            <w:tcW w:w="20" w:type="dxa"/>
            <w:vAlign w:val="bottom"/>
            <w:vMerge w:val="continue"/>
          </w:tcPr>
          <w:p>
            <w:pPr>
              <w:spacing w:after="0"/>
              <w:rPr>
                <w:sz w:val="11"/>
                <w:szCs w:val="11"/>
                <w:color w:val="auto"/>
              </w:rPr>
            </w:pPr>
          </w:p>
        </w:tc>
        <w:tc>
          <w:tcPr>
            <w:tcW w:w="1600" w:type="dxa"/>
            <w:vAlign w:val="bottom"/>
            <w:shd w:val="clear" w:color="auto" w:fill="CCEEFF"/>
          </w:tcPr>
          <w:p>
            <w:pPr>
              <w:spacing w:after="0" w:line="131" w:lineRule="exact"/>
              <w:rPr>
                <w:sz w:val="20"/>
                <w:szCs w:val="20"/>
                <w:color w:val="auto"/>
              </w:rPr>
            </w:pPr>
            <w:r>
              <w:rPr>
                <w:rFonts w:ascii="Arial" w:cs="Arial" w:eastAsia="Arial" w:hAnsi="Arial"/>
                <w:sz w:val="14"/>
                <w:szCs w:val="14"/>
                <w:color w:val="auto"/>
              </w:rPr>
              <w:t>Total fixed maturities,</w:t>
            </w: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313.0</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(11.7)</w:t>
            </w:r>
          </w:p>
        </w:tc>
        <w:tc>
          <w:tcPr>
            <w:tcW w:w="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13.5</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8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(40.7)</w:t>
            </w: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2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171.4</w:t>
            </w:r>
          </w:p>
        </w:tc>
        <w:tc>
          <w:tcPr>
            <w:tcW w:w="1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2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4"/>
                <w:szCs w:val="14"/>
                <w:b w:val="1"/>
                <w:bCs w:val="1"/>
                <w:color w:val="auto"/>
              </w:rPr>
              <w:t>(108.7)</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336.8</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2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(10.8)</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60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available-for-sale</w:t>
            </w:r>
          </w:p>
        </w:tc>
        <w:tc>
          <w:tcPr>
            <w:tcW w:w="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40" w:type="dxa"/>
            <w:vAlign w:val="bottom"/>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70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760" w:type="dxa"/>
            <w:vAlign w:val="bottom"/>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8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20" w:type="dxa"/>
            <w:vAlign w:val="bottom"/>
            <w:vMerge w:val="continue"/>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vMerge w:val="continue"/>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40" w:type="dxa"/>
            <w:vAlign w:val="bottom"/>
            <w:vMerge w:val="continue"/>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20" w:type="dxa"/>
            <w:vAlign w:val="bottom"/>
            <w:gridSpan w:val="2"/>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tcPr>
          <w:p>
            <w:pPr>
              <w:spacing w:after="0" w:line="149" w:lineRule="exact"/>
              <w:rPr>
                <w:sz w:val="20"/>
                <w:szCs w:val="20"/>
                <w:color w:val="auto"/>
              </w:rPr>
            </w:pPr>
            <w:r>
              <w:rPr>
                <w:rFonts w:ascii="Arial" w:cs="Arial" w:eastAsia="Arial" w:hAnsi="Arial"/>
                <w:sz w:val="14"/>
                <w:szCs w:val="14"/>
                <w:color w:val="auto"/>
              </w:rPr>
              <w:t>Fixed maturities, trading</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166.8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3.0</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169.9</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60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3"/>
              </w:rPr>
              <w:t>Equity securities, available-</w:t>
            </w: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15.3</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(0.2)</w:t>
            </w:r>
          </w:p>
        </w:tc>
        <w:tc>
          <w:tcPr>
            <w:tcW w:w="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1.8</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8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2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2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16.9</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2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(0.2)</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60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for-sale</w:t>
            </w:r>
          </w:p>
        </w:tc>
        <w:tc>
          <w:tcPr>
            <w:tcW w:w="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40" w:type="dxa"/>
            <w:vAlign w:val="bottom"/>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70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760" w:type="dxa"/>
            <w:vAlign w:val="bottom"/>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8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20" w:type="dxa"/>
            <w:vAlign w:val="bottom"/>
            <w:vMerge w:val="continue"/>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vMerge w:val="continue"/>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40" w:type="dxa"/>
            <w:vAlign w:val="bottom"/>
            <w:vMerge w:val="continue"/>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20" w:type="dxa"/>
            <w:vAlign w:val="bottom"/>
            <w:gridSpan w:val="2"/>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tcPr>
          <w:p>
            <w:pPr>
              <w:spacing w:after="0" w:line="149" w:lineRule="exact"/>
              <w:rPr>
                <w:sz w:val="20"/>
                <w:szCs w:val="20"/>
                <w:color w:val="auto"/>
              </w:rPr>
            </w:pPr>
            <w:r>
              <w:rPr>
                <w:rFonts w:ascii="Arial" w:cs="Arial" w:eastAsia="Arial" w:hAnsi="Arial"/>
                <w:sz w:val="14"/>
                <w:szCs w:val="14"/>
                <w:color w:val="auto"/>
              </w:rPr>
              <w:t>Derivative assets</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75.1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(19.5)</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18.6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74.2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(19.8)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investments</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113.9</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17.8</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142.9</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tcPr>
          <w:p>
            <w:pPr>
              <w:spacing w:after="0" w:line="149" w:lineRule="exact"/>
              <w:rPr>
                <w:sz w:val="20"/>
                <w:szCs w:val="20"/>
                <w:color w:val="auto"/>
              </w:rPr>
            </w:pPr>
            <w:r>
              <w:rPr>
                <w:rFonts w:ascii="Arial" w:cs="Arial" w:eastAsia="Arial" w:hAnsi="Arial"/>
                <w:sz w:val="14"/>
                <w:szCs w:val="14"/>
                <w:color w:val="auto"/>
                <w:w w:val="90"/>
              </w:rPr>
              <w:t>Separate account assets (2)</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4,616.0</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574.9</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(0.1)</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68.2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12.7</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tcPr>
          <w:p>
            <w:pPr>
              <w:jc w:val="right"/>
              <w:ind w:right="40"/>
              <w:spacing w:after="0" w:line="149" w:lineRule="exact"/>
              <w:rPr>
                <w:sz w:val="20"/>
                <w:szCs w:val="20"/>
                <w:color w:val="auto"/>
              </w:rPr>
            </w:pPr>
            <w:r>
              <w:rPr>
                <w:rFonts w:ascii="Arial" w:cs="Arial" w:eastAsia="Arial" w:hAnsi="Arial"/>
                <w:sz w:val="14"/>
                <w:szCs w:val="14"/>
                <w:b w:val="1"/>
                <w:bCs w:val="1"/>
                <w:color w:val="auto"/>
              </w:rPr>
              <w:t>(6.5)</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5,265.2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545.8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160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Liabilities</w:t>
            </w: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600" w:type="dxa"/>
            <w:vAlign w:val="bottom"/>
          </w:tcPr>
          <w:p>
            <w:pPr>
              <w:spacing w:after="0" w:line="138" w:lineRule="exact"/>
              <w:rPr>
                <w:sz w:val="20"/>
                <w:szCs w:val="20"/>
                <w:color w:val="auto"/>
              </w:rPr>
            </w:pPr>
            <w:r>
              <w:rPr>
                <w:rFonts w:ascii="Arial" w:cs="Arial" w:eastAsia="Arial" w:hAnsi="Arial"/>
                <w:sz w:val="14"/>
                <w:szCs w:val="14"/>
                <w:color w:val="auto"/>
                <w:w w:val="92"/>
              </w:rPr>
              <w:t>Investments-type insurance</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gridSpan w:val="2"/>
            <w:vMerge w:val="restart"/>
          </w:tcPr>
          <w:p>
            <w:pPr>
              <w:jc w:val="right"/>
              <w:ind w:right="60"/>
              <w:spacing w:after="0"/>
              <w:rPr>
                <w:sz w:val="20"/>
                <w:szCs w:val="20"/>
                <w:color w:val="auto"/>
              </w:rPr>
            </w:pPr>
            <w:r>
              <w:rPr>
                <w:rFonts w:ascii="Arial" w:cs="Arial" w:eastAsia="Arial" w:hAnsi="Arial"/>
                <w:sz w:val="14"/>
                <w:szCs w:val="14"/>
                <w:b w:val="1"/>
                <w:bCs w:val="1"/>
                <w:color w:val="auto"/>
              </w:rPr>
              <w:t>(170.5)</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147.3</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16.3</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gridSpan w:val="2"/>
            <w:vMerge w:val="restart"/>
          </w:tcPr>
          <w:p>
            <w:pPr>
              <w:jc w:val="right"/>
              <w:ind w:right="40"/>
              <w:spacing w:after="0"/>
              <w:rPr>
                <w:sz w:val="20"/>
                <w:szCs w:val="20"/>
                <w:color w:val="auto"/>
              </w:rPr>
            </w:pPr>
            <w:r>
              <w:rPr>
                <w:rFonts w:ascii="Arial" w:cs="Arial" w:eastAsia="Arial" w:hAnsi="Arial"/>
                <w:sz w:val="14"/>
                <w:szCs w:val="14"/>
                <w:b w:val="1"/>
                <w:bCs w:val="1"/>
                <w:color w:val="auto"/>
              </w:rPr>
              <w:t>(6.9)</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145.0</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600" w:type="dxa"/>
            <w:vAlign w:val="bottom"/>
          </w:tcPr>
          <w:p>
            <w:pPr>
              <w:ind w:left="140"/>
              <w:spacing w:after="0" w:line="159" w:lineRule="exact"/>
              <w:rPr>
                <w:sz w:val="20"/>
                <w:szCs w:val="20"/>
                <w:color w:val="auto"/>
              </w:rPr>
            </w:pPr>
            <w:r>
              <w:rPr>
                <w:rFonts w:ascii="Arial" w:cs="Arial" w:eastAsia="Arial" w:hAnsi="Arial"/>
                <w:sz w:val="14"/>
                <w:szCs w:val="14"/>
                <w:color w:val="auto"/>
              </w:rPr>
              <w:t>contracts</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4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vMerge w:val="continue"/>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vMerge w:val="continue"/>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gridSpan w:val="2"/>
            <w:vMerge w:val="continue"/>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Derivative liabilities</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(102.6)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55.0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(0.1)</w:t>
            </w: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b w:val="1"/>
                <w:bCs w:val="1"/>
                <w:color w:val="auto"/>
              </w:rPr>
              <w:t>(39.6)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53.9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600" w:type="dxa"/>
            <w:vAlign w:val="bottom"/>
          </w:tcPr>
          <w:p>
            <w:pPr>
              <w:spacing w:after="0"/>
              <w:rPr>
                <w:sz w:val="20"/>
                <w:szCs w:val="20"/>
                <w:color w:val="auto"/>
              </w:rPr>
            </w:pPr>
            <w:r>
              <w:rPr>
                <w:rFonts w:ascii="Arial" w:cs="Arial" w:eastAsia="Arial" w:hAnsi="Arial"/>
                <w:sz w:val="14"/>
                <w:szCs w:val="14"/>
                <w:color w:val="auto"/>
              </w:rPr>
              <w:t>Other liabilities (3)</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4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rPr>
              <w:t>(39.6)</w:t>
            </w: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0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rPr>
              <w:t>(34.3)</w:t>
            </w:r>
          </w:p>
        </w:tc>
        <w:tc>
          <w:tcPr>
            <w:tcW w:w="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gridSpan w:val="2"/>
          </w:tcPr>
          <w:p>
            <w:pPr>
              <w:jc w:val="right"/>
              <w:ind w:right="40"/>
              <w:spacing w:after="0"/>
              <w:rPr>
                <w:sz w:val="20"/>
                <w:szCs w:val="20"/>
                <w:color w:val="auto"/>
              </w:rPr>
            </w:pPr>
            <w:r>
              <w:rPr>
                <w:rFonts w:ascii="Arial" w:cs="Arial" w:eastAsia="Arial" w:hAnsi="Arial"/>
                <w:sz w:val="14"/>
                <w:szCs w:val="14"/>
                <w:b w:val="1"/>
                <w:bCs w:val="1"/>
                <w:color w:val="auto"/>
              </w:rPr>
              <w:t>(73.9)</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rPr>
              <w:t>(34.3)</w:t>
            </w:r>
          </w:p>
        </w:tc>
        <w:tc>
          <w:tcPr>
            <w:tcW w:w="0" w:type="dxa"/>
            <w:vAlign w:val="bottom"/>
          </w:tcPr>
          <w:p>
            <w:pPr>
              <w:spacing w:after="0"/>
              <w:rPr>
                <w:sz w:val="1"/>
                <w:szCs w:val="1"/>
                <w:color w:val="auto"/>
              </w:rPr>
            </w:pPr>
          </w:p>
        </w:tc>
      </w:tr>
      <w:tr>
        <w:trPr>
          <w:trHeight w:val="487"/>
        </w:trPr>
        <w:tc>
          <w:tcPr>
            <w:tcW w:w="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600" w:type="dxa"/>
            <w:vAlign w:val="bottom"/>
            <w:tcBorders>
              <w:bottom w:val="single" w:sz="8" w:color="auto"/>
            </w:tcBorders>
            <w:gridSpan w:val="9"/>
          </w:tcPr>
          <w:p>
            <w:pPr>
              <w:jc w:val="right"/>
              <w:ind w:right="232"/>
              <w:spacing w:after="0"/>
              <w:rPr>
                <w:sz w:val="20"/>
                <w:szCs w:val="20"/>
                <w:color w:val="auto"/>
              </w:rPr>
            </w:pPr>
            <w:r>
              <w:rPr>
                <w:rFonts w:ascii="Arial" w:cs="Arial" w:eastAsia="Arial" w:hAnsi="Arial"/>
                <w:sz w:val="14"/>
                <w:szCs w:val="14"/>
                <w:b w:val="1"/>
                <w:bCs w:val="1"/>
                <w:color w:val="auto"/>
                <w:w w:val="89"/>
              </w:rPr>
              <w:t>For the year ended December 31, 2012</w:t>
            </w:r>
          </w:p>
        </w:tc>
        <w:tc>
          <w:tcPr>
            <w:tcW w:w="1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4"/>
              </w:rPr>
              <w:t>Changes in</w:t>
            </w:r>
          </w:p>
        </w:tc>
        <w:tc>
          <w:tcPr>
            <w:tcW w:w="0" w:type="dxa"/>
            <w:vAlign w:val="bottom"/>
          </w:tcPr>
          <w:p>
            <w:pPr>
              <w:spacing w:after="0"/>
              <w:rPr>
                <w:sz w:val="1"/>
                <w:szCs w:val="1"/>
                <w:color w:val="auto"/>
              </w:rPr>
            </w:pPr>
          </w:p>
        </w:tc>
      </w:tr>
      <w:tr>
        <w:trPr>
          <w:trHeight w:val="116"/>
        </w:trPr>
        <w:tc>
          <w:tcPr>
            <w:tcW w:w="20" w:type="dxa"/>
            <w:vAlign w:val="bottom"/>
          </w:tcPr>
          <w:p>
            <w:pPr>
              <w:spacing w:after="0"/>
              <w:rPr>
                <w:sz w:val="10"/>
                <w:szCs w:val="10"/>
                <w:color w:val="auto"/>
              </w:rPr>
            </w:pPr>
          </w:p>
        </w:tc>
        <w:tc>
          <w:tcPr>
            <w:tcW w:w="16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760" w:type="dxa"/>
            <w:vAlign w:val="bottom"/>
            <w:gridSpan w:val="6"/>
            <w:vMerge w:val="restart"/>
          </w:tcPr>
          <w:p>
            <w:pPr>
              <w:jc w:val="center"/>
              <w:ind w:right="200"/>
              <w:spacing w:after="0"/>
              <w:rPr>
                <w:sz w:val="20"/>
                <w:szCs w:val="20"/>
                <w:color w:val="auto"/>
              </w:rPr>
            </w:pPr>
            <w:r>
              <w:rPr>
                <w:rFonts w:ascii="Arial" w:cs="Arial" w:eastAsia="Arial" w:hAnsi="Arial"/>
                <w:sz w:val="14"/>
                <w:szCs w:val="14"/>
                <w:b w:val="1"/>
                <w:bCs w:val="1"/>
                <w:color w:val="auto"/>
                <w:w w:val="88"/>
              </w:rPr>
              <w:t>Total realized/unrealized</w:t>
            </w: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920" w:type="dxa"/>
            <w:vAlign w:val="bottom"/>
            <w:gridSpan w:val="2"/>
          </w:tcPr>
          <w:p>
            <w:pPr>
              <w:jc w:val="center"/>
              <w:ind w:right="280"/>
              <w:spacing w:after="0" w:line="116" w:lineRule="exact"/>
              <w:rPr>
                <w:sz w:val="20"/>
                <w:szCs w:val="20"/>
                <w:color w:val="auto"/>
              </w:rPr>
            </w:pPr>
            <w:r>
              <w:rPr>
                <w:rFonts w:ascii="Arial" w:cs="Arial" w:eastAsia="Arial" w:hAnsi="Arial"/>
                <w:sz w:val="12"/>
                <w:szCs w:val="12"/>
                <w:b w:val="1"/>
                <w:bCs w:val="1"/>
                <w:color w:val="auto"/>
              </w:rPr>
              <w:t>unrealized</w:t>
            </w: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60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40" w:type="dxa"/>
            <w:vAlign w:val="bottom"/>
            <w:gridSpan w:val="2"/>
            <w:vMerge w:val="restart"/>
          </w:tcPr>
          <w:p>
            <w:pPr>
              <w:jc w:val="center"/>
              <w:ind w:right="220"/>
              <w:spacing w:after="0" w:line="149" w:lineRule="exact"/>
              <w:rPr>
                <w:sz w:val="20"/>
                <w:szCs w:val="20"/>
                <w:color w:val="auto"/>
              </w:rPr>
            </w:pPr>
            <w:r>
              <w:rPr>
                <w:rFonts w:ascii="Arial" w:cs="Arial" w:eastAsia="Arial" w:hAnsi="Arial"/>
                <w:sz w:val="14"/>
                <w:szCs w:val="14"/>
                <w:b w:val="1"/>
                <w:bCs w:val="1"/>
                <w:color w:val="auto"/>
                <w:w w:val="84"/>
              </w:rPr>
              <w:t>Beginning</w:t>
            </w: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1760" w:type="dxa"/>
            <w:vAlign w:val="bottom"/>
            <w:gridSpan w:val="6"/>
            <w:vMerge w:val="continue"/>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520" w:type="dxa"/>
            <w:vAlign w:val="bottom"/>
          </w:tcPr>
          <w:p>
            <w:pPr>
              <w:spacing w:after="0"/>
              <w:rPr>
                <w:sz w:val="4"/>
                <w:szCs w:val="4"/>
                <w:color w:val="auto"/>
              </w:rPr>
            </w:pPr>
          </w:p>
        </w:tc>
        <w:tc>
          <w:tcPr>
            <w:tcW w:w="180" w:type="dxa"/>
            <w:vAlign w:val="bottom"/>
          </w:tcPr>
          <w:p>
            <w:pPr>
              <w:spacing w:after="0"/>
              <w:rPr>
                <w:sz w:val="4"/>
                <w:szCs w:val="4"/>
                <w:color w:val="auto"/>
              </w:rPr>
            </w:pPr>
          </w:p>
        </w:tc>
        <w:tc>
          <w:tcPr>
            <w:tcW w:w="80" w:type="dxa"/>
            <w:vAlign w:val="bottom"/>
          </w:tcPr>
          <w:p>
            <w:pPr>
              <w:spacing w:after="0"/>
              <w:rPr>
                <w:sz w:val="4"/>
                <w:szCs w:val="4"/>
                <w:color w:val="auto"/>
              </w:rPr>
            </w:pPr>
          </w:p>
        </w:tc>
        <w:tc>
          <w:tcPr>
            <w:tcW w:w="5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820" w:type="dxa"/>
            <w:vAlign w:val="bottom"/>
            <w:gridSpan w:val="2"/>
            <w:vMerge w:val="restart"/>
          </w:tcPr>
          <w:p>
            <w:pPr>
              <w:jc w:val="center"/>
              <w:ind w:right="200"/>
              <w:spacing w:after="0" w:line="149" w:lineRule="exact"/>
              <w:rPr>
                <w:sz w:val="20"/>
                <w:szCs w:val="20"/>
                <w:color w:val="auto"/>
              </w:rPr>
            </w:pPr>
            <w:r>
              <w:rPr>
                <w:rFonts w:ascii="Arial" w:cs="Arial" w:eastAsia="Arial" w:hAnsi="Arial"/>
                <w:sz w:val="14"/>
                <w:szCs w:val="14"/>
                <w:b w:val="1"/>
                <w:bCs w:val="1"/>
                <w:color w:val="auto"/>
                <w:w w:val="88"/>
              </w:rPr>
              <w:t>Ending</w:t>
            </w:r>
          </w:p>
        </w:tc>
        <w:tc>
          <w:tcPr>
            <w:tcW w:w="80" w:type="dxa"/>
            <w:vAlign w:val="bottom"/>
          </w:tcPr>
          <w:p>
            <w:pPr>
              <w:spacing w:after="0"/>
              <w:rPr>
                <w:sz w:val="4"/>
                <w:szCs w:val="4"/>
                <w:color w:val="auto"/>
              </w:rPr>
            </w:pPr>
          </w:p>
        </w:tc>
        <w:tc>
          <w:tcPr>
            <w:tcW w:w="1000" w:type="dxa"/>
            <w:vAlign w:val="bottom"/>
            <w:gridSpan w:val="3"/>
            <w:vMerge w:val="restart"/>
          </w:tcPr>
          <w:p>
            <w:pPr>
              <w:jc w:val="center"/>
              <w:ind w:right="180"/>
              <w:spacing w:after="0" w:line="149" w:lineRule="exact"/>
              <w:rPr>
                <w:sz w:val="20"/>
                <w:szCs w:val="20"/>
                <w:color w:val="auto"/>
              </w:rPr>
            </w:pPr>
            <w:r>
              <w:rPr>
                <w:rFonts w:ascii="Arial" w:cs="Arial" w:eastAsia="Arial" w:hAnsi="Arial"/>
                <w:sz w:val="14"/>
                <w:szCs w:val="14"/>
                <w:b w:val="1"/>
                <w:bCs w:val="1"/>
                <w:color w:val="auto"/>
                <w:w w:val="79"/>
              </w:rPr>
              <w:t>gains (losses)</w:t>
            </w: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60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40" w:type="dxa"/>
            <w:vAlign w:val="bottom"/>
            <w:gridSpan w:val="2"/>
            <w:vMerge w:val="continue"/>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1760" w:type="dxa"/>
            <w:vAlign w:val="bottom"/>
            <w:gridSpan w:val="6"/>
            <w:vMerge w:val="restart"/>
          </w:tcPr>
          <w:p>
            <w:pPr>
              <w:jc w:val="center"/>
              <w:ind w:right="200"/>
              <w:spacing w:after="0"/>
              <w:rPr>
                <w:sz w:val="20"/>
                <w:szCs w:val="20"/>
                <w:color w:val="auto"/>
              </w:rPr>
            </w:pPr>
            <w:r>
              <w:rPr>
                <w:rFonts w:ascii="Arial" w:cs="Arial" w:eastAsia="Arial" w:hAnsi="Arial"/>
                <w:sz w:val="14"/>
                <w:szCs w:val="14"/>
                <w:b w:val="1"/>
                <w:bCs w:val="1"/>
                <w:color w:val="auto"/>
                <w:w w:val="81"/>
              </w:rPr>
              <w:t>gains (losses)</w:t>
            </w:r>
          </w:p>
        </w:tc>
        <w:tc>
          <w:tcPr>
            <w:tcW w:w="60" w:type="dxa"/>
            <w:vAlign w:val="bottom"/>
          </w:tcPr>
          <w:p>
            <w:pPr>
              <w:spacing w:after="0"/>
              <w:rPr>
                <w:sz w:val="8"/>
                <w:szCs w:val="8"/>
                <w:color w:val="auto"/>
              </w:rPr>
            </w:pPr>
          </w:p>
        </w:tc>
        <w:tc>
          <w:tcPr>
            <w:tcW w:w="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180" w:type="dxa"/>
            <w:vAlign w:val="bottom"/>
          </w:tcPr>
          <w:p>
            <w:pPr>
              <w:spacing w:after="0"/>
              <w:rPr>
                <w:sz w:val="8"/>
                <w:szCs w:val="8"/>
                <w:color w:val="auto"/>
              </w:rPr>
            </w:pPr>
          </w:p>
        </w:tc>
        <w:tc>
          <w:tcPr>
            <w:tcW w:w="80" w:type="dxa"/>
            <w:vAlign w:val="bottom"/>
          </w:tcPr>
          <w:p>
            <w:pPr>
              <w:spacing w:after="0"/>
              <w:rPr>
                <w:sz w:val="8"/>
                <w:szCs w:val="8"/>
                <w:color w:val="auto"/>
              </w:rPr>
            </w:pPr>
          </w:p>
        </w:tc>
        <w:tc>
          <w:tcPr>
            <w:tcW w:w="5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820" w:type="dxa"/>
            <w:vAlign w:val="bottom"/>
            <w:gridSpan w:val="2"/>
            <w:vMerge w:val="continue"/>
          </w:tcPr>
          <w:p>
            <w:pPr>
              <w:spacing w:after="0"/>
              <w:rPr>
                <w:sz w:val="8"/>
                <w:szCs w:val="8"/>
                <w:color w:val="auto"/>
              </w:rPr>
            </w:pPr>
          </w:p>
        </w:tc>
        <w:tc>
          <w:tcPr>
            <w:tcW w:w="80" w:type="dxa"/>
            <w:vAlign w:val="bottom"/>
          </w:tcPr>
          <w:p>
            <w:pPr>
              <w:spacing w:after="0"/>
              <w:rPr>
                <w:sz w:val="8"/>
                <w:szCs w:val="8"/>
                <w:color w:val="auto"/>
              </w:rPr>
            </w:pPr>
          </w:p>
        </w:tc>
        <w:tc>
          <w:tcPr>
            <w:tcW w:w="100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60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40" w:type="dxa"/>
            <w:vAlign w:val="bottom"/>
            <w:gridSpan w:val="2"/>
            <w:vMerge w:val="restart"/>
          </w:tcPr>
          <w:p>
            <w:pPr>
              <w:jc w:val="center"/>
              <w:ind w:right="220"/>
              <w:spacing w:after="0" w:line="149" w:lineRule="exact"/>
              <w:rPr>
                <w:sz w:val="20"/>
                <w:szCs w:val="20"/>
                <w:color w:val="auto"/>
              </w:rPr>
            </w:pPr>
            <w:r>
              <w:rPr>
                <w:rFonts w:ascii="Arial" w:cs="Arial" w:eastAsia="Arial" w:hAnsi="Arial"/>
                <w:sz w:val="14"/>
                <w:szCs w:val="14"/>
                <w:b w:val="1"/>
                <w:bCs w:val="1"/>
                <w:color w:val="auto"/>
                <w:w w:val="75"/>
              </w:rPr>
              <w:t>asset/</w:t>
            </w: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760" w:type="dxa"/>
            <w:vAlign w:val="bottom"/>
            <w:gridSpan w:val="6"/>
            <w:vMerge w:val="continue"/>
          </w:tcPr>
          <w:p>
            <w:pPr>
              <w:spacing w:after="0"/>
              <w:rPr>
                <w:sz w:val="5"/>
                <w:szCs w:val="5"/>
                <w:color w:val="auto"/>
              </w:rPr>
            </w:pPr>
          </w:p>
        </w:tc>
        <w:tc>
          <w:tcPr>
            <w:tcW w:w="60" w:type="dxa"/>
            <w:vAlign w:val="bottom"/>
          </w:tcPr>
          <w:p>
            <w:pPr>
              <w:spacing w:after="0"/>
              <w:rPr>
                <w:sz w:val="5"/>
                <w:szCs w:val="5"/>
                <w:color w:val="auto"/>
              </w:rPr>
            </w:pPr>
          </w:p>
        </w:tc>
        <w:tc>
          <w:tcPr>
            <w:tcW w:w="1000" w:type="dxa"/>
            <w:vAlign w:val="bottom"/>
            <w:gridSpan w:val="3"/>
            <w:vMerge w:val="restart"/>
          </w:tcPr>
          <w:p>
            <w:pPr>
              <w:jc w:val="center"/>
              <w:ind w:right="120"/>
              <w:spacing w:after="0" w:line="149" w:lineRule="exact"/>
              <w:rPr>
                <w:sz w:val="20"/>
                <w:szCs w:val="20"/>
                <w:color w:val="auto"/>
              </w:rPr>
            </w:pPr>
            <w:r>
              <w:rPr>
                <w:rFonts w:ascii="Arial" w:cs="Arial" w:eastAsia="Arial" w:hAnsi="Arial"/>
                <w:sz w:val="14"/>
                <w:szCs w:val="14"/>
                <w:b w:val="1"/>
                <w:bCs w:val="1"/>
                <w:color w:val="auto"/>
                <w:w w:val="83"/>
              </w:rPr>
              <w:t>Net purchases,</w:t>
            </w: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520" w:type="dxa"/>
            <w:vAlign w:val="bottom"/>
          </w:tcPr>
          <w:p>
            <w:pPr>
              <w:spacing w:after="0"/>
              <w:rPr>
                <w:sz w:val="5"/>
                <w:szCs w:val="5"/>
                <w:color w:val="auto"/>
              </w:rPr>
            </w:pPr>
          </w:p>
        </w:tc>
        <w:tc>
          <w:tcPr>
            <w:tcW w:w="180" w:type="dxa"/>
            <w:vAlign w:val="bottom"/>
          </w:tcPr>
          <w:p>
            <w:pPr>
              <w:spacing w:after="0"/>
              <w:rPr>
                <w:sz w:val="5"/>
                <w:szCs w:val="5"/>
                <w:color w:val="auto"/>
              </w:rPr>
            </w:pPr>
          </w:p>
        </w:tc>
        <w:tc>
          <w:tcPr>
            <w:tcW w:w="80" w:type="dxa"/>
            <w:vAlign w:val="bottom"/>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820" w:type="dxa"/>
            <w:vAlign w:val="bottom"/>
            <w:gridSpan w:val="2"/>
            <w:vMerge w:val="restart"/>
          </w:tcPr>
          <w:p>
            <w:pPr>
              <w:jc w:val="center"/>
              <w:ind w:right="220"/>
              <w:spacing w:after="0" w:line="149" w:lineRule="exact"/>
              <w:rPr>
                <w:sz w:val="20"/>
                <w:szCs w:val="20"/>
                <w:color w:val="auto"/>
              </w:rPr>
            </w:pPr>
            <w:r>
              <w:rPr>
                <w:rFonts w:ascii="Arial" w:cs="Arial" w:eastAsia="Arial" w:hAnsi="Arial"/>
                <w:sz w:val="14"/>
                <w:szCs w:val="14"/>
                <w:b w:val="1"/>
                <w:bCs w:val="1"/>
                <w:color w:val="auto"/>
                <w:w w:val="80"/>
              </w:rPr>
              <w:t>asset/</w:t>
            </w: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920" w:type="dxa"/>
            <w:vAlign w:val="bottom"/>
            <w:gridSpan w:val="2"/>
            <w:vMerge w:val="restart"/>
          </w:tcPr>
          <w:p>
            <w:pPr>
              <w:jc w:val="center"/>
              <w:ind w:right="280"/>
              <w:spacing w:after="0" w:line="149" w:lineRule="exact"/>
              <w:rPr>
                <w:sz w:val="20"/>
                <w:szCs w:val="20"/>
                <w:color w:val="auto"/>
              </w:rPr>
            </w:pPr>
            <w:r>
              <w:rPr>
                <w:rFonts w:ascii="Arial" w:cs="Arial" w:eastAsia="Arial" w:hAnsi="Arial"/>
                <w:sz w:val="14"/>
                <w:szCs w:val="14"/>
                <w:b w:val="1"/>
                <w:bCs w:val="1"/>
                <w:color w:val="auto"/>
                <w:w w:val="86"/>
              </w:rPr>
              <w:t>included in</w:t>
            </w: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60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4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Borders>
              <w:top w:val="single" w:sz="8" w:color="auto"/>
            </w:tcBorders>
          </w:tcPr>
          <w:p>
            <w:pPr>
              <w:spacing w:after="0"/>
              <w:rPr>
                <w:sz w:val="5"/>
                <w:szCs w:val="5"/>
                <w:color w:val="auto"/>
              </w:rPr>
            </w:pPr>
          </w:p>
        </w:tc>
        <w:tc>
          <w:tcPr>
            <w:tcW w:w="600" w:type="dxa"/>
            <w:vAlign w:val="bottom"/>
            <w:tcBorders>
              <w:top w:val="single" w:sz="8" w:color="auto"/>
            </w:tcBorders>
          </w:tcPr>
          <w:p>
            <w:pPr>
              <w:spacing w:after="0"/>
              <w:rPr>
                <w:sz w:val="5"/>
                <w:szCs w:val="5"/>
                <w:color w:val="auto"/>
              </w:rPr>
            </w:pPr>
          </w:p>
        </w:tc>
        <w:tc>
          <w:tcPr>
            <w:tcW w:w="10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140" w:type="dxa"/>
            <w:vAlign w:val="bottom"/>
            <w:tcBorders>
              <w:top w:val="single" w:sz="8" w:color="auto"/>
            </w:tcBorders>
          </w:tcPr>
          <w:p>
            <w:pPr>
              <w:spacing w:after="0"/>
              <w:rPr>
                <w:sz w:val="5"/>
                <w:szCs w:val="5"/>
                <w:color w:val="auto"/>
              </w:rPr>
            </w:pPr>
          </w:p>
        </w:tc>
        <w:tc>
          <w:tcPr>
            <w:tcW w:w="760" w:type="dxa"/>
            <w:vAlign w:val="bottom"/>
            <w:tcBorders>
              <w:top w:val="single" w:sz="8" w:color="auto"/>
            </w:tcBorders>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520" w:type="dxa"/>
            <w:vAlign w:val="bottom"/>
          </w:tcPr>
          <w:p>
            <w:pPr>
              <w:spacing w:after="0"/>
              <w:rPr>
                <w:sz w:val="5"/>
                <w:szCs w:val="5"/>
                <w:color w:val="auto"/>
              </w:rPr>
            </w:pPr>
          </w:p>
        </w:tc>
        <w:tc>
          <w:tcPr>
            <w:tcW w:w="180" w:type="dxa"/>
            <w:vAlign w:val="bottom"/>
          </w:tcPr>
          <w:p>
            <w:pPr>
              <w:spacing w:after="0"/>
              <w:rPr>
                <w:sz w:val="5"/>
                <w:szCs w:val="5"/>
                <w:color w:val="auto"/>
              </w:rPr>
            </w:pPr>
          </w:p>
        </w:tc>
        <w:tc>
          <w:tcPr>
            <w:tcW w:w="80" w:type="dxa"/>
            <w:vAlign w:val="bottom"/>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920" w:type="dxa"/>
            <w:vAlign w:val="bottom"/>
            <w:gridSpan w:val="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3"/>
              </w:rPr>
              <w:t>(liability)</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6"/>
              </w:rPr>
              <w:t>Included</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76"/>
              </w:rPr>
              <w:t>sales,</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3"/>
              </w:rPr>
              <w:t>(liability)</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3"/>
              </w:rPr>
              <w:t>net income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3"/>
              </w:rPr>
              <w:t>balance as of</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0"/>
              </w:rPr>
              <w:t>Included</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in other</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79"/>
              </w:rPr>
              <w:t>issuances</w:t>
            </w:r>
          </w:p>
        </w:tc>
        <w:tc>
          <w:tcPr>
            <w:tcW w:w="60" w:type="dxa"/>
            <w:vAlign w:val="bottom"/>
          </w:tcPr>
          <w:p>
            <w:pPr>
              <w:spacing w:after="0"/>
              <w:rPr>
                <w:sz w:val="12"/>
                <w:szCs w:val="12"/>
                <w:color w:val="auto"/>
              </w:rPr>
            </w:pPr>
          </w:p>
        </w:tc>
        <w:tc>
          <w:tcPr>
            <w:tcW w:w="6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4"/>
              </w:rPr>
              <w:t>Transfers</w:t>
            </w:r>
          </w:p>
        </w:tc>
        <w:tc>
          <w:tcPr>
            <w:tcW w:w="180" w:type="dxa"/>
            <w:vAlign w:val="bottom"/>
          </w:tcPr>
          <w:p>
            <w:pPr>
              <w:spacing w:after="0"/>
              <w:rPr>
                <w:sz w:val="12"/>
                <w:szCs w:val="12"/>
                <w:color w:val="auto"/>
              </w:rPr>
            </w:pPr>
          </w:p>
        </w:tc>
        <w:tc>
          <w:tcPr>
            <w:tcW w:w="70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7"/>
              </w:rPr>
              <w:t>Transfers</w:t>
            </w:r>
          </w:p>
        </w:tc>
        <w:tc>
          <w:tcPr>
            <w:tcW w:w="80" w:type="dxa"/>
            <w:vAlign w:val="bottom"/>
          </w:tcPr>
          <w:p>
            <w:pPr>
              <w:spacing w:after="0"/>
              <w:rPr>
                <w:sz w:val="12"/>
                <w:szCs w:val="12"/>
                <w:color w:val="auto"/>
              </w:rPr>
            </w:pPr>
          </w:p>
        </w:tc>
        <w:tc>
          <w:tcPr>
            <w:tcW w:w="92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3"/>
              </w:rPr>
              <w:t>balance as of</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relating to</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in net</w:t>
            </w:r>
          </w:p>
        </w:tc>
        <w:tc>
          <w:tcPr>
            <w:tcW w:w="60" w:type="dxa"/>
            <w:vAlign w:val="bottom"/>
          </w:tcPr>
          <w:p>
            <w:pPr>
              <w:spacing w:after="0"/>
              <w:rPr>
                <w:sz w:val="12"/>
                <w:szCs w:val="12"/>
                <w:color w:val="auto"/>
              </w:rPr>
            </w:pPr>
          </w:p>
        </w:tc>
        <w:tc>
          <w:tcPr>
            <w:tcW w:w="100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3"/>
              </w:rPr>
              <w:t>comprehensive</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8"/>
              </w:rPr>
              <w:t>and</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5"/>
              </w:rPr>
              <w:t>into</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7"/>
              </w:rPr>
              <w:t>out of</w:t>
            </w:r>
          </w:p>
        </w:tc>
        <w:tc>
          <w:tcPr>
            <w:tcW w:w="80" w:type="dxa"/>
            <w:vAlign w:val="bottom"/>
          </w:tcPr>
          <w:p>
            <w:pPr>
              <w:spacing w:after="0"/>
              <w:rPr>
                <w:sz w:val="12"/>
                <w:szCs w:val="12"/>
                <w:color w:val="auto"/>
              </w:rPr>
            </w:pPr>
          </w:p>
        </w:tc>
        <w:tc>
          <w:tcPr>
            <w:tcW w:w="92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0"/>
              </w:rPr>
              <w:t>positions</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83"/>
              </w:rPr>
              <w:t>2011</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5"/>
              </w:rPr>
              <w:t>income (1)</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center"/>
              <w:ind w:right="72"/>
              <w:spacing w:after="0"/>
              <w:rPr>
                <w:sz w:val="20"/>
                <w:szCs w:val="20"/>
                <w:color w:val="auto"/>
              </w:rPr>
            </w:pPr>
            <w:r>
              <w:rPr>
                <w:rFonts w:ascii="Arial" w:cs="Arial" w:eastAsia="Arial" w:hAnsi="Arial"/>
                <w:sz w:val="14"/>
                <w:szCs w:val="14"/>
                <w:b w:val="1"/>
                <w:bCs w:val="1"/>
                <w:color w:val="auto"/>
                <w:w w:val="85"/>
              </w:rPr>
              <w:t>income</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4"/>
              </w:rPr>
              <w:t>settlements (4)</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8"/>
              </w:rPr>
              <w:t>Level 3</w:t>
            </w:r>
          </w:p>
        </w:tc>
        <w:tc>
          <w:tcPr>
            <w:tcW w:w="1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88"/>
              </w:rPr>
              <w:t>Level 3</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83"/>
              </w:rPr>
              <w:t>2012</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7"/>
              </w:rPr>
              <w:t>still held (1)</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4"/>
          </w:tcPr>
          <w:p>
            <w:pPr>
              <w:ind w:left="320"/>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5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600" w:type="dxa"/>
            <w:vAlign w:val="bottom"/>
          </w:tcPr>
          <w:p>
            <w:pPr>
              <w:spacing w:after="0" w:line="138" w:lineRule="exact"/>
              <w:rPr>
                <w:sz w:val="20"/>
                <w:szCs w:val="20"/>
                <w:color w:val="auto"/>
              </w:rPr>
            </w:pPr>
            <w:r>
              <w:rPr>
                <w:rFonts w:ascii="Arial" w:cs="Arial" w:eastAsia="Arial" w:hAnsi="Arial"/>
                <w:sz w:val="14"/>
                <w:szCs w:val="14"/>
                <w:color w:val="auto"/>
                <w:w w:val="94"/>
              </w:rPr>
              <w:t>Fixed maturities, available-</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600" w:type="dxa"/>
            <w:vAlign w:val="bottom"/>
          </w:tcPr>
          <w:p>
            <w:pPr>
              <w:ind w:left="140"/>
              <w:spacing w:after="0" w:line="159" w:lineRule="exact"/>
              <w:rPr>
                <w:sz w:val="20"/>
                <w:szCs w:val="20"/>
                <w:color w:val="auto"/>
              </w:rPr>
            </w:pPr>
            <w:r>
              <w:rPr>
                <w:rFonts w:ascii="Arial" w:cs="Arial" w:eastAsia="Arial" w:hAnsi="Arial"/>
                <w:sz w:val="14"/>
                <w:szCs w:val="14"/>
                <w:color w:val="auto"/>
              </w:rPr>
              <w:t>for-sale:</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Non-U.S. governments</w:t>
            </w:r>
          </w:p>
        </w:tc>
        <w:tc>
          <w:tcPr>
            <w:tcW w:w="2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22.9</w:t>
            </w:r>
          </w:p>
        </w:tc>
        <w:tc>
          <w:tcPr>
            <w:tcW w:w="10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(0.2)</w:t>
            </w:r>
          </w:p>
        </w:tc>
        <w:tc>
          <w:tcPr>
            <w:tcW w:w="2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(0.3)</w:t>
            </w:r>
          </w:p>
        </w:tc>
        <w:tc>
          <w:tcPr>
            <w:tcW w:w="1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7.4</w:t>
            </w:r>
          </w:p>
        </w:tc>
        <w:tc>
          <w:tcPr>
            <w:tcW w:w="10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14.5</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44.3</w:t>
            </w:r>
          </w:p>
        </w:tc>
        <w:tc>
          <w:tcPr>
            <w:tcW w:w="8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9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(0.1)</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600" w:type="dxa"/>
            <w:vAlign w:val="bottom"/>
          </w:tcPr>
          <w:p>
            <w:pPr>
              <w:ind w:left="140"/>
              <w:spacing w:after="0" w:line="138" w:lineRule="exact"/>
              <w:rPr>
                <w:sz w:val="20"/>
                <w:szCs w:val="20"/>
                <w:color w:val="auto"/>
              </w:rPr>
            </w:pPr>
            <w:r>
              <w:rPr>
                <w:rFonts w:ascii="Arial" w:cs="Arial" w:eastAsia="Arial" w:hAnsi="Arial"/>
                <w:sz w:val="14"/>
                <w:szCs w:val="14"/>
                <w:color w:val="auto"/>
              </w:rPr>
              <w:t>States and political</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600" w:type="dxa"/>
            <w:vAlign w:val="bottom"/>
          </w:tcPr>
          <w:p>
            <w:pPr>
              <w:ind w:left="280"/>
              <w:spacing w:after="0" w:line="159" w:lineRule="exact"/>
              <w:rPr>
                <w:sz w:val="20"/>
                <w:szCs w:val="20"/>
                <w:color w:val="auto"/>
              </w:rPr>
            </w:pPr>
            <w:r>
              <w:rPr>
                <w:rFonts w:ascii="Arial" w:cs="Arial" w:eastAsia="Arial" w:hAnsi="Arial"/>
                <w:sz w:val="14"/>
                <w:szCs w:val="14"/>
                <w:color w:val="auto"/>
              </w:rPr>
              <w:t>subdivisions</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4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jc w:val="right"/>
              <w:spacing w:after="0" w:line="159" w:lineRule="exact"/>
              <w:rPr>
                <w:sz w:val="20"/>
                <w:szCs w:val="20"/>
                <w:color w:val="auto"/>
              </w:rPr>
            </w:pPr>
            <w:r>
              <w:rPr>
                <w:rFonts w:ascii="Arial" w:cs="Arial" w:eastAsia="Arial" w:hAnsi="Arial"/>
                <w:sz w:val="14"/>
                <w:szCs w:val="14"/>
                <w:color w:val="auto"/>
              </w:rPr>
              <w:t>0.2</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(0.1)</w:t>
            </w: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jc w:val="right"/>
              <w:spacing w:after="0" w:line="159" w:lineRule="exact"/>
              <w:rPr>
                <w:sz w:val="20"/>
                <w:szCs w:val="20"/>
                <w:color w:val="auto"/>
              </w:rPr>
            </w:pPr>
            <w:r>
              <w:rPr>
                <w:rFonts w:ascii="Arial" w:cs="Arial" w:eastAsia="Arial" w:hAnsi="Arial"/>
                <w:sz w:val="14"/>
                <w:szCs w:val="14"/>
                <w:color w:val="auto"/>
              </w:rPr>
              <w:t>1.8</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jc w:val="right"/>
              <w:spacing w:after="0" w:line="159" w:lineRule="exact"/>
              <w:rPr>
                <w:sz w:val="20"/>
                <w:szCs w:val="20"/>
                <w:color w:val="auto"/>
              </w:rPr>
            </w:pPr>
            <w:r>
              <w:rPr>
                <w:rFonts w:ascii="Arial" w:cs="Arial" w:eastAsia="Arial" w:hAnsi="Arial"/>
                <w:sz w:val="14"/>
                <w:szCs w:val="14"/>
                <w:color w:val="auto"/>
              </w:rPr>
              <w:t>1.9</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gridSpan w:val="2"/>
          </w:tcPr>
          <w:p>
            <w:pPr>
              <w:jc w:val="right"/>
              <w:ind w:right="180"/>
              <w:spacing w:after="0" w:line="15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Corporate</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297.0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(9.2)</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19.9</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(75.5)</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79.7</w:t>
            </w: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(137.4)</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174.5</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(2.6)</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600" w:type="dxa"/>
            <w:vAlign w:val="bottom"/>
          </w:tcPr>
          <w:p>
            <w:pPr>
              <w:ind w:left="140"/>
              <w:spacing w:after="0" w:line="138" w:lineRule="exact"/>
              <w:rPr>
                <w:sz w:val="20"/>
                <w:szCs w:val="20"/>
                <w:color w:val="auto"/>
              </w:rPr>
            </w:pPr>
            <w:r>
              <w:rPr>
                <w:rFonts w:ascii="Arial" w:cs="Arial" w:eastAsia="Arial" w:hAnsi="Arial"/>
                <w:sz w:val="14"/>
                <w:szCs w:val="14"/>
                <w:color w:val="auto"/>
              </w:rPr>
              <w:t>Collateralized debt</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600" w:type="dxa"/>
            <w:vAlign w:val="bottom"/>
          </w:tcPr>
          <w:p>
            <w:pPr>
              <w:ind w:left="280"/>
              <w:spacing w:after="0" w:line="159" w:lineRule="exact"/>
              <w:rPr>
                <w:sz w:val="20"/>
                <w:szCs w:val="20"/>
                <w:color w:val="auto"/>
              </w:rPr>
            </w:pPr>
            <w:r>
              <w:rPr>
                <w:rFonts w:ascii="Arial" w:cs="Arial" w:eastAsia="Arial" w:hAnsi="Arial"/>
                <w:sz w:val="14"/>
                <w:szCs w:val="14"/>
                <w:color w:val="auto"/>
              </w:rPr>
              <w:t>obligations</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jc w:val="right"/>
              <w:spacing w:after="0" w:line="159" w:lineRule="exact"/>
              <w:rPr>
                <w:sz w:val="20"/>
                <w:szCs w:val="20"/>
                <w:color w:val="auto"/>
              </w:rPr>
            </w:pPr>
            <w:r>
              <w:rPr>
                <w:rFonts w:ascii="Arial" w:cs="Arial" w:eastAsia="Arial" w:hAnsi="Arial"/>
                <w:sz w:val="14"/>
                <w:szCs w:val="14"/>
                <w:color w:val="auto"/>
              </w:rPr>
              <w:t>102.5</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(3.3)</w:t>
            </w: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jc w:val="right"/>
              <w:spacing w:after="0" w:line="159" w:lineRule="exact"/>
              <w:rPr>
                <w:sz w:val="20"/>
                <w:szCs w:val="20"/>
                <w:color w:val="auto"/>
              </w:rPr>
            </w:pPr>
            <w:r>
              <w:rPr>
                <w:rFonts w:ascii="Arial" w:cs="Arial" w:eastAsia="Arial" w:hAnsi="Arial"/>
                <w:sz w:val="14"/>
                <w:szCs w:val="14"/>
                <w:color w:val="auto"/>
              </w:rPr>
              <w:t>5.1</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jc w:val="right"/>
              <w:spacing w:after="0" w:line="159" w:lineRule="exact"/>
              <w:rPr>
                <w:sz w:val="20"/>
                <w:szCs w:val="20"/>
                <w:color w:val="auto"/>
              </w:rPr>
            </w:pPr>
            <w:r>
              <w:rPr>
                <w:rFonts w:ascii="Arial" w:cs="Arial" w:eastAsia="Arial" w:hAnsi="Arial"/>
                <w:sz w:val="14"/>
                <w:szCs w:val="14"/>
                <w:color w:val="auto"/>
              </w:rPr>
              <w:t>4.5</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40"/>
              <w:spacing w:after="0" w:line="159" w:lineRule="exact"/>
              <w:rPr>
                <w:sz w:val="20"/>
                <w:szCs w:val="20"/>
                <w:color w:val="auto"/>
              </w:rPr>
            </w:pPr>
            <w:r>
              <w:rPr>
                <w:rFonts w:ascii="Arial" w:cs="Arial" w:eastAsia="Arial" w:hAnsi="Arial"/>
                <w:sz w:val="14"/>
                <w:szCs w:val="14"/>
                <w:color w:val="auto"/>
              </w:rPr>
              <w:t>(31.2)</w:t>
            </w: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jc w:val="right"/>
              <w:spacing w:after="0" w:line="159" w:lineRule="exact"/>
              <w:rPr>
                <w:sz w:val="20"/>
                <w:szCs w:val="20"/>
                <w:color w:val="auto"/>
              </w:rPr>
            </w:pPr>
            <w:r>
              <w:rPr>
                <w:rFonts w:ascii="Arial" w:cs="Arial" w:eastAsia="Arial" w:hAnsi="Arial"/>
                <w:sz w:val="14"/>
                <w:szCs w:val="14"/>
                <w:color w:val="auto"/>
              </w:rPr>
              <w:t>77.6</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gridSpan w:val="2"/>
          </w:tcPr>
          <w:p>
            <w:pPr>
              <w:jc w:val="right"/>
              <w:ind w:right="180"/>
              <w:spacing w:after="0" w:line="15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Other debt obligations</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27.3</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(2.3)</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0.6</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(26.2)</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15.3</w:t>
            </w: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14.7</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(2.2)</w:t>
            </w:r>
          </w:p>
        </w:tc>
        <w:tc>
          <w:tcPr>
            <w:tcW w:w="0" w:type="dxa"/>
            <w:vAlign w:val="bottom"/>
          </w:tcPr>
          <w:p>
            <w:pPr>
              <w:spacing w:after="0"/>
              <w:rPr>
                <w:sz w:val="1"/>
                <w:szCs w:val="1"/>
                <w:color w:val="auto"/>
              </w:rPr>
            </w:pPr>
          </w:p>
        </w:tc>
      </w:tr>
      <w:tr>
        <w:trPr>
          <w:trHeight w:val="131"/>
        </w:trPr>
        <w:tc>
          <w:tcPr>
            <w:tcW w:w="1620" w:type="dxa"/>
            <w:vAlign w:val="bottom"/>
            <w:gridSpan w:val="2"/>
          </w:tcPr>
          <w:p>
            <w:pPr>
              <w:spacing w:after="0" w:line="131" w:lineRule="exact"/>
              <w:rPr>
                <w:sz w:val="20"/>
                <w:szCs w:val="20"/>
                <w:color w:val="auto"/>
              </w:rPr>
            </w:pPr>
            <w:r>
              <w:rPr>
                <w:rFonts w:ascii="Arial" w:cs="Arial" w:eastAsia="Arial" w:hAnsi="Arial"/>
                <w:sz w:val="14"/>
                <w:szCs w:val="14"/>
                <w:color w:val="auto"/>
              </w:rPr>
              <w:t>Total fixed maturities,</w:t>
            </w:r>
          </w:p>
        </w:tc>
        <w:tc>
          <w:tcPr>
            <w:tcW w:w="10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60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520" w:type="dxa"/>
            <w:vAlign w:val="bottom"/>
            <w:tcBorders>
              <w:top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54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600" w:type="dxa"/>
            <w:vAlign w:val="bottom"/>
          </w:tcPr>
          <w:p>
            <w:pPr>
              <w:ind w:left="140"/>
              <w:spacing w:after="0" w:line="159" w:lineRule="exact"/>
              <w:rPr>
                <w:sz w:val="20"/>
                <w:szCs w:val="20"/>
                <w:color w:val="auto"/>
              </w:rPr>
            </w:pPr>
            <w:r>
              <w:rPr>
                <w:rFonts w:ascii="Arial" w:cs="Arial" w:eastAsia="Arial" w:hAnsi="Arial"/>
                <w:sz w:val="14"/>
                <w:szCs w:val="14"/>
                <w:color w:val="auto"/>
              </w:rPr>
              <w:t>available-for-sale</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jc w:val="right"/>
              <w:spacing w:after="0" w:line="159" w:lineRule="exact"/>
              <w:rPr>
                <w:sz w:val="20"/>
                <w:szCs w:val="20"/>
                <w:color w:val="auto"/>
              </w:rPr>
            </w:pPr>
            <w:r>
              <w:rPr>
                <w:rFonts w:ascii="Arial" w:cs="Arial" w:eastAsia="Arial" w:hAnsi="Arial"/>
                <w:sz w:val="14"/>
                <w:szCs w:val="14"/>
                <w:color w:val="auto"/>
              </w:rPr>
              <w:t>449.7</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(15.0)</w:t>
            </w: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jc w:val="right"/>
              <w:spacing w:after="0" w:line="159" w:lineRule="exact"/>
              <w:rPr>
                <w:sz w:val="20"/>
                <w:szCs w:val="20"/>
                <w:color w:val="auto"/>
              </w:rPr>
            </w:pPr>
            <w:r>
              <w:rPr>
                <w:rFonts w:ascii="Arial" w:cs="Arial" w:eastAsia="Arial" w:hAnsi="Arial"/>
                <w:sz w:val="14"/>
                <w:szCs w:val="14"/>
                <w:color w:val="auto"/>
              </w:rPr>
              <w:t>25.5</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(89.9)</w:t>
            </w: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jc w:val="right"/>
              <w:spacing w:after="0" w:line="159" w:lineRule="exact"/>
              <w:rPr>
                <w:sz w:val="20"/>
                <w:szCs w:val="20"/>
                <w:color w:val="auto"/>
              </w:rPr>
            </w:pPr>
            <w:r>
              <w:rPr>
                <w:rFonts w:ascii="Arial" w:cs="Arial" w:eastAsia="Arial" w:hAnsi="Arial"/>
                <w:sz w:val="14"/>
                <w:szCs w:val="14"/>
                <w:color w:val="auto"/>
              </w:rPr>
              <w:t>111.3</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40"/>
              <w:spacing w:after="0" w:line="159" w:lineRule="exact"/>
              <w:rPr>
                <w:sz w:val="20"/>
                <w:szCs w:val="20"/>
                <w:color w:val="auto"/>
              </w:rPr>
            </w:pPr>
            <w:r>
              <w:rPr>
                <w:rFonts w:ascii="Arial" w:cs="Arial" w:eastAsia="Arial" w:hAnsi="Arial"/>
                <w:sz w:val="14"/>
                <w:szCs w:val="14"/>
                <w:color w:val="auto"/>
              </w:rPr>
              <w:t>(168.6)</w:t>
            </w: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jc w:val="right"/>
              <w:spacing w:after="0" w:line="159" w:lineRule="exact"/>
              <w:rPr>
                <w:sz w:val="20"/>
                <w:szCs w:val="20"/>
                <w:color w:val="auto"/>
              </w:rPr>
            </w:pPr>
            <w:r>
              <w:rPr>
                <w:rFonts w:ascii="Arial" w:cs="Arial" w:eastAsia="Arial" w:hAnsi="Arial"/>
                <w:sz w:val="14"/>
                <w:szCs w:val="14"/>
                <w:color w:val="auto"/>
              </w:rPr>
              <w:t>313.0</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(4.9)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maturities, trading</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220.8</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(66.7)</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9.5</w:t>
            </w: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166.8</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(4.4)</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600" w:type="dxa"/>
            <w:vAlign w:val="bottom"/>
          </w:tcPr>
          <w:p>
            <w:pPr>
              <w:spacing w:after="0" w:line="138" w:lineRule="exact"/>
              <w:rPr>
                <w:sz w:val="20"/>
                <w:szCs w:val="20"/>
                <w:color w:val="auto"/>
              </w:rPr>
            </w:pPr>
            <w:r>
              <w:rPr>
                <w:rFonts w:ascii="Arial" w:cs="Arial" w:eastAsia="Arial" w:hAnsi="Arial"/>
                <w:sz w:val="14"/>
                <w:szCs w:val="14"/>
                <w:color w:val="auto"/>
                <w:w w:val="93"/>
              </w:rPr>
              <w:t>Equity securities, available-</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600" w:type="dxa"/>
            <w:vAlign w:val="bottom"/>
          </w:tcPr>
          <w:p>
            <w:pPr>
              <w:ind w:left="140"/>
              <w:spacing w:after="0" w:line="159" w:lineRule="exact"/>
              <w:rPr>
                <w:sz w:val="20"/>
                <w:szCs w:val="20"/>
                <w:color w:val="auto"/>
              </w:rPr>
            </w:pPr>
            <w:r>
              <w:rPr>
                <w:rFonts w:ascii="Arial" w:cs="Arial" w:eastAsia="Arial" w:hAnsi="Arial"/>
                <w:sz w:val="14"/>
                <w:szCs w:val="14"/>
                <w:color w:val="auto"/>
              </w:rPr>
              <w:t>for-sale</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jc w:val="right"/>
              <w:spacing w:after="0" w:line="159" w:lineRule="exact"/>
              <w:rPr>
                <w:sz w:val="20"/>
                <w:szCs w:val="20"/>
                <w:color w:val="auto"/>
              </w:rPr>
            </w:pPr>
            <w:r>
              <w:rPr>
                <w:rFonts w:ascii="Arial" w:cs="Arial" w:eastAsia="Arial" w:hAnsi="Arial"/>
                <w:sz w:val="14"/>
                <w:szCs w:val="14"/>
                <w:color w:val="auto"/>
              </w:rPr>
              <w:t>18.0</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(0.3)</w:t>
            </w: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(2.4)</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jc w:val="right"/>
              <w:spacing w:after="0" w:line="159" w:lineRule="exact"/>
              <w:rPr>
                <w:sz w:val="20"/>
                <w:szCs w:val="20"/>
                <w:color w:val="auto"/>
              </w:rPr>
            </w:pPr>
            <w:r>
              <w:rPr>
                <w:rFonts w:ascii="Arial" w:cs="Arial" w:eastAsia="Arial" w:hAnsi="Arial"/>
                <w:sz w:val="14"/>
                <w:szCs w:val="14"/>
                <w:color w:val="auto"/>
              </w:rPr>
              <w:t>15.3</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gridSpan w:val="2"/>
          </w:tcPr>
          <w:p>
            <w:pPr>
              <w:jc w:val="right"/>
              <w:ind w:right="180"/>
              <w:spacing w:after="0" w:line="15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Derivative assets</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60.2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2.9</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75.1</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tcPr>
          <w:p>
            <w:pPr>
              <w:spacing w:after="0" w:line="149" w:lineRule="exact"/>
              <w:rPr>
                <w:sz w:val="20"/>
                <w:szCs w:val="20"/>
                <w:color w:val="auto"/>
              </w:rPr>
            </w:pPr>
            <w:r>
              <w:rPr>
                <w:rFonts w:ascii="Arial" w:cs="Arial" w:eastAsia="Arial" w:hAnsi="Arial"/>
                <w:sz w:val="14"/>
                <w:szCs w:val="14"/>
                <w:color w:val="auto"/>
              </w:rPr>
              <w:t>Other investments</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color w:val="auto"/>
              </w:rPr>
              <w:t>97.5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2.1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14.3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color w:val="auto"/>
              </w:rPr>
              <w:t>113.9</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2.2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90"/>
              </w:rPr>
              <w:t>Separate account assets (2)</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4,198.2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421.3</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0.4</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(3.6)</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w:t>
            </w: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(1.9)</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4,616.0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412.8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311"/>
        </w:trPr>
        <w:tc>
          <w:tcPr>
            <w:tcW w:w="1620" w:type="dxa"/>
            <w:vAlign w:val="bottom"/>
            <w:gridSpan w:val="2"/>
          </w:tcPr>
          <w:p>
            <w:pPr>
              <w:spacing w:after="0"/>
              <w:rPr>
                <w:sz w:val="20"/>
                <w:szCs w:val="20"/>
                <w:color w:val="auto"/>
              </w:rPr>
            </w:pPr>
            <w:r>
              <w:rPr>
                <w:rFonts w:ascii="Arial" w:cs="Arial" w:eastAsia="Arial" w:hAnsi="Arial"/>
                <w:sz w:val="14"/>
                <w:szCs w:val="14"/>
                <w:b w:val="1"/>
                <w:bCs w:val="1"/>
                <w:color w:val="auto"/>
              </w:rPr>
              <w:t>Liabilities</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60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2"/>
              </w:rPr>
              <w:t>Investments-type insurance</w:t>
            </w: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60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contracts</w:t>
            </w:r>
          </w:p>
        </w:tc>
        <w:tc>
          <w:tcPr>
            <w:tcW w:w="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84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(195.8)</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38.3</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(0.1)</w:t>
            </w: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8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(12.9)</w:t>
            </w:r>
          </w:p>
        </w:tc>
        <w:tc>
          <w:tcPr>
            <w:tcW w:w="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82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(170.5)</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7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35.3</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tcPr>
          <w:p>
            <w:pPr>
              <w:spacing w:after="0" w:line="149" w:lineRule="exact"/>
              <w:rPr>
                <w:sz w:val="20"/>
                <w:szCs w:val="20"/>
                <w:color w:val="auto"/>
              </w:rPr>
            </w:pPr>
            <w:r>
              <w:rPr>
                <w:rFonts w:ascii="Arial" w:cs="Arial" w:eastAsia="Arial" w:hAnsi="Arial"/>
                <w:sz w:val="14"/>
                <w:szCs w:val="14"/>
                <w:color w:val="auto"/>
              </w:rPr>
              <w:t>Derivative liabilities</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(177.1)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39.8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1.3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33.4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(102.6)</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38.6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liabilities (3)</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(24.2)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(23.5)</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(39.6)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(20.2)</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31" w:right="239" w:bottom="1440" w:gutter="0" w:footer="0" w:header="0"/>
        </w:sectPr>
      </w:pPr>
    </w:p>
    <w:p>
      <w:pPr>
        <w:spacing w:after="0" w:line="8"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71" w:name="page172"/>
    <w:bookmarkEnd w:id="17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Fair Value Measurements — (continued)</w:t>
      </w: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tbl>
      <w:tblPr>
        <w:tblLayout w:type="fixed"/>
        <w:tblInd w:w="1140" w:type="dxa"/>
        <w:tblCellMar>
          <w:top w:w="0" w:type="dxa"/>
          <w:left w:w="0" w:type="dxa"/>
          <w:bottom w:w="0" w:type="dxa"/>
          <w:right w:w="0" w:type="dxa"/>
        </w:tblCellMar>
      </w:tblPr>
      <w:tr>
        <w:trPr>
          <w:trHeight w:val="175"/>
        </w:trPr>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0" w:type="dxa"/>
            <w:vAlign w:val="bottom"/>
            <w:gridSpan w:val="7"/>
          </w:tcPr>
          <w:p>
            <w:pPr>
              <w:jc w:val="right"/>
              <w:ind w:right="232"/>
              <w:spacing w:after="0"/>
              <w:rPr>
                <w:sz w:val="20"/>
                <w:szCs w:val="20"/>
                <w:color w:val="auto"/>
              </w:rPr>
            </w:pPr>
            <w:r>
              <w:rPr>
                <w:rFonts w:ascii="Arial" w:cs="Arial" w:eastAsia="Arial" w:hAnsi="Arial"/>
                <w:sz w:val="14"/>
                <w:szCs w:val="14"/>
                <w:b w:val="1"/>
                <w:bCs w:val="1"/>
                <w:color w:val="auto"/>
                <w:w w:val="89"/>
              </w:rPr>
              <w:t>For the year ended December 31, 2011</w:t>
            </w:r>
          </w:p>
        </w:tc>
        <w:tc>
          <w:tcPr>
            <w:tcW w:w="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4"/>
              </w:rPr>
              <w:t>Changes in</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920" w:type="dxa"/>
            <w:vAlign w:val="bottom"/>
            <w:gridSpan w:val="2"/>
            <w:vMerge w:val="restart"/>
          </w:tcPr>
          <w:p>
            <w:pPr>
              <w:jc w:val="center"/>
              <w:ind w:right="280"/>
              <w:spacing w:after="0" w:line="123" w:lineRule="exact"/>
              <w:rPr>
                <w:sz w:val="20"/>
                <w:szCs w:val="20"/>
                <w:color w:val="auto"/>
              </w:rPr>
            </w:pPr>
            <w:r>
              <w:rPr>
                <w:rFonts w:ascii="Arial" w:cs="Arial" w:eastAsia="Arial" w:hAnsi="Arial"/>
                <w:sz w:val="14"/>
                <w:szCs w:val="14"/>
                <w:b w:val="1"/>
                <w:bCs w:val="1"/>
                <w:color w:val="auto"/>
                <w:w w:val="86"/>
              </w:rPr>
              <w:t>unrealized</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60" w:type="dxa"/>
            <w:vAlign w:val="bottom"/>
          </w:tcPr>
          <w:p>
            <w:pPr>
              <w:spacing w:after="0"/>
              <w:rPr>
                <w:sz w:val="6"/>
                <w:szCs w:val="6"/>
                <w:color w:val="auto"/>
              </w:rPr>
            </w:pPr>
          </w:p>
        </w:tc>
        <w:tc>
          <w:tcPr>
            <w:tcW w:w="940" w:type="dxa"/>
            <w:vAlign w:val="bottom"/>
          </w:tcPr>
          <w:p>
            <w:pPr>
              <w:spacing w:after="0"/>
              <w:rPr>
                <w:sz w:val="6"/>
                <w:szCs w:val="6"/>
                <w:color w:val="auto"/>
              </w:rPr>
            </w:pPr>
          </w:p>
        </w:tc>
        <w:tc>
          <w:tcPr>
            <w:tcW w:w="100" w:type="dxa"/>
            <w:vAlign w:val="bottom"/>
          </w:tcPr>
          <w:p>
            <w:pPr>
              <w:spacing w:after="0"/>
              <w:rPr>
                <w:sz w:val="6"/>
                <w:szCs w:val="6"/>
                <w:color w:val="auto"/>
              </w:rPr>
            </w:pPr>
          </w:p>
        </w:tc>
        <w:tc>
          <w:tcPr>
            <w:tcW w:w="74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 w:type="dxa"/>
            <w:vAlign w:val="bottom"/>
          </w:tcPr>
          <w:p>
            <w:pPr>
              <w:spacing w:after="0"/>
              <w:rPr>
                <w:sz w:val="6"/>
                <w:szCs w:val="6"/>
                <w:color w:val="auto"/>
              </w:rPr>
            </w:pPr>
          </w:p>
        </w:tc>
        <w:tc>
          <w:tcPr>
            <w:tcW w:w="1820" w:type="dxa"/>
            <w:vAlign w:val="bottom"/>
            <w:gridSpan w:val="5"/>
            <w:vMerge w:val="restart"/>
          </w:tcPr>
          <w:p>
            <w:pPr>
              <w:jc w:val="right"/>
              <w:ind w:right="320"/>
              <w:spacing w:after="0"/>
              <w:rPr>
                <w:sz w:val="20"/>
                <w:szCs w:val="20"/>
                <w:color w:val="auto"/>
              </w:rPr>
            </w:pPr>
            <w:r>
              <w:rPr>
                <w:rFonts w:ascii="Arial" w:cs="Arial" w:eastAsia="Arial" w:hAnsi="Arial"/>
                <w:sz w:val="14"/>
                <w:szCs w:val="14"/>
                <w:b w:val="1"/>
                <w:bCs w:val="1"/>
                <w:color w:val="auto"/>
                <w:w w:val="90"/>
              </w:rPr>
              <w:t>Total realized/unrealized</w:t>
            </w:r>
          </w:p>
        </w:tc>
        <w:tc>
          <w:tcPr>
            <w:tcW w:w="120" w:type="dxa"/>
            <w:vAlign w:val="bottom"/>
          </w:tcPr>
          <w:p>
            <w:pPr>
              <w:spacing w:after="0"/>
              <w:rPr>
                <w:sz w:val="6"/>
                <w:szCs w:val="6"/>
                <w:color w:val="auto"/>
              </w:rPr>
            </w:pPr>
          </w:p>
        </w:tc>
        <w:tc>
          <w:tcPr>
            <w:tcW w:w="78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0" w:type="dxa"/>
            <w:vAlign w:val="bottom"/>
          </w:tcPr>
          <w:p>
            <w:pPr>
              <w:spacing w:after="0"/>
              <w:rPr>
                <w:sz w:val="6"/>
                <w:szCs w:val="6"/>
                <w:color w:val="auto"/>
              </w:rPr>
            </w:pPr>
          </w:p>
        </w:tc>
        <w:tc>
          <w:tcPr>
            <w:tcW w:w="520" w:type="dxa"/>
            <w:vAlign w:val="bottom"/>
          </w:tcPr>
          <w:p>
            <w:pPr>
              <w:spacing w:after="0"/>
              <w:rPr>
                <w:sz w:val="6"/>
                <w:szCs w:val="6"/>
                <w:color w:val="auto"/>
              </w:rPr>
            </w:pPr>
          </w:p>
        </w:tc>
        <w:tc>
          <w:tcPr>
            <w:tcW w:w="180" w:type="dxa"/>
            <w:vAlign w:val="bottom"/>
          </w:tcPr>
          <w:p>
            <w:pPr>
              <w:spacing w:after="0"/>
              <w:rPr>
                <w:sz w:val="6"/>
                <w:szCs w:val="6"/>
                <w:color w:val="auto"/>
              </w:rPr>
            </w:pPr>
          </w:p>
        </w:tc>
        <w:tc>
          <w:tcPr>
            <w:tcW w:w="80" w:type="dxa"/>
            <w:vAlign w:val="bottom"/>
          </w:tcPr>
          <w:p>
            <w:pPr>
              <w:spacing w:after="0"/>
              <w:rPr>
                <w:sz w:val="6"/>
                <w:szCs w:val="6"/>
                <w:color w:val="auto"/>
              </w:rPr>
            </w:pPr>
          </w:p>
        </w:tc>
        <w:tc>
          <w:tcPr>
            <w:tcW w:w="54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0" w:type="dxa"/>
            <w:vAlign w:val="bottom"/>
          </w:tcPr>
          <w:p>
            <w:pPr>
              <w:spacing w:after="0"/>
              <w:rPr>
                <w:sz w:val="6"/>
                <w:szCs w:val="6"/>
                <w:color w:val="auto"/>
              </w:rPr>
            </w:pPr>
          </w:p>
        </w:tc>
        <w:tc>
          <w:tcPr>
            <w:tcW w:w="74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 w:type="dxa"/>
            <w:vAlign w:val="bottom"/>
          </w:tcPr>
          <w:p>
            <w:pPr>
              <w:spacing w:after="0"/>
              <w:rPr>
                <w:sz w:val="6"/>
                <w:szCs w:val="6"/>
                <w:color w:val="auto"/>
              </w:rPr>
            </w:pPr>
          </w:p>
        </w:tc>
        <w:tc>
          <w:tcPr>
            <w:tcW w:w="920" w:type="dxa"/>
            <w:vAlign w:val="bottom"/>
            <w:gridSpan w:val="2"/>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20" w:type="dxa"/>
            <w:vAlign w:val="bottom"/>
            <w:gridSpan w:val="5"/>
            <w:vMerge w:val="continue"/>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0" w:type="dxa"/>
            <w:vAlign w:val="bottom"/>
            <w:gridSpan w:val="3"/>
          </w:tcPr>
          <w:p>
            <w:pPr>
              <w:jc w:val="center"/>
              <w:ind w:right="180"/>
              <w:spacing w:after="0" w:line="135" w:lineRule="exact"/>
              <w:rPr>
                <w:sz w:val="20"/>
                <w:szCs w:val="20"/>
                <w:color w:val="auto"/>
              </w:rPr>
            </w:pPr>
            <w:r>
              <w:rPr>
                <w:rFonts w:ascii="Arial" w:cs="Arial" w:eastAsia="Arial" w:hAnsi="Arial"/>
                <w:sz w:val="14"/>
                <w:szCs w:val="14"/>
                <w:b w:val="1"/>
                <w:bCs w:val="1"/>
                <w:color w:val="auto"/>
                <w:w w:val="79"/>
              </w:rPr>
              <w:t>gains (losses)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right="280"/>
              <w:spacing w:after="0" w:line="129" w:lineRule="exact"/>
              <w:rPr>
                <w:sz w:val="20"/>
                <w:szCs w:val="20"/>
                <w:color w:val="auto"/>
              </w:rPr>
            </w:pPr>
            <w:r>
              <w:rPr>
                <w:rFonts w:ascii="Arial" w:cs="Arial" w:eastAsia="Arial" w:hAnsi="Arial"/>
                <w:sz w:val="14"/>
                <w:szCs w:val="14"/>
                <w:b w:val="1"/>
                <w:bCs w:val="1"/>
                <w:color w:val="auto"/>
                <w:w w:val="84"/>
              </w:rPr>
              <w:t>Beginning</w:t>
            </w:r>
          </w:p>
        </w:tc>
        <w:tc>
          <w:tcPr>
            <w:tcW w:w="80" w:type="dxa"/>
            <w:vAlign w:val="bottom"/>
          </w:tcPr>
          <w:p>
            <w:pPr>
              <w:spacing w:after="0"/>
              <w:rPr>
                <w:sz w:val="12"/>
                <w:szCs w:val="12"/>
                <w:color w:val="auto"/>
              </w:rPr>
            </w:pPr>
          </w:p>
        </w:tc>
        <w:tc>
          <w:tcPr>
            <w:tcW w:w="1820" w:type="dxa"/>
            <w:vAlign w:val="bottom"/>
            <w:gridSpan w:val="5"/>
          </w:tcPr>
          <w:p>
            <w:pPr>
              <w:jc w:val="right"/>
              <w:ind w:right="660"/>
              <w:spacing w:after="0" w:line="129" w:lineRule="exact"/>
              <w:rPr>
                <w:sz w:val="20"/>
                <w:szCs w:val="20"/>
                <w:color w:val="auto"/>
              </w:rPr>
            </w:pPr>
            <w:r>
              <w:rPr>
                <w:rFonts w:ascii="Arial" w:cs="Arial" w:eastAsia="Arial" w:hAnsi="Arial"/>
                <w:sz w:val="14"/>
                <w:szCs w:val="14"/>
                <w:b w:val="1"/>
                <w:bCs w:val="1"/>
                <w:color w:val="auto"/>
              </w:rPr>
              <w:t>gains (losses)</w:t>
            </w: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right="280"/>
              <w:spacing w:after="0" w:line="129" w:lineRule="exact"/>
              <w:rPr>
                <w:sz w:val="20"/>
                <w:szCs w:val="20"/>
                <w:color w:val="auto"/>
              </w:rPr>
            </w:pPr>
            <w:r>
              <w:rPr>
                <w:rFonts w:ascii="Arial" w:cs="Arial" w:eastAsia="Arial" w:hAnsi="Arial"/>
                <w:sz w:val="14"/>
                <w:szCs w:val="14"/>
                <w:b w:val="1"/>
                <w:bCs w:val="1"/>
                <w:color w:val="auto"/>
                <w:w w:val="88"/>
              </w:rPr>
              <w:t>Ending</w:t>
            </w:r>
          </w:p>
        </w:tc>
        <w:tc>
          <w:tcPr>
            <w:tcW w:w="80" w:type="dxa"/>
            <w:vAlign w:val="bottom"/>
          </w:tcPr>
          <w:p>
            <w:pPr>
              <w:spacing w:after="0"/>
              <w:rPr>
                <w:sz w:val="12"/>
                <w:szCs w:val="12"/>
                <w:color w:val="auto"/>
              </w:rPr>
            </w:pPr>
          </w:p>
        </w:tc>
        <w:tc>
          <w:tcPr>
            <w:tcW w:w="920" w:type="dxa"/>
            <w:vAlign w:val="bottom"/>
            <w:gridSpan w:val="2"/>
          </w:tcPr>
          <w:p>
            <w:pPr>
              <w:jc w:val="center"/>
              <w:ind w:right="260"/>
              <w:spacing w:after="0" w:line="129" w:lineRule="exact"/>
              <w:rPr>
                <w:sz w:val="20"/>
                <w:szCs w:val="20"/>
                <w:color w:val="auto"/>
              </w:rPr>
            </w:pPr>
            <w:r>
              <w:rPr>
                <w:rFonts w:ascii="Arial" w:cs="Arial" w:eastAsia="Arial" w:hAnsi="Arial"/>
                <w:sz w:val="14"/>
                <w:szCs w:val="14"/>
                <w:b w:val="1"/>
                <w:bCs w:val="1"/>
                <w:color w:val="auto"/>
                <w:w w:val="86"/>
              </w:rPr>
              <w:t>included</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right="280"/>
              <w:spacing w:after="0" w:line="143" w:lineRule="exact"/>
              <w:rPr>
                <w:sz w:val="20"/>
                <w:szCs w:val="20"/>
                <w:color w:val="auto"/>
              </w:rPr>
            </w:pPr>
            <w:r>
              <w:rPr>
                <w:rFonts w:ascii="Arial" w:cs="Arial" w:eastAsia="Arial" w:hAnsi="Arial"/>
                <w:sz w:val="14"/>
                <w:szCs w:val="14"/>
                <w:b w:val="1"/>
                <w:bCs w:val="1"/>
                <w:color w:val="auto"/>
                <w:w w:val="75"/>
              </w:rPr>
              <w:t>asset/</w:t>
            </w:r>
          </w:p>
        </w:tc>
        <w:tc>
          <w:tcPr>
            <w:tcW w:w="8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3"/>
          </w:tcPr>
          <w:p>
            <w:pPr>
              <w:jc w:val="center"/>
              <w:ind w:right="180"/>
              <w:spacing w:after="0" w:line="143" w:lineRule="exact"/>
              <w:rPr>
                <w:sz w:val="20"/>
                <w:szCs w:val="20"/>
                <w:color w:val="auto"/>
              </w:rPr>
            </w:pPr>
            <w:r>
              <w:rPr>
                <w:rFonts w:ascii="Arial" w:cs="Arial" w:eastAsia="Arial" w:hAnsi="Arial"/>
                <w:sz w:val="14"/>
                <w:szCs w:val="14"/>
                <w:b w:val="1"/>
                <w:bCs w:val="1"/>
                <w:color w:val="auto"/>
                <w:w w:val="83"/>
              </w:rPr>
              <w:t>Net purchases,</w:t>
            </w: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right="300"/>
              <w:spacing w:after="0" w:line="143" w:lineRule="exact"/>
              <w:rPr>
                <w:sz w:val="20"/>
                <w:szCs w:val="20"/>
                <w:color w:val="auto"/>
              </w:rPr>
            </w:pPr>
            <w:r>
              <w:rPr>
                <w:rFonts w:ascii="Arial" w:cs="Arial" w:eastAsia="Arial" w:hAnsi="Arial"/>
                <w:sz w:val="14"/>
                <w:szCs w:val="14"/>
                <w:b w:val="1"/>
                <w:bCs w:val="1"/>
                <w:color w:val="auto"/>
                <w:w w:val="80"/>
              </w:rPr>
              <w:t>asset/</w:t>
            </w:r>
          </w:p>
        </w:tc>
        <w:tc>
          <w:tcPr>
            <w:tcW w:w="80" w:type="dxa"/>
            <w:vAlign w:val="bottom"/>
          </w:tcPr>
          <w:p>
            <w:pPr>
              <w:spacing w:after="0"/>
              <w:rPr>
                <w:sz w:val="12"/>
                <w:szCs w:val="12"/>
                <w:color w:val="auto"/>
              </w:rPr>
            </w:pPr>
          </w:p>
        </w:tc>
        <w:tc>
          <w:tcPr>
            <w:tcW w:w="920" w:type="dxa"/>
            <w:vAlign w:val="bottom"/>
            <w:gridSpan w:val="2"/>
          </w:tcPr>
          <w:p>
            <w:pPr>
              <w:jc w:val="center"/>
              <w:ind w:right="280"/>
              <w:spacing w:after="0" w:line="143" w:lineRule="exact"/>
              <w:rPr>
                <w:sz w:val="20"/>
                <w:szCs w:val="20"/>
                <w:color w:val="auto"/>
              </w:rPr>
            </w:pPr>
            <w:r>
              <w:rPr>
                <w:rFonts w:ascii="Arial" w:cs="Arial" w:eastAsia="Arial" w:hAnsi="Arial"/>
                <w:sz w:val="14"/>
                <w:szCs w:val="14"/>
                <w:b w:val="1"/>
                <w:bCs w:val="1"/>
                <w:color w:val="auto"/>
                <w:w w:val="85"/>
              </w:rPr>
              <w:t>in net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(liability)</w:t>
            </w: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6"/>
              </w:rPr>
              <w:t>Included</w:t>
            </w:r>
          </w:p>
        </w:tc>
        <w:tc>
          <w:tcPr>
            <w:tcW w:w="120" w:type="dxa"/>
            <w:vAlign w:val="bottom"/>
          </w:tcPr>
          <w:p>
            <w:pPr>
              <w:spacing w:after="0"/>
              <w:rPr>
                <w:sz w:val="12"/>
                <w:szCs w:val="12"/>
                <w:color w:val="auto"/>
              </w:rPr>
            </w:pPr>
          </w:p>
        </w:tc>
        <w:tc>
          <w:tcPr>
            <w:tcW w:w="9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76"/>
              </w:rPr>
              <w:t>sales,</w:t>
            </w: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(liability)</w:t>
            </w:r>
          </w:p>
        </w:tc>
        <w:tc>
          <w:tcPr>
            <w:tcW w:w="80" w:type="dxa"/>
            <w:vAlign w:val="bottom"/>
          </w:tcPr>
          <w:p>
            <w:pPr>
              <w:spacing w:after="0"/>
              <w:rPr>
                <w:sz w:val="12"/>
                <w:szCs w:val="12"/>
                <w:color w:val="auto"/>
              </w:rPr>
            </w:pPr>
          </w:p>
        </w:tc>
        <w:tc>
          <w:tcPr>
            <w:tcW w:w="9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income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3"/>
              </w:rPr>
              <w:t>balance as of</w:t>
            </w:r>
          </w:p>
        </w:tc>
        <w:tc>
          <w:tcPr>
            <w:tcW w:w="80" w:type="dxa"/>
            <w:vAlign w:val="bottom"/>
          </w:tcPr>
          <w:p>
            <w:pPr>
              <w:spacing w:after="0"/>
              <w:rPr>
                <w:sz w:val="12"/>
                <w:szCs w:val="12"/>
                <w:color w:val="auto"/>
              </w:rPr>
            </w:pPr>
          </w:p>
        </w:tc>
        <w:tc>
          <w:tcPr>
            <w:tcW w:w="7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0"/>
              </w:rPr>
              <w:t>Included</w:t>
            </w:r>
          </w:p>
        </w:tc>
        <w:tc>
          <w:tcPr>
            <w:tcW w:w="140" w:type="dxa"/>
            <w:vAlign w:val="bottom"/>
          </w:tcPr>
          <w:p>
            <w:pPr>
              <w:spacing w:after="0"/>
              <w:rPr>
                <w:sz w:val="12"/>
                <w:szCs w:val="12"/>
                <w:color w:val="auto"/>
              </w:rPr>
            </w:pPr>
          </w:p>
        </w:tc>
        <w:tc>
          <w:tcPr>
            <w:tcW w:w="9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9"/>
              </w:rPr>
              <w:t>in other</w:t>
            </w:r>
          </w:p>
        </w:tc>
        <w:tc>
          <w:tcPr>
            <w:tcW w:w="120" w:type="dxa"/>
            <w:vAlign w:val="bottom"/>
          </w:tcPr>
          <w:p>
            <w:pPr>
              <w:spacing w:after="0"/>
              <w:rPr>
                <w:sz w:val="12"/>
                <w:szCs w:val="12"/>
                <w:color w:val="auto"/>
              </w:rPr>
            </w:pPr>
          </w:p>
        </w:tc>
        <w:tc>
          <w:tcPr>
            <w:tcW w:w="9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79"/>
              </w:rPr>
              <w:t>issuances</w:t>
            </w:r>
          </w:p>
        </w:tc>
        <w:tc>
          <w:tcPr>
            <w:tcW w:w="6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4"/>
              </w:rPr>
              <w:t>Transfers</w:t>
            </w:r>
          </w:p>
        </w:tc>
        <w:tc>
          <w:tcPr>
            <w:tcW w:w="180" w:type="dxa"/>
            <w:vAlign w:val="bottom"/>
          </w:tcPr>
          <w:p>
            <w:pPr>
              <w:spacing w:after="0"/>
              <w:rPr>
                <w:sz w:val="12"/>
                <w:szCs w:val="12"/>
                <w:color w:val="auto"/>
              </w:rPr>
            </w:pPr>
          </w:p>
        </w:tc>
        <w:tc>
          <w:tcPr>
            <w:tcW w:w="78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7"/>
              </w:rPr>
              <w:t>Transfers</w:t>
            </w:r>
          </w:p>
        </w:tc>
        <w:tc>
          <w:tcPr>
            <w:tcW w:w="100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3"/>
              </w:rPr>
              <w:t>balance as of</w:t>
            </w:r>
          </w:p>
        </w:tc>
        <w:tc>
          <w:tcPr>
            <w:tcW w:w="80" w:type="dxa"/>
            <w:vAlign w:val="bottom"/>
          </w:tcPr>
          <w:p>
            <w:pPr>
              <w:spacing w:after="0"/>
              <w:rPr>
                <w:sz w:val="12"/>
                <w:szCs w:val="12"/>
                <w:color w:val="auto"/>
              </w:rPr>
            </w:pPr>
          </w:p>
        </w:tc>
        <w:tc>
          <w:tcPr>
            <w:tcW w:w="9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relating to</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0" w:type="dxa"/>
            <w:vAlign w:val="bottom"/>
          </w:tcPr>
          <w:p>
            <w:pPr>
              <w:spacing w:after="0"/>
              <w:rPr>
                <w:sz w:val="12"/>
                <w:szCs w:val="12"/>
                <w:color w:val="auto"/>
              </w:rPr>
            </w:pPr>
          </w:p>
        </w:tc>
        <w:tc>
          <w:tcPr>
            <w:tcW w:w="7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5"/>
              </w:rPr>
              <w:t>in net</w:t>
            </w:r>
          </w:p>
        </w:tc>
        <w:tc>
          <w:tcPr>
            <w:tcW w:w="106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3"/>
              </w:rPr>
              <w:t>comprehensive</w:t>
            </w:r>
          </w:p>
        </w:tc>
        <w:tc>
          <w:tcPr>
            <w:tcW w:w="120" w:type="dxa"/>
            <w:vAlign w:val="bottom"/>
          </w:tcPr>
          <w:p>
            <w:pPr>
              <w:spacing w:after="0"/>
              <w:rPr>
                <w:sz w:val="12"/>
                <w:szCs w:val="12"/>
                <w:color w:val="auto"/>
              </w:rPr>
            </w:pPr>
          </w:p>
        </w:tc>
        <w:tc>
          <w:tcPr>
            <w:tcW w:w="9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and</w:t>
            </w:r>
          </w:p>
        </w:tc>
        <w:tc>
          <w:tcPr>
            <w:tcW w:w="100" w:type="dxa"/>
            <w:vAlign w:val="bottom"/>
          </w:tcPr>
          <w:p>
            <w:pPr>
              <w:spacing w:after="0"/>
              <w:rPr>
                <w:sz w:val="12"/>
                <w:szCs w:val="12"/>
                <w:color w:val="auto"/>
              </w:rPr>
            </w:pPr>
          </w:p>
        </w:tc>
        <w:tc>
          <w:tcPr>
            <w:tcW w:w="52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5"/>
              </w:rPr>
              <w:t>into</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7"/>
              </w:rPr>
              <w:t>out of</w:t>
            </w:r>
          </w:p>
        </w:tc>
        <w:tc>
          <w:tcPr>
            <w:tcW w:w="100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0" w:type="dxa"/>
            <w:vAlign w:val="bottom"/>
          </w:tcPr>
          <w:p>
            <w:pPr>
              <w:spacing w:after="0"/>
              <w:rPr>
                <w:sz w:val="12"/>
                <w:szCs w:val="12"/>
                <w:color w:val="auto"/>
              </w:rPr>
            </w:pPr>
          </w:p>
        </w:tc>
        <w:tc>
          <w:tcPr>
            <w:tcW w:w="9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0"/>
              </w:rPr>
              <w:t>positions</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83"/>
              </w:rPr>
              <w:t>2010</w:t>
            </w:r>
          </w:p>
        </w:tc>
        <w:tc>
          <w:tcPr>
            <w:tcW w:w="160" w:type="dxa"/>
            <w:vAlign w:val="bottom"/>
          </w:tcPr>
          <w:p>
            <w:pPr>
              <w:spacing w:after="0"/>
              <w:rPr>
                <w:sz w:val="14"/>
                <w:szCs w:val="14"/>
                <w:color w:val="auto"/>
              </w:rPr>
            </w:pPr>
          </w:p>
        </w:tc>
        <w:tc>
          <w:tcPr>
            <w:tcW w:w="6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5"/>
              </w:rPr>
              <w:t>income (1)</w:t>
            </w: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center"/>
              <w:ind w:right="72"/>
              <w:spacing w:after="0"/>
              <w:rPr>
                <w:sz w:val="20"/>
                <w:szCs w:val="20"/>
                <w:color w:val="auto"/>
              </w:rPr>
            </w:pPr>
            <w:r>
              <w:rPr>
                <w:rFonts w:ascii="Arial" w:cs="Arial" w:eastAsia="Arial" w:hAnsi="Arial"/>
                <w:sz w:val="14"/>
                <w:szCs w:val="14"/>
                <w:b w:val="1"/>
                <w:bCs w:val="1"/>
                <w:color w:val="auto"/>
                <w:w w:val="85"/>
              </w:rPr>
              <w:t>income</w:t>
            </w:r>
          </w:p>
        </w:tc>
        <w:tc>
          <w:tcPr>
            <w:tcW w:w="160" w:type="dxa"/>
            <w:vAlign w:val="bottom"/>
          </w:tcPr>
          <w:p>
            <w:pPr>
              <w:spacing w:after="0"/>
              <w:rPr>
                <w:sz w:val="14"/>
                <w:szCs w:val="14"/>
                <w:color w:val="auto"/>
              </w:rPr>
            </w:pPr>
          </w:p>
        </w:tc>
        <w:tc>
          <w:tcPr>
            <w:tcW w:w="9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4"/>
              </w:rPr>
              <w:t>settlements (4)</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8"/>
              </w:rPr>
              <w:t>Level 3</w:t>
            </w:r>
          </w:p>
        </w:tc>
        <w:tc>
          <w:tcPr>
            <w:tcW w:w="1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88"/>
              </w:rPr>
              <w:t>Level 3</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4"/>
                <w:szCs w:val="14"/>
                <w:color w:val="auto"/>
              </w:rPr>
            </w:pPr>
          </w:p>
        </w:tc>
        <w:tc>
          <w:tcPr>
            <w:tcW w:w="84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7"/>
              </w:rPr>
              <w:t>still held (1)</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3"/>
          </w:tcPr>
          <w:p>
            <w:pPr>
              <w:jc w:val="right"/>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5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7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700" w:type="dxa"/>
            <w:vAlign w:val="bottom"/>
            <w:gridSpan w:val="2"/>
          </w:tcPr>
          <w:p>
            <w:pPr>
              <w:spacing w:after="0" w:line="138" w:lineRule="exact"/>
              <w:rPr>
                <w:sz w:val="20"/>
                <w:szCs w:val="20"/>
                <w:color w:val="auto"/>
              </w:rPr>
            </w:pPr>
            <w:r>
              <w:rPr>
                <w:rFonts w:ascii="Arial" w:cs="Arial" w:eastAsia="Arial" w:hAnsi="Arial"/>
                <w:sz w:val="14"/>
                <w:szCs w:val="14"/>
                <w:color w:val="auto"/>
              </w:rPr>
              <w:t>Fixed maturities, available-</w:t>
            </w: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700" w:type="dxa"/>
            <w:vAlign w:val="bottom"/>
            <w:gridSpan w:val="2"/>
          </w:tcPr>
          <w:p>
            <w:pPr>
              <w:ind w:left="140"/>
              <w:spacing w:after="0" w:line="159" w:lineRule="exact"/>
              <w:rPr>
                <w:sz w:val="20"/>
                <w:szCs w:val="20"/>
                <w:color w:val="auto"/>
              </w:rPr>
            </w:pPr>
            <w:r>
              <w:rPr>
                <w:rFonts w:ascii="Arial" w:cs="Arial" w:eastAsia="Arial" w:hAnsi="Arial"/>
                <w:sz w:val="14"/>
                <w:szCs w:val="14"/>
                <w:color w:val="auto"/>
              </w:rPr>
              <w:t>for-sale:</w:t>
            </w:r>
          </w:p>
        </w:tc>
        <w:tc>
          <w:tcPr>
            <w:tcW w:w="1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7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Non-U.S. governments</w:t>
            </w:r>
          </w:p>
        </w:tc>
        <w:tc>
          <w:tcPr>
            <w:tcW w:w="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24.5</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0.2</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9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(1.8)</w:t>
            </w:r>
          </w:p>
        </w:tc>
        <w:tc>
          <w:tcPr>
            <w:tcW w:w="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0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700" w:type="dxa"/>
            <w:vAlign w:val="bottom"/>
            <w:gridSpan w:val="2"/>
          </w:tcPr>
          <w:p>
            <w:pPr>
              <w:spacing w:after="0" w:line="149" w:lineRule="exact"/>
              <w:rPr>
                <w:sz w:val="20"/>
                <w:szCs w:val="20"/>
                <w:color w:val="auto"/>
              </w:rPr>
            </w:pPr>
            <w:r>
              <w:rPr>
                <w:rFonts w:ascii="Arial" w:cs="Arial" w:eastAsia="Arial" w:hAnsi="Arial"/>
                <w:sz w:val="14"/>
                <w:szCs w:val="14"/>
                <w:color w:val="auto"/>
              </w:rPr>
              <w:t>Corporate</w:t>
            </w:r>
          </w:p>
        </w:tc>
        <w:tc>
          <w:tcPr>
            <w:tcW w:w="10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color w:val="auto"/>
              </w:rPr>
              <w:t>552.1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(10.8)</w:t>
            </w:r>
          </w:p>
        </w:tc>
        <w:tc>
          <w:tcPr>
            <w:tcW w:w="140" w:type="dxa"/>
            <w:vAlign w:val="bottom"/>
          </w:tcPr>
          <w:p>
            <w:pPr>
              <w:spacing w:after="0"/>
              <w:rPr>
                <w:sz w:val="12"/>
                <w:szCs w:val="12"/>
                <w:color w:val="auto"/>
              </w:rPr>
            </w:pPr>
          </w:p>
        </w:tc>
        <w:tc>
          <w:tcPr>
            <w:tcW w:w="9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(20.8)</w:t>
            </w:r>
          </w:p>
        </w:tc>
        <w:tc>
          <w:tcPr>
            <w:tcW w:w="12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(42.7)</w:t>
            </w: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103.2</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(284.0)</w:t>
            </w:r>
          </w:p>
        </w:tc>
        <w:tc>
          <w:tcPr>
            <w:tcW w:w="10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color w:val="auto"/>
              </w:rPr>
              <w:t>297.0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(6.1)</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700" w:type="dxa"/>
            <w:vAlign w:val="bottom"/>
            <w:gridSpan w:val="2"/>
            <w:shd w:val="clear" w:color="auto" w:fill="CCEEFF"/>
          </w:tcPr>
          <w:p>
            <w:pPr>
              <w:spacing w:after="0" w:line="138" w:lineRule="exact"/>
              <w:rPr>
                <w:sz w:val="20"/>
                <w:szCs w:val="20"/>
                <w:color w:val="auto"/>
              </w:rPr>
            </w:pPr>
            <w:r>
              <w:rPr>
                <w:rFonts w:ascii="Arial" w:cs="Arial" w:eastAsia="Arial" w:hAnsi="Arial"/>
                <w:sz w:val="14"/>
                <w:szCs w:val="14"/>
                <w:color w:val="auto"/>
              </w:rPr>
              <w:t>Commercial mortgage-</w:t>
            </w:r>
          </w:p>
        </w:tc>
        <w:tc>
          <w:tcPr>
            <w:tcW w:w="10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700" w:type="dxa"/>
            <w:vAlign w:val="bottom"/>
            <w:gridSpan w:val="2"/>
            <w:shd w:val="clear" w:color="auto" w:fill="CCEEFF"/>
          </w:tcPr>
          <w:p>
            <w:pPr>
              <w:ind w:left="140"/>
              <w:spacing w:after="0" w:line="159" w:lineRule="exact"/>
              <w:rPr>
                <w:sz w:val="20"/>
                <w:szCs w:val="20"/>
                <w:color w:val="auto"/>
              </w:rPr>
            </w:pPr>
            <w:r>
              <w:rPr>
                <w:rFonts w:ascii="Arial" w:cs="Arial" w:eastAsia="Arial" w:hAnsi="Arial"/>
                <w:sz w:val="14"/>
                <w:szCs w:val="14"/>
                <w:color w:val="auto"/>
              </w:rPr>
              <w:t>backed securities</w:t>
            </w:r>
          </w:p>
        </w:tc>
        <w:tc>
          <w:tcPr>
            <w:tcW w:w="100" w:type="dxa"/>
            <w:vAlign w:val="bottom"/>
            <w:shd w:val="clear" w:color="auto" w:fill="CCEEFF"/>
          </w:tcPr>
          <w:p>
            <w:pPr>
              <w:spacing w:after="0"/>
              <w:rPr>
                <w:sz w:val="13"/>
                <w:szCs w:val="13"/>
                <w:color w:val="auto"/>
              </w:rPr>
            </w:pPr>
          </w:p>
        </w:tc>
        <w:tc>
          <w:tcPr>
            <w:tcW w:w="7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16.2</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(3.7)</w:t>
            </w:r>
          </w:p>
        </w:tc>
        <w:tc>
          <w:tcPr>
            <w:tcW w:w="140" w:type="dxa"/>
            <w:vAlign w:val="bottom"/>
            <w:shd w:val="clear" w:color="auto" w:fill="CCEEFF"/>
          </w:tcPr>
          <w:p>
            <w:pPr>
              <w:spacing w:after="0"/>
              <w:rPr>
                <w:sz w:val="13"/>
                <w:szCs w:val="13"/>
                <w:color w:val="auto"/>
              </w:rPr>
            </w:pPr>
          </w:p>
        </w:tc>
        <w:tc>
          <w:tcPr>
            <w:tcW w:w="7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5.1</w:t>
            </w:r>
          </w:p>
        </w:tc>
        <w:tc>
          <w:tcPr>
            <w:tcW w:w="1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94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(10.5)</w:t>
            </w:r>
          </w:p>
        </w:tc>
        <w:tc>
          <w:tcPr>
            <w:tcW w:w="100" w:type="dxa"/>
            <w:vAlign w:val="bottom"/>
            <w:shd w:val="clear" w:color="auto" w:fill="CCEEFF"/>
          </w:tcPr>
          <w:p>
            <w:pPr>
              <w:spacing w:after="0"/>
              <w:rPr>
                <w:sz w:val="13"/>
                <w:szCs w:val="13"/>
                <w:color w:val="auto"/>
              </w:rPr>
            </w:pPr>
          </w:p>
        </w:tc>
        <w:tc>
          <w:tcPr>
            <w:tcW w:w="5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7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(7.1)</w:t>
            </w:r>
          </w:p>
        </w:tc>
        <w:tc>
          <w:tcPr>
            <w:tcW w:w="100" w:type="dxa"/>
            <w:vAlign w:val="bottom"/>
            <w:shd w:val="clear" w:color="auto" w:fill="CCEEFF"/>
          </w:tcPr>
          <w:p>
            <w:pPr>
              <w:spacing w:after="0"/>
              <w:rPr>
                <w:sz w:val="13"/>
                <w:szCs w:val="13"/>
                <w:color w:val="auto"/>
              </w:rPr>
            </w:pPr>
          </w:p>
        </w:tc>
        <w:tc>
          <w:tcPr>
            <w:tcW w:w="90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3"/>
                <w:szCs w:val="13"/>
                <w:color w:val="auto"/>
              </w:rPr>
            </w:pPr>
          </w:p>
        </w:tc>
        <w:tc>
          <w:tcPr>
            <w:tcW w:w="9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700" w:type="dxa"/>
            <w:vAlign w:val="bottom"/>
            <w:gridSpan w:val="2"/>
          </w:tcPr>
          <w:p>
            <w:pPr>
              <w:spacing w:after="0" w:line="138" w:lineRule="exact"/>
              <w:rPr>
                <w:sz w:val="20"/>
                <w:szCs w:val="20"/>
                <w:color w:val="auto"/>
              </w:rPr>
            </w:pPr>
            <w:r>
              <w:rPr>
                <w:rFonts w:ascii="Arial" w:cs="Arial" w:eastAsia="Arial" w:hAnsi="Arial"/>
                <w:sz w:val="14"/>
                <w:szCs w:val="14"/>
                <w:color w:val="auto"/>
              </w:rPr>
              <w:t>Collateralized debt</w:t>
            </w: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700" w:type="dxa"/>
            <w:vAlign w:val="bottom"/>
            <w:gridSpan w:val="2"/>
          </w:tcPr>
          <w:p>
            <w:pPr>
              <w:ind w:left="140"/>
              <w:spacing w:after="0" w:line="159" w:lineRule="exact"/>
              <w:rPr>
                <w:sz w:val="20"/>
                <w:szCs w:val="20"/>
                <w:color w:val="auto"/>
              </w:rPr>
            </w:pPr>
            <w:r>
              <w:rPr>
                <w:rFonts w:ascii="Arial" w:cs="Arial" w:eastAsia="Arial" w:hAnsi="Arial"/>
                <w:sz w:val="14"/>
                <w:szCs w:val="14"/>
                <w:color w:val="auto"/>
              </w:rPr>
              <w:t>obligations</w:t>
            </w:r>
          </w:p>
        </w:tc>
        <w:tc>
          <w:tcPr>
            <w:tcW w:w="100" w:type="dxa"/>
            <w:vAlign w:val="bottom"/>
          </w:tcPr>
          <w:p>
            <w:pPr>
              <w:spacing w:after="0"/>
              <w:rPr>
                <w:sz w:val="13"/>
                <w:szCs w:val="13"/>
                <w:color w:val="auto"/>
              </w:rPr>
            </w:pPr>
          </w:p>
        </w:tc>
        <w:tc>
          <w:tcPr>
            <w:tcW w:w="740" w:type="dxa"/>
            <w:vAlign w:val="bottom"/>
          </w:tcPr>
          <w:p>
            <w:pPr>
              <w:jc w:val="right"/>
              <w:spacing w:after="0" w:line="159" w:lineRule="exact"/>
              <w:rPr>
                <w:sz w:val="20"/>
                <w:szCs w:val="20"/>
                <w:color w:val="auto"/>
              </w:rPr>
            </w:pPr>
            <w:r>
              <w:rPr>
                <w:rFonts w:ascii="Arial" w:cs="Arial" w:eastAsia="Arial" w:hAnsi="Arial"/>
                <w:sz w:val="14"/>
                <w:szCs w:val="14"/>
                <w:color w:val="auto"/>
              </w:rPr>
              <w:t>109.3</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(19.6)</w:t>
            </w:r>
          </w:p>
        </w:tc>
        <w:tc>
          <w:tcPr>
            <w:tcW w:w="140" w:type="dxa"/>
            <w:vAlign w:val="bottom"/>
          </w:tcPr>
          <w:p>
            <w:pPr>
              <w:spacing w:after="0"/>
              <w:rPr>
                <w:sz w:val="13"/>
                <w:szCs w:val="13"/>
                <w:color w:val="auto"/>
              </w:rPr>
            </w:pPr>
          </w:p>
        </w:tc>
        <w:tc>
          <w:tcPr>
            <w:tcW w:w="760" w:type="dxa"/>
            <w:vAlign w:val="bottom"/>
          </w:tcPr>
          <w:p>
            <w:pPr>
              <w:jc w:val="right"/>
              <w:spacing w:after="0" w:line="159" w:lineRule="exact"/>
              <w:rPr>
                <w:sz w:val="20"/>
                <w:szCs w:val="20"/>
                <w:color w:val="auto"/>
              </w:rPr>
            </w:pPr>
            <w:r>
              <w:rPr>
                <w:rFonts w:ascii="Arial" w:cs="Arial" w:eastAsia="Arial" w:hAnsi="Arial"/>
                <w:sz w:val="14"/>
                <w:szCs w:val="14"/>
                <w:color w:val="auto"/>
              </w:rPr>
              <w:t>13.8</w:t>
            </w: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jc w:val="right"/>
              <w:spacing w:after="0" w:line="159" w:lineRule="exact"/>
              <w:rPr>
                <w:sz w:val="20"/>
                <w:szCs w:val="20"/>
                <w:color w:val="auto"/>
              </w:rPr>
            </w:pPr>
            <w:r>
              <w:rPr>
                <w:rFonts w:ascii="Arial" w:cs="Arial" w:eastAsia="Arial" w:hAnsi="Arial"/>
                <w:sz w:val="14"/>
                <w:szCs w:val="14"/>
                <w:color w:val="auto"/>
              </w:rPr>
              <w:t>0.3</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(1.3)</w:t>
            </w:r>
          </w:p>
        </w:tc>
        <w:tc>
          <w:tcPr>
            <w:tcW w:w="100" w:type="dxa"/>
            <w:vAlign w:val="bottom"/>
          </w:tcPr>
          <w:p>
            <w:pPr>
              <w:spacing w:after="0"/>
              <w:rPr>
                <w:sz w:val="13"/>
                <w:szCs w:val="13"/>
                <w:color w:val="auto"/>
              </w:rPr>
            </w:pPr>
          </w:p>
        </w:tc>
        <w:tc>
          <w:tcPr>
            <w:tcW w:w="740" w:type="dxa"/>
            <w:vAlign w:val="bottom"/>
          </w:tcPr>
          <w:p>
            <w:pPr>
              <w:jc w:val="right"/>
              <w:spacing w:after="0" w:line="159" w:lineRule="exact"/>
              <w:rPr>
                <w:sz w:val="20"/>
                <w:szCs w:val="20"/>
                <w:color w:val="auto"/>
              </w:rPr>
            </w:pPr>
            <w:r>
              <w:rPr>
                <w:rFonts w:ascii="Arial" w:cs="Arial" w:eastAsia="Arial" w:hAnsi="Arial"/>
                <w:sz w:val="14"/>
                <w:szCs w:val="14"/>
                <w:color w:val="auto"/>
              </w:rPr>
              <w:t>102.5</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(9.3)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7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Other debt obligations</w:t>
            </w: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88.8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0.1</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(1.1)</w:t>
            </w:r>
          </w:p>
        </w:tc>
        <w:tc>
          <w:tcPr>
            <w:tcW w:w="12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(30.5)</w:t>
            </w: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9.0</w:t>
            </w: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(39.0)</w:t>
            </w: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27.3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1"/>
        </w:trPr>
        <w:tc>
          <w:tcPr>
            <w:tcW w:w="1720" w:type="dxa"/>
            <w:vAlign w:val="bottom"/>
            <w:gridSpan w:val="3"/>
          </w:tcPr>
          <w:p>
            <w:pPr>
              <w:spacing w:after="0" w:line="131" w:lineRule="exact"/>
              <w:rPr>
                <w:sz w:val="20"/>
                <w:szCs w:val="20"/>
                <w:color w:val="auto"/>
              </w:rPr>
            </w:pPr>
            <w:r>
              <w:rPr>
                <w:rFonts w:ascii="Arial" w:cs="Arial" w:eastAsia="Arial" w:hAnsi="Arial"/>
                <w:sz w:val="14"/>
                <w:szCs w:val="14"/>
                <w:color w:val="auto"/>
              </w:rPr>
              <w:t>Total fixed maturities,</w:t>
            </w:r>
          </w:p>
        </w:tc>
        <w:tc>
          <w:tcPr>
            <w:tcW w:w="10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60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520" w:type="dxa"/>
            <w:vAlign w:val="bottom"/>
            <w:tcBorders>
              <w:top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54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700" w:type="dxa"/>
            <w:vAlign w:val="bottom"/>
            <w:gridSpan w:val="2"/>
          </w:tcPr>
          <w:p>
            <w:pPr>
              <w:ind w:left="140"/>
              <w:spacing w:after="0" w:line="159" w:lineRule="exact"/>
              <w:rPr>
                <w:sz w:val="20"/>
                <w:szCs w:val="20"/>
                <w:color w:val="auto"/>
              </w:rPr>
            </w:pPr>
            <w:r>
              <w:rPr>
                <w:rFonts w:ascii="Arial" w:cs="Arial" w:eastAsia="Arial" w:hAnsi="Arial"/>
                <w:sz w:val="14"/>
                <w:szCs w:val="14"/>
                <w:color w:val="auto"/>
              </w:rPr>
              <w:t>available-for-sale</w:t>
            </w:r>
          </w:p>
        </w:tc>
        <w:tc>
          <w:tcPr>
            <w:tcW w:w="100" w:type="dxa"/>
            <w:vAlign w:val="bottom"/>
          </w:tcPr>
          <w:p>
            <w:pPr>
              <w:spacing w:after="0"/>
              <w:rPr>
                <w:sz w:val="13"/>
                <w:szCs w:val="13"/>
                <w:color w:val="auto"/>
              </w:rPr>
            </w:pPr>
          </w:p>
        </w:tc>
        <w:tc>
          <w:tcPr>
            <w:tcW w:w="740" w:type="dxa"/>
            <w:vAlign w:val="bottom"/>
          </w:tcPr>
          <w:p>
            <w:pPr>
              <w:jc w:val="right"/>
              <w:spacing w:after="0" w:line="159" w:lineRule="exact"/>
              <w:rPr>
                <w:sz w:val="20"/>
                <w:szCs w:val="20"/>
                <w:color w:val="auto"/>
              </w:rPr>
            </w:pPr>
            <w:r>
              <w:rPr>
                <w:rFonts w:ascii="Arial" w:cs="Arial" w:eastAsia="Arial" w:hAnsi="Arial"/>
                <w:sz w:val="14"/>
                <w:szCs w:val="14"/>
                <w:color w:val="auto"/>
              </w:rPr>
              <w:t>790.9</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(33.8)</w:t>
            </w:r>
          </w:p>
        </w:tc>
        <w:tc>
          <w:tcPr>
            <w:tcW w:w="140" w:type="dxa"/>
            <w:vAlign w:val="bottom"/>
          </w:tcPr>
          <w:p>
            <w:pPr>
              <w:spacing w:after="0"/>
              <w:rPr>
                <w:sz w:val="13"/>
                <w:szCs w:val="13"/>
                <w:color w:val="auto"/>
              </w:rPr>
            </w:pPr>
          </w:p>
        </w:tc>
        <w:tc>
          <w:tcPr>
            <w:tcW w:w="92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(3.0)</w:t>
            </w:r>
          </w:p>
        </w:tc>
        <w:tc>
          <w:tcPr>
            <w:tcW w:w="120" w:type="dxa"/>
            <w:vAlign w:val="bottom"/>
          </w:tcPr>
          <w:p>
            <w:pPr>
              <w:spacing w:after="0"/>
              <w:rPr>
                <w:sz w:val="13"/>
                <w:szCs w:val="13"/>
                <w:color w:val="auto"/>
              </w:rPr>
            </w:pPr>
          </w:p>
        </w:tc>
        <w:tc>
          <w:tcPr>
            <w:tcW w:w="94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(85.2)</w:t>
            </w:r>
          </w:p>
        </w:tc>
        <w:tc>
          <w:tcPr>
            <w:tcW w:w="100" w:type="dxa"/>
            <w:vAlign w:val="bottom"/>
          </w:tcPr>
          <w:p>
            <w:pPr>
              <w:spacing w:after="0"/>
              <w:rPr>
                <w:sz w:val="13"/>
                <w:szCs w:val="13"/>
                <w:color w:val="auto"/>
              </w:rPr>
            </w:pPr>
          </w:p>
        </w:tc>
        <w:tc>
          <w:tcPr>
            <w:tcW w:w="520" w:type="dxa"/>
            <w:vAlign w:val="bottom"/>
          </w:tcPr>
          <w:p>
            <w:pPr>
              <w:jc w:val="right"/>
              <w:spacing w:after="0" w:line="159" w:lineRule="exact"/>
              <w:rPr>
                <w:sz w:val="20"/>
                <w:szCs w:val="20"/>
                <w:color w:val="auto"/>
              </w:rPr>
            </w:pPr>
            <w:r>
              <w:rPr>
                <w:rFonts w:ascii="Arial" w:cs="Arial" w:eastAsia="Arial" w:hAnsi="Arial"/>
                <w:sz w:val="14"/>
                <w:szCs w:val="14"/>
                <w:color w:val="auto"/>
              </w:rPr>
              <w:t>112.2</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(331.4)</w:t>
            </w:r>
          </w:p>
        </w:tc>
        <w:tc>
          <w:tcPr>
            <w:tcW w:w="100" w:type="dxa"/>
            <w:vAlign w:val="bottom"/>
          </w:tcPr>
          <w:p>
            <w:pPr>
              <w:spacing w:after="0"/>
              <w:rPr>
                <w:sz w:val="13"/>
                <w:szCs w:val="13"/>
                <w:color w:val="auto"/>
              </w:rPr>
            </w:pPr>
          </w:p>
        </w:tc>
        <w:tc>
          <w:tcPr>
            <w:tcW w:w="740" w:type="dxa"/>
            <w:vAlign w:val="bottom"/>
          </w:tcPr>
          <w:p>
            <w:pPr>
              <w:jc w:val="right"/>
              <w:spacing w:after="0" w:line="159" w:lineRule="exact"/>
              <w:rPr>
                <w:sz w:val="20"/>
                <w:szCs w:val="20"/>
                <w:color w:val="auto"/>
              </w:rPr>
            </w:pPr>
            <w:r>
              <w:rPr>
                <w:rFonts w:ascii="Arial" w:cs="Arial" w:eastAsia="Arial" w:hAnsi="Arial"/>
                <w:sz w:val="14"/>
                <w:szCs w:val="14"/>
                <w:color w:val="auto"/>
              </w:rPr>
              <w:t>449.7</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(15.3)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7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Fixed maturities, trading</w:t>
            </w: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269.1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(16.6)</w:t>
            </w:r>
          </w:p>
        </w:tc>
        <w:tc>
          <w:tcPr>
            <w:tcW w:w="14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(27.2)</w:t>
            </w: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20.5</w:t>
            </w: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(25.0)</w:t>
            </w: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220.8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(15.8)</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700" w:type="dxa"/>
            <w:vAlign w:val="bottom"/>
            <w:gridSpan w:val="2"/>
          </w:tcPr>
          <w:p>
            <w:pPr>
              <w:spacing w:after="0" w:line="138" w:lineRule="exact"/>
              <w:rPr>
                <w:sz w:val="20"/>
                <w:szCs w:val="20"/>
                <w:color w:val="auto"/>
              </w:rPr>
            </w:pPr>
            <w:r>
              <w:rPr>
                <w:rFonts w:ascii="Arial" w:cs="Arial" w:eastAsia="Arial" w:hAnsi="Arial"/>
                <w:sz w:val="14"/>
                <w:szCs w:val="14"/>
                <w:color w:val="auto"/>
                <w:w w:val="99"/>
              </w:rPr>
              <w:t>Equity securities, available-</w:t>
            </w: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700" w:type="dxa"/>
            <w:vAlign w:val="bottom"/>
            <w:gridSpan w:val="2"/>
          </w:tcPr>
          <w:p>
            <w:pPr>
              <w:ind w:left="140"/>
              <w:spacing w:after="0" w:line="159" w:lineRule="exact"/>
              <w:rPr>
                <w:sz w:val="20"/>
                <w:szCs w:val="20"/>
                <w:color w:val="auto"/>
              </w:rPr>
            </w:pPr>
            <w:r>
              <w:rPr>
                <w:rFonts w:ascii="Arial" w:cs="Arial" w:eastAsia="Arial" w:hAnsi="Arial"/>
                <w:sz w:val="14"/>
                <w:szCs w:val="14"/>
                <w:color w:val="auto"/>
              </w:rPr>
              <w:t>for-sale</w:t>
            </w:r>
          </w:p>
        </w:tc>
        <w:tc>
          <w:tcPr>
            <w:tcW w:w="100" w:type="dxa"/>
            <w:vAlign w:val="bottom"/>
          </w:tcPr>
          <w:p>
            <w:pPr>
              <w:spacing w:after="0"/>
              <w:rPr>
                <w:sz w:val="13"/>
                <w:szCs w:val="13"/>
                <w:color w:val="auto"/>
              </w:rPr>
            </w:pPr>
          </w:p>
        </w:tc>
        <w:tc>
          <w:tcPr>
            <w:tcW w:w="740" w:type="dxa"/>
            <w:vAlign w:val="bottom"/>
          </w:tcPr>
          <w:p>
            <w:pPr>
              <w:jc w:val="right"/>
              <w:spacing w:after="0" w:line="159" w:lineRule="exact"/>
              <w:rPr>
                <w:sz w:val="20"/>
                <w:szCs w:val="20"/>
                <w:color w:val="auto"/>
              </w:rPr>
            </w:pPr>
            <w:r>
              <w:rPr>
                <w:rFonts w:ascii="Arial" w:cs="Arial" w:eastAsia="Arial" w:hAnsi="Arial"/>
                <w:sz w:val="14"/>
                <w:szCs w:val="14"/>
                <w:color w:val="auto"/>
              </w:rPr>
              <w:t>43.2</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(6.1)</w:t>
            </w:r>
          </w:p>
        </w:tc>
        <w:tc>
          <w:tcPr>
            <w:tcW w:w="140" w:type="dxa"/>
            <w:vAlign w:val="bottom"/>
          </w:tcPr>
          <w:p>
            <w:pPr>
              <w:spacing w:after="0"/>
              <w:rPr>
                <w:sz w:val="13"/>
                <w:szCs w:val="13"/>
                <w:color w:val="auto"/>
              </w:rPr>
            </w:pPr>
          </w:p>
        </w:tc>
        <w:tc>
          <w:tcPr>
            <w:tcW w:w="760" w:type="dxa"/>
            <w:vAlign w:val="bottom"/>
          </w:tcPr>
          <w:p>
            <w:pPr>
              <w:jc w:val="right"/>
              <w:spacing w:after="0" w:line="159" w:lineRule="exact"/>
              <w:rPr>
                <w:sz w:val="20"/>
                <w:szCs w:val="20"/>
                <w:color w:val="auto"/>
              </w:rPr>
            </w:pPr>
            <w:r>
              <w:rPr>
                <w:rFonts w:ascii="Arial" w:cs="Arial" w:eastAsia="Arial" w:hAnsi="Arial"/>
                <w:sz w:val="14"/>
                <w:szCs w:val="14"/>
                <w:color w:val="auto"/>
              </w:rPr>
              <w:t>12.0</w:t>
            </w: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4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(28.0)</w:t>
            </w:r>
          </w:p>
        </w:tc>
        <w:tc>
          <w:tcPr>
            <w:tcW w:w="100" w:type="dxa"/>
            <w:vAlign w:val="bottom"/>
          </w:tcPr>
          <w:p>
            <w:pPr>
              <w:spacing w:after="0"/>
              <w:rPr>
                <w:sz w:val="13"/>
                <w:szCs w:val="13"/>
                <w:color w:val="auto"/>
              </w:rPr>
            </w:pPr>
          </w:p>
        </w:tc>
        <w:tc>
          <w:tcPr>
            <w:tcW w:w="520" w:type="dxa"/>
            <w:vAlign w:val="bottom"/>
          </w:tcPr>
          <w:p>
            <w:pPr>
              <w:jc w:val="right"/>
              <w:spacing w:after="0" w:line="159" w:lineRule="exact"/>
              <w:rPr>
                <w:sz w:val="20"/>
                <w:szCs w:val="20"/>
                <w:color w:val="auto"/>
              </w:rPr>
            </w:pPr>
            <w:r>
              <w:rPr>
                <w:rFonts w:ascii="Arial" w:cs="Arial" w:eastAsia="Arial" w:hAnsi="Arial"/>
                <w:sz w:val="14"/>
                <w:szCs w:val="14"/>
                <w:color w:val="auto"/>
              </w:rPr>
              <w:t>13.0</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(16.1)</w:t>
            </w:r>
          </w:p>
        </w:tc>
        <w:tc>
          <w:tcPr>
            <w:tcW w:w="100" w:type="dxa"/>
            <w:vAlign w:val="bottom"/>
          </w:tcPr>
          <w:p>
            <w:pPr>
              <w:spacing w:after="0"/>
              <w:rPr>
                <w:sz w:val="13"/>
                <w:szCs w:val="13"/>
                <w:color w:val="auto"/>
              </w:rPr>
            </w:pPr>
          </w:p>
        </w:tc>
        <w:tc>
          <w:tcPr>
            <w:tcW w:w="740" w:type="dxa"/>
            <w:vAlign w:val="bottom"/>
          </w:tcPr>
          <w:p>
            <w:pPr>
              <w:jc w:val="right"/>
              <w:spacing w:after="0" w:line="159" w:lineRule="exact"/>
              <w:rPr>
                <w:sz w:val="20"/>
                <w:szCs w:val="20"/>
                <w:color w:val="auto"/>
              </w:rPr>
            </w:pPr>
            <w:r>
              <w:rPr>
                <w:rFonts w:ascii="Arial" w:cs="Arial" w:eastAsia="Arial" w:hAnsi="Arial"/>
                <w:sz w:val="14"/>
                <w:szCs w:val="14"/>
                <w:color w:val="auto"/>
              </w:rPr>
              <w:t>18.0</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(4.5)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7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Derivative assets</w:t>
            </w: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37.8</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(0.1)</w:t>
            </w:r>
          </w:p>
        </w:tc>
        <w:tc>
          <w:tcPr>
            <w:tcW w:w="12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(10.8)</w:t>
            </w: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60.2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700" w:type="dxa"/>
            <w:vAlign w:val="bottom"/>
            <w:gridSpan w:val="2"/>
          </w:tcPr>
          <w:p>
            <w:pPr>
              <w:spacing w:after="0" w:line="149" w:lineRule="exact"/>
              <w:rPr>
                <w:sz w:val="20"/>
                <w:szCs w:val="20"/>
                <w:color w:val="auto"/>
              </w:rPr>
            </w:pPr>
            <w:r>
              <w:rPr>
                <w:rFonts w:ascii="Arial" w:cs="Arial" w:eastAsia="Arial" w:hAnsi="Arial"/>
                <w:sz w:val="14"/>
                <w:szCs w:val="14"/>
                <w:color w:val="auto"/>
              </w:rPr>
              <w:t>Other investments</w:t>
            </w:r>
          </w:p>
        </w:tc>
        <w:tc>
          <w:tcPr>
            <w:tcW w:w="10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color w:val="auto"/>
              </w:rPr>
              <w:t>128.3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(2.5)</w:t>
            </w:r>
          </w:p>
        </w:tc>
        <w:tc>
          <w:tcPr>
            <w:tcW w:w="140" w:type="dxa"/>
            <w:vAlign w:val="bottom"/>
          </w:tcPr>
          <w:p>
            <w:pPr>
              <w:spacing w:after="0"/>
              <w:rPr>
                <w:sz w:val="12"/>
                <w:szCs w:val="12"/>
                <w:color w:val="auto"/>
              </w:rPr>
            </w:pPr>
          </w:p>
        </w:tc>
        <w:tc>
          <w:tcPr>
            <w:tcW w:w="9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(28.3)</w:t>
            </w: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color w:val="auto"/>
              </w:rPr>
              <w:t>97.5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7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w w:val="95"/>
              </w:rPr>
              <w:t>Separate account assets (2)</w:t>
            </w: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3,771.5</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406.6</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88.9</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13.5</w:t>
            </w: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(82.3)</w:t>
            </w: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4,198.2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400.9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311"/>
        </w:trPr>
        <w:tc>
          <w:tcPr>
            <w:tcW w:w="1720" w:type="dxa"/>
            <w:vAlign w:val="bottom"/>
            <w:gridSpan w:val="3"/>
          </w:tcPr>
          <w:p>
            <w:pPr>
              <w:spacing w:after="0"/>
              <w:rPr>
                <w:sz w:val="20"/>
                <w:szCs w:val="20"/>
                <w:color w:val="auto"/>
              </w:rPr>
            </w:pPr>
            <w:r>
              <w:rPr>
                <w:rFonts w:ascii="Arial" w:cs="Arial" w:eastAsia="Arial" w:hAnsi="Arial"/>
                <w:sz w:val="14"/>
                <w:szCs w:val="14"/>
                <w:b w:val="1"/>
                <w:bCs w:val="1"/>
                <w:color w:val="auto"/>
              </w:rPr>
              <w:t>Liabilities</w:t>
            </w: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700" w:type="dxa"/>
            <w:vAlign w:val="bottom"/>
            <w:gridSpan w:val="2"/>
            <w:shd w:val="clear" w:color="auto" w:fill="CCEEFF"/>
          </w:tcPr>
          <w:p>
            <w:pPr>
              <w:spacing w:after="0" w:line="138" w:lineRule="exact"/>
              <w:rPr>
                <w:sz w:val="20"/>
                <w:szCs w:val="20"/>
                <w:color w:val="auto"/>
              </w:rPr>
            </w:pPr>
            <w:r>
              <w:rPr>
                <w:rFonts w:ascii="Arial" w:cs="Arial" w:eastAsia="Arial" w:hAnsi="Arial"/>
                <w:sz w:val="14"/>
                <w:szCs w:val="14"/>
                <w:color w:val="auto"/>
                <w:w w:val="98"/>
              </w:rPr>
              <w:t>Investments-type insurance</w:t>
            </w:r>
          </w:p>
        </w:tc>
        <w:tc>
          <w:tcPr>
            <w:tcW w:w="10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700" w:type="dxa"/>
            <w:vAlign w:val="bottom"/>
            <w:gridSpan w:val="2"/>
            <w:shd w:val="clear" w:color="auto" w:fill="CCEEFF"/>
          </w:tcPr>
          <w:p>
            <w:pPr>
              <w:ind w:left="140"/>
              <w:spacing w:after="0" w:line="159" w:lineRule="exact"/>
              <w:rPr>
                <w:sz w:val="20"/>
                <w:szCs w:val="20"/>
                <w:color w:val="auto"/>
              </w:rPr>
            </w:pPr>
            <w:r>
              <w:rPr>
                <w:rFonts w:ascii="Arial" w:cs="Arial" w:eastAsia="Arial" w:hAnsi="Arial"/>
                <w:sz w:val="14"/>
                <w:szCs w:val="14"/>
                <w:color w:val="auto"/>
              </w:rPr>
              <w:t>contracts</w:t>
            </w:r>
          </w:p>
        </w:tc>
        <w:tc>
          <w:tcPr>
            <w:tcW w:w="100" w:type="dxa"/>
            <w:vAlign w:val="bottom"/>
            <w:shd w:val="clear" w:color="auto" w:fill="CCEEFF"/>
          </w:tcPr>
          <w:p>
            <w:pPr>
              <w:spacing w:after="0"/>
              <w:rPr>
                <w:sz w:val="13"/>
                <w:szCs w:val="13"/>
                <w:color w:val="auto"/>
              </w:rPr>
            </w:pPr>
          </w:p>
        </w:tc>
        <w:tc>
          <w:tcPr>
            <w:tcW w:w="9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(6.6)</w:t>
            </w:r>
          </w:p>
        </w:tc>
        <w:tc>
          <w:tcPr>
            <w:tcW w:w="8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(206.3)</w:t>
            </w:r>
          </w:p>
        </w:tc>
        <w:tc>
          <w:tcPr>
            <w:tcW w:w="140" w:type="dxa"/>
            <w:vAlign w:val="bottom"/>
            <w:shd w:val="clear" w:color="auto" w:fill="CCEEFF"/>
          </w:tcPr>
          <w:p>
            <w:pPr>
              <w:spacing w:after="0"/>
              <w:rPr>
                <w:sz w:val="13"/>
                <w:szCs w:val="13"/>
                <w:color w:val="auto"/>
              </w:rPr>
            </w:pPr>
          </w:p>
        </w:tc>
        <w:tc>
          <w:tcPr>
            <w:tcW w:w="92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17.1</w:t>
            </w:r>
          </w:p>
        </w:tc>
        <w:tc>
          <w:tcPr>
            <w:tcW w:w="1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70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3"/>
                <w:szCs w:val="13"/>
                <w:color w:val="auto"/>
              </w:rPr>
            </w:pPr>
          </w:p>
        </w:tc>
        <w:tc>
          <w:tcPr>
            <w:tcW w:w="9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(195.8)</w:t>
            </w:r>
          </w:p>
        </w:tc>
        <w:tc>
          <w:tcPr>
            <w:tcW w:w="80" w:type="dxa"/>
            <w:vAlign w:val="bottom"/>
            <w:shd w:val="clear" w:color="auto" w:fill="CCEEFF"/>
          </w:tcPr>
          <w:p>
            <w:pPr>
              <w:spacing w:after="0"/>
              <w:rPr>
                <w:sz w:val="13"/>
                <w:szCs w:val="13"/>
                <w:color w:val="auto"/>
              </w:rPr>
            </w:pPr>
          </w:p>
        </w:tc>
        <w:tc>
          <w:tcPr>
            <w:tcW w:w="92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(206.6)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700" w:type="dxa"/>
            <w:vAlign w:val="bottom"/>
            <w:gridSpan w:val="2"/>
          </w:tcPr>
          <w:p>
            <w:pPr>
              <w:spacing w:after="0" w:line="149" w:lineRule="exact"/>
              <w:rPr>
                <w:sz w:val="20"/>
                <w:szCs w:val="20"/>
                <w:color w:val="auto"/>
              </w:rPr>
            </w:pPr>
            <w:r>
              <w:rPr>
                <w:rFonts w:ascii="Arial" w:cs="Arial" w:eastAsia="Arial" w:hAnsi="Arial"/>
                <w:sz w:val="14"/>
                <w:szCs w:val="14"/>
                <w:color w:val="auto"/>
              </w:rPr>
              <w:t>Derivative liabilities</w:t>
            </w:r>
          </w:p>
        </w:tc>
        <w:tc>
          <w:tcPr>
            <w:tcW w:w="100" w:type="dxa"/>
            <w:vAlign w:val="bottom"/>
          </w:tcPr>
          <w:p>
            <w:pPr>
              <w:spacing w:after="0"/>
              <w:rPr>
                <w:sz w:val="12"/>
                <w:szCs w:val="12"/>
                <w:color w:val="auto"/>
              </w:rPr>
            </w:pPr>
          </w:p>
        </w:tc>
        <w:tc>
          <w:tcPr>
            <w:tcW w:w="9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(181.5)</w:t>
            </w:r>
          </w:p>
        </w:tc>
        <w:tc>
          <w:tcPr>
            <w:tcW w:w="80" w:type="dxa"/>
            <w:vAlign w:val="bottom"/>
          </w:tcPr>
          <w:p>
            <w:pPr>
              <w:spacing w:after="0"/>
              <w:rPr>
                <w:sz w:val="12"/>
                <w:szCs w:val="12"/>
                <w:color w:val="auto"/>
              </w:rPr>
            </w:pPr>
          </w:p>
        </w:tc>
        <w:tc>
          <w:tcPr>
            <w:tcW w:w="7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(11.4)</w:t>
            </w:r>
          </w:p>
        </w:tc>
        <w:tc>
          <w:tcPr>
            <w:tcW w:w="14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0.2</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15.6</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(177.1)</w:t>
            </w:r>
          </w:p>
        </w:tc>
        <w:tc>
          <w:tcPr>
            <w:tcW w:w="80" w:type="dxa"/>
            <w:vAlign w:val="bottom"/>
          </w:tcPr>
          <w:p>
            <w:pPr>
              <w:spacing w:after="0"/>
              <w:rPr>
                <w:sz w:val="12"/>
                <w:szCs w:val="12"/>
                <w:color w:val="auto"/>
              </w:rPr>
            </w:pPr>
          </w:p>
        </w:tc>
        <w:tc>
          <w:tcPr>
            <w:tcW w:w="9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(8.6)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7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Other liabilities (3)</w:t>
            </w:r>
          </w:p>
        </w:tc>
        <w:tc>
          <w:tcPr>
            <w:tcW w:w="10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(156.8)</w:t>
            </w:r>
          </w:p>
        </w:tc>
        <w:tc>
          <w:tcPr>
            <w:tcW w:w="8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(1.2)</w:t>
            </w: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13.4</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(15.9)</w:t>
            </w: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136.3</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(24.2)</w:t>
            </w:r>
          </w:p>
        </w:tc>
        <w:tc>
          <w:tcPr>
            <w:tcW w:w="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(1.1)</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60" w:type="dxa"/>
            <w:vAlign w:val="bottom"/>
            <w:tcBorders>
              <w:bottom w:val="single" w:sz="8" w:color="auto"/>
            </w:tcBorders>
          </w:tcPr>
          <w:p>
            <w:pPr>
              <w:spacing w:after="0"/>
              <w:rPr>
                <w:sz w:val="9"/>
                <w:szCs w:val="9"/>
                <w:color w:val="auto"/>
              </w:rPr>
            </w:pPr>
          </w:p>
        </w:tc>
        <w:tc>
          <w:tcPr>
            <w:tcW w:w="940" w:type="dxa"/>
            <w:vAlign w:val="bottom"/>
          </w:tcPr>
          <w:p>
            <w:pPr>
              <w:spacing w:after="0"/>
              <w:rPr>
                <w:sz w:val="9"/>
                <w:szCs w:val="9"/>
                <w:color w:val="auto"/>
              </w:rPr>
            </w:pPr>
          </w:p>
        </w:tc>
        <w:tc>
          <w:tcPr>
            <w:tcW w:w="100" w:type="dxa"/>
            <w:vAlign w:val="bottom"/>
          </w:tcPr>
          <w:p>
            <w:pPr>
              <w:spacing w:after="0"/>
              <w:rPr>
                <w:sz w:val="9"/>
                <w:szCs w:val="9"/>
                <w:color w:val="auto"/>
              </w:rPr>
            </w:pPr>
          </w:p>
        </w:tc>
        <w:tc>
          <w:tcPr>
            <w:tcW w:w="7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6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520" w:type="dxa"/>
            <w:vAlign w:val="bottom"/>
          </w:tcPr>
          <w:p>
            <w:pPr>
              <w:spacing w:after="0"/>
              <w:rPr>
                <w:sz w:val="9"/>
                <w:szCs w:val="9"/>
                <w:color w:val="auto"/>
              </w:rPr>
            </w:pPr>
          </w:p>
        </w:tc>
        <w:tc>
          <w:tcPr>
            <w:tcW w:w="180" w:type="dxa"/>
            <w:vAlign w:val="bottom"/>
          </w:tcPr>
          <w:p>
            <w:pPr>
              <w:spacing w:after="0"/>
              <w:rPr>
                <w:sz w:val="9"/>
                <w:szCs w:val="9"/>
                <w:color w:val="auto"/>
              </w:rPr>
            </w:pPr>
          </w:p>
        </w:tc>
        <w:tc>
          <w:tcPr>
            <w:tcW w:w="80" w:type="dxa"/>
            <w:vAlign w:val="bottom"/>
          </w:tcPr>
          <w:p>
            <w:pPr>
              <w:spacing w:after="0"/>
              <w:rPr>
                <w:sz w:val="9"/>
                <w:szCs w:val="9"/>
                <w:color w:val="auto"/>
              </w:rPr>
            </w:pPr>
          </w:p>
        </w:tc>
        <w:tc>
          <w:tcPr>
            <w:tcW w:w="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7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jc w:val="both"/>
        <w:ind w:left="1680" w:hanging="531"/>
        <w:spacing w:after="0" w:line="233" w:lineRule="auto"/>
        <w:tabs>
          <w:tab w:leader="none" w:pos="1680" w:val="left"/>
        </w:tabs>
        <w:numPr>
          <w:ilvl w:val="0"/>
          <w:numId w:val="78"/>
        </w:numPr>
        <w:rPr>
          <w:rFonts w:ascii="Arial" w:cs="Arial" w:eastAsia="Arial" w:hAnsi="Arial"/>
          <w:sz w:val="14"/>
          <w:szCs w:val="14"/>
          <w:color w:val="auto"/>
        </w:rPr>
      </w:pPr>
      <w:r>
        <w:rPr>
          <w:rFonts w:ascii="Arial" w:cs="Arial" w:eastAsia="Arial" w:hAnsi="Arial"/>
          <w:sz w:val="14"/>
          <w:szCs w:val="14"/>
          <w:color w:val="auto"/>
        </w:rPr>
        <w:t>Both realized gains (losses) and mark-to-market unrealized gains (losses) are generally reported in net realized capital gains (losses) within the consolidated statements of operations. Realized and unrealized gains (losses) on certain fixed maturities, trading and certain derivatives used in relation to certain trading portfolios are reported in net investment income within the consolidated statements of operation.</w:t>
      </w:r>
    </w:p>
    <w:p>
      <w:pPr>
        <w:spacing w:after="0" w:line="111" w:lineRule="exact"/>
        <w:rPr>
          <w:rFonts w:ascii="Arial" w:cs="Arial" w:eastAsia="Arial" w:hAnsi="Arial"/>
          <w:sz w:val="14"/>
          <w:szCs w:val="14"/>
          <w:color w:val="auto"/>
        </w:rPr>
      </w:pPr>
    </w:p>
    <w:p>
      <w:pPr>
        <w:jc w:val="both"/>
        <w:ind w:left="1680" w:hanging="531"/>
        <w:spacing w:after="0" w:line="233" w:lineRule="auto"/>
        <w:tabs>
          <w:tab w:leader="none" w:pos="1680" w:val="left"/>
        </w:tabs>
        <w:numPr>
          <w:ilvl w:val="0"/>
          <w:numId w:val="78"/>
        </w:numPr>
        <w:rPr>
          <w:rFonts w:ascii="Arial" w:cs="Arial" w:eastAsia="Arial" w:hAnsi="Arial"/>
          <w:sz w:val="14"/>
          <w:szCs w:val="14"/>
          <w:color w:val="auto"/>
        </w:rPr>
      </w:pPr>
      <w:r>
        <w:rPr>
          <w:rFonts w:ascii="Arial" w:cs="Arial" w:eastAsia="Arial" w:hAnsi="Arial"/>
          <w:sz w:val="14"/>
          <w:szCs w:val="14"/>
          <w:color w:val="auto"/>
        </w:rPr>
        <w:t>Gains and losses for separate account assets do not impact net income as the change in value of separate account assets is offset by a change in value of separate account liabilities. Foreign currency translation adjustments related to the Principal International segment separate account assets are recorded in AOCI and are offset by foreign currency translation adjustments of the corresponding separate account liabilities.</w:t>
      </w:r>
    </w:p>
    <w:p>
      <w:pPr>
        <w:spacing w:after="0" w:line="111" w:lineRule="exact"/>
        <w:rPr>
          <w:rFonts w:ascii="Arial" w:cs="Arial" w:eastAsia="Arial" w:hAnsi="Arial"/>
          <w:sz w:val="14"/>
          <w:szCs w:val="14"/>
          <w:color w:val="auto"/>
        </w:rPr>
      </w:pPr>
    </w:p>
    <w:p>
      <w:pPr>
        <w:ind w:left="1680" w:hanging="531"/>
        <w:spacing w:after="0"/>
        <w:tabs>
          <w:tab w:leader="none" w:pos="1680" w:val="left"/>
        </w:tabs>
        <w:numPr>
          <w:ilvl w:val="0"/>
          <w:numId w:val="78"/>
        </w:numPr>
        <w:rPr>
          <w:rFonts w:ascii="Arial" w:cs="Arial" w:eastAsia="Arial" w:hAnsi="Arial"/>
          <w:sz w:val="12"/>
          <w:szCs w:val="12"/>
          <w:color w:val="auto"/>
        </w:rPr>
      </w:pPr>
      <w:r>
        <w:rPr>
          <w:rFonts w:ascii="Arial" w:cs="Arial" w:eastAsia="Arial" w:hAnsi="Arial"/>
          <w:sz w:val="12"/>
          <w:szCs w:val="12"/>
          <w:color w:val="auto"/>
        </w:rPr>
        <w:t>Certain embedded derivatives reported in other liabilities are part of a cash flow hedge, with the effective portion of the unrealized gains (losses) recorded in AOCI.</w:t>
      </w:r>
    </w:p>
    <w:p>
      <w:pPr>
        <w:spacing w:after="0" w:line="145" w:lineRule="exact"/>
        <w:rPr>
          <w:rFonts w:ascii="Arial" w:cs="Arial" w:eastAsia="Arial" w:hAnsi="Arial"/>
          <w:sz w:val="12"/>
          <w:szCs w:val="12"/>
          <w:color w:val="auto"/>
        </w:rPr>
      </w:pPr>
    </w:p>
    <w:p>
      <w:pPr>
        <w:ind w:left="1680" w:hanging="531"/>
        <w:spacing w:after="0"/>
        <w:tabs>
          <w:tab w:leader="none" w:pos="1680" w:val="left"/>
        </w:tabs>
        <w:numPr>
          <w:ilvl w:val="0"/>
          <w:numId w:val="78"/>
        </w:numPr>
        <w:rPr>
          <w:rFonts w:ascii="Arial" w:cs="Arial" w:eastAsia="Arial" w:hAnsi="Arial"/>
          <w:sz w:val="14"/>
          <w:szCs w:val="14"/>
          <w:color w:val="auto"/>
        </w:rPr>
      </w:pPr>
      <w:r>
        <w:rPr>
          <w:rFonts w:ascii="Arial" w:cs="Arial" w:eastAsia="Arial" w:hAnsi="Arial"/>
          <w:sz w:val="14"/>
          <w:szCs w:val="14"/>
          <w:color w:val="auto"/>
        </w:rPr>
        <w:t>Gross purchases, sales, issuances and settlements were:</w:t>
      </w:r>
    </w:p>
    <w:p>
      <w:pPr>
        <w:spacing w:after="0" w:line="202"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30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420" w:type="dxa"/>
            <w:vAlign w:val="bottom"/>
            <w:tcBorders>
              <w:bottom w:val="single" w:sz="8" w:color="auto"/>
            </w:tcBorders>
            <w:gridSpan w:val="9"/>
          </w:tcPr>
          <w:p>
            <w:pPr>
              <w:jc w:val="right"/>
              <w:ind w:right="40"/>
              <w:spacing w:after="0"/>
              <w:rPr>
                <w:sz w:val="20"/>
                <w:szCs w:val="20"/>
                <w:color w:val="auto"/>
              </w:rPr>
            </w:pPr>
            <w:r>
              <w:rPr>
                <w:rFonts w:ascii="Arial" w:cs="Arial" w:eastAsia="Arial" w:hAnsi="Arial"/>
                <w:sz w:val="14"/>
                <w:szCs w:val="14"/>
                <w:b w:val="1"/>
                <w:bCs w:val="1"/>
                <w:color w:val="auto"/>
                <w:w w:val="92"/>
              </w:rPr>
              <w:t>For the year ended December 31, 2013</w:t>
            </w:r>
          </w:p>
        </w:tc>
        <w:tc>
          <w:tcPr>
            <w:tcW w:w="12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29"/>
        </w:trPr>
        <w:tc>
          <w:tcPr>
            <w:tcW w:w="3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jc w:val="center"/>
              <w:ind w:right="12"/>
              <w:spacing w:after="0" w:line="129" w:lineRule="exact"/>
              <w:rPr>
                <w:sz w:val="20"/>
                <w:szCs w:val="20"/>
                <w:color w:val="auto"/>
              </w:rPr>
            </w:pPr>
            <w:r>
              <w:rPr>
                <w:rFonts w:ascii="Arial" w:cs="Arial" w:eastAsia="Arial" w:hAnsi="Arial"/>
                <w:sz w:val="14"/>
                <w:szCs w:val="14"/>
                <w:b w:val="1"/>
                <w:bCs w:val="1"/>
                <w:color w:val="auto"/>
                <w:w w:val="85"/>
              </w:rPr>
              <w:t>Net purchases,</w:t>
            </w:r>
          </w:p>
        </w:tc>
        <w:tc>
          <w:tcPr>
            <w:tcW w:w="160" w:type="dxa"/>
            <w:vAlign w:val="bottom"/>
          </w:tcPr>
          <w:p>
            <w:pPr>
              <w:spacing w:after="0"/>
              <w:rPr>
                <w:sz w:val="11"/>
                <w:szCs w:val="11"/>
                <w:color w:val="auto"/>
              </w:rPr>
            </w:pPr>
          </w:p>
        </w:tc>
      </w:tr>
      <w:tr>
        <w:trPr>
          <w:trHeight w:val="149"/>
        </w:trPr>
        <w:tc>
          <w:tcPr>
            <w:tcW w:w="30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77"/>
              </w:rPr>
              <w:t>sales, issuances</w:t>
            </w:r>
          </w:p>
        </w:tc>
      </w:tr>
      <w:tr>
        <w:trPr>
          <w:trHeight w:val="161"/>
        </w:trPr>
        <w:tc>
          <w:tcPr>
            <w:tcW w:w="30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79"/>
              </w:rPr>
              <w:t>Purchases</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jc w:val="right"/>
              <w:ind w:right="72"/>
              <w:spacing w:after="0"/>
              <w:rPr>
                <w:sz w:val="20"/>
                <w:szCs w:val="20"/>
                <w:color w:val="auto"/>
              </w:rPr>
            </w:pPr>
            <w:r>
              <w:rPr>
                <w:rFonts w:ascii="Arial" w:cs="Arial" w:eastAsia="Arial" w:hAnsi="Arial"/>
                <w:sz w:val="14"/>
                <w:szCs w:val="14"/>
                <w:b w:val="1"/>
                <w:bCs w:val="1"/>
                <w:color w:val="auto"/>
                <w:w w:val="81"/>
              </w:rPr>
              <w:t>Sales</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76"/>
              </w:rPr>
              <w:t>Issuances</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0"/>
              </w:rPr>
              <w:t>Settlements</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4"/>
              </w:rPr>
              <w:t>and settlements</w:t>
            </w:r>
          </w:p>
        </w:tc>
        <w:tc>
          <w:tcPr>
            <w:tcW w:w="160" w:type="dxa"/>
            <w:vAlign w:val="bottom"/>
          </w:tcPr>
          <w:p>
            <w:pPr>
              <w:spacing w:after="0"/>
              <w:rPr>
                <w:sz w:val="14"/>
                <w:szCs w:val="14"/>
                <w:color w:val="auto"/>
              </w:rPr>
            </w:pPr>
          </w:p>
        </w:tc>
      </w:tr>
      <w:tr>
        <w:trPr>
          <w:trHeight w:val="142"/>
        </w:trPr>
        <w:tc>
          <w:tcPr>
            <w:tcW w:w="30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720" w:type="dxa"/>
            <w:vAlign w:val="bottom"/>
            <w:gridSpan w:val="5"/>
          </w:tcPr>
          <w:p>
            <w:pPr>
              <w:jc w:val="right"/>
              <w:ind w:right="800"/>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30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7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3080" w:type="dxa"/>
            <w:vAlign w:val="bottom"/>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30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Non-U.S. government</w:t>
            </w:r>
          </w:p>
        </w:tc>
        <w:tc>
          <w:tcPr>
            <w:tcW w:w="8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9.3</w:t>
            </w:r>
          </w:p>
        </w:tc>
        <w:tc>
          <w:tcPr>
            <w:tcW w:w="10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b w:val="1"/>
                <w:bCs w:val="1"/>
                <w:color w:val="auto"/>
              </w:rPr>
              <w:t>$</w:t>
            </w:r>
          </w:p>
        </w:tc>
        <w:tc>
          <w:tcPr>
            <w:tcW w:w="5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(3.9)</w:t>
            </w:r>
          </w:p>
        </w:tc>
        <w:tc>
          <w:tcPr>
            <w:tcW w:w="14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860" w:type="dxa"/>
            <w:vAlign w:val="bottom"/>
            <w:gridSpan w:val="3"/>
            <w:shd w:val="clear" w:color="auto" w:fill="CCEEFF"/>
          </w:tcPr>
          <w:p>
            <w:pPr>
              <w:ind w:left="480"/>
              <w:spacing w:after="0" w:line="149" w:lineRule="exact"/>
              <w:rPr>
                <w:sz w:val="20"/>
                <w:szCs w:val="20"/>
                <w:color w:val="auto"/>
              </w:rPr>
            </w:pPr>
            <w:r>
              <w:rPr>
                <w:rFonts w:ascii="Arial" w:cs="Arial" w:eastAsia="Arial" w:hAnsi="Arial"/>
                <w:sz w:val="14"/>
                <w:szCs w:val="14"/>
                <w:b w:val="1"/>
                <w:bCs w:val="1"/>
                <w:color w:val="auto"/>
              </w:rPr>
              <w:t>—  $</w:t>
            </w:r>
          </w:p>
        </w:tc>
        <w:tc>
          <w:tcPr>
            <w:tcW w:w="8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(1.2)</w:t>
            </w:r>
          </w:p>
        </w:tc>
        <w:tc>
          <w:tcPr>
            <w:tcW w:w="12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4.2</w:t>
            </w:r>
          </w:p>
        </w:tc>
        <w:tc>
          <w:tcPr>
            <w:tcW w:w="160" w:type="dxa"/>
            <w:vAlign w:val="bottom"/>
            <w:shd w:val="clear" w:color="auto" w:fill="CCEEFF"/>
          </w:tcPr>
          <w:p>
            <w:pPr>
              <w:spacing w:after="0"/>
              <w:rPr>
                <w:sz w:val="12"/>
                <w:szCs w:val="12"/>
                <w:color w:val="auto"/>
              </w:rPr>
            </w:pPr>
          </w:p>
        </w:tc>
      </w:tr>
      <w:tr>
        <w:trPr>
          <w:trHeight w:val="149"/>
        </w:trPr>
        <w:tc>
          <w:tcPr>
            <w:tcW w:w="3080" w:type="dxa"/>
            <w:vAlign w:val="bottom"/>
          </w:tcPr>
          <w:p>
            <w:pPr>
              <w:ind w:left="140"/>
              <w:spacing w:after="0" w:line="149" w:lineRule="exact"/>
              <w:rPr>
                <w:sz w:val="20"/>
                <w:szCs w:val="20"/>
                <w:color w:val="auto"/>
              </w:rPr>
            </w:pPr>
            <w:r>
              <w:rPr>
                <w:rFonts w:ascii="Arial" w:cs="Arial" w:eastAsia="Arial" w:hAnsi="Arial"/>
                <w:sz w:val="14"/>
                <w:szCs w:val="14"/>
                <w:color w:val="auto"/>
              </w:rPr>
              <w:t>State and political subdivisions</w:t>
            </w: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3"/>
          </w:tcPr>
          <w:p>
            <w:pPr>
              <w:jc w:val="right"/>
              <w:ind w:right="240"/>
              <w:spacing w:after="0" w:line="149" w:lineRule="exact"/>
              <w:rPr>
                <w:sz w:val="20"/>
                <w:szCs w:val="20"/>
                <w:color w:val="auto"/>
              </w:rPr>
            </w:pPr>
            <w:r>
              <w:rPr>
                <w:rFonts w:ascii="Arial" w:cs="Arial" w:eastAsia="Arial" w:hAnsi="Arial"/>
                <w:sz w:val="14"/>
                <w:szCs w:val="14"/>
                <w:b w:val="1"/>
                <w:bCs w:val="1"/>
                <w:color w:val="auto"/>
              </w:rPr>
              <w:t>—</w:t>
            </w:r>
          </w:p>
        </w:tc>
        <w:tc>
          <w:tcPr>
            <w:tcW w:w="86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(0.1)</w:t>
            </w:r>
          </w:p>
        </w:tc>
        <w:tc>
          <w:tcPr>
            <w:tcW w:w="120" w:type="dxa"/>
            <w:vAlign w:val="bottom"/>
          </w:tcPr>
          <w:p>
            <w:pPr>
              <w:spacing w:after="0"/>
              <w:rPr>
                <w:sz w:val="12"/>
                <w:szCs w:val="12"/>
                <w:color w:val="auto"/>
              </w:rPr>
            </w:pPr>
          </w:p>
        </w:tc>
        <w:tc>
          <w:tcPr>
            <w:tcW w:w="118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(0.1)</w:t>
            </w:r>
          </w:p>
        </w:tc>
      </w:tr>
      <w:tr>
        <w:trPr>
          <w:trHeight w:val="149"/>
        </w:trPr>
        <w:tc>
          <w:tcPr>
            <w:tcW w:w="30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Corporate</w:t>
            </w:r>
          </w:p>
        </w:tc>
        <w:tc>
          <w:tcPr>
            <w:tcW w:w="7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32.6</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(33.3)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gridSpan w:val="3"/>
            <w:shd w:val="clear" w:color="auto" w:fill="CCEEFF"/>
          </w:tcPr>
          <w:p>
            <w:pPr>
              <w:jc w:val="right"/>
              <w:ind w:right="240"/>
              <w:spacing w:after="0" w:line="149" w:lineRule="exact"/>
              <w:rPr>
                <w:sz w:val="20"/>
                <w:szCs w:val="20"/>
                <w:color w:val="auto"/>
              </w:rPr>
            </w:pPr>
            <w:r>
              <w:rPr>
                <w:rFonts w:ascii="Arial" w:cs="Arial" w:eastAsia="Arial" w:hAnsi="Arial"/>
                <w:sz w:val="14"/>
                <w:szCs w:val="14"/>
                <w:b w:val="1"/>
                <w:bCs w:val="1"/>
                <w:color w:val="auto"/>
              </w:rPr>
              <w:t>—</w:t>
            </w:r>
          </w:p>
        </w:tc>
        <w:tc>
          <w:tcPr>
            <w:tcW w:w="8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(22.3)</w:t>
            </w:r>
          </w:p>
        </w:tc>
        <w:tc>
          <w:tcPr>
            <w:tcW w:w="120" w:type="dxa"/>
            <w:vAlign w:val="bottom"/>
            <w:tcBorders>
              <w:right w:val="single" w:sz="8" w:color="CCEEFF"/>
            </w:tcBorders>
            <w:shd w:val="clear" w:color="auto" w:fill="CCEEFF"/>
          </w:tcPr>
          <w:p>
            <w:pPr>
              <w:spacing w:after="0"/>
              <w:rPr>
                <w:sz w:val="12"/>
                <w:szCs w:val="12"/>
                <w:color w:val="auto"/>
              </w:rPr>
            </w:pPr>
          </w:p>
        </w:tc>
        <w:tc>
          <w:tcPr>
            <w:tcW w:w="11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(23.0)</w:t>
            </w:r>
          </w:p>
        </w:tc>
      </w:tr>
      <w:tr>
        <w:trPr>
          <w:trHeight w:val="149"/>
        </w:trPr>
        <w:tc>
          <w:tcPr>
            <w:tcW w:w="3080" w:type="dxa"/>
            <w:vAlign w:val="bottom"/>
          </w:tcPr>
          <w:p>
            <w:pPr>
              <w:ind w:left="140"/>
              <w:spacing w:after="0" w:line="149" w:lineRule="exact"/>
              <w:rPr>
                <w:sz w:val="20"/>
                <w:szCs w:val="20"/>
                <w:color w:val="auto"/>
              </w:rPr>
            </w:pPr>
            <w:r>
              <w:rPr>
                <w:rFonts w:ascii="Arial" w:cs="Arial" w:eastAsia="Arial" w:hAnsi="Arial"/>
                <w:sz w:val="14"/>
                <w:szCs w:val="14"/>
                <w:color w:val="auto"/>
              </w:rPr>
              <w:t>Commercial mortgage-backed securities</w:t>
            </w: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3"/>
          </w:tcPr>
          <w:p>
            <w:pPr>
              <w:jc w:val="right"/>
              <w:ind w:right="240"/>
              <w:spacing w:after="0" w:line="149" w:lineRule="exact"/>
              <w:rPr>
                <w:sz w:val="20"/>
                <w:szCs w:val="20"/>
                <w:color w:val="auto"/>
              </w:rPr>
            </w:pPr>
            <w:r>
              <w:rPr>
                <w:rFonts w:ascii="Arial" w:cs="Arial" w:eastAsia="Arial" w:hAnsi="Arial"/>
                <w:sz w:val="14"/>
                <w:szCs w:val="14"/>
                <w:b w:val="1"/>
                <w:bCs w:val="1"/>
                <w:color w:val="auto"/>
              </w:rPr>
              <w:t>—</w:t>
            </w:r>
          </w:p>
        </w:tc>
        <w:tc>
          <w:tcPr>
            <w:tcW w:w="86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(0.7)</w:t>
            </w:r>
          </w:p>
        </w:tc>
        <w:tc>
          <w:tcPr>
            <w:tcW w:w="120" w:type="dxa"/>
            <w:vAlign w:val="bottom"/>
          </w:tcPr>
          <w:p>
            <w:pPr>
              <w:spacing w:after="0"/>
              <w:rPr>
                <w:sz w:val="12"/>
                <w:szCs w:val="12"/>
                <w:color w:val="auto"/>
              </w:rPr>
            </w:pPr>
          </w:p>
        </w:tc>
        <w:tc>
          <w:tcPr>
            <w:tcW w:w="118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(0.7)</w:t>
            </w:r>
          </w:p>
        </w:tc>
      </w:tr>
      <w:tr>
        <w:trPr>
          <w:trHeight w:val="149"/>
        </w:trPr>
        <w:tc>
          <w:tcPr>
            <w:tcW w:w="30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Collateralized debt obligations</w:t>
            </w:r>
          </w:p>
        </w:tc>
        <w:tc>
          <w:tcPr>
            <w:tcW w:w="7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17.0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(47.4)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gridSpan w:val="3"/>
            <w:shd w:val="clear" w:color="auto" w:fill="CCEEFF"/>
          </w:tcPr>
          <w:p>
            <w:pPr>
              <w:jc w:val="right"/>
              <w:ind w:right="240"/>
              <w:spacing w:after="0" w:line="149" w:lineRule="exact"/>
              <w:rPr>
                <w:sz w:val="20"/>
                <w:szCs w:val="20"/>
                <w:color w:val="auto"/>
              </w:rPr>
            </w:pPr>
            <w:r>
              <w:rPr>
                <w:rFonts w:ascii="Arial" w:cs="Arial" w:eastAsia="Arial" w:hAnsi="Arial"/>
                <w:sz w:val="14"/>
                <w:szCs w:val="14"/>
                <w:b w:val="1"/>
                <w:bCs w:val="1"/>
                <w:color w:val="auto"/>
              </w:rPr>
              <w:t>—</w:t>
            </w:r>
          </w:p>
        </w:tc>
        <w:tc>
          <w:tcPr>
            <w:tcW w:w="8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(25.6)</w:t>
            </w:r>
          </w:p>
        </w:tc>
        <w:tc>
          <w:tcPr>
            <w:tcW w:w="120" w:type="dxa"/>
            <w:vAlign w:val="bottom"/>
            <w:tcBorders>
              <w:right w:val="single" w:sz="8" w:color="CCEEFF"/>
            </w:tcBorders>
            <w:shd w:val="clear" w:color="auto" w:fill="CCEEFF"/>
          </w:tcPr>
          <w:p>
            <w:pPr>
              <w:spacing w:after="0"/>
              <w:rPr>
                <w:sz w:val="12"/>
                <w:szCs w:val="12"/>
                <w:color w:val="auto"/>
              </w:rPr>
            </w:pPr>
          </w:p>
        </w:tc>
        <w:tc>
          <w:tcPr>
            <w:tcW w:w="11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(56.0)</w:t>
            </w:r>
          </w:p>
        </w:tc>
      </w:tr>
      <w:tr>
        <w:trPr>
          <w:trHeight w:val="149"/>
        </w:trPr>
        <w:tc>
          <w:tcPr>
            <w:tcW w:w="3080" w:type="dxa"/>
            <w:vAlign w:val="bottom"/>
          </w:tcPr>
          <w:p>
            <w:pPr>
              <w:ind w:left="140"/>
              <w:spacing w:after="0" w:line="149" w:lineRule="exact"/>
              <w:rPr>
                <w:sz w:val="20"/>
                <w:szCs w:val="20"/>
                <w:color w:val="auto"/>
              </w:rPr>
            </w:pPr>
            <w:r>
              <w:rPr>
                <w:rFonts w:ascii="Arial" w:cs="Arial" w:eastAsia="Arial" w:hAnsi="Arial"/>
                <w:sz w:val="14"/>
                <w:szCs w:val="14"/>
                <w:color w:val="auto"/>
              </w:rPr>
              <w:t>Other debt obligations</w:t>
            </w: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37.8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3"/>
          </w:tcPr>
          <w:p>
            <w:pPr>
              <w:jc w:val="right"/>
              <w:ind w:right="240"/>
              <w:spacing w:after="0" w:line="149" w:lineRule="exact"/>
              <w:rPr>
                <w:sz w:val="20"/>
                <w:szCs w:val="20"/>
                <w:color w:val="auto"/>
              </w:rPr>
            </w:pPr>
            <w:r>
              <w:rPr>
                <w:rFonts w:ascii="Arial" w:cs="Arial" w:eastAsia="Arial" w:hAnsi="Arial"/>
                <w:sz w:val="14"/>
                <w:szCs w:val="14"/>
                <w:b w:val="1"/>
                <w:bCs w:val="1"/>
                <w:color w:val="auto"/>
              </w:rPr>
              <w:t>—</w:t>
            </w:r>
          </w:p>
        </w:tc>
        <w:tc>
          <w:tcPr>
            <w:tcW w:w="86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(2.9)</w:t>
            </w:r>
          </w:p>
        </w:tc>
        <w:tc>
          <w:tcPr>
            <w:tcW w:w="12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34.9</w:t>
            </w:r>
          </w:p>
        </w:tc>
        <w:tc>
          <w:tcPr>
            <w:tcW w:w="160" w:type="dxa"/>
            <w:vAlign w:val="bottom"/>
          </w:tcPr>
          <w:p>
            <w:pPr>
              <w:spacing w:after="0"/>
              <w:rPr>
                <w:sz w:val="12"/>
                <w:szCs w:val="12"/>
                <w:color w:val="auto"/>
              </w:rPr>
            </w:pPr>
          </w:p>
        </w:tc>
      </w:tr>
      <w:tr>
        <w:trPr>
          <w:trHeight w:val="20"/>
        </w:trPr>
        <w:tc>
          <w:tcPr>
            <w:tcW w:w="30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42"/>
        </w:trPr>
        <w:tc>
          <w:tcPr>
            <w:tcW w:w="30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 fixed maturities, available-for-sale</w:t>
            </w:r>
          </w:p>
        </w:tc>
        <w:tc>
          <w:tcPr>
            <w:tcW w:w="7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96.7</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(84.6)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gridSpan w:val="3"/>
            <w:shd w:val="clear" w:color="auto" w:fill="CCEEFF"/>
          </w:tcPr>
          <w:p>
            <w:pPr>
              <w:jc w:val="right"/>
              <w:ind w:right="240"/>
              <w:spacing w:after="0" w:line="142" w:lineRule="exact"/>
              <w:rPr>
                <w:sz w:val="20"/>
                <w:szCs w:val="20"/>
                <w:color w:val="auto"/>
              </w:rPr>
            </w:pPr>
            <w:r>
              <w:rPr>
                <w:rFonts w:ascii="Arial" w:cs="Arial" w:eastAsia="Arial" w:hAnsi="Arial"/>
                <w:sz w:val="14"/>
                <w:szCs w:val="14"/>
                <w:b w:val="1"/>
                <w:bCs w:val="1"/>
                <w:color w:val="auto"/>
              </w:rPr>
              <w:t>—</w:t>
            </w:r>
          </w:p>
        </w:tc>
        <w:tc>
          <w:tcPr>
            <w:tcW w:w="86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(52.8)</w:t>
            </w:r>
          </w:p>
        </w:tc>
        <w:tc>
          <w:tcPr>
            <w:tcW w:w="120" w:type="dxa"/>
            <w:vAlign w:val="bottom"/>
            <w:tcBorders>
              <w:right w:val="single" w:sz="8" w:color="CCEEFF"/>
            </w:tcBorders>
            <w:shd w:val="clear" w:color="auto" w:fill="CCEEFF"/>
          </w:tcPr>
          <w:p>
            <w:pPr>
              <w:spacing w:after="0"/>
              <w:rPr>
                <w:sz w:val="12"/>
                <w:szCs w:val="12"/>
                <w:color w:val="auto"/>
              </w:rPr>
            </w:pPr>
          </w:p>
        </w:tc>
        <w:tc>
          <w:tcPr>
            <w:tcW w:w="118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b w:val="1"/>
                <w:bCs w:val="1"/>
                <w:color w:val="auto"/>
              </w:rPr>
              <w:t>(40.7)</w:t>
            </w:r>
          </w:p>
        </w:tc>
      </w:tr>
      <w:tr>
        <w:trPr>
          <w:trHeight w:val="149"/>
        </w:trPr>
        <w:tc>
          <w:tcPr>
            <w:tcW w:w="3080" w:type="dxa"/>
            <w:vAlign w:val="bottom"/>
          </w:tcPr>
          <w:p>
            <w:pPr>
              <w:spacing w:after="0" w:line="149" w:lineRule="exact"/>
              <w:rPr>
                <w:sz w:val="20"/>
                <w:szCs w:val="20"/>
                <w:color w:val="auto"/>
              </w:rPr>
            </w:pPr>
            <w:r>
              <w:rPr>
                <w:rFonts w:ascii="Arial" w:cs="Arial" w:eastAsia="Arial" w:hAnsi="Arial"/>
                <w:sz w:val="14"/>
                <w:szCs w:val="14"/>
                <w:color w:val="auto"/>
              </w:rPr>
              <w:t>Fixed maturities, trading</w:t>
            </w: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3"/>
          </w:tcPr>
          <w:p>
            <w:pPr>
              <w:jc w:val="right"/>
              <w:ind w:right="240"/>
              <w:spacing w:after="0" w:line="149" w:lineRule="exact"/>
              <w:rPr>
                <w:sz w:val="20"/>
                <w:szCs w:val="20"/>
                <w:color w:val="auto"/>
              </w:rPr>
            </w:pPr>
            <w:r>
              <w:rPr>
                <w:rFonts w:ascii="Arial" w:cs="Arial" w:eastAsia="Arial" w:hAnsi="Arial"/>
                <w:sz w:val="14"/>
                <w:szCs w:val="14"/>
                <w:b w:val="1"/>
                <w:bCs w:val="1"/>
                <w:color w:val="auto"/>
              </w:rPr>
              <w:t>—</w:t>
            </w:r>
          </w:p>
        </w:tc>
        <w:tc>
          <w:tcPr>
            <w:tcW w:w="7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160" w:type="dxa"/>
            <w:vAlign w:val="bottom"/>
          </w:tcPr>
          <w:p>
            <w:pPr>
              <w:spacing w:after="0"/>
              <w:rPr>
                <w:sz w:val="12"/>
                <w:szCs w:val="12"/>
                <w:color w:val="auto"/>
              </w:rPr>
            </w:pPr>
          </w:p>
        </w:tc>
      </w:tr>
      <w:tr>
        <w:trPr>
          <w:trHeight w:val="149"/>
        </w:trPr>
        <w:tc>
          <w:tcPr>
            <w:tcW w:w="3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Derivative assets</w:t>
            </w:r>
          </w:p>
        </w:tc>
        <w:tc>
          <w:tcPr>
            <w:tcW w:w="7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(3.5)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gridSpan w:val="3"/>
            <w:shd w:val="clear" w:color="auto" w:fill="CCEEFF"/>
          </w:tcPr>
          <w:p>
            <w:pPr>
              <w:jc w:val="right"/>
              <w:ind w:right="240"/>
              <w:spacing w:after="0" w:line="149" w:lineRule="exact"/>
              <w:rPr>
                <w:sz w:val="20"/>
                <w:szCs w:val="20"/>
                <w:color w:val="auto"/>
              </w:rPr>
            </w:pPr>
            <w:r>
              <w:rPr>
                <w:rFonts w:ascii="Arial" w:cs="Arial" w:eastAsia="Arial" w:hAnsi="Arial"/>
                <w:sz w:val="14"/>
                <w:szCs w:val="14"/>
                <w:b w:val="1"/>
                <w:bCs w:val="1"/>
                <w:color w:val="auto"/>
              </w:rPr>
              <w:t>—</w:t>
            </w:r>
          </w:p>
        </w:tc>
        <w:tc>
          <w:tcPr>
            <w:tcW w:w="8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Borders>
              <w:right w:val="single" w:sz="8" w:color="CCEEFF"/>
            </w:tcBorders>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18.6</w:t>
            </w:r>
          </w:p>
        </w:tc>
        <w:tc>
          <w:tcPr>
            <w:tcW w:w="160" w:type="dxa"/>
            <w:vAlign w:val="bottom"/>
            <w:shd w:val="clear" w:color="auto" w:fill="CCEEFF"/>
          </w:tcPr>
          <w:p>
            <w:pPr>
              <w:spacing w:after="0"/>
              <w:rPr>
                <w:sz w:val="12"/>
                <w:szCs w:val="12"/>
                <w:color w:val="auto"/>
              </w:rPr>
            </w:pPr>
          </w:p>
        </w:tc>
      </w:tr>
      <w:tr>
        <w:trPr>
          <w:trHeight w:val="149"/>
        </w:trPr>
        <w:tc>
          <w:tcPr>
            <w:tcW w:w="3080" w:type="dxa"/>
            <w:vAlign w:val="bottom"/>
          </w:tcPr>
          <w:p>
            <w:pPr>
              <w:spacing w:after="0" w:line="149" w:lineRule="exact"/>
              <w:rPr>
                <w:sz w:val="20"/>
                <w:szCs w:val="20"/>
                <w:color w:val="auto"/>
              </w:rPr>
            </w:pPr>
            <w:r>
              <w:rPr>
                <w:rFonts w:ascii="Arial" w:cs="Arial" w:eastAsia="Arial" w:hAnsi="Arial"/>
                <w:sz w:val="14"/>
                <w:szCs w:val="14"/>
                <w:color w:val="auto"/>
              </w:rPr>
              <w:t>Other investments</w:t>
            </w: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30.2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3"/>
          </w:tcPr>
          <w:p>
            <w:pPr>
              <w:jc w:val="right"/>
              <w:ind w:right="240"/>
              <w:spacing w:after="0" w:line="149" w:lineRule="exact"/>
              <w:rPr>
                <w:sz w:val="20"/>
                <w:szCs w:val="20"/>
                <w:color w:val="auto"/>
              </w:rPr>
            </w:pPr>
            <w:r>
              <w:rPr>
                <w:rFonts w:ascii="Arial" w:cs="Arial" w:eastAsia="Arial" w:hAnsi="Arial"/>
                <w:sz w:val="14"/>
                <w:szCs w:val="14"/>
                <w:b w:val="1"/>
                <w:bCs w:val="1"/>
                <w:color w:val="auto"/>
              </w:rPr>
              <w:t>—</w:t>
            </w:r>
          </w:p>
        </w:tc>
        <w:tc>
          <w:tcPr>
            <w:tcW w:w="86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(12.4)</w:t>
            </w:r>
          </w:p>
        </w:tc>
        <w:tc>
          <w:tcPr>
            <w:tcW w:w="12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17.8</w:t>
            </w:r>
          </w:p>
        </w:tc>
        <w:tc>
          <w:tcPr>
            <w:tcW w:w="160" w:type="dxa"/>
            <w:vAlign w:val="bottom"/>
          </w:tcPr>
          <w:p>
            <w:pPr>
              <w:spacing w:after="0"/>
              <w:rPr>
                <w:sz w:val="12"/>
                <w:szCs w:val="12"/>
                <w:color w:val="auto"/>
              </w:rPr>
            </w:pPr>
          </w:p>
        </w:tc>
      </w:tr>
      <w:tr>
        <w:trPr>
          <w:trHeight w:val="149"/>
        </w:trPr>
        <w:tc>
          <w:tcPr>
            <w:tcW w:w="3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Separate account assets (5)</w:t>
            </w:r>
          </w:p>
        </w:tc>
        <w:tc>
          <w:tcPr>
            <w:tcW w:w="7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418.4</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(300.8)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(21.8)</w:t>
            </w:r>
          </w:p>
        </w:tc>
        <w:tc>
          <w:tcPr>
            <w:tcW w:w="8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(27.6)</w:t>
            </w:r>
          </w:p>
        </w:tc>
        <w:tc>
          <w:tcPr>
            <w:tcW w:w="120" w:type="dxa"/>
            <w:vAlign w:val="bottom"/>
            <w:tcBorders>
              <w:right w:val="single" w:sz="8" w:color="CCEEFF"/>
            </w:tcBorders>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68.2</w:t>
            </w:r>
          </w:p>
        </w:tc>
        <w:tc>
          <w:tcPr>
            <w:tcW w:w="160" w:type="dxa"/>
            <w:vAlign w:val="bottom"/>
            <w:shd w:val="clear" w:color="auto" w:fill="CCEEFF"/>
          </w:tcPr>
          <w:p>
            <w:pPr>
              <w:spacing w:after="0"/>
              <w:rPr>
                <w:sz w:val="12"/>
                <w:szCs w:val="12"/>
                <w:color w:val="auto"/>
              </w:rPr>
            </w:pPr>
          </w:p>
        </w:tc>
      </w:tr>
      <w:tr>
        <w:trPr>
          <w:trHeight w:val="311"/>
        </w:trPr>
        <w:tc>
          <w:tcPr>
            <w:tcW w:w="3080" w:type="dxa"/>
            <w:vAlign w:val="bottom"/>
          </w:tcPr>
          <w:p>
            <w:pPr>
              <w:spacing w:after="0"/>
              <w:rPr>
                <w:sz w:val="20"/>
                <w:szCs w:val="20"/>
                <w:color w:val="auto"/>
              </w:rPr>
            </w:pPr>
            <w:r>
              <w:rPr>
                <w:rFonts w:ascii="Arial" w:cs="Arial" w:eastAsia="Arial" w:hAnsi="Arial"/>
                <w:sz w:val="14"/>
                <w:szCs w:val="14"/>
                <w:b w:val="1"/>
                <w:bCs w:val="1"/>
                <w:color w:val="auto"/>
              </w:rPr>
              <w:t>Liabilities</w:t>
            </w:r>
          </w:p>
        </w:tc>
        <w:tc>
          <w:tcPr>
            <w:tcW w:w="7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149"/>
        </w:trPr>
        <w:tc>
          <w:tcPr>
            <w:tcW w:w="3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Investment-type insurance contracts</w:t>
            </w:r>
          </w:p>
        </w:tc>
        <w:tc>
          <w:tcPr>
            <w:tcW w:w="7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5.3</w:t>
            </w:r>
          </w:p>
        </w:tc>
        <w:tc>
          <w:tcPr>
            <w:tcW w:w="12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16.3</w:t>
            </w:r>
          </w:p>
        </w:tc>
        <w:tc>
          <w:tcPr>
            <w:tcW w:w="160" w:type="dxa"/>
            <w:vAlign w:val="bottom"/>
            <w:shd w:val="clear" w:color="auto" w:fill="CCEEFF"/>
          </w:tcPr>
          <w:p>
            <w:pPr>
              <w:spacing w:after="0"/>
              <w:rPr>
                <w:sz w:val="12"/>
                <w:szCs w:val="12"/>
                <w:color w:val="auto"/>
              </w:rPr>
            </w:pPr>
          </w:p>
        </w:tc>
      </w:tr>
      <w:tr>
        <w:trPr>
          <w:trHeight w:val="174"/>
        </w:trPr>
        <w:tc>
          <w:tcPr>
            <w:tcW w:w="3080" w:type="dxa"/>
            <w:vAlign w:val="bottom"/>
          </w:tcPr>
          <w:p>
            <w:pPr>
              <w:spacing w:after="0"/>
              <w:rPr>
                <w:sz w:val="20"/>
                <w:szCs w:val="20"/>
                <w:color w:val="auto"/>
              </w:rPr>
            </w:pPr>
            <w:r>
              <w:rPr>
                <w:rFonts w:ascii="Arial" w:cs="Arial" w:eastAsia="Arial" w:hAnsi="Arial"/>
                <w:sz w:val="14"/>
                <w:szCs w:val="14"/>
                <w:color w:val="auto"/>
              </w:rPr>
              <w:t>Derivative liabilities</w:t>
            </w:r>
          </w:p>
        </w:tc>
        <w:tc>
          <w:tcPr>
            <w:tcW w:w="7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rPr>
              <w:t>(3.4)</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60" w:type="dxa"/>
            <w:vAlign w:val="bottom"/>
          </w:tcPr>
          <w:p>
            <w:pPr>
              <w:jc w:val="right"/>
              <w:spacing w:after="0"/>
              <w:rPr>
                <w:sz w:val="20"/>
                <w:szCs w:val="20"/>
                <w:color w:val="auto"/>
              </w:rPr>
            </w:pPr>
            <w:r>
              <w:rPr>
                <w:rFonts w:ascii="Arial" w:cs="Arial" w:eastAsia="Arial" w:hAnsi="Arial"/>
                <w:sz w:val="14"/>
                <w:szCs w:val="14"/>
                <w:b w:val="1"/>
                <w:bCs w:val="1"/>
                <w:color w:val="auto"/>
              </w:rPr>
              <w:t>11.5</w:t>
            </w: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6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rPr>
              <w:t>—</w:t>
            </w:r>
          </w:p>
        </w:tc>
        <w:tc>
          <w:tcPr>
            <w:tcW w:w="860" w:type="dxa"/>
            <w:vAlign w:val="bottom"/>
            <w:gridSpan w:val="2"/>
          </w:tcPr>
          <w:p>
            <w:pPr>
              <w:jc w:val="right"/>
              <w:ind w:right="120"/>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b w:val="1"/>
                <w:bCs w:val="1"/>
                <w:color w:val="auto"/>
              </w:rPr>
              <w:t>8.1</w:t>
            </w:r>
          </w:p>
        </w:tc>
        <w:tc>
          <w:tcPr>
            <w:tcW w:w="160" w:type="dxa"/>
            <w:vAlign w:val="bottom"/>
          </w:tcPr>
          <w:p>
            <w:pPr>
              <w:spacing w:after="0"/>
              <w:rPr>
                <w:sz w:val="15"/>
                <w:szCs w:val="15"/>
                <w:color w:val="auto"/>
              </w:rPr>
            </w:pPr>
          </w:p>
        </w:tc>
      </w:tr>
    </w:tbl>
    <w:p>
      <w:pPr>
        <w:spacing w:after="0" w:line="182" w:lineRule="exact"/>
        <w:rPr>
          <w:sz w:val="20"/>
          <w:szCs w:val="20"/>
          <w:color w:val="auto"/>
        </w:rPr>
      </w:pPr>
    </w:p>
    <w:p>
      <w:pPr>
        <w:sectPr>
          <w:pgSz w:w="11900" w:h="16838" w:orient="portrait"/>
          <w:cols w:equalWidth="0" w:num="1">
            <w:col w:w="11420"/>
          </w:cols>
          <w:pgMar w:left="240" w:top="131" w:right="239" w:bottom="1440" w:gutter="0" w:footer="0" w:header="0"/>
        </w:sectPr>
      </w:pPr>
    </w:p>
    <w:p>
      <w:pPr>
        <w:jc w:val="center"/>
        <w:spacing w:after="0"/>
        <w:rPr>
          <w:sz w:val="20"/>
          <w:szCs w:val="20"/>
          <w:color w:val="auto"/>
        </w:rPr>
      </w:pPr>
      <w:r>
        <w:rPr>
          <w:rFonts w:ascii="Arial" w:cs="Arial" w:eastAsia="Arial" w:hAnsi="Arial"/>
          <w:sz w:val="15"/>
          <w:szCs w:val="15"/>
          <w:color w:val="auto"/>
        </w:rPr>
        <w:t>168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72" w:name="page173"/>
    <w:bookmarkEnd w:id="17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Fair Value Measurements — (continued)</w:t>
      </w: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32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460" w:type="dxa"/>
            <w:vAlign w:val="bottom"/>
            <w:tcBorders>
              <w:bottom w:val="single" w:sz="8" w:color="auto"/>
            </w:tcBorders>
            <w:gridSpan w:val="8"/>
          </w:tcPr>
          <w:p>
            <w:pPr>
              <w:jc w:val="center"/>
              <w:spacing w:after="0"/>
              <w:rPr>
                <w:sz w:val="20"/>
                <w:szCs w:val="20"/>
                <w:color w:val="auto"/>
              </w:rPr>
            </w:pPr>
            <w:r>
              <w:rPr>
                <w:rFonts w:ascii="Arial" w:cs="Arial" w:eastAsia="Arial" w:hAnsi="Arial"/>
                <w:sz w:val="14"/>
                <w:szCs w:val="14"/>
                <w:b w:val="1"/>
                <w:bCs w:val="1"/>
                <w:color w:val="auto"/>
                <w:w w:val="86"/>
              </w:rPr>
              <w:t>For the year ended December 31, 2012</w:t>
            </w:r>
          </w:p>
        </w:tc>
        <w:tc>
          <w:tcPr>
            <w:tcW w:w="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3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tcPr>
          <w:p>
            <w:pPr>
              <w:jc w:val="center"/>
              <w:ind w:right="12"/>
              <w:spacing w:after="0" w:line="129" w:lineRule="exact"/>
              <w:rPr>
                <w:sz w:val="20"/>
                <w:szCs w:val="20"/>
                <w:color w:val="auto"/>
              </w:rPr>
            </w:pPr>
            <w:r>
              <w:rPr>
                <w:rFonts w:ascii="Arial" w:cs="Arial" w:eastAsia="Arial" w:hAnsi="Arial"/>
                <w:sz w:val="14"/>
                <w:szCs w:val="14"/>
                <w:b w:val="1"/>
                <w:bCs w:val="1"/>
                <w:color w:val="auto"/>
                <w:w w:val="83"/>
              </w:rPr>
              <w:t>Net purchases,</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3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79"/>
              </w:rPr>
              <w:t>sales, issuances</w:t>
            </w:r>
          </w:p>
        </w:tc>
        <w:tc>
          <w:tcPr>
            <w:tcW w:w="0" w:type="dxa"/>
            <w:vAlign w:val="bottom"/>
          </w:tcPr>
          <w:p>
            <w:pPr>
              <w:spacing w:after="0"/>
              <w:rPr>
                <w:sz w:val="1"/>
                <w:szCs w:val="1"/>
                <w:color w:val="auto"/>
              </w:rPr>
            </w:pPr>
          </w:p>
        </w:tc>
      </w:tr>
      <w:tr>
        <w:trPr>
          <w:trHeight w:val="161"/>
        </w:trPr>
        <w:tc>
          <w:tcPr>
            <w:tcW w:w="32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79"/>
              </w:rPr>
              <w:t>Purchases</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jc w:val="right"/>
              <w:ind w:right="72"/>
              <w:spacing w:after="0"/>
              <w:rPr>
                <w:sz w:val="20"/>
                <w:szCs w:val="20"/>
                <w:color w:val="auto"/>
              </w:rPr>
            </w:pPr>
            <w:r>
              <w:rPr>
                <w:rFonts w:ascii="Arial" w:cs="Arial" w:eastAsia="Arial" w:hAnsi="Arial"/>
                <w:sz w:val="14"/>
                <w:szCs w:val="14"/>
                <w:b w:val="1"/>
                <w:bCs w:val="1"/>
                <w:color w:val="auto"/>
                <w:w w:val="81"/>
              </w:rPr>
              <w:t>Sales</w:t>
            </w:r>
          </w:p>
        </w:tc>
        <w:tc>
          <w:tcPr>
            <w:tcW w:w="160" w:type="dxa"/>
            <w:vAlign w:val="bottom"/>
          </w:tcPr>
          <w:p>
            <w:pPr>
              <w:spacing w:after="0"/>
              <w:rPr>
                <w:sz w:val="14"/>
                <w:szCs w:val="14"/>
                <w:color w:val="auto"/>
              </w:rPr>
            </w:pPr>
          </w:p>
        </w:tc>
        <w:tc>
          <w:tcPr>
            <w:tcW w:w="70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14"/>
                <w:szCs w:val="14"/>
                <w:b w:val="1"/>
                <w:bCs w:val="1"/>
                <w:color w:val="auto"/>
                <w:w w:val="88"/>
              </w:rPr>
              <w:t>Issuances</w:t>
            </w:r>
          </w:p>
        </w:tc>
        <w:tc>
          <w:tcPr>
            <w:tcW w:w="160" w:type="dxa"/>
            <w:vAlign w:val="bottom"/>
          </w:tcPr>
          <w:p>
            <w:pPr>
              <w:spacing w:after="0"/>
              <w:rPr>
                <w:sz w:val="14"/>
                <w:szCs w:val="14"/>
                <w:color w:val="auto"/>
              </w:rPr>
            </w:pPr>
          </w:p>
        </w:tc>
        <w:tc>
          <w:tcPr>
            <w:tcW w:w="82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14"/>
                <w:szCs w:val="14"/>
                <w:b w:val="1"/>
                <w:bCs w:val="1"/>
                <w:color w:val="auto"/>
                <w:w w:val="90"/>
              </w:rPr>
              <w:t>Settlements</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4"/>
              </w:rPr>
              <w:t>and settlements</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0" w:type="dxa"/>
            <w:vAlign w:val="bottom"/>
            <w:gridSpan w:val="3"/>
          </w:tcPr>
          <w:p>
            <w:pPr>
              <w:jc w:val="center"/>
              <w:ind w:right="12"/>
              <w:spacing w:after="0" w:line="142" w:lineRule="exact"/>
              <w:rPr>
                <w:sz w:val="20"/>
                <w:szCs w:val="20"/>
                <w:color w:val="auto"/>
              </w:rPr>
            </w:pPr>
            <w:r>
              <w:rPr>
                <w:rFonts w:ascii="Arial" w:cs="Arial" w:eastAsia="Arial" w:hAnsi="Arial"/>
                <w:sz w:val="14"/>
                <w:szCs w:val="14"/>
                <w:b w:val="1"/>
                <w:bCs w:val="1"/>
                <w:i w:val="1"/>
                <w:iCs w:val="1"/>
                <w:color w:val="auto"/>
                <w:w w:val="86"/>
              </w:rPr>
              <w:t>(in millions)</w:t>
            </w: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26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8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260" w:type="dxa"/>
            <w:vAlign w:val="bottom"/>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26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Non-U.S. government</w:t>
            </w:r>
          </w:p>
        </w:tc>
        <w:tc>
          <w:tcPr>
            <w:tcW w:w="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13.5</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(5.0)</w:t>
            </w:r>
          </w:p>
        </w:tc>
        <w:tc>
          <w:tcPr>
            <w:tcW w:w="180" w:type="dxa"/>
            <w:vAlign w:val="bottom"/>
            <w:shd w:val="clear" w:color="auto" w:fill="CCEEFF"/>
          </w:tcPr>
          <w:p>
            <w:pPr>
              <w:jc w:val="right"/>
              <w:ind w:right="32"/>
              <w:spacing w:after="0" w:line="149" w:lineRule="exact"/>
              <w:rPr>
                <w:sz w:val="20"/>
                <w:szCs w:val="20"/>
                <w:color w:val="auto"/>
              </w:rPr>
            </w:pPr>
            <w:r>
              <w:rPr>
                <w:rFonts w:ascii="Arial" w:cs="Arial" w:eastAsia="Arial" w:hAnsi="Arial"/>
                <w:sz w:val="14"/>
                <w:szCs w:val="14"/>
                <w:color w:val="auto"/>
                <w:w w:val="76"/>
              </w:rPr>
              <w:t>$</w:t>
            </w:r>
          </w:p>
        </w:tc>
        <w:tc>
          <w:tcPr>
            <w:tcW w:w="6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jc w:val="right"/>
              <w:ind w:right="172"/>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(1.1)</w:t>
            </w:r>
          </w:p>
        </w:tc>
        <w:tc>
          <w:tcPr>
            <w:tcW w:w="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1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7.4</w:t>
            </w:r>
          </w:p>
        </w:tc>
        <w:tc>
          <w:tcPr>
            <w:tcW w:w="0" w:type="dxa"/>
            <w:vAlign w:val="bottom"/>
          </w:tcPr>
          <w:p>
            <w:pPr>
              <w:spacing w:after="0"/>
              <w:rPr>
                <w:sz w:val="1"/>
                <w:szCs w:val="1"/>
                <w:color w:val="auto"/>
              </w:rPr>
            </w:pPr>
          </w:p>
        </w:tc>
      </w:tr>
      <w:tr>
        <w:trPr>
          <w:trHeight w:val="149"/>
        </w:trPr>
        <w:tc>
          <w:tcPr>
            <w:tcW w:w="3260" w:type="dxa"/>
            <w:vAlign w:val="bottom"/>
          </w:tcPr>
          <w:p>
            <w:pPr>
              <w:ind w:left="140"/>
              <w:spacing w:after="0" w:line="149" w:lineRule="exact"/>
              <w:rPr>
                <w:sz w:val="20"/>
                <w:szCs w:val="20"/>
                <w:color w:val="auto"/>
              </w:rPr>
            </w:pPr>
            <w:r>
              <w:rPr>
                <w:rFonts w:ascii="Arial" w:cs="Arial" w:eastAsia="Arial" w:hAnsi="Arial"/>
                <w:sz w:val="14"/>
                <w:szCs w:val="14"/>
                <w:color w:val="auto"/>
              </w:rPr>
              <w:t>State and political subdivisions</w:t>
            </w:r>
          </w:p>
        </w:tc>
        <w:tc>
          <w:tcPr>
            <w:tcW w:w="8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6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6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32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(0.1)</w:t>
            </w:r>
          </w:p>
        </w:tc>
        <w:tc>
          <w:tcPr>
            <w:tcW w:w="80" w:type="dxa"/>
            <w:vAlign w:val="bottom"/>
          </w:tcPr>
          <w:p>
            <w:pPr>
              <w:spacing w:after="0"/>
              <w:rPr>
                <w:sz w:val="12"/>
                <w:szCs w:val="12"/>
                <w:color w:val="auto"/>
              </w:rPr>
            </w:pPr>
          </w:p>
        </w:tc>
        <w:tc>
          <w:tcPr>
            <w:tcW w:w="11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(0.1)</w:t>
            </w:r>
          </w:p>
        </w:tc>
        <w:tc>
          <w:tcPr>
            <w:tcW w:w="0" w:type="dxa"/>
            <w:vAlign w:val="bottom"/>
          </w:tcPr>
          <w:p>
            <w:pPr>
              <w:spacing w:after="0"/>
              <w:rPr>
                <w:sz w:val="1"/>
                <w:szCs w:val="1"/>
                <w:color w:val="auto"/>
              </w:rPr>
            </w:pPr>
          </w:p>
        </w:tc>
      </w:tr>
      <w:tr>
        <w:trPr>
          <w:trHeight w:val="149"/>
        </w:trPr>
        <w:tc>
          <w:tcPr>
            <w:tcW w:w="326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Corporate</w:t>
            </w: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29.2</w:t>
            </w:r>
          </w:p>
        </w:tc>
        <w:tc>
          <w:tcPr>
            <w:tcW w:w="1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(92.0)</w:t>
            </w:r>
          </w:p>
        </w:tc>
        <w:tc>
          <w:tcPr>
            <w:tcW w:w="1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(12.7)</w:t>
            </w:r>
          </w:p>
        </w:tc>
        <w:tc>
          <w:tcPr>
            <w:tcW w:w="8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(75.5)</w:t>
            </w:r>
          </w:p>
        </w:tc>
        <w:tc>
          <w:tcPr>
            <w:tcW w:w="0" w:type="dxa"/>
            <w:vAlign w:val="bottom"/>
          </w:tcPr>
          <w:p>
            <w:pPr>
              <w:spacing w:after="0"/>
              <w:rPr>
                <w:sz w:val="1"/>
                <w:szCs w:val="1"/>
                <w:color w:val="auto"/>
              </w:rPr>
            </w:pPr>
          </w:p>
        </w:tc>
      </w:tr>
      <w:tr>
        <w:trPr>
          <w:trHeight w:val="149"/>
        </w:trPr>
        <w:tc>
          <w:tcPr>
            <w:tcW w:w="3260" w:type="dxa"/>
            <w:vAlign w:val="bottom"/>
          </w:tcPr>
          <w:p>
            <w:pPr>
              <w:ind w:left="140"/>
              <w:spacing w:after="0" w:line="149" w:lineRule="exact"/>
              <w:rPr>
                <w:sz w:val="20"/>
                <w:szCs w:val="20"/>
                <w:color w:val="auto"/>
              </w:rPr>
            </w:pPr>
            <w:r>
              <w:rPr>
                <w:rFonts w:ascii="Arial" w:cs="Arial" w:eastAsia="Arial" w:hAnsi="Arial"/>
                <w:sz w:val="14"/>
                <w:szCs w:val="14"/>
                <w:color w:val="auto"/>
              </w:rPr>
              <w:t>Collateralized debt obligations</w:t>
            </w:r>
          </w:p>
        </w:tc>
        <w:tc>
          <w:tcPr>
            <w:tcW w:w="8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5.1</w:t>
            </w:r>
          </w:p>
        </w:tc>
        <w:tc>
          <w:tcPr>
            <w:tcW w:w="120" w:type="dxa"/>
            <w:vAlign w:val="bottom"/>
          </w:tcPr>
          <w:p>
            <w:pPr>
              <w:spacing w:after="0"/>
              <w:rPr>
                <w:sz w:val="12"/>
                <w:szCs w:val="12"/>
                <w:color w:val="auto"/>
              </w:rPr>
            </w:pPr>
          </w:p>
        </w:tc>
        <w:tc>
          <w:tcPr>
            <w:tcW w:w="6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(1.1)</w:t>
            </w:r>
          </w:p>
        </w:tc>
        <w:tc>
          <w:tcPr>
            <w:tcW w:w="180" w:type="dxa"/>
            <w:vAlign w:val="bottom"/>
          </w:tcPr>
          <w:p>
            <w:pPr>
              <w:spacing w:after="0"/>
              <w:rPr>
                <w:sz w:val="12"/>
                <w:szCs w:val="12"/>
                <w:color w:val="auto"/>
              </w:rPr>
            </w:pPr>
          </w:p>
        </w:tc>
        <w:tc>
          <w:tcPr>
            <w:tcW w:w="6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3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0.5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4.5</w:t>
            </w:r>
          </w:p>
        </w:tc>
        <w:tc>
          <w:tcPr>
            <w:tcW w:w="0" w:type="dxa"/>
            <w:vAlign w:val="bottom"/>
          </w:tcPr>
          <w:p>
            <w:pPr>
              <w:spacing w:after="0"/>
              <w:rPr>
                <w:sz w:val="1"/>
                <w:szCs w:val="1"/>
                <w:color w:val="auto"/>
              </w:rPr>
            </w:pPr>
          </w:p>
        </w:tc>
      </w:tr>
      <w:tr>
        <w:trPr>
          <w:trHeight w:val="149"/>
        </w:trPr>
        <w:tc>
          <w:tcPr>
            <w:tcW w:w="326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Other debt obligations</w:t>
            </w: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(26.2)</w:t>
            </w:r>
          </w:p>
        </w:tc>
        <w:tc>
          <w:tcPr>
            <w:tcW w:w="8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(26.2)</w:t>
            </w:r>
          </w:p>
        </w:tc>
        <w:tc>
          <w:tcPr>
            <w:tcW w:w="0" w:type="dxa"/>
            <w:vAlign w:val="bottom"/>
          </w:tcPr>
          <w:p>
            <w:pPr>
              <w:spacing w:after="0"/>
              <w:rPr>
                <w:sz w:val="1"/>
                <w:szCs w:val="1"/>
                <w:color w:val="auto"/>
              </w:rPr>
            </w:pPr>
          </w:p>
        </w:tc>
      </w:tr>
      <w:tr>
        <w:trPr>
          <w:trHeight w:val="20"/>
        </w:trPr>
        <w:tc>
          <w:tcPr>
            <w:tcW w:w="3260" w:type="dxa"/>
            <w:vAlign w:val="bottom"/>
            <w:vMerge w:val="restart"/>
          </w:tcPr>
          <w:p>
            <w:pPr>
              <w:spacing w:after="0"/>
              <w:rPr>
                <w:sz w:val="20"/>
                <w:szCs w:val="20"/>
                <w:color w:val="auto"/>
              </w:rPr>
            </w:pPr>
            <w:r>
              <w:rPr>
                <w:rFonts w:ascii="Arial" w:cs="Arial" w:eastAsia="Arial" w:hAnsi="Arial"/>
                <w:sz w:val="14"/>
                <w:szCs w:val="14"/>
                <w:color w:val="auto"/>
              </w:rPr>
              <w:t>Total fixed maturities, available-for-sale</w:t>
            </w:r>
          </w:p>
        </w:tc>
        <w:tc>
          <w:tcPr>
            <w:tcW w:w="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326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right"/>
              <w:spacing w:after="0" w:line="142" w:lineRule="exact"/>
              <w:rPr>
                <w:sz w:val="20"/>
                <w:szCs w:val="20"/>
                <w:color w:val="auto"/>
              </w:rPr>
            </w:pPr>
            <w:r>
              <w:rPr>
                <w:rFonts w:ascii="Arial" w:cs="Arial" w:eastAsia="Arial" w:hAnsi="Arial"/>
                <w:sz w:val="14"/>
                <w:szCs w:val="14"/>
                <w:color w:val="auto"/>
              </w:rPr>
              <w:t>47.8</w:t>
            </w:r>
          </w:p>
        </w:tc>
        <w:tc>
          <w:tcPr>
            <w:tcW w:w="16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(98.1)</w:t>
            </w:r>
          </w:p>
        </w:tc>
        <w:tc>
          <w:tcPr>
            <w:tcW w:w="180" w:type="dxa"/>
            <w:vAlign w:val="bottom"/>
          </w:tcPr>
          <w:p>
            <w:pPr>
              <w:spacing w:after="0"/>
              <w:rPr>
                <w:sz w:val="12"/>
                <w:szCs w:val="12"/>
                <w:color w:val="auto"/>
              </w:rPr>
            </w:pPr>
          </w:p>
        </w:tc>
        <w:tc>
          <w:tcPr>
            <w:tcW w:w="520" w:type="dxa"/>
            <w:vAlign w:val="bottom"/>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vMerge w:val="continue"/>
          </w:tcPr>
          <w:p>
            <w:pPr>
              <w:spacing w:after="0"/>
              <w:rPr>
                <w:sz w:val="12"/>
                <w:szCs w:val="12"/>
                <w:color w:val="auto"/>
              </w:rPr>
            </w:pPr>
          </w:p>
        </w:tc>
        <w:tc>
          <w:tcPr>
            <w:tcW w:w="320" w:type="dxa"/>
            <w:vAlign w:val="bottom"/>
          </w:tcPr>
          <w:p>
            <w:pPr>
              <w:spacing w:after="0"/>
              <w:rPr>
                <w:sz w:val="12"/>
                <w:szCs w:val="12"/>
                <w:color w:val="auto"/>
              </w:rPr>
            </w:pPr>
          </w:p>
        </w:tc>
        <w:tc>
          <w:tcPr>
            <w:tcW w:w="66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(39.6)</w:t>
            </w:r>
          </w:p>
        </w:tc>
        <w:tc>
          <w:tcPr>
            <w:tcW w:w="80" w:type="dxa"/>
            <w:vAlign w:val="bottom"/>
          </w:tcPr>
          <w:p>
            <w:pPr>
              <w:spacing w:after="0"/>
              <w:rPr>
                <w:sz w:val="12"/>
                <w:szCs w:val="12"/>
                <w:color w:val="auto"/>
              </w:rPr>
            </w:pPr>
          </w:p>
        </w:tc>
        <w:tc>
          <w:tcPr>
            <w:tcW w:w="116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(89.9)</w:t>
            </w:r>
          </w:p>
        </w:tc>
        <w:tc>
          <w:tcPr>
            <w:tcW w:w="0" w:type="dxa"/>
            <w:vAlign w:val="bottom"/>
          </w:tcPr>
          <w:p>
            <w:pPr>
              <w:spacing w:after="0"/>
              <w:rPr>
                <w:sz w:val="1"/>
                <w:szCs w:val="1"/>
                <w:color w:val="auto"/>
              </w:rPr>
            </w:pPr>
          </w:p>
        </w:tc>
      </w:tr>
      <w:tr>
        <w:trPr>
          <w:trHeight w:val="149"/>
        </w:trPr>
        <w:tc>
          <w:tcPr>
            <w:tcW w:w="3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maturities, trading</w:t>
            </w: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(24.6)</w:t>
            </w:r>
          </w:p>
        </w:tc>
        <w:tc>
          <w:tcPr>
            <w:tcW w:w="1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(42.1)</w:t>
            </w:r>
          </w:p>
        </w:tc>
        <w:tc>
          <w:tcPr>
            <w:tcW w:w="8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(66.7)</w:t>
            </w:r>
          </w:p>
        </w:tc>
        <w:tc>
          <w:tcPr>
            <w:tcW w:w="0" w:type="dxa"/>
            <w:vAlign w:val="bottom"/>
          </w:tcPr>
          <w:p>
            <w:pPr>
              <w:spacing w:after="0"/>
              <w:rPr>
                <w:sz w:val="1"/>
                <w:szCs w:val="1"/>
                <w:color w:val="auto"/>
              </w:rPr>
            </w:pPr>
          </w:p>
        </w:tc>
      </w:tr>
      <w:tr>
        <w:trPr>
          <w:trHeight w:val="149"/>
        </w:trPr>
        <w:tc>
          <w:tcPr>
            <w:tcW w:w="3260" w:type="dxa"/>
            <w:vAlign w:val="bottom"/>
          </w:tcPr>
          <w:p>
            <w:pPr>
              <w:spacing w:after="0" w:line="149" w:lineRule="exact"/>
              <w:rPr>
                <w:sz w:val="20"/>
                <w:szCs w:val="20"/>
                <w:color w:val="auto"/>
              </w:rPr>
            </w:pPr>
            <w:r>
              <w:rPr>
                <w:rFonts w:ascii="Arial" w:cs="Arial" w:eastAsia="Arial" w:hAnsi="Arial"/>
                <w:sz w:val="14"/>
                <w:szCs w:val="14"/>
                <w:color w:val="auto"/>
              </w:rPr>
              <w:t>Derivative assets</w:t>
            </w:r>
          </w:p>
        </w:tc>
        <w:tc>
          <w:tcPr>
            <w:tcW w:w="8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12.6</w:t>
            </w:r>
          </w:p>
        </w:tc>
        <w:tc>
          <w:tcPr>
            <w:tcW w:w="120" w:type="dxa"/>
            <w:vAlign w:val="bottom"/>
          </w:tcPr>
          <w:p>
            <w:pPr>
              <w:spacing w:after="0"/>
              <w:rPr>
                <w:sz w:val="12"/>
                <w:szCs w:val="12"/>
                <w:color w:val="auto"/>
              </w:rPr>
            </w:pPr>
          </w:p>
        </w:tc>
        <w:tc>
          <w:tcPr>
            <w:tcW w:w="6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(0.6)</w:t>
            </w:r>
          </w:p>
        </w:tc>
        <w:tc>
          <w:tcPr>
            <w:tcW w:w="180" w:type="dxa"/>
            <w:vAlign w:val="bottom"/>
          </w:tcPr>
          <w:p>
            <w:pPr>
              <w:spacing w:after="0"/>
              <w:rPr>
                <w:sz w:val="12"/>
                <w:szCs w:val="12"/>
                <w:color w:val="auto"/>
              </w:rPr>
            </w:pPr>
          </w:p>
        </w:tc>
        <w:tc>
          <w:tcPr>
            <w:tcW w:w="6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320" w:type="dxa"/>
            <w:vAlign w:val="bottom"/>
          </w:tcPr>
          <w:p>
            <w:pPr>
              <w:spacing w:after="0"/>
              <w:rPr>
                <w:sz w:val="12"/>
                <w:szCs w:val="12"/>
                <w:color w:val="auto"/>
              </w:rPr>
            </w:pPr>
          </w:p>
        </w:tc>
        <w:tc>
          <w:tcPr>
            <w:tcW w:w="6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1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12.0</w:t>
            </w:r>
          </w:p>
        </w:tc>
        <w:tc>
          <w:tcPr>
            <w:tcW w:w="0" w:type="dxa"/>
            <w:vAlign w:val="bottom"/>
          </w:tcPr>
          <w:p>
            <w:pPr>
              <w:spacing w:after="0"/>
              <w:rPr>
                <w:sz w:val="1"/>
                <w:szCs w:val="1"/>
                <w:color w:val="auto"/>
              </w:rPr>
            </w:pPr>
          </w:p>
        </w:tc>
      </w:tr>
      <w:tr>
        <w:trPr>
          <w:trHeight w:val="149"/>
        </w:trPr>
        <w:tc>
          <w:tcPr>
            <w:tcW w:w="3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investments</w:t>
            </w: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34.0</w:t>
            </w:r>
          </w:p>
        </w:tc>
        <w:tc>
          <w:tcPr>
            <w:tcW w:w="1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(19.7)</w:t>
            </w:r>
          </w:p>
        </w:tc>
        <w:tc>
          <w:tcPr>
            <w:tcW w:w="8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14.3</w:t>
            </w:r>
          </w:p>
        </w:tc>
        <w:tc>
          <w:tcPr>
            <w:tcW w:w="0" w:type="dxa"/>
            <w:vAlign w:val="bottom"/>
          </w:tcPr>
          <w:p>
            <w:pPr>
              <w:spacing w:after="0"/>
              <w:rPr>
                <w:sz w:val="1"/>
                <w:szCs w:val="1"/>
                <w:color w:val="auto"/>
              </w:rPr>
            </w:pPr>
          </w:p>
        </w:tc>
      </w:tr>
      <w:tr>
        <w:trPr>
          <w:trHeight w:val="149"/>
        </w:trPr>
        <w:tc>
          <w:tcPr>
            <w:tcW w:w="3260" w:type="dxa"/>
            <w:vAlign w:val="bottom"/>
          </w:tcPr>
          <w:p>
            <w:pPr>
              <w:spacing w:after="0" w:line="149" w:lineRule="exact"/>
              <w:rPr>
                <w:sz w:val="20"/>
                <w:szCs w:val="20"/>
                <w:color w:val="auto"/>
              </w:rPr>
            </w:pPr>
            <w:r>
              <w:rPr>
                <w:rFonts w:ascii="Arial" w:cs="Arial" w:eastAsia="Arial" w:hAnsi="Arial"/>
                <w:sz w:val="14"/>
                <w:szCs w:val="14"/>
                <w:color w:val="auto"/>
              </w:rPr>
              <w:t>Separate account assets (5)</w:t>
            </w:r>
          </w:p>
        </w:tc>
        <w:tc>
          <w:tcPr>
            <w:tcW w:w="8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342.2</w:t>
            </w:r>
          </w:p>
        </w:tc>
        <w:tc>
          <w:tcPr>
            <w:tcW w:w="120" w:type="dxa"/>
            <w:vAlign w:val="bottom"/>
          </w:tcPr>
          <w:p>
            <w:pPr>
              <w:spacing w:after="0"/>
              <w:rPr>
                <w:sz w:val="12"/>
                <w:szCs w:val="12"/>
                <w:color w:val="auto"/>
              </w:rPr>
            </w:pPr>
          </w:p>
        </w:tc>
        <w:tc>
          <w:tcPr>
            <w:tcW w:w="6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(310.6)</w:t>
            </w:r>
          </w:p>
        </w:tc>
        <w:tc>
          <w:tcPr>
            <w:tcW w:w="180" w:type="dxa"/>
            <w:vAlign w:val="bottom"/>
          </w:tcPr>
          <w:p>
            <w:pPr>
              <w:spacing w:after="0"/>
              <w:rPr>
                <w:sz w:val="12"/>
                <w:szCs w:val="12"/>
                <w:color w:val="auto"/>
              </w:rPr>
            </w:pPr>
          </w:p>
        </w:tc>
        <w:tc>
          <w:tcPr>
            <w:tcW w:w="6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(208.4)</w:t>
            </w:r>
          </w:p>
        </w:tc>
        <w:tc>
          <w:tcPr>
            <w:tcW w:w="3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173.2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(3.6)</w:t>
            </w:r>
          </w:p>
        </w:tc>
        <w:tc>
          <w:tcPr>
            <w:tcW w:w="0" w:type="dxa"/>
            <w:vAlign w:val="bottom"/>
          </w:tcPr>
          <w:p>
            <w:pPr>
              <w:spacing w:after="0"/>
              <w:rPr>
                <w:sz w:val="1"/>
                <w:szCs w:val="1"/>
                <w:color w:val="auto"/>
              </w:rPr>
            </w:pPr>
          </w:p>
        </w:tc>
      </w:tr>
      <w:tr>
        <w:trPr>
          <w:trHeight w:val="311"/>
        </w:trPr>
        <w:tc>
          <w:tcPr>
            <w:tcW w:w="326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Liabilities</w:t>
            </w:r>
          </w:p>
        </w:tc>
        <w:tc>
          <w:tcPr>
            <w:tcW w:w="8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5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5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3260" w:type="dxa"/>
            <w:vAlign w:val="bottom"/>
          </w:tcPr>
          <w:p>
            <w:pPr>
              <w:spacing w:after="0" w:line="149" w:lineRule="exact"/>
              <w:rPr>
                <w:sz w:val="20"/>
                <w:szCs w:val="20"/>
                <w:color w:val="auto"/>
              </w:rPr>
            </w:pPr>
            <w:r>
              <w:rPr>
                <w:rFonts w:ascii="Arial" w:cs="Arial" w:eastAsia="Arial" w:hAnsi="Arial"/>
                <w:sz w:val="14"/>
                <w:szCs w:val="14"/>
                <w:color w:val="auto"/>
              </w:rPr>
              <w:t>Investment-type insurance contracts</w:t>
            </w:r>
          </w:p>
        </w:tc>
        <w:tc>
          <w:tcPr>
            <w:tcW w:w="8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6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6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(16.6)</w:t>
            </w:r>
          </w:p>
        </w:tc>
        <w:tc>
          <w:tcPr>
            <w:tcW w:w="3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3.7</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(12.9)</w:t>
            </w:r>
          </w:p>
        </w:tc>
        <w:tc>
          <w:tcPr>
            <w:tcW w:w="0" w:type="dxa"/>
            <w:vAlign w:val="bottom"/>
          </w:tcPr>
          <w:p>
            <w:pPr>
              <w:spacing w:after="0"/>
              <w:rPr>
                <w:sz w:val="1"/>
                <w:szCs w:val="1"/>
                <w:color w:val="auto"/>
              </w:rPr>
            </w:pPr>
          </w:p>
        </w:tc>
      </w:tr>
      <w:tr>
        <w:trPr>
          <w:trHeight w:val="149"/>
        </w:trPr>
        <w:tc>
          <w:tcPr>
            <w:tcW w:w="3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Derivative liabilities</w:t>
            </w: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(8.9)</w:t>
            </w: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42.3</w:t>
            </w: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33.4</w:t>
            </w:r>
          </w:p>
        </w:tc>
        <w:tc>
          <w:tcPr>
            <w:tcW w:w="0" w:type="dxa"/>
            <w:vAlign w:val="bottom"/>
          </w:tcPr>
          <w:p>
            <w:pPr>
              <w:spacing w:after="0"/>
              <w:rPr>
                <w:sz w:val="1"/>
                <w:szCs w:val="1"/>
                <w:color w:val="auto"/>
              </w:rPr>
            </w:pPr>
          </w:p>
        </w:tc>
      </w:tr>
      <w:tr>
        <w:trPr>
          <w:trHeight w:val="172"/>
        </w:trPr>
        <w:tc>
          <w:tcPr>
            <w:tcW w:w="3260" w:type="dxa"/>
            <w:vAlign w:val="bottom"/>
          </w:tcPr>
          <w:p>
            <w:pPr>
              <w:spacing w:after="0"/>
              <w:rPr>
                <w:sz w:val="20"/>
                <w:szCs w:val="20"/>
                <w:color w:val="auto"/>
              </w:rPr>
            </w:pPr>
            <w:r>
              <w:rPr>
                <w:rFonts w:ascii="Arial" w:cs="Arial" w:eastAsia="Arial" w:hAnsi="Arial"/>
                <w:sz w:val="14"/>
                <w:szCs w:val="14"/>
                <w:color w:val="auto"/>
              </w:rPr>
              <w:t>Other liabilities</w:t>
            </w:r>
          </w:p>
        </w:tc>
        <w:tc>
          <w:tcPr>
            <w:tcW w:w="80" w:type="dxa"/>
            <w:vAlign w:val="bottom"/>
          </w:tcPr>
          <w:p>
            <w:pPr>
              <w:spacing w:after="0"/>
              <w:rPr>
                <w:sz w:val="14"/>
                <w:szCs w:val="14"/>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8.1</w:t>
            </w: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14"/>
                <w:szCs w:val="14"/>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4"/>
                <w:szCs w:val="14"/>
                <w:color w:val="auto"/>
              </w:rPr>
              <w:t>8.1</w:t>
            </w:r>
          </w:p>
        </w:tc>
        <w:tc>
          <w:tcPr>
            <w:tcW w:w="0" w:type="dxa"/>
            <w:vAlign w:val="bottom"/>
          </w:tcPr>
          <w:p>
            <w:pPr>
              <w:spacing w:after="0"/>
              <w:rPr>
                <w:sz w:val="1"/>
                <w:szCs w:val="1"/>
                <w:color w:val="auto"/>
              </w:rPr>
            </w:pPr>
          </w:p>
        </w:tc>
      </w:tr>
      <w:tr>
        <w:trPr>
          <w:trHeight w:val="773"/>
        </w:trPr>
        <w:tc>
          <w:tcPr>
            <w:tcW w:w="326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460" w:type="dxa"/>
            <w:vAlign w:val="bottom"/>
            <w:tcBorders>
              <w:bottom w:val="single" w:sz="8" w:color="auto"/>
            </w:tcBorders>
            <w:gridSpan w:val="8"/>
          </w:tcPr>
          <w:p>
            <w:pPr>
              <w:jc w:val="center"/>
              <w:spacing w:after="0"/>
              <w:rPr>
                <w:sz w:val="20"/>
                <w:szCs w:val="20"/>
                <w:color w:val="auto"/>
              </w:rPr>
            </w:pPr>
            <w:r>
              <w:rPr>
                <w:rFonts w:ascii="Arial" w:cs="Arial" w:eastAsia="Arial" w:hAnsi="Arial"/>
                <w:sz w:val="14"/>
                <w:szCs w:val="14"/>
                <w:b w:val="1"/>
                <w:bCs w:val="1"/>
                <w:color w:val="auto"/>
                <w:w w:val="86"/>
              </w:rPr>
              <w:t>For the year ended December 31, 2011</w:t>
            </w:r>
          </w:p>
        </w:tc>
        <w:tc>
          <w:tcPr>
            <w:tcW w:w="8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3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tcPr>
          <w:p>
            <w:pPr>
              <w:jc w:val="center"/>
              <w:ind w:right="12"/>
              <w:spacing w:after="0" w:line="129" w:lineRule="exact"/>
              <w:rPr>
                <w:sz w:val="20"/>
                <w:szCs w:val="20"/>
                <w:color w:val="auto"/>
              </w:rPr>
            </w:pPr>
            <w:r>
              <w:rPr>
                <w:rFonts w:ascii="Arial" w:cs="Arial" w:eastAsia="Arial" w:hAnsi="Arial"/>
                <w:sz w:val="14"/>
                <w:szCs w:val="14"/>
                <w:b w:val="1"/>
                <w:bCs w:val="1"/>
                <w:color w:val="auto"/>
                <w:w w:val="83"/>
              </w:rPr>
              <w:t>Net purchases,</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3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79"/>
              </w:rPr>
              <w:t>sales, issuances</w:t>
            </w:r>
          </w:p>
        </w:tc>
        <w:tc>
          <w:tcPr>
            <w:tcW w:w="0" w:type="dxa"/>
            <w:vAlign w:val="bottom"/>
          </w:tcPr>
          <w:p>
            <w:pPr>
              <w:spacing w:after="0"/>
              <w:rPr>
                <w:sz w:val="1"/>
                <w:szCs w:val="1"/>
                <w:color w:val="auto"/>
              </w:rPr>
            </w:pPr>
          </w:p>
        </w:tc>
      </w:tr>
      <w:tr>
        <w:trPr>
          <w:trHeight w:val="161"/>
        </w:trPr>
        <w:tc>
          <w:tcPr>
            <w:tcW w:w="32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79"/>
              </w:rPr>
              <w:t>Purchases</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jc w:val="right"/>
              <w:ind w:right="72"/>
              <w:spacing w:after="0"/>
              <w:rPr>
                <w:sz w:val="20"/>
                <w:szCs w:val="20"/>
                <w:color w:val="auto"/>
              </w:rPr>
            </w:pPr>
            <w:r>
              <w:rPr>
                <w:rFonts w:ascii="Arial" w:cs="Arial" w:eastAsia="Arial" w:hAnsi="Arial"/>
                <w:sz w:val="14"/>
                <w:szCs w:val="14"/>
                <w:b w:val="1"/>
                <w:bCs w:val="1"/>
                <w:color w:val="auto"/>
                <w:w w:val="81"/>
              </w:rPr>
              <w:t>Sales</w:t>
            </w:r>
          </w:p>
        </w:tc>
        <w:tc>
          <w:tcPr>
            <w:tcW w:w="160" w:type="dxa"/>
            <w:vAlign w:val="bottom"/>
          </w:tcPr>
          <w:p>
            <w:pPr>
              <w:spacing w:after="0"/>
              <w:rPr>
                <w:sz w:val="14"/>
                <w:szCs w:val="14"/>
                <w:color w:val="auto"/>
              </w:rPr>
            </w:pPr>
          </w:p>
        </w:tc>
        <w:tc>
          <w:tcPr>
            <w:tcW w:w="70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14"/>
                <w:szCs w:val="14"/>
                <w:b w:val="1"/>
                <w:bCs w:val="1"/>
                <w:color w:val="auto"/>
                <w:w w:val="88"/>
              </w:rPr>
              <w:t>Issuances</w:t>
            </w:r>
          </w:p>
        </w:tc>
        <w:tc>
          <w:tcPr>
            <w:tcW w:w="160" w:type="dxa"/>
            <w:vAlign w:val="bottom"/>
          </w:tcPr>
          <w:p>
            <w:pPr>
              <w:spacing w:after="0"/>
              <w:rPr>
                <w:sz w:val="14"/>
                <w:szCs w:val="14"/>
                <w:color w:val="auto"/>
              </w:rPr>
            </w:pPr>
          </w:p>
        </w:tc>
        <w:tc>
          <w:tcPr>
            <w:tcW w:w="82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14"/>
                <w:szCs w:val="14"/>
                <w:b w:val="1"/>
                <w:bCs w:val="1"/>
                <w:color w:val="auto"/>
                <w:w w:val="90"/>
              </w:rPr>
              <w:t>Settlements</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4"/>
              </w:rPr>
              <w:t>and settlements</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0" w:type="dxa"/>
            <w:vAlign w:val="bottom"/>
            <w:gridSpan w:val="3"/>
          </w:tcPr>
          <w:p>
            <w:pPr>
              <w:jc w:val="center"/>
              <w:ind w:right="12"/>
              <w:spacing w:after="0" w:line="142" w:lineRule="exact"/>
              <w:rPr>
                <w:sz w:val="20"/>
                <w:szCs w:val="20"/>
                <w:color w:val="auto"/>
              </w:rPr>
            </w:pPr>
            <w:r>
              <w:rPr>
                <w:rFonts w:ascii="Arial" w:cs="Arial" w:eastAsia="Arial" w:hAnsi="Arial"/>
                <w:sz w:val="14"/>
                <w:szCs w:val="14"/>
                <w:b w:val="1"/>
                <w:bCs w:val="1"/>
                <w:i w:val="1"/>
                <w:iCs w:val="1"/>
                <w:color w:val="auto"/>
                <w:w w:val="86"/>
              </w:rPr>
              <w:t>(in millions)</w:t>
            </w: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26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8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260" w:type="dxa"/>
            <w:vAlign w:val="bottom"/>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26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Non-U.S. government</w:t>
            </w:r>
          </w:p>
        </w:tc>
        <w:tc>
          <w:tcPr>
            <w:tcW w:w="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3.6</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(5.4)</w:t>
            </w:r>
          </w:p>
        </w:tc>
        <w:tc>
          <w:tcPr>
            <w:tcW w:w="180" w:type="dxa"/>
            <w:vAlign w:val="bottom"/>
            <w:shd w:val="clear" w:color="auto" w:fill="CCEEFF"/>
          </w:tcPr>
          <w:p>
            <w:pPr>
              <w:jc w:val="right"/>
              <w:ind w:right="32"/>
              <w:spacing w:after="0" w:line="149" w:lineRule="exact"/>
              <w:rPr>
                <w:sz w:val="20"/>
                <w:szCs w:val="20"/>
                <w:color w:val="auto"/>
              </w:rPr>
            </w:pPr>
            <w:r>
              <w:rPr>
                <w:rFonts w:ascii="Arial" w:cs="Arial" w:eastAsia="Arial" w:hAnsi="Arial"/>
                <w:sz w:val="14"/>
                <w:szCs w:val="14"/>
                <w:color w:val="auto"/>
                <w:w w:val="76"/>
              </w:rPr>
              <w:t>$</w:t>
            </w:r>
          </w:p>
        </w:tc>
        <w:tc>
          <w:tcPr>
            <w:tcW w:w="6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jc w:val="right"/>
              <w:ind w:right="172"/>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1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(1.8)</w:t>
            </w:r>
          </w:p>
        </w:tc>
        <w:tc>
          <w:tcPr>
            <w:tcW w:w="0" w:type="dxa"/>
            <w:vAlign w:val="bottom"/>
          </w:tcPr>
          <w:p>
            <w:pPr>
              <w:spacing w:after="0"/>
              <w:rPr>
                <w:sz w:val="1"/>
                <w:szCs w:val="1"/>
                <w:color w:val="auto"/>
              </w:rPr>
            </w:pPr>
          </w:p>
        </w:tc>
      </w:tr>
      <w:tr>
        <w:trPr>
          <w:trHeight w:val="149"/>
        </w:trPr>
        <w:tc>
          <w:tcPr>
            <w:tcW w:w="3260" w:type="dxa"/>
            <w:vAlign w:val="bottom"/>
          </w:tcPr>
          <w:p>
            <w:pPr>
              <w:ind w:left="140"/>
              <w:spacing w:after="0" w:line="149" w:lineRule="exact"/>
              <w:rPr>
                <w:sz w:val="20"/>
                <w:szCs w:val="20"/>
                <w:color w:val="auto"/>
              </w:rPr>
            </w:pPr>
            <w:r>
              <w:rPr>
                <w:rFonts w:ascii="Arial" w:cs="Arial" w:eastAsia="Arial" w:hAnsi="Arial"/>
                <w:sz w:val="14"/>
                <w:szCs w:val="14"/>
                <w:color w:val="auto"/>
              </w:rPr>
              <w:t>Corporate</w:t>
            </w:r>
          </w:p>
        </w:tc>
        <w:tc>
          <w:tcPr>
            <w:tcW w:w="8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21.2</w:t>
            </w:r>
          </w:p>
        </w:tc>
        <w:tc>
          <w:tcPr>
            <w:tcW w:w="120" w:type="dxa"/>
            <w:vAlign w:val="bottom"/>
          </w:tcPr>
          <w:p>
            <w:pPr>
              <w:spacing w:after="0"/>
              <w:rPr>
                <w:sz w:val="12"/>
                <w:szCs w:val="12"/>
                <w:color w:val="auto"/>
              </w:rPr>
            </w:pPr>
          </w:p>
        </w:tc>
        <w:tc>
          <w:tcPr>
            <w:tcW w:w="6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(25.6)</w:t>
            </w:r>
          </w:p>
        </w:tc>
        <w:tc>
          <w:tcPr>
            <w:tcW w:w="180" w:type="dxa"/>
            <w:vAlign w:val="bottom"/>
          </w:tcPr>
          <w:p>
            <w:pPr>
              <w:spacing w:after="0"/>
              <w:rPr>
                <w:sz w:val="12"/>
                <w:szCs w:val="12"/>
                <w:color w:val="auto"/>
              </w:rPr>
            </w:pPr>
          </w:p>
        </w:tc>
        <w:tc>
          <w:tcPr>
            <w:tcW w:w="6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32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(38.3)</w:t>
            </w:r>
          </w:p>
        </w:tc>
        <w:tc>
          <w:tcPr>
            <w:tcW w:w="80" w:type="dxa"/>
            <w:vAlign w:val="bottom"/>
          </w:tcPr>
          <w:p>
            <w:pPr>
              <w:spacing w:after="0"/>
              <w:rPr>
                <w:sz w:val="12"/>
                <w:szCs w:val="12"/>
                <w:color w:val="auto"/>
              </w:rPr>
            </w:pPr>
          </w:p>
        </w:tc>
        <w:tc>
          <w:tcPr>
            <w:tcW w:w="11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(42.7)</w:t>
            </w:r>
          </w:p>
        </w:tc>
        <w:tc>
          <w:tcPr>
            <w:tcW w:w="0" w:type="dxa"/>
            <w:vAlign w:val="bottom"/>
          </w:tcPr>
          <w:p>
            <w:pPr>
              <w:spacing w:after="0"/>
              <w:rPr>
                <w:sz w:val="1"/>
                <w:szCs w:val="1"/>
                <w:color w:val="auto"/>
              </w:rPr>
            </w:pPr>
          </w:p>
        </w:tc>
      </w:tr>
      <w:tr>
        <w:trPr>
          <w:trHeight w:val="149"/>
        </w:trPr>
        <w:tc>
          <w:tcPr>
            <w:tcW w:w="326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Commercial mortgage-backed securities</w:t>
            </w: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(10.5)</w:t>
            </w:r>
          </w:p>
        </w:tc>
        <w:tc>
          <w:tcPr>
            <w:tcW w:w="1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(10.5)</w:t>
            </w:r>
          </w:p>
        </w:tc>
        <w:tc>
          <w:tcPr>
            <w:tcW w:w="0" w:type="dxa"/>
            <w:vAlign w:val="bottom"/>
          </w:tcPr>
          <w:p>
            <w:pPr>
              <w:spacing w:after="0"/>
              <w:rPr>
                <w:sz w:val="1"/>
                <w:szCs w:val="1"/>
                <w:color w:val="auto"/>
              </w:rPr>
            </w:pPr>
          </w:p>
        </w:tc>
      </w:tr>
      <w:tr>
        <w:trPr>
          <w:trHeight w:val="149"/>
        </w:trPr>
        <w:tc>
          <w:tcPr>
            <w:tcW w:w="3260" w:type="dxa"/>
            <w:vAlign w:val="bottom"/>
          </w:tcPr>
          <w:p>
            <w:pPr>
              <w:ind w:left="140"/>
              <w:spacing w:after="0" w:line="149" w:lineRule="exact"/>
              <w:rPr>
                <w:sz w:val="20"/>
                <w:szCs w:val="20"/>
                <w:color w:val="auto"/>
              </w:rPr>
            </w:pPr>
            <w:r>
              <w:rPr>
                <w:rFonts w:ascii="Arial" w:cs="Arial" w:eastAsia="Arial" w:hAnsi="Arial"/>
                <w:sz w:val="14"/>
                <w:szCs w:val="14"/>
                <w:color w:val="auto"/>
              </w:rPr>
              <w:t>Collateralized debt obligations</w:t>
            </w:r>
          </w:p>
        </w:tc>
        <w:tc>
          <w:tcPr>
            <w:tcW w:w="8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1.3</w:t>
            </w:r>
          </w:p>
        </w:tc>
        <w:tc>
          <w:tcPr>
            <w:tcW w:w="120" w:type="dxa"/>
            <w:vAlign w:val="bottom"/>
          </w:tcPr>
          <w:p>
            <w:pPr>
              <w:spacing w:after="0"/>
              <w:rPr>
                <w:sz w:val="12"/>
                <w:szCs w:val="12"/>
                <w:color w:val="auto"/>
              </w:rPr>
            </w:pPr>
          </w:p>
        </w:tc>
        <w:tc>
          <w:tcPr>
            <w:tcW w:w="6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(0.4)</w:t>
            </w:r>
          </w:p>
        </w:tc>
        <w:tc>
          <w:tcPr>
            <w:tcW w:w="180" w:type="dxa"/>
            <w:vAlign w:val="bottom"/>
          </w:tcPr>
          <w:p>
            <w:pPr>
              <w:spacing w:after="0"/>
              <w:rPr>
                <w:sz w:val="12"/>
                <w:szCs w:val="12"/>
                <w:color w:val="auto"/>
              </w:rPr>
            </w:pPr>
          </w:p>
        </w:tc>
        <w:tc>
          <w:tcPr>
            <w:tcW w:w="6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32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(0.6)</w:t>
            </w:r>
          </w:p>
        </w:tc>
        <w:tc>
          <w:tcPr>
            <w:tcW w:w="80" w:type="dxa"/>
            <w:vAlign w:val="bottom"/>
          </w:tcPr>
          <w:p>
            <w:pPr>
              <w:spacing w:after="0"/>
              <w:rPr>
                <w:sz w:val="12"/>
                <w:szCs w:val="12"/>
                <w:color w:val="auto"/>
              </w:rPr>
            </w:pPr>
          </w:p>
        </w:tc>
        <w:tc>
          <w:tcPr>
            <w:tcW w:w="11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0.3</w:t>
            </w:r>
          </w:p>
        </w:tc>
        <w:tc>
          <w:tcPr>
            <w:tcW w:w="0" w:type="dxa"/>
            <w:vAlign w:val="bottom"/>
          </w:tcPr>
          <w:p>
            <w:pPr>
              <w:spacing w:after="0"/>
              <w:rPr>
                <w:sz w:val="1"/>
                <w:szCs w:val="1"/>
                <w:color w:val="auto"/>
              </w:rPr>
            </w:pPr>
          </w:p>
        </w:tc>
      </w:tr>
      <w:tr>
        <w:trPr>
          <w:trHeight w:val="149"/>
        </w:trPr>
        <w:tc>
          <w:tcPr>
            <w:tcW w:w="326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Other debt obligations</w:t>
            </w: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(30.5)</w:t>
            </w:r>
          </w:p>
        </w:tc>
        <w:tc>
          <w:tcPr>
            <w:tcW w:w="8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(30.5)</w:t>
            </w:r>
          </w:p>
        </w:tc>
        <w:tc>
          <w:tcPr>
            <w:tcW w:w="0" w:type="dxa"/>
            <w:vAlign w:val="bottom"/>
          </w:tcPr>
          <w:p>
            <w:pPr>
              <w:spacing w:after="0"/>
              <w:rPr>
                <w:sz w:val="1"/>
                <w:szCs w:val="1"/>
                <w:color w:val="auto"/>
              </w:rPr>
            </w:pPr>
          </w:p>
        </w:tc>
      </w:tr>
      <w:tr>
        <w:trPr>
          <w:trHeight w:val="20"/>
        </w:trPr>
        <w:tc>
          <w:tcPr>
            <w:tcW w:w="3260" w:type="dxa"/>
            <w:vAlign w:val="bottom"/>
            <w:vMerge w:val="restart"/>
          </w:tcPr>
          <w:p>
            <w:pPr>
              <w:spacing w:after="0"/>
              <w:rPr>
                <w:sz w:val="20"/>
                <w:szCs w:val="20"/>
                <w:color w:val="auto"/>
              </w:rPr>
            </w:pPr>
            <w:r>
              <w:rPr>
                <w:rFonts w:ascii="Arial" w:cs="Arial" w:eastAsia="Arial" w:hAnsi="Arial"/>
                <w:sz w:val="14"/>
                <w:szCs w:val="14"/>
                <w:color w:val="auto"/>
              </w:rPr>
              <w:t>Total fixed maturities, available-for-sale</w:t>
            </w:r>
          </w:p>
        </w:tc>
        <w:tc>
          <w:tcPr>
            <w:tcW w:w="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326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right"/>
              <w:spacing w:after="0" w:line="142" w:lineRule="exact"/>
              <w:rPr>
                <w:sz w:val="20"/>
                <w:szCs w:val="20"/>
                <w:color w:val="auto"/>
              </w:rPr>
            </w:pPr>
            <w:r>
              <w:rPr>
                <w:rFonts w:ascii="Arial" w:cs="Arial" w:eastAsia="Arial" w:hAnsi="Arial"/>
                <w:sz w:val="14"/>
                <w:szCs w:val="14"/>
                <w:color w:val="auto"/>
              </w:rPr>
              <w:t>26.1</w:t>
            </w:r>
          </w:p>
        </w:tc>
        <w:tc>
          <w:tcPr>
            <w:tcW w:w="16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(41.9)</w:t>
            </w:r>
          </w:p>
        </w:tc>
        <w:tc>
          <w:tcPr>
            <w:tcW w:w="180" w:type="dxa"/>
            <w:vAlign w:val="bottom"/>
          </w:tcPr>
          <w:p>
            <w:pPr>
              <w:spacing w:after="0"/>
              <w:rPr>
                <w:sz w:val="12"/>
                <w:szCs w:val="12"/>
                <w:color w:val="auto"/>
              </w:rPr>
            </w:pPr>
          </w:p>
        </w:tc>
        <w:tc>
          <w:tcPr>
            <w:tcW w:w="520" w:type="dxa"/>
            <w:vAlign w:val="bottom"/>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vMerge w:val="continue"/>
          </w:tcPr>
          <w:p>
            <w:pPr>
              <w:spacing w:after="0"/>
              <w:rPr>
                <w:sz w:val="12"/>
                <w:szCs w:val="12"/>
                <w:color w:val="auto"/>
              </w:rPr>
            </w:pPr>
          </w:p>
        </w:tc>
        <w:tc>
          <w:tcPr>
            <w:tcW w:w="320" w:type="dxa"/>
            <w:vAlign w:val="bottom"/>
          </w:tcPr>
          <w:p>
            <w:pPr>
              <w:spacing w:after="0"/>
              <w:rPr>
                <w:sz w:val="12"/>
                <w:szCs w:val="12"/>
                <w:color w:val="auto"/>
              </w:rPr>
            </w:pPr>
          </w:p>
        </w:tc>
        <w:tc>
          <w:tcPr>
            <w:tcW w:w="66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(69.4)</w:t>
            </w:r>
          </w:p>
        </w:tc>
        <w:tc>
          <w:tcPr>
            <w:tcW w:w="80" w:type="dxa"/>
            <w:vAlign w:val="bottom"/>
          </w:tcPr>
          <w:p>
            <w:pPr>
              <w:spacing w:after="0"/>
              <w:rPr>
                <w:sz w:val="12"/>
                <w:szCs w:val="12"/>
                <w:color w:val="auto"/>
              </w:rPr>
            </w:pPr>
          </w:p>
        </w:tc>
        <w:tc>
          <w:tcPr>
            <w:tcW w:w="116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(85.2)</w:t>
            </w:r>
          </w:p>
        </w:tc>
        <w:tc>
          <w:tcPr>
            <w:tcW w:w="0" w:type="dxa"/>
            <w:vAlign w:val="bottom"/>
          </w:tcPr>
          <w:p>
            <w:pPr>
              <w:spacing w:after="0"/>
              <w:rPr>
                <w:sz w:val="1"/>
                <w:szCs w:val="1"/>
                <w:color w:val="auto"/>
              </w:rPr>
            </w:pPr>
          </w:p>
        </w:tc>
      </w:tr>
      <w:tr>
        <w:trPr>
          <w:trHeight w:val="149"/>
        </w:trPr>
        <w:tc>
          <w:tcPr>
            <w:tcW w:w="3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maturities, trading</w:t>
            </w: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10.0</w:t>
            </w:r>
          </w:p>
        </w:tc>
        <w:tc>
          <w:tcPr>
            <w:tcW w:w="1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(8.7)</w:t>
            </w:r>
          </w:p>
        </w:tc>
        <w:tc>
          <w:tcPr>
            <w:tcW w:w="1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(28.5)</w:t>
            </w:r>
          </w:p>
        </w:tc>
        <w:tc>
          <w:tcPr>
            <w:tcW w:w="8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(27.2)</w:t>
            </w:r>
          </w:p>
        </w:tc>
        <w:tc>
          <w:tcPr>
            <w:tcW w:w="0" w:type="dxa"/>
            <w:vAlign w:val="bottom"/>
          </w:tcPr>
          <w:p>
            <w:pPr>
              <w:spacing w:after="0"/>
              <w:rPr>
                <w:sz w:val="1"/>
                <w:szCs w:val="1"/>
                <w:color w:val="auto"/>
              </w:rPr>
            </w:pPr>
          </w:p>
        </w:tc>
      </w:tr>
      <w:tr>
        <w:trPr>
          <w:trHeight w:val="149"/>
        </w:trPr>
        <w:tc>
          <w:tcPr>
            <w:tcW w:w="3260" w:type="dxa"/>
            <w:vAlign w:val="bottom"/>
          </w:tcPr>
          <w:p>
            <w:pPr>
              <w:spacing w:after="0" w:line="149" w:lineRule="exact"/>
              <w:rPr>
                <w:sz w:val="20"/>
                <w:szCs w:val="20"/>
                <w:color w:val="auto"/>
              </w:rPr>
            </w:pPr>
            <w:r>
              <w:rPr>
                <w:rFonts w:ascii="Arial" w:cs="Arial" w:eastAsia="Arial" w:hAnsi="Arial"/>
                <w:sz w:val="14"/>
                <w:szCs w:val="14"/>
                <w:color w:val="auto"/>
              </w:rPr>
              <w:t>Equity securities, available-for-sale</w:t>
            </w:r>
          </w:p>
        </w:tc>
        <w:tc>
          <w:tcPr>
            <w:tcW w:w="8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0.3</w:t>
            </w:r>
          </w:p>
        </w:tc>
        <w:tc>
          <w:tcPr>
            <w:tcW w:w="120" w:type="dxa"/>
            <w:vAlign w:val="bottom"/>
          </w:tcPr>
          <w:p>
            <w:pPr>
              <w:spacing w:after="0"/>
              <w:rPr>
                <w:sz w:val="12"/>
                <w:szCs w:val="12"/>
                <w:color w:val="auto"/>
              </w:rPr>
            </w:pPr>
          </w:p>
        </w:tc>
        <w:tc>
          <w:tcPr>
            <w:tcW w:w="6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(28.3)</w:t>
            </w:r>
          </w:p>
        </w:tc>
        <w:tc>
          <w:tcPr>
            <w:tcW w:w="180" w:type="dxa"/>
            <w:vAlign w:val="bottom"/>
          </w:tcPr>
          <w:p>
            <w:pPr>
              <w:spacing w:after="0"/>
              <w:rPr>
                <w:sz w:val="12"/>
                <w:szCs w:val="12"/>
                <w:color w:val="auto"/>
              </w:rPr>
            </w:pPr>
          </w:p>
        </w:tc>
        <w:tc>
          <w:tcPr>
            <w:tcW w:w="6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320" w:type="dxa"/>
            <w:vAlign w:val="bottom"/>
          </w:tcPr>
          <w:p>
            <w:pPr>
              <w:spacing w:after="0"/>
              <w:rPr>
                <w:sz w:val="12"/>
                <w:szCs w:val="12"/>
                <w:color w:val="auto"/>
              </w:rPr>
            </w:pPr>
          </w:p>
        </w:tc>
        <w:tc>
          <w:tcPr>
            <w:tcW w:w="6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1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(28.0)</w:t>
            </w:r>
          </w:p>
        </w:tc>
        <w:tc>
          <w:tcPr>
            <w:tcW w:w="0" w:type="dxa"/>
            <w:vAlign w:val="bottom"/>
          </w:tcPr>
          <w:p>
            <w:pPr>
              <w:spacing w:after="0"/>
              <w:rPr>
                <w:sz w:val="1"/>
                <w:szCs w:val="1"/>
                <w:color w:val="auto"/>
              </w:rPr>
            </w:pPr>
          </w:p>
        </w:tc>
      </w:tr>
      <w:tr>
        <w:trPr>
          <w:trHeight w:val="149"/>
        </w:trPr>
        <w:tc>
          <w:tcPr>
            <w:tcW w:w="3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Derivative assets</w:t>
            </w: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19.0</w:t>
            </w:r>
          </w:p>
        </w:tc>
        <w:tc>
          <w:tcPr>
            <w:tcW w:w="1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(29.8)</w:t>
            </w:r>
          </w:p>
        </w:tc>
        <w:tc>
          <w:tcPr>
            <w:tcW w:w="1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(10.8)</w:t>
            </w:r>
          </w:p>
        </w:tc>
        <w:tc>
          <w:tcPr>
            <w:tcW w:w="0" w:type="dxa"/>
            <w:vAlign w:val="bottom"/>
          </w:tcPr>
          <w:p>
            <w:pPr>
              <w:spacing w:after="0"/>
              <w:rPr>
                <w:sz w:val="1"/>
                <w:szCs w:val="1"/>
                <w:color w:val="auto"/>
              </w:rPr>
            </w:pPr>
          </w:p>
        </w:tc>
      </w:tr>
      <w:tr>
        <w:trPr>
          <w:trHeight w:val="149"/>
        </w:trPr>
        <w:tc>
          <w:tcPr>
            <w:tcW w:w="3260" w:type="dxa"/>
            <w:vAlign w:val="bottom"/>
          </w:tcPr>
          <w:p>
            <w:pPr>
              <w:spacing w:after="0" w:line="149" w:lineRule="exact"/>
              <w:rPr>
                <w:sz w:val="20"/>
                <w:szCs w:val="20"/>
                <w:color w:val="auto"/>
              </w:rPr>
            </w:pPr>
            <w:r>
              <w:rPr>
                <w:rFonts w:ascii="Arial" w:cs="Arial" w:eastAsia="Arial" w:hAnsi="Arial"/>
                <w:sz w:val="14"/>
                <w:szCs w:val="14"/>
                <w:color w:val="auto"/>
              </w:rPr>
              <w:t>Other investments</w:t>
            </w:r>
          </w:p>
        </w:tc>
        <w:tc>
          <w:tcPr>
            <w:tcW w:w="8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6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6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32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(28.3)</w:t>
            </w:r>
          </w:p>
        </w:tc>
        <w:tc>
          <w:tcPr>
            <w:tcW w:w="80" w:type="dxa"/>
            <w:vAlign w:val="bottom"/>
          </w:tcPr>
          <w:p>
            <w:pPr>
              <w:spacing w:after="0"/>
              <w:rPr>
                <w:sz w:val="12"/>
                <w:szCs w:val="12"/>
                <w:color w:val="auto"/>
              </w:rPr>
            </w:pPr>
          </w:p>
        </w:tc>
        <w:tc>
          <w:tcPr>
            <w:tcW w:w="11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(28.3)</w:t>
            </w:r>
          </w:p>
        </w:tc>
        <w:tc>
          <w:tcPr>
            <w:tcW w:w="0" w:type="dxa"/>
            <w:vAlign w:val="bottom"/>
          </w:tcPr>
          <w:p>
            <w:pPr>
              <w:spacing w:after="0"/>
              <w:rPr>
                <w:sz w:val="1"/>
                <w:szCs w:val="1"/>
                <w:color w:val="auto"/>
              </w:rPr>
            </w:pPr>
          </w:p>
        </w:tc>
      </w:tr>
      <w:tr>
        <w:trPr>
          <w:trHeight w:val="149"/>
        </w:trPr>
        <w:tc>
          <w:tcPr>
            <w:tcW w:w="3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Separate account assets</w:t>
            </w: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342.7</w:t>
            </w:r>
          </w:p>
        </w:tc>
        <w:tc>
          <w:tcPr>
            <w:tcW w:w="1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(191.8)</w:t>
            </w:r>
          </w:p>
        </w:tc>
        <w:tc>
          <w:tcPr>
            <w:tcW w:w="1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(62.0)</w:t>
            </w:r>
          </w:p>
        </w:tc>
        <w:tc>
          <w:tcPr>
            <w:tcW w:w="8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88.9</w:t>
            </w:r>
          </w:p>
        </w:tc>
        <w:tc>
          <w:tcPr>
            <w:tcW w:w="0" w:type="dxa"/>
            <w:vAlign w:val="bottom"/>
          </w:tcPr>
          <w:p>
            <w:pPr>
              <w:spacing w:after="0"/>
              <w:rPr>
                <w:sz w:val="1"/>
                <w:szCs w:val="1"/>
                <w:color w:val="auto"/>
              </w:rPr>
            </w:pPr>
          </w:p>
        </w:tc>
      </w:tr>
      <w:tr>
        <w:trPr>
          <w:trHeight w:val="311"/>
        </w:trPr>
        <w:tc>
          <w:tcPr>
            <w:tcW w:w="3260" w:type="dxa"/>
            <w:vAlign w:val="bottom"/>
          </w:tcPr>
          <w:p>
            <w:pPr>
              <w:spacing w:after="0"/>
              <w:rPr>
                <w:sz w:val="20"/>
                <w:szCs w:val="20"/>
                <w:color w:val="auto"/>
              </w:rPr>
            </w:pPr>
            <w:r>
              <w:rPr>
                <w:rFonts w:ascii="Arial" w:cs="Arial" w:eastAsia="Arial" w:hAnsi="Arial"/>
                <w:sz w:val="14"/>
                <w:szCs w:val="14"/>
                <w:b w:val="1"/>
                <w:bCs w:val="1"/>
                <w:color w:val="auto"/>
              </w:rPr>
              <w:t>Liabilities</w:t>
            </w:r>
          </w:p>
        </w:tc>
        <w:tc>
          <w:tcPr>
            <w:tcW w:w="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3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Investment-type insurance contracts</w:t>
            </w: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9.2</w:t>
            </w:r>
          </w:p>
        </w:tc>
        <w:tc>
          <w:tcPr>
            <w:tcW w:w="3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17.1</w:t>
            </w:r>
          </w:p>
        </w:tc>
        <w:tc>
          <w:tcPr>
            <w:tcW w:w="0" w:type="dxa"/>
            <w:vAlign w:val="bottom"/>
          </w:tcPr>
          <w:p>
            <w:pPr>
              <w:spacing w:after="0"/>
              <w:rPr>
                <w:sz w:val="1"/>
                <w:szCs w:val="1"/>
                <w:color w:val="auto"/>
              </w:rPr>
            </w:pPr>
          </w:p>
        </w:tc>
      </w:tr>
      <w:tr>
        <w:trPr>
          <w:trHeight w:val="149"/>
        </w:trPr>
        <w:tc>
          <w:tcPr>
            <w:tcW w:w="3260" w:type="dxa"/>
            <w:vAlign w:val="bottom"/>
          </w:tcPr>
          <w:p>
            <w:pPr>
              <w:spacing w:after="0" w:line="149" w:lineRule="exact"/>
              <w:rPr>
                <w:sz w:val="20"/>
                <w:szCs w:val="20"/>
                <w:color w:val="auto"/>
              </w:rPr>
            </w:pPr>
            <w:r>
              <w:rPr>
                <w:rFonts w:ascii="Arial" w:cs="Arial" w:eastAsia="Arial" w:hAnsi="Arial"/>
                <w:sz w:val="14"/>
                <w:szCs w:val="14"/>
                <w:color w:val="auto"/>
              </w:rPr>
              <w:t>Derivative liabilities</w:t>
            </w:r>
          </w:p>
        </w:tc>
        <w:tc>
          <w:tcPr>
            <w:tcW w:w="80" w:type="dxa"/>
            <w:vAlign w:val="bottom"/>
          </w:tcPr>
          <w:p>
            <w:pPr>
              <w:spacing w:after="0"/>
              <w:rPr>
                <w:sz w:val="12"/>
                <w:szCs w:val="12"/>
                <w:color w:val="auto"/>
              </w:rPr>
            </w:pPr>
          </w:p>
        </w:tc>
        <w:tc>
          <w:tcPr>
            <w:tcW w:w="8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(12.1)</w:t>
            </w:r>
          </w:p>
        </w:tc>
        <w:tc>
          <w:tcPr>
            <w:tcW w:w="12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27.7</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320" w:type="dxa"/>
            <w:vAlign w:val="bottom"/>
          </w:tcPr>
          <w:p>
            <w:pPr>
              <w:spacing w:after="0"/>
              <w:rPr>
                <w:sz w:val="12"/>
                <w:szCs w:val="12"/>
                <w:color w:val="auto"/>
              </w:rPr>
            </w:pPr>
          </w:p>
        </w:tc>
        <w:tc>
          <w:tcPr>
            <w:tcW w:w="6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1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15.6</w:t>
            </w:r>
          </w:p>
        </w:tc>
        <w:tc>
          <w:tcPr>
            <w:tcW w:w="0" w:type="dxa"/>
            <w:vAlign w:val="bottom"/>
          </w:tcPr>
          <w:p>
            <w:pPr>
              <w:spacing w:after="0"/>
              <w:rPr>
                <w:sz w:val="1"/>
                <w:szCs w:val="1"/>
                <w:color w:val="auto"/>
              </w:rPr>
            </w:pPr>
          </w:p>
        </w:tc>
      </w:tr>
      <w:tr>
        <w:trPr>
          <w:trHeight w:val="149"/>
        </w:trPr>
        <w:tc>
          <w:tcPr>
            <w:tcW w:w="3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liabilities</w:t>
            </w: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(2.1)</w:t>
            </w:r>
          </w:p>
        </w:tc>
        <w:tc>
          <w:tcPr>
            <w:tcW w:w="1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(13.8)</w:t>
            </w:r>
          </w:p>
        </w:tc>
        <w:tc>
          <w:tcPr>
            <w:tcW w:w="8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(15.9)</w:t>
            </w:r>
          </w:p>
        </w:tc>
        <w:tc>
          <w:tcPr>
            <w:tcW w:w="0" w:type="dxa"/>
            <w:vAlign w:val="bottom"/>
          </w:tcPr>
          <w:p>
            <w:pPr>
              <w:spacing w:after="0"/>
              <w:rPr>
                <w:sz w:val="1"/>
                <w:szCs w:val="1"/>
                <w:color w:val="auto"/>
              </w:rPr>
            </w:pPr>
          </w:p>
        </w:tc>
      </w:tr>
    </w:tbl>
    <w:p>
      <w:pPr>
        <w:spacing w:after="0" w:line="192" w:lineRule="exact"/>
        <w:rPr>
          <w:sz w:val="20"/>
          <w:szCs w:val="20"/>
          <w:color w:val="auto"/>
        </w:rPr>
      </w:pPr>
    </w:p>
    <w:p>
      <w:pPr>
        <w:ind w:left="1680" w:hanging="531"/>
        <w:spacing w:after="0"/>
        <w:tabs>
          <w:tab w:leader="none" w:pos="1680" w:val="left"/>
        </w:tabs>
        <w:numPr>
          <w:ilvl w:val="0"/>
          <w:numId w:val="79"/>
        </w:numPr>
        <w:rPr>
          <w:rFonts w:ascii="Arial" w:cs="Arial" w:eastAsia="Arial" w:hAnsi="Arial"/>
          <w:sz w:val="12"/>
          <w:szCs w:val="12"/>
          <w:color w:val="auto"/>
        </w:rPr>
      </w:pPr>
      <w:r>
        <w:rPr>
          <w:rFonts w:ascii="Arial" w:cs="Arial" w:eastAsia="Arial" w:hAnsi="Arial"/>
          <w:sz w:val="12"/>
          <w:szCs w:val="12"/>
          <w:color w:val="auto"/>
        </w:rPr>
        <w:t>Issuances and settlements include amounts related to mortgage encumbrances associated with real estate in our separate accounts.</w:t>
      </w:r>
    </w:p>
    <w:p>
      <w:pPr>
        <w:spacing w:after="0" w:line="229"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169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131" w:right="1440" w:bottom="1440" w:gutter="0" w:footer="0" w:header="0"/>
        </w:sectPr>
      </w:pPr>
    </w:p>
    <w:bookmarkStart w:id="173" w:name="page174"/>
    <w:bookmarkEnd w:id="17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Fair Value Measurements — (continued)</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Transfers of assets and liabilities measured at fair value on a recurring basis between fair value hierarchy levels are summarized below.</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2500" w:type="dxa"/>
            <w:vAlign w:val="bottom"/>
            <w:tcBorders>
              <w:bottom w:val="single" w:sz="8" w:color="auto"/>
            </w:tcBorders>
            <w:gridSpan w:val="7"/>
          </w:tcPr>
          <w:p>
            <w:pPr>
              <w:jc w:val="right"/>
              <w:ind w:right="160"/>
              <w:spacing w:after="0"/>
              <w:rPr>
                <w:sz w:val="20"/>
                <w:szCs w:val="20"/>
                <w:color w:val="auto"/>
              </w:rPr>
            </w:pPr>
            <w:r>
              <w:rPr>
                <w:rFonts w:ascii="Arial" w:cs="Arial" w:eastAsia="Arial" w:hAnsi="Arial"/>
                <w:sz w:val="14"/>
                <w:szCs w:val="14"/>
                <w:b w:val="1"/>
                <w:bCs w:val="1"/>
                <w:color w:val="auto"/>
                <w:w w:val="90"/>
              </w:rPr>
              <w:t>For the year ended December 31, 2013</w:t>
            </w:r>
          </w:p>
        </w:tc>
        <w:tc>
          <w:tcPr>
            <w:tcW w:w="6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Pr>
          <w:p>
            <w:pPr>
              <w:jc w:val="center"/>
              <w:ind w:right="12"/>
              <w:spacing w:after="0" w:line="129" w:lineRule="exact"/>
              <w:rPr>
                <w:sz w:val="20"/>
                <w:szCs w:val="20"/>
                <w:color w:val="auto"/>
              </w:rPr>
            </w:pPr>
            <w:r>
              <w:rPr>
                <w:rFonts w:ascii="Arial" w:cs="Arial" w:eastAsia="Arial" w:hAnsi="Arial"/>
                <w:sz w:val="14"/>
                <w:szCs w:val="14"/>
                <w:b w:val="1"/>
                <w:bCs w:val="1"/>
                <w:color w:val="auto"/>
                <w:w w:val="84"/>
              </w:rPr>
              <w:t>Transfers out</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Pr>
          <w:p>
            <w:pPr>
              <w:jc w:val="center"/>
              <w:ind w:right="12"/>
              <w:spacing w:after="0" w:line="129" w:lineRule="exact"/>
              <w:rPr>
                <w:sz w:val="20"/>
                <w:szCs w:val="20"/>
                <w:color w:val="auto"/>
              </w:rPr>
            </w:pPr>
            <w:r>
              <w:rPr>
                <w:rFonts w:ascii="Arial" w:cs="Arial" w:eastAsia="Arial" w:hAnsi="Arial"/>
                <w:sz w:val="14"/>
                <w:szCs w:val="14"/>
                <w:b w:val="1"/>
                <w:bCs w:val="1"/>
                <w:color w:val="auto"/>
                <w:w w:val="84"/>
              </w:rPr>
              <w:t>Transfers out</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Pr>
          <w:p>
            <w:pPr>
              <w:jc w:val="center"/>
              <w:ind w:right="12"/>
              <w:spacing w:after="0" w:line="129" w:lineRule="exact"/>
              <w:rPr>
                <w:sz w:val="20"/>
                <w:szCs w:val="20"/>
                <w:color w:val="auto"/>
              </w:rPr>
            </w:pPr>
            <w:r>
              <w:rPr>
                <w:rFonts w:ascii="Arial" w:cs="Arial" w:eastAsia="Arial" w:hAnsi="Arial"/>
                <w:sz w:val="14"/>
                <w:szCs w:val="14"/>
                <w:b w:val="1"/>
                <w:bCs w:val="1"/>
                <w:color w:val="auto"/>
                <w:w w:val="84"/>
              </w:rPr>
              <w:t>Transfers out</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00" w:type="dxa"/>
            <w:vAlign w:val="bottom"/>
            <w:gridSpan w:val="2"/>
          </w:tcPr>
          <w:p>
            <w:pPr>
              <w:jc w:val="center"/>
              <w:ind w:right="260"/>
              <w:spacing w:after="0" w:line="129" w:lineRule="exact"/>
              <w:rPr>
                <w:sz w:val="20"/>
                <w:szCs w:val="20"/>
                <w:color w:val="auto"/>
              </w:rPr>
            </w:pPr>
            <w:r>
              <w:rPr>
                <w:rFonts w:ascii="Arial" w:cs="Arial" w:eastAsia="Arial" w:hAnsi="Arial"/>
                <w:sz w:val="14"/>
                <w:szCs w:val="14"/>
                <w:b w:val="1"/>
                <w:bCs w:val="1"/>
                <w:color w:val="auto"/>
                <w:w w:val="84"/>
              </w:rPr>
              <w:t>Transfers out</w:t>
            </w:r>
          </w:p>
        </w:tc>
        <w:tc>
          <w:tcPr>
            <w:tcW w:w="60" w:type="dxa"/>
            <w:vAlign w:val="bottom"/>
          </w:tcPr>
          <w:p>
            <w:pPr>
              <w:spacing w:after="0"/>
              <w:rPr>
                <w:sz w:val="11"/>
                <w:szCs w:val="11"/>
                <w:color w:val="auto"/>
              </w:rPr>
            </w:pPr>
          </w:p>
        </w:tc>
        <w:tc>
          <w:tcPr>
            <w:tcW w:w="940" w:type="dxa"/>
            <w:vAlign w:val="bottom"/>
          </w:tcPr>
          <w:p>
            <w:pPr>
              <w:jc w:val="center"/>
              <w:ind w:right="12"/>
              <w:spacing w:after="0" w:line="129" w:lineRule="exact"/>
              <w:rPr>
                <w:sz w:val="20"/>
                <w:szCs w:val="20"/>
                <w:color w:val="auto"/>
              </w:rPr>
            </w:pPr>
            <w:r>
              <w:rPr>
                <w:rFonts w:ascii="Arial" w:cs="Arial" w:eastAsia="Arial" w:hAnsi="Arial"/>
                <w:sz w:val="14"/>
                <w:szCs w:val="14"/>
                <w:b w:val="1"/>
                <w:bCs w:val="1"/>
                <w:color w:val="auto"/>
                <w:w w:val="87"/>
              </w:rPr>
              <w:t>Transfers out</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Pr>
          <w:p>
            <w:pPr>
              <w:jc w:val="center"/>
              <w:ind w:right="32"/>
              <w:spacing w:after="0" w:line="129" w:lineRule="exact"/>
              <w:rPr>
                <w:sz w:val="20"/>
                <w:szCs w:val="20"/>
                <w:color w:val="auto"/>
              </w:rPr>
            </w:pPr>
            <w:r>
              <w:rPr>
                <w:rFonts w:ascii="Arial" w:cs="Arial" w:eastAsia="Arial" w:hAnsi="Arial"/>
                <w:sz w:val="14"/>
                <w:szCs w:val="14"/>
                <w:b w:val="1"/>
                <w:bCs w:val="1"/>
                <w:color w:val="auto"/>
                <w:w w:val="87"/>
              </w:rPr>
              <w:t>Transfers out</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7"/>
              </w:rPr>
              <w:t>of Level 1 into</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9"/>
              </w:rPr>
              <w:t>of Level 1 into</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of Level 2 into</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of Level 2 into</w:t>
            </w:r>
          </w:p>
        </w:tc>
        <w:tc>
          <w:tcPr>
            <w:tcW w:w="60" w:type="dxa"/>
            <w:vAlign w:val="bottom"/>
          </w:tcPr>
          <w:p>
            <w:pPr>
              <w:spacing w:after="0"/>
              <w:rPr>
                <w:sz w:val="12"/>
                <w:szCs w:val="12"/>
                <w:color w:val="auto"/>
              </w:rPr>
            </w:pPr>
          </w:p>
        </w:tc>
        <w:tc>
          <w:tcPr>
            <w:tcW w:w="94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7"/>
              </w:rPr>
              <w:t>of Level 3 into</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of Level 3 into</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8"/>
              </w:rPr>
              <w:t>Level 2</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4"/>
              </w:rPr>
              <w:t>Level 3</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4"/>
              </w:rPr>
              <w:t>Level 1</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Level 3</w:t>
            </w:r>
          </w:p>
        </w:tc>
        <w:tc>
          <w:tcPr>
            <w:tcW w:w="18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8"/>
              </w:rPr>
              <w:t>Level 1</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8"/>
              </w:rPr>
              <w:t>Level 2</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right"/>
              <w:ind w:right="3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1160" w:type="dxa"/>
            <w:vAlign w:val="bottom"/>
            <w:gridSpan w:val="3"/>
          </w:tcPr>
          <w:p>
            <w:pPr>
              <w:jc w:val="center"/>
              <w:ind w:right="672"/>
              <w:spacing w:after="0" w:line="142" w:lineRule="exact"/>
              <w:rPr>
                <w:sz w:val="20"/>
                <w:szCs w:val="20"/>
                <w:color w:val="auto"/>
              </w:rPr>
            </w:pPr>
            <w:r>
              <w:rPr>
                <w:rFonts w:ascii="Arial" w:cs="Arial" w:eastAsia="Arial" w:hAnsi="Arial"/>
                <w:sz w:val="14"/>
                <w:szCs w:val="14"/>
                <w:b w:val="1"/>
                <w:bCs w:val="1"/>
                <w:i w:val="1"/>
                <w:iCs w:val="1"/>
                <w:color w:val="auto"/>
                <w:w w:val="72"/>
              </w:rPr>
              <w:t>millions)</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0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00" w:type="dxa"/>
            <w:vAlign w:val="bottom"/>
          </w:tcPr>
          <w:p>
            <w:pPr>
              <w:spacing w:after="0" w:line="149" w:lineRule="exact"/>
              <w:rPr>
                <w:sz w:val="20"/>
                <w:szCs w:val="20"/>
                <w:color w:val="auto"/>
              </w:rPr>
            </w:pPr>
            <w:r>
              <w:rPr>
                <w:rFonts w:ascii="Arial" w:cs="Arial" w:eastAsia="Arial" w:hAnsi="Arial"/>
                <w:sz w:val="14"/>
                <w:szCs w:val="14"/>
                <w:color w:val="auto"/>
                <w:w w:val="95"/>
              </w:rPr>
              <w:t>Fixed maturities, available-for-sale:</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Corporate</w:t>
            </w:r>
          </w:p>
        </w:tc>
        <w:tc>
          <w:tcPr>
            <w:tcW w:w="24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240" w:type="dxa"/>
            <w:vAlign w:val="bottom"/>
            <w:gridSpan w:val="2"/>
            <w:shd w:val="clear" w:color="auto" w:fill="CCEEFF"/>
          </w:tcPr>
          <w:p>
            <w:pPr>
              <w:jc w:val="center"/>
              <w:ind w:left="112"/>
              <w:spacing w:after="0" w:line="149" w:lineRule="exact"/>
              <w:rPr>
                <w:sz w:val="20"/>
                <w:szCs w:val="20"/>
                <w:color w:val="auto"/>
              </w:rPr>
            </w:pPr>
            <w:r>
              <w:rPr>
                <w:rFonts w:ascii="Arial" w:cs="Arial" w:eastAsia="Arial" w:hAnsi="Arial"/>
                <w:sz w:val="14"/>
                <w:szCs w:val="14"/>
                <w:b w:val="1"/>
                <w:bCs w:val="1"/>
                <w:color w:val="auto"/>
                <w:w w:val="76"/>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105.3</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b w:val="1"/>
                <w:bCs w:val="1"/>
                <w:color w:val="auto"/>
                <w:w w:val="71"/>
              </w:rPr>
              <w:t>$</w:t>
            </w:r>
          </w:p>
        </w:tc>
        <w:tc>
          <w:tcPr>
            <w:tcW w:w="940" w:type="dxa"/>
            <w:vAlign w:val="bottom"/>
            <w:shd w:val="clear" w:color="auto" w:fill="CCEEFF"/>
          </w:tcPr>
          <w:p>
            <w:pPr>
              <w:ind w:left="780"/>
              <w:spacing w:after="0" w:line="149" w:lineRule="exact"/>
              <w:rPr>
                <w:sz w:val="20"/>
                <w:szCs w:val="20"/>
                <w:color w:val="auto"/>
              </w:rPr>
            </w:pPr>
            <w:r>
              <w:rPr>
                <w:rFonts w:ascii="Arial" w:cs="Arial" w:eastAsia="Arial" w:hAnsi="Arial"/>
                <w:sz w:val="14"/>
                <w:szCs w:val="14"/>
                <w:b w:val="1"/>
                <w:bCs w:val="1"/>
                <w:color w:val="auto"/>
                <w:w w:val="99"/>
              </w:rPr>
              <w:t>—</w:t>
            </w:r>
          </w:p>
        </w:tc>
        <w:tc>
          <w:tcPr>
            <w:tcW w:w="24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83.9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00" w:type="dxa"/>
            <w:vAlign w:val="bottom"/>
          </w:tcPr>
          <w:p>
            <w:pPr>
              <w:ind w:left="140"/>
              <w:spacing w:after="0" w:line="138" w:lineRule="exact"/>
              <w:rPr>
                <w:sz w:val="20"/>
                <w:szCs w:val="20"/>
                <w:color w:val="auto"/>
              </w:rPr>
            </w:pPr>
            <w:r>
              <w:rPr>
                <w:rFonts w:ascii="Arial" w:cs="Arial" w:eastAsia="Arial" w:hAnsi="Arial"/>
                <w:sz w:val="14"/>
                <w:szCs w:val="14"/>
                <w:color w:val="auto"/>
              </w:rPr>
              <w:t>Commercial mortgage-backed</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2.4</w:t>
            </w: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vMerge w:val="restart"/>
          </w:tcPr>
          <w:p>
            <w:pPr>
              <w:ind w:left="780"/>
              <w:spacing w:after="0"/>
              <w:rPr>
                <w:sz w:val="20"/>
                <w:szCs w:val="20"/>
                <w:color w:val="auto"/>
              </w:rPr>
            </w:pPr>
            <w:r>
              <w:rPr>
                <w:rFonts w:ascii="Arial" w:cs="Arial" w:eastAsia="Arial" w:hAnsi="Arial"/>
                <w:sz w:val="14"/>
                <w:szCs w:val="14"/>
                <w:b w:val="1"/>
                <w:bCs w:val="1"/>
                <w:color w:val="auto"/>
                <w:w w:val="99"/>
              </w:rPr>
              <w:t>—</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80" w:type="dxa"/>
            <w:vAlign w:val="bottom"/>
            <w:gridSpan w:val="2"/>
            <w:vMerge w:val="restart"/>
          </w:tcPr>
          <w:p>
            <w:pPr>
              <w:jc w:val="right"/>
              <w:ind w:right="180"/>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00" w:type="dxa"/>
            <w:vAlign w:val="bottom"/>
          </w:tcPr>
          <w:p>
            <w:pPr>
              <w:ind w:left="280"/>
              <w:spacing w:after="0" w:line="159" w:lineRule="exact"/>
              <w:rPr>
                <w:sz w:val="20"/>
                <w:szCs w:val="20"/>
                <w:color w:val="auto"/>
              </w:rPr>
            </w:pPr>
            <w:r>
              <w:rPr>
                <w:rFonts w:ascii="Arial" w:cs="Arial" w:eastAsia="Arial" w:hAnsi="Arial"/>
                <w:sz w:val="14"/>
                <w:szCs w:val="14"/>
                <w:color w:val="auto"/>
              </w:rPr>
              <w:t>securities</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vMerge w:val="continue"/>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94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8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Collateralized debt obligations</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31.7</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shd w:val="clear" w:color="auto" w:fill="CCEEFF"/>
          </w:tcPr>
          <w:p>
            <w:pPr>
              <w:ind w:left="780"/>
              <w:spacing w:after="0" w:line="149" w:lineRule="exact"/>
              <w:rPr>
                <w:sz w:val="20"/>
                <w:szCs w:val="20"/>
                <w:color w:val="auto"/>
              </w:rPr>
            </w:pPr>
            <w:r>
              <w:rPr>
                <w:rFonts w:ascii="Arial" w:cs="Arial" w:eastAsia="Arial" w:hAnsi="Arial"/>
                <w:sz w:val="14"/>
                <w:szCs w:val="14"/>
                <w:b w:val="1"/>
                <w:bCs w:val="1"/>
                <w:color w:val="auto"/>
                <w:w w:val="99"/>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24.8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00" w:type="dxa"/>
            <w:vAlign w:val="bottom"/>
          </w:tcPr>
          <w:p>
            <w:pPr>
              <w:ind w:left="140"/>
              <w:spacing w:after="0" w:line="149" w:lineRule="exact"/>
              <w:rPr>
                <w:sz w:val="20"/>
                <w:szCs w:val="20"/>
                <w:color w:val="auto"/>
              </w:rPr>
            </w:pPr>
            <w:r>
              <w:rPr>
                <w:rFonts w:ascii="Arial" w:cs="Arial" w:eastAsia="Arial" w:hAnsi="Arial"/>
                <w:sz w:val="14"/>
                <w:szCs w:val="14"/>
                <w:color w:val="auto"/>
              </w:rPr>
              <w:t>Other debt obligations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32.0</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40" w:type="dxa"/>
            <w:vAlign w:val="bottom"/>
          </w:tcPr>
          <w:p>
            <w:pPr>
              <w:ind w:left="780"/>
              <w:spacing w:after="0" w:line="149" w:lineRule="exact"/>
              <w:rPr>
                <w:sz w:val="20"/>
                <w:szCs w:val="20"/>
                <w:color w:val="auto"/>
              </w:rPr>
            </w:pPr>
            <w:r>
              <w:rPr>
                <w:rFonts w:ascii="Arial" w:cs="Arial" w:eastAsia="Arial" w:hAnsi="Arial"/>
                <w:sz w:val="14"/>
                <w:szCs w:val="14"/>
                <w:b w:val="1"/>
                <w:bCs w:val="1"/>
                <w:color w:val="auto"/>
                <w:w w:val="99"/>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gridSpan w:val="2"/>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2100" w:type="dxa"/>
            <w:vAlign w:val="bottom"/>
            <w:shd w:val="clear" w:color="auto" w:fill="CCEEFF"/>
          </w:tcPr>
          <w:p>
            <w:pPr>
              <w:spacing w:after="0" w:line="131" w:lineRule="exact"/>
              <w:rPr>
                <w:sz w:val="20"/>
                <w:szCs w:val="20"/>
                <w:color w:val="auto"/>
              </w:rPr>
            </w:pPr>
            <w:r>
              <w:rPr>
                <w:rFonts w:ascii="Arial" w:cs="Arial" w:eastAsia="Arial" w:hAnsi="Arial"/>
                <w:sz w:val="14"/>
                <w:szCs w:val="14"/>
                <w:color w:val="auto"/>
                <w:w w:val="95"/>
              </w:rPr>
              <w:t>Total fixed maturities, available-for-</w:t>
            </w: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92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92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92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92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171.4</w:t>
            </w:r>
          </w:p>
        </w:tc>
        <w:tc>
          <w:tcPr>
            <w:tcW w:w="180" w:type="dxa"/>
            <w:vAlign w:val="bottom"/>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940" w:type="dxa"/>
            <w:vAlign w:val="bottom"/>
            <w:tcBorders>
              <w:top w:val="single" w:sz="8" w:color="auto"/>
            </w:tcBorders>
            <w:vMerge w:val="restart"/>
            <w:shd w:val="clear" w:color="auto" w:fill="CCEEFF"/>
          </w:tcPr>
          <w:p>
            <w:pPr>
              <w:ind w:left="780"/>
              <w:spacing w:after="0"/>
              <w:rPr>
                <w:sz w:val="20"/>
                <w:szCs w:val="20"/>
                <w:color w:val="auto"/>
              </w:rPr>
            </w:pPr>
            <w:r>
              <w:rPr>
                <w:rFonts w:ascii="Arial" w:cs="Arial" w:eastAsia="Arial" w:hAnsi="Arial"/>
                <w:sz w:val="14"/>
                <w:szCs w:val="14"/>
                <w:b w:val="1"/>
                <w:bCs w:val="1"/>
                <w:color w:val="auto"/>
                <w:w w:val="99"/>
              </w:rPr>
              <w:t>—</w:t>
            </w: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92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108.7</w:t>
            </w: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0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sale</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20" w:type="dxa"/>
            <w:vAlign w:val="bottom"/>
            <w:vMerge w:val="continue"/>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20" w:type="dxa"/>
            <w:vAlign w:val="bottom"/>
            <w:vMerge w:val="continue"/>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20" w:type="dxa"/>
            <w:vAlign w:val="bottom"/>
            <w:vMerge w:val="continue"/>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20" w:type="dxa"/>
            <w:vAlign w:val="bottom"/>
            <w:vMerge w:val="continue"/>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940" w:type="dxa"/>
            <w:vAlign w:val="bottom"/>
            <w:vMerge w:val="continue"/>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20" w:type="dxa"/>
            <w:vAlign w:val="bottom"/>
            <w:vMerge w:val="continue"/>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100" w:type="dxa"/>
            <w:vAlign w:val="bottom"/>
          </w:tcPr>
          <w:p>
            <w:pPr>
              <w:spacing w:after="0"/>
              <w:rPr>
                <w:sz w:val="20"/>
                <w:szCs w:val="20"/>
                <w:color w:val="auto"/>
              </w:rPr>
            </w:pPr>
            <w:r>
              <w:rPr>
                <w:rFonts w:ascii="Arial" w:cs="Arial" w:eastAsia="Arial" w:hAnsi="Arial"/>
                <w:sz w:val="14"/>
                <w:szCs w:val="14"/>
                <w:color w:val="auto"/>
              </w:rPr>
              <w:t>Separate account assets</w:t>
            </w: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b w:val="1"/>
                <w:bCs w:val="1"/>
                <w:color w:val="auto"/>
              </w:rPr>
              <w:t>253.9</w:t>
            </w: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b w:val="1"/>
                <w:bCs w:val="1"/>
                <w:color w:val="auto"/>
              </w:rPr>
              <w:t>0.1</w:t>
            </w: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b w:val="1"/>
                <w:bCs w:val="1"/>
                <w:color w:val="auto"/>
              </w:rPr>
              <w:t>15.5</w:t>
            </w: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b w:val="1"/>
                <w:bCs w:val="1"/>
                <w:color w:val="auto"/>
              </w:rPr>
              <w:t>12.6</w:t>
            </w:r>
          </w:p>
        </w:tc>
        <w:tc>
          <w:tcPr>
            <w:tcW w:w="1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940" w:type="dxa"/>
            <w:vAlign w:val="bottom"/>
          </w:tcPr>
          <w:p>
            <w:pPr>
              <w:ind w:left="780"/>
              <w:spacing w:after="0"/>
              <w:rPr>
                <w:sz w:val="20"/>
                <w:szCs w:val="20"/>
                <w:color w:val="auto"/>
              </w:rPr>
            </w:pPr>
            <w:r>
              <w:rPr>
                <w:rFonts w:ascii="Arial" w:cs="Arial" w:eastAsia="Arial" w:hAnsi="Arial"/>
                <w:sz w:val="14"/>
                <w:szCs w:val="14"/>
                <w:b w:val="1"/>
                <w:bCs w:val="1"/>
                <w:color w:val="auto"/>
                <w:w w:val="99"/>
              </w:rPr>
              <w:t>—</w:t>
            </w: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b w:val="1"/>
                <w:bCs w:val="1"/>
                <w:color w:val="auto"/>
              </w:rPr>
              <w:t>6.5</w:t>
            </w: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771"/>
        </w:trPr>
        <w:tc>
          <w:tcPr>
            <w:tcW w:w="2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2500" w:type="dxa"/>
            <w:vAlign w:val="bottom"/>
            <w:tcBorders>
              <w:bottom w:val="single" w:sz="8" w:color="auto"/>
            </w:tcBorders>
            <w:gridSpan w:val="7"/>
          </w:tcPr>
          <w:p>
            <w:pPr>
              <w:jc w:val="right"/>
              <w:ind w:right="160"/>
              <w:spacing w:after="0"/>
              <w:rPr>
                <w:sz w:val="20"/>
                <w:szCs w:val="20"/>
                <w:color w:val="auto"/>
              </w:rPr>
            </w:pPr>
            <w:r>
              <w:rPr>
                <w:rFonts w:ascii="Arial" w:cs="Arial" w:eastAsia="Arial" w:hAnsi="Arial"/>
                <w:sz w:val="14"/>
                <w:szCs w:val="14"/>
                <w:b w:val="1"/>
                <w:bCs w:val="1"/>
                <w:color w:val="auto"/>
                <w:w w:val="90"/>
              </w:rPr>
              <w:t>For the year ended December 31, 2012</w:t>
            </w:r>
          </w:p>
        </w:tc>
        <w:tc>
          <w:tcPr>
            <w:tcW w:w="6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Pr>
          <w:p>
            <w:pPr>
              <w:jc w:val="center"/>
              <w:ind w:right="12"/>
              <w:spacing w:after="0" w:line="129" w:lineRule="exact"/>
              <w:rPr>
                <w:sz w:val="20"/>
                <w:szCs w:val="20"/>
                <w:color w:val="auto"/>
              </w:rPr>
            </w:pPr>
            <w:r>
              <w:rPr>
                <w:rFonts w:ascii="Arial" w:cs="Arial" w:eastAsia="Arial" w:hAnsi="Arial"/>
                <w:sz w:val="14"/>
                <w:szCs w:val="14"/>
                <w:b w:val="1"/>
                <w:bCs w:val="1"/>
                <w:color w:val="auto"/>
                <w:w w:val="84"/>
              </w:rPr>
              <w:t>Transfers out</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Pr>
          <w:p>
            <w:pPr>
              <w:jc w:val="center"/>
              <w:ind w:right="12"/>
              <w:spacing w:after="0" w:line="129" w:lineRule="exact"/>
              <w:rPr>
                <w:sz w:val="20"/>
                <w:szCs w:val="20"/>
                <w:color w:val="auto"/>
              </w:rPr>
            </w:pPr>
            <w:r>
              <w:rPr>
                <w:rFonts w:ascii="Arial" w:cs="Arial" w:eastAsia="Arial" w:hAnsi="Arial"/>
                <w:sz w:val="14"/>
                <w:szCs w:val="14"/>
                <w:b w:val="1"/>
                <w:bCs w:val="1"/>
                <w:color w:val="auto"/>
                <w:w w:val="84"/>
              </w:rPr>
              <w:t>Transfers out</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Pr>
          <w:p>
            <w:pPr>
              <w:jc w:val="center"/>
              <w:ind w:right="12"/>
              <w:spacing w:after="0" w:line="129" w:lineRule="exact"/>
              <w:rPr>
                <w:sz w:val="20"/>
                <w:szCs w:val="20"/>
                <w:color w:val="auto"/>
              </w:rPr>
            </w:pPr>
            <w:r>
              <w:rPr>
                <w:rFonts w:ascii="Arial" w:cs="Arial" w:eastAsia="Arial" w:hAnsi="Arial"/>
                <w:sz w:val="14"/>
                <w:szCs w:val="14"/>
                <w:b w:val="1"/>
                <w:bCs w:val="1"/>
                <w:color w:val="auto"/>
                <w:w w:val="84"/>
              </w:rPr>
              <w:t>Transfers out</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00" w:type="dxa"/>
            <w:vAlign w:val="bottom"/>
            <w:gridSpan w:val="2"/>
          </w:tcPr>
          <w:p>
            <w:pPr>
              <w:jc w:val="center"/>
              <w:ind w:right="260"/>
              <w:spacing w:after="0" w:line="129" w:lineRule="exact"/>
              <w:rPr>
                <w:sz w:val="20"/>
                <w:szCs w:val="20"/>
                <w:color w:val="auto"/>
              </w:rPr>
            </w:pPr>
            <w:r>
              <w:rPr>
                <w:rFonts w:ascii="Arial" w:cs="Arial" w:eastAsia="Arial" w:hAnsi="Arial"/>
                <w:sz w:val="14"/>
                <w:szCs w:val="14"/>
                <w:b w:val="1"/>
                <w:bCs w:val="1"/>
                <w:color w:val="auto"/>
                <w:w w:val="84"/>
              </w:rPr>
              <w:t>Transfers out</w:t>
            </w:r>
          </w:p>
        </w:tc>
        <w:tc>
          <w:tcPr>
            <w:tcW w:w="60" w:type="dxa"/>
            <w:vAlign w:val="bottom"/>
          </w:tcPr>
          <w:p>
            <w:pPr>
              <w:spacing w:after="0"/>
              <w:rPr>
                <w:sz w:val="11"/>
                <w:szCs w:val="11"/>
                <w:color w:val="auto"/>
              </w:rPr>
            </w:pPr>
          </w:p>
        </w:tc>
        <w:tc>
          <w:tcPr>
            <w:tcW w:w="940" w:type="dxa"/>
            <w:vAlign w:val="bottom"/>
          </w:tcPr>
          <w:p>
            <w:pPr>
              <w:jc w:val="center"/>
              <w:ind w:right="12"/>
              <w:spacing w:after="0" w:line="129" w:lineRule="exact"/>
              <w:rPr>
                <w:sz w:val="20"/>
                <w:szCs w:val="20"/>
                <w:color w:val="auto"/>
              </w:rPr>
            </w:pPr>
            <w:r>
              <w:rPr>
                <w:rFonts w:ascii="Arial" w:cs="Arial" w:eastAsia="Arial" w:hAnsi="Arial"/>
                <w:sz w:val="14"/>
                <w:szCs w:val="14"/>
                <w:b w:val="1"/>
                <w:bCs w:val="1"/>
                <w:color w:val="auto"/>
                <w:w w:val="87"/>
              </w:rPr>
              <w:t>Transfers out</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Pr>
          <w:p>
            <w:pPr>
              <w:jc w:val="center"/>
              <w:ind w:right="32"/>
              <w:spacing w:after="0" w:line="129" w:lineRule="exact"/>
              <w:rPr>
                <w:sz w:val="20"/>
                <w:szCs w:val="20"/>
                <w:color w:val="auto"/>
              </w:rPr>
            </w:pPr>
            <w:r>
              <w:rPr>
                <w:rFonts w:ascii="Arial" w:cs="Arial" w:eastAsia="Arial" w:hAnsi="Arial"/>
                <w:sz w:val="14"/>
                <w:szCs w:val="14"/>
                <w:b w:val="1"/>
                <w:bCs w:val="1"/>
                <w:color w:val="auto"/>
                <w:w w:val="87"/>
              </w:rPr>
              <w:t>Transfers out</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7"/>
              </w:rPr>
              <w:t>of Level 1 into</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9"/>
              </w:rPr>
              <w:t>of Level 1 into</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of Level 2 into</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of Level 2 into</w:t>
            </w:r>
          </w:p>
        </w:tc>
        <w:tc>
          <w:tcPr>
            <w:tcW w:w="60" w:type="dxa"/>
            <w:vAlign w:val="bottom"/>
          </w:tcPr>
          <w:p>
            <w:pPr>
              <w:spacing w:after="0"/>
              <w:rPr>
                <w:sz w:val="12"/>
                <w:szCs w:val="12"/>
                <w:color w:val="auto"/>
              </w:rPr>
            </w:pPr>
          </w:p>
        </w:tc>
        <w:tc>
          <w:tcPr>
            <w:tcW w:w="94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7"/>
              </w:rPr>
              <w:t>of Level 3 into</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of Level 3 into</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8"/>
              </w:rPr>
              <w:t>Level 2</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4"/>
              </w:rPr>
              <w:t>Level 3</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4"/>
              </w:rPr>
              <w:t>Level 1</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Level 3</w:t>
            </w:r>
          </w:p>
        </w:tc>
        <w:tc>
          <w:tcPr>
            <w:tcW w:w="18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8"/>
              </w:rPr>
              <w:t>Level 1</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8"/>
              </w:rPr>
              <w:t>Level 2</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right"/>
              <w:ind w:right="3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1160" w:type="dxa"/>
            <w:vAlign w:val="bottom"/>
            <w:gridSpan w:val="3"/>
          </w:tcPr>
          <w:p>
            <w:pPr>
              <w:jc w:val="center"/>
              <w:ind w:right="672"/>
              <w:spacing w:after="0" w:line="142" w:lineRule="exact"/>
              <w:rPr>
                <w:sz w:val="20"/>
                <w:szCs w:val="20"/>
                <w:color w:val="auto"/>
              </w:rPr>
            </w:pPr>
            <w:r>
              <w:rPr>
                <w:rFonts w:ascii="Arial" w:cs="Arial" w:eastAsia="Arial" w:hAnsi="Arial"/>
                <w:sz w:val="14"/>
                <w:szCs w:val="14"/>
                <w:b w:val="1"/>
                <w:bCs w:val="1"/>
                <w:i w:val="1"/>
                <w:iCs w:val="1"/>
                <w:color w:val="auto"/>
                <w:w w:val="72"/>
              </w:rPr>
              <w:t>millions)</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0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00" w:type="dxa"/>
            <w:vAlign w:val="bottom"/>
          </w:tcPr>
          <w:p>
            <w:pPr>
              <w:spacing w:after="0" w:line="149" w:lineRule="exact"/>
              <w:rPr>
                <w:sz w:val="20"/>
                <w:szCs w:val="20"/>
                <w:color w:val="auto"/>
              </w:rPr>
            </w:pPr>
            <w:r>
              <w:rPr>
                <w:rFonts w:ascii="Arial" w:cs="Arial" w:eastAsia="Arial" w:hAnsi="Arial"/>
                <w:sz w:val="14"/>
                <w:szCs w:val="14"/>
                <w:color w:val="auto"/>
                <w:w w:val="95"/>
              </w:rPr>
              <w:t>Fixed maturities, available-for-sale:</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Non-U.S. governments</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gridSpan w:val="2"/>
            <w:shd w:val="clear" w:color="auto" w:fill="CCEEFF"/>
          </w:tcPr>
          <w:p>
            <w:pPr>
              <w:jc w:val="center"/>
              <w:ind w:left="112"/>
              <w:spacing w:after="0" w:line="149" w:lineRule="exact"/>
              <w:rPr>
                <w:sz w:val="20"/>
                <w:szCs w:val="20"/>
                <w:color w:val="auto"/>
              </w:rPr>
            </w:pPr>
            <w:r>
              <w:rPr>
                <w:rFonts w:ascii="Arial" w:cs="Arial" w:eastAsia="Arial" w:hAnsi="Arial"/>
                <w:sz w:val="14"/>
                <w:szCs w:val="14"/>
                <w:color w:val="auto"/>
                <w:w w:val="76"/>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14.5</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940" w:type="dxa"/>
            <w:vAlign w:val="bottom"/>
            <w:shd w:val="clear" w:color="auto" w:fill="CCEEFF"/>
          </w:tcPr>
          <w:p>
            <w:pPr>
              <w:ind w:left="780"/>
              <w:spacing w:after="0" w:line="149" w:lineRule="exact"/>
              <w:rPr>
                <w:sz w:val="20"/>
                <w:szCs w:val="20"/>
                <w:color w:val="auto"/>
              </w:rPr>
            </w:pPr>
            <w:r>
              <w:rPr>
                <w:rFonts w:ascii="Arial" w:cs="Arial" w:eastAsia="Arial" w:hAnsi="Arial"/>
                <w:sz w:val="14"/>
                <w:szCs w:val="14"/>
                <w:color w:val="auto"/>
                <w:w w:val="99"/>
              </w:rPr>
              <w:t>—</w:t>
            </w:r>
          </w:p>
        </w:tc>
        <w:tc>
          <w:tcPr>
            <w:tcW w:w="24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00" w:type="dxa"/>
            <w:vAlign w:val="bottom"/>
          </w:tcPr>
          <w:p>
            <w:pPr>
              <w:ind w:left="140"/>
              <w:spacing w:after="0" w:line="149" w:lineRule="exact"/>
              <w:rPr>
                <w:sz w:val="20"/>
                <w:szCs w:val="20"/>
                <w:color w:val="auto"/>
              </w:rPr>
            </w:pPr>
            <w:r>
              <w:rPr>
                <w:rFonts w:ascii="Arial" w:cs="Arial" w:eastAsia="Arial" w:hAnsi="Arial"/>
                <w:sz w:val="14"/>
                <w:szCs w:val="14"/>
                <w:color w:val="auto"/>
                <w:w w:val="98"/>
              </w:rPr>
              <w:t>States and political subdivisions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1.8</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40" w:type="dxa"/>
            <w:vAlign w:val="bottom"/>
          </w:tcPr>
          <w:p>
            <w:pPr>
              <w:ind w:left="780"/>
              <w:spacing w:after="0" w:line="149" w:lineRule="exact"/>
              <w:rPr>
                <w:sz w:val="20"/>
                <w:szCs w:val="20"/>
                <w:color w:val="auto"/>
              </w:rPr>
            </w:pPr>
            <w:r>
              <w:rPr>
                <w:rFonts w:ascii="Arial" w:cs="Arial" w:eastAsia="Arial" w:hAnsi="Arial"/>
                <w:sz w:val="14"/>
                <w:szCs w:val="14"/>
                <w:color w:val="auto"/>
                <w:w w:val="99"/>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Corporate</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79.7</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shd w:val="clear" w:color="auto" w:fill="CCEEFF"/>
          </w:tcPr>
          <w:p>
            <w:pPr>
              <w:ind w:left="780"/>
              <w:spacing w:after="0" w:line="149" w:lineRule="exact"/>
              <w:rPr>
                <w:sz w:val="20"/>
                <w:szCs w:val="20"/>
                <w:color w:val="auto"/>
              </w:rPr>
            </w:pPr>
            <w:r>
              <w:rPr>
                <w:rFonts w:ascii="Arial" w:cs="Arial" w:eastAsia="Arial" w:hAnsi="Arial"/>
                <w:sz w:val="14"/>
                <w:szCs w:val="14"/>
                <w:color w:val="auto"/>
                <w:w w:val="99"/>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137.4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00" w:type="dxa"/>
            <w:vAlign w:val="bottom"/>
          </w:tcPr>
          <w:p>
            <w:pPr>
              <w:ind w:left="140"/>
              <w:spacing w:after="0" w:line="149" w:lineRule="exact"/>
              <w:rPr>
                <w:sz w:val="20"/>
                <w:szCs w:val="20"/>
                <w:color w:val="auto"/>
              </w:rPr>
            </w:pPr>
            <w:r>
              <w:rPr>
                <w:rFonts w:ascii="Arial" w:cs="Arial" w:eastAsia="Arial" w:hAnsi="Arial"/>
                <w:sz w:val="14"/>
                <w:szCs w:val="14"/>
                <w:color w:val="auto"/>
              </w:rPr>
              <w:t>Collateralized debt obligations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0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940" w:type="dxa"/>
            <w:vAlign w:val="bottom"/>
          </w:tcPr>
          <w:p>
            <w:pPr>
              <w:ind w:left="780"/>
              <w:spacing w:after="0" w:line="149" w:lineRule="exact"/>
              <w:rPr>
                <w:sz w:val="20"/>
                <w:szCs w:val="20"/>
                <w:color w:val="auto"/>
              </w:rPr>
            </w:pPr>
            <w:r>
              <w:rPr>
                <w:rFonts w:ascii="Arial" w:cs="Arial" w:eastAsia="Arial" w:hAnsi="Arial"/>
                <w:sz w:val="14"/>
                <w:szCs w:val="14"/>
                <w:color w:val="auto"/>
                <w:w w:val="99"/>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31.2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Other debt obligations</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15.3</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shd w:val="clear" w:color="auto" w:fill="CCEEFF"/>
          </w:tcPr>
          <w:p>
            <w:pPr>
              <w:ind w:left="780"/>
              <w:spacing w:after="0" w:line="149" w:lineRule="exact"/>
              <w:rPr>
                <w:sz w:val="20"/>
                <w:szCs w:val="20"/>
                <w:color w:val="auto"/>
              </w:rPr>
            </w:pPr>
            <w:r>
              <w:rPr>
                <w:rFonts w:ascii="Arial" w:cs="Arial" w:eastAsia="Arial" w:hAnsi="Arial"/>
                <w:sz w:val="14"/>
                <w:szCs w:val="14"/>
                <w:color w:val="auto"/>
                <w:w w:val="99"/>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1"/>
        </w:trPr>
        <w:tc>
          <w:tcPr>
            <w:tcW w:w="2120" w:type="dxa"/>
            <w:vAlign w:val="bottom"/>
            <w:gridSpan w:val="2"/>
          </w:tcPr>
          <w:p>
            <w:pPr>
              <w:spacing w:after="0" w:line="131" w:lineRule="exact"/>
              <w:rPr>
                <w:sz w:val="20"/>
                <w:szCs w:val="20"/>
                <w:color w:val="auto"/>
              </w:rPr>
            </w:pPr>
            <w:r>
              <w:rPr>
                <w:rFonts w:ascii="Arial" w:cs="Arial" w:eastAsia="Arial" w:hAnsi="Arial"/>
                <w:sz w:val="14"/>
                <w:szCs w:val="14"/>
                <w:color w:val="auto"/>
                <w:w w:val="96"/>
              </w:rPr>
              <w:t>Total fixed maturities, available-for-</w:t>
            </w:r>
          </w:p>
        </w:tc>
        <w:tc>
          <w:tcPr>
            <w:tcW w:w="1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00" w:type="dxa"/>
            <w:vAlign w:val="bottom"/>
          </w:tcPr>
          <w:p>
            <w:pPr>
              <w:ind w:left="140"/>
              <w:spacing w:after="0" w:line="159" w:lineRule="exact"/>
              <w:rPr>
                <w:sz w:val="20"/>
                <w:szCs w:val="20"/>
                <w:color w:val="auto"/>
              </w:rPr>
            </w:pPr>
            <w:r>
              <w:rPr>
                <w:rFonts w:ascii="Arial" w:cs="Arial" w:eastAsia="Arial" w:hAnsi="Arial"/>
                <w:sz w:val="14"/>
                <w:szCs w:val="14"/>
                <w:color w:val="auto"/>
              </w:rPr>
              <w:t>sale</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tcPr>
          <w:p>
            <w:pPr>
              <w:jc w:val="right"/>
              <w:spacing w:after="0" w:line="159" w:lineRule="exact"/>
              <w:rPr>
                <w:sz w:val="20"/>
                <w:szCs w:val="20"/>
                <w:color w:val="auto"/>
              </w:rPr>
            </w:pPr>
            <w:r>
              <w:rPr>
                <w:rFonts w:ascii="Arial" w:cs="Arial" w:eastAsia="Arial" w:hAnsi="Arial"/>
                <w:sz w:val="14"/>
                <w:szCs w:val="14"/>
                <w:color w:val="auto"/>
              </w:rPr>
              <w:t>111.3</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940" w:type="dxa"/>
            <w:vAlign w:val="bottom"/>
          </w:tcPr>
          <w:p>
            <w:pPr>
              <w:ind w:left="780"/>
              <w:spacing w:after="0" w:line="159" w:lineRule="exact"/>
              <w:rPr>
                <w:sz w:val="20"/>
                <w:szCs w:val="20"/>
                <w:color w:val="auto"/>
              </w:rPr>
            </w:pPr>
            <w:r>
              <w:rPr>
                <w:rFonts w:ascii="Arial" w:cs="Arial" w:eastAsia="Arial" w:hAnsi="Arial"/>
                <w:sz w:val="14"/>
                <w:szCs w:val="14"/>
                <w:color w:val="auto"/>
                <w:w w:val="99"/>
              </w:rPr>
              <w:t>—</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tcPr>
          <w:p>
            <w:pPr>
              <w:jc w:val="right"/>
              <w:spacing w:after="0" w:line="159" w:lineRule="exact"/>
              <w:rPr>
                <w:sz w:val="20"/>
                <w:szCs w:val="20"/>
                <w:color w:val="auto"/>
              </w:rPr>
            </w:pPr>
            <w:r>
              <w:rPr>
                <w:rFonts w:ascii="Arial" w:cs="Arial" w:eastAsia="Arial" w:hAnsi="Arial"/>
                <w:sz w:val="14"/>
                <w:szCs w:val="14"/>
                <w:color w:val="auto"/>
              </w:rPr>
              <w:t>168.6</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maturities, trading</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9.5</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shd w:val="clear" w:color="auto" w:fill="CCEEFF"/>
          </w:tcPr>
          <w:p>
            <w:pPr>
              <w:ind w:left="780"/>
              <w:spacing w:after="0" w:line="149" w:lineRule="exact"/>
              <w:rPr>
                <w:sz w:val="20"/>
                <w:szCs w:val="20"/>
                <w:color w:val="auto"/>
              </w:rPr>
            </w:pPr>
            <w:r>
              <w:rPr>
                <w:rFonts w:ascii="Arial" w:cs="Arial" w:eastAsia="Arial" w:hAnsi="Arial"/>
                <w:sz w:val="14"/>
                <w:szCs w:val="14"/>
                <w:color w:val="auto"/>
                <w:w w:val="99"/>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100" w:type="dxa"/>
            <w:vAlign w:val="bottom"/>
          </w:tcPr>
          <w:p>
            <w:pPr>
              <w:spacing w:after="0"/>
              <w:rPr>
                <w:sz w:val="20"/>
                <w:szCs w:val="20"/>
                <w:color w:val="auto"/>
              </w:rPr>
            </w:pPr>
            <w:r>
              <w:rPr>
                <w:rFonts w:ascii="Arial" w:cs="Arial" w:eastAsia="Arial" w:hAnsi="Arial"/>
                <w:sz w:val="14"/>
                <w:szCs w:val="14"/>
                <w:color w:val="auto"/>
              </w:rPr>
              <w:t>Separate account assets</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3,255.7</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0.3</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205.5</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1.3</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40" w:type="dxa"/>
            <w:vAlign w:val="bottom"/>
          </w:tcPr>
          <w:p>
            <w:pPr>
              <w:ind w:left="780"/>
              <w:spacing w:after="0"/>
              <w:rPr>
                <w:sz w:val="20"/>
                <w:szCs w:val="20"/>
                <w:color w:val="auto"/>
              </w:rPr>
            </w:pPr>
            <w:r>
              <w:rPr>
                <w:rFonts w:ascii="Arial" w:cs="Arial" w:eastAsia="Arial" w:hAnsi="Arial"/>
                <w:sz w:val="14"/>
                <w:szCs w:val="14"/>
                <w:color w:val="auto"/>
                <w:w w:val="99"/>
              </w:rPr>
              <w:t>—</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1.9</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18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Transfers between fair value hierarchy levels are recognized at the beginning of the reporting period.</w:t>
      </w:r>
    </w:p>
    <w:p>
      <w:pPr>
        <w:spacing w:after="0" w:line="225" w:lineRule="exact"/>
        <w:rPr>
          <w:sz w:val="20"/>
          <w:szCs w:val="20"/>
          <w:color w:val="auto"/>
        </w:rPr>
      </w:pPr>
    </w:p>
    <w:p>
      <w:pPr>
        <w:jc w:val="both"/>
        <w:ind w:firstLine="376"/>
        <w:spacing w:after="0" w:line="294" w:lineRule="auto"/>
        <w:rPr>
          <w:sz w:val="20"/>
          <w:szCs w:val="20"/>
          <w:color w:val="auto"/>
        </w:rPr>
      </w:pPr>
      <w:r>
        <w:rPr>
          <w:rFonts w:ascii="Arial" w:cs="Arial" w:eastAsia="Arial" w:hAnsi="Arial"/>
          <w:sz w:val="16"/>
          <w:szCs w:val="16"/>
          <w:color w:val="auto"/>
        </w:rPr>
        <w:t>We had significant transfers of separate account assets between Level 1 and Level 2, primarily related to foreign equity securities. When these securities are valued at the local close price of the exchange where the assets traded, they are reflected in Level 1. When events materially affecting the value occur between the close of the local exchange and the New York Stock Exchange, we use adjusted prices determined by a third party pricing vendor to update the foreign market closing prices and the fair value is reflected in Level 2. During 2011, $2,796.1 million of separate account assets transferred out of Level 2 into Level 1. During 2011, $3,595.9 million, of separate account assets transferred out of Level 1 into Level 2.</w:t>
      </w:r>
    </w:p>
    <w:p>
      <w:pPr>
        <w:spacing w:after="0" w:line="170" w:lineRule="exact"/>
        <w:rPr>
          <w:sz w:val="20"/>
          <w:szCs w:val="20"/>
          <w:color w:val="auto"/>
        </w:rPr>
      </w:pPr>
    </w:p>
    <w:p>
      <w:pPr>
        <w:jc w:val="both"/>
        <w:ind w:firstLine="345"/>
        <w:spacing w:after="0" w:line="259" w:lineRule="auto"/>
        <w:rPr>
          <w:sz w:val="20"/>
          <w:szCs w:val="20"/>
          <w:color w:val="auto"/>
        </w:rPr>
      </w:pPr>
      <w:r>
        <w:rPr>
          <w:rFonts w:ascii="Arial" w:cs="Arial" w:eastAsia="Arial" w:hAnsi="Arial"/>
          <w:sz w:val="18"/>
          <w:szCs w:val="18"/>
          <w:color w:val="auto"/>
        </w:rPr>
        <w:t>Assets transferred into Level 3 during 2013, 2012 and 2011, primarily included those assets for which we are now unable to obtain pricing from a recognized third party pricing vendor as well as assets that were previously priced using a matrix valuation approach that may no longer be relevant when applied to asset-specific situations.</w:t>
      </w:r>
    </w:p>
    <w:p>
      <w:pPr>
        <w:spacing w:after="0" w:line="194" w:lineRule="exact"/>
        <w:rPr>
          <w:sz w:val="20"/>
          <w:szCs w:val="20"/>
          <w:color w:val="auto"/>
        </w:rPr>
      </w:pPr>
    </w:p>
    <w:p>
      <w:pPr>
        <w:jc w:val="both"/>
        <w:ind w:right="20" w:firstLine="440"/>
        <w:spacing w:after="0" w:line="268" w:lineRule="auto"/>
        <w:rPr>
          <w:sz w:val="20"/>
          <w:szCs w:val="20"/>
          <w:color w:val="auto"/>
        </w:rPr>
      </w:pPr>
      <w:r>
        <w:rPr>
          <w:rFonts w:ascii="Arial" w:cs="Arial" w:eastAsia="Arial" w:hAnsi="Arial"/>
          <w:sz w:val="18"/>
          <w:szCs w:val="18"/>
          <w:color w:val="auto"/>
        </w:rPr>
        <w:t>Assets transferred out of Level 3 during 2013, 2012 and 2011, included those for which we are now able to obtain pricing from a recognized third party pricing vendor or from internal models using substantially all market observable information.</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74" w:name="page175"/>
    <w:bookmarkEnd w:id="17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Fair Value Measurements —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Quantitative Information about Level 3 Fair Value Measurements</w:t>
      </w:r>
    </w:p>
    <w:p>
      <w:pPr>
        <w:spacing w:after="0" w:line="231" w:lineRule="exact"/>
        <w:rPr>
          <w:sz w:val="20"/>
          <w:szCs w:val="20"/>
          <w:color w:val="auto"/>
        </w:rPr>
      </w:pPr>
    </w:p>
    <w:p>
      <w:pPr>
        <w:jc w:val="both"/>
        <w:ind w:firstLine="486"/>
        <w:spacing w:after="0" w:line="306" w:lineRule="auto"/>
        <w:rPr>
          <w:sz w:val="20"/>
          <w:szCs w:val="20"/>
          <w:color w:val="auto"/>
        </w:rPr>
      </w:pPr>
      <w:r>
        <w:rPr>
          <w:rFonts w:ascii="Arial" w:cs="Arial" w:eastAsia="Arial" w:hAnsi="Arial"/>
          <w:sz w:val="16"/>
          <w:szCs w:val="16"/>
          <w:color w:val="auto"/>
        </w:rPr>
        <w:t>The following table provides quantitative information about the significant unobservable inputs used for recurring fair value measurements categorized within Level 3, excluding assets and liabilities for which significant quantitative unobservable inputs are not developed internally, which primarily consists of those valued using broker quotes. Refer to "Assets and liabilities measured at fair value on a recurring basis" for a complete valuation hierarchy summary.</w:t>
      </w:r>
    </w:p>
    <w:p>
      <w:pPr>
        <w:spacing w:after="0" w:line="156"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tcPr>
          <w:p>
            <w:pPr>
              <w:spacing w:after="0"/>
              <w:rPr>
                <w:sz w:val="14"/>
                <w:szCs w:val="14"/>
                <w:color w:val="auto"/>
              </w:rPr>
            </w:pPr>
          </w:p>
        </w:tc>
        <w:tc>
          <w:tcPr>
            <w:tcW w:w="1820" w:type="dxa"/>
            <w:vAlign w:val="bottom"/>
            <w:tcBorders>
              <w:bottom w:val="single" w:sz="8" w:color="auto"/>
            </w:tcBorders>
            <w:gridSpan w:val="2"/>
          </w:tcPr>
          <w:p>
            <w:pPr>
              <w:ind w:left="140"/>
              <w:spacing w:after="0"/>
              <w:rPr>
                <w:sz w:val="20"/>
                <w:szCs w:val="20"/>
                <w:color w:val="auto"/>
              </w:rPr>
            </w:pPr>
            <w:r>
              <w:rPr>
                <w:rFonts w:ascii="Arial" w:cs="Arial" w:eastAsia="Arial" w:hAnsi="Arial"/>
                <w:sz w:val="14"/>
                <w:szCs w:val="14"/>
                <w:b w:val="1"/>
                <w:bCs w:val="1"/>
                <w:color w:val="auto"/>
              </w:rPr>
              <w:t>As of December 31, 2013</w:t>
            </w:r>
          </w:p>
        </w:tc>
        <w:tc>
          <w:tcPr>
            <w:tcW w:w="160" w:type="dxa"/>
            <w:vAlign w:val="bottom"/>
            <w:tcBorders>
              <w:bottom w:val="single" w:sz="8" w:color="auto"/>
            </w:tcBorders>
          </w:tcPr>
          <w:p>
            <w:pPr>
              <w:spacing w:after="0"/>
              <w:rPr>
                <w:sz w:val="14"/>
                <w:szCs w:val="14"/>
                <w:color w:val="auto"/>
              </w:rPr>
            </w:pPr>
          </w:p>
        </w:tc>
        <w:tc>
          <w:tcPr>
            <w:tcW w:w="16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jc w:val="center"/>
              <w:ind w:right="52"/>
              <w:spacing w:after="0" w:line="129" w:lineRule="exact"/>
              <w:rPr>
                <w:sz w:val="20"/>
                <w:szCs w:val="20"/>
                <w:color w:val="auto"/>
              </w:rPr>
            </w:pPr>
            <w:r>
              <w:rPr>
                <w:rFonts w:ascii="Arial" w:cs="Arial" w:eastAsia="Arial" w:hAnsi="Arial"/>
                <w:sz w:val="14"/>
                <w:szCs w:val="14"/>
                <w:b w:val="1"/>
                <w:bCs w:val="1"/>
                <w:color w:val="auto"/>
                <w:w w:val="78"/>
              </w:rPr>
              <w:t>Assets /</w:t>
            </w:r>
          </w:p>
        </w:tc>
        <w:tc>
          <w:tcPr>
            <w:tcW w:w="16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jc w:val="center"/>
              <w:ind w:right="52"/>
              <w:spacing w:after="0" w:line="149" w:lineRule="exact"/>
              <w:rPr>
                <w:sz w:val="20"/>
                <w:szCs w:val="20"/>
                <w:color w:val="auto"/>
              </w:rPr>
            </w:pPr>
            <w:r>
              <w:rPr>
                <w:rFonts w:ascii="Arial" w:cs="Arial" w:eastAsia="Arial" w:hAnsi="Arial"/>
                <w:sz w:val="14"/>
                <w:szCs w:val="14"/>
                <w:b w:val="1"/>
                <w:bCs w:val="1"/>
                <w:color w:val="auto"/>
                <w:w w:val="89"/>
              </w:rPr>
              <w:t>(liabilities)</w:t>
            </w:r>
          </w:p>
        </w:tc>
        <w:tc>
          <w:tcPr>
            <w:tcW w:w="16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jc w:val="center"/>
              <w:ind w:right="52"/>
              <w:spacing w:after="0" w:line="149" w:lineRule="exact"/>
              <w:rPr>
                <w:sz w:val="20"/>
                <w:szCs w:val="20"/>
                <w:color w:val="auto"/>
              </w:rPr>
            </w:pPr>
            <w:r>
              <w:rPr>
                <w:rFonts w:ascii="Arial" w:cs="Arial" w:eastAsia="Arial" w:hAnsi="Arial"/>
                <w:sz w:val="14"/>
                <w:szCs w:val="14"/>
                <w:b w:val="1"/>
                <w:bCs w:val="1"/>
                <w:color w:val="auto"/>
                <w:w w:val="84"/>
              </w:rPr>
              <w:t>measured at</w:t>
            </w:r>
          </w:p>
        </w:tc>
        <w:tc>
          <w:tcPr>
            <w:tcW w:w="160" w:type="dxa"/>
            <w:vAlign w:val="bottom"/>
          </w:tcPr>
          <w:p>
            <w:pPr>
              <w:spacing w:after="0"/>
              <w:rPr>
                <w:sz w:val="12"/>
                <w:szCs w:val="12"/>
                <w:color w:val="auto"/>
              </w:rPr>
            </w:pPr>
          </w:p>
        </w:tc>
        <w:tc>
          <w:tcPr>
            <w:tcW w:w="1640" w:type="dxa"/>
            <w:vAlign w:val="bottom"/>
          </w:tcPr>
          <w:p>
            <w:pPr>
              <w:jc w:val="right"/>
              <w:ind w:right="472"/>
              <w:spacing w:after="0" w:line="149" w:lineRule="exact"/>
              <w:rPr>
                <w:sz w:val="20"/>
                <w:szCs w:val="20"/>
                <w:color w:val="auto"/>
              </w:rPr>
            </w:pPr>
            <w:r>
              <w:rPr>
                <w:rFonts w:ascii="Arial" w:cs="Arial" w:eastAsia="Arial" w:hAnsi="Arial"/>
                <w:sz w:val="14"/>
                <w:szCs w:val="14"/>
                <w:b w:val="1"/>
                <w:bCs w:val="1"/>
                <w:color w:val="auto"/>
              </w:rPr>
              <w:t>Valuation</w:t>
            </w:r>
          </w:p>
        </w:tc>
        <w:tc>
          <w:tcPr>
            <w:tcW w:w="180" w:type="dxa"/>
            <w:vAlign w:val="bottom"/>
          </w:tcPr>
          <w:p>
            <w:pPr>
              <w:spacing w:after="0"/>
              <w:rPr>
                <w:sz w:val="12"/>
                <w:szCs w:val="12"/>
                <w:color w:val="auto"/>
              </w:rPr>
            </w:pPr>
          </w:p>
        </w:tc>
        <w:tc>
          <w:tcPr>
            <w:tcW w:w="1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Unobservable</w:t>
            </w:r>
          </w:p>
        </w:tc>
        <w:tc>
          <w:tcPr>
            <w:tcW w:w="160" w:type="dxa"/>
            <w:vAlign w:val="bottom"/>
          </w:tcPr>
          <w:p>
            <w:pPr>
              <w:spacing w:after="0"/>
              <w:rPr>
                <w:sz w:val="12"/>
                <w:szCs w:val="12"/>
                <w:color w:val="auto"/>
              </w:rPr>
            </w:pPr>
          </w:p>
        </w:tc>
        <w:tc>
          <w:tcPr>
            <w:tcW w:w="1660" w:type="dxa"/>
            <w:vAlign w:val="bottom"/>
          </w:tcPr>
          <w:p>
            <w:pPr>
              <w:jc w:val="right"/>
              <w:ind w:right="352"/>
              <w:spacing w:after="0" w:line="149" w:lineRule="exact"/>
              <w:rPr>
                <w:sz w:val="20"/>
                <w:szCs w:val="20"/>
                <w:color w:val="auto"/>
              </w:rPr>
            </w:pPr>
            <w:r>
              <w:rPr>
                <w:rFonts w:ascii="Arial" w:cs="Arial" w:eastAsia="Arial" w:hAnsi="Arial"/>
                <w:sz w:val="14"/>
                <w:szCs w:val="14"/>
                <w:b w:val="1"/>
                <w:bCs w:val="1"/>
                <w:color w:val="auto"/>
              </w:rPr>
              <w:t>Input/range of</w:t>
            </w:r>
          </w:p>
        </w:tc>
        <w:tc>
          <w:tcPr>
            <w:tcW w:w="180" w:type="dxa"/>
            <w:vAlign w:val="bottom"/>
          </w:tcPr>
          <w:p>
            <w:pPr>
              <w:spacing w:after="0"/>
              <w:rPr>
                <w:sz w:val="12"/>
                <w:szCs w:val="12"/>
                <w:color w:val="auto"/>
              </w:rPr>
            </w:pPr>
          </w:p>
        </w:tc>
        <w:tc>
          <w:tcPr>
            <w:tcW w:w="700" w:type="dxa"/>
            <w:vAlign w:val="bottom"/>
          </w:tcPr>
          <w:p>
            <w:pPr>
              <w:jc w:val="right"/>
              <w:ind w:right="12"/>
              <w:spacing w:after="0" w:line="149" w:lineRule="exact"/>
              <w:rPr>
                <w:sz w:val="20"/>
                <w:szCs w:val="20"/>
                <w:color w:val="auto"/>
              </w:rPr>
            </w:pPr>
            <w:r>
              <w:rPr>
                <w:rFonts w:ascii="Arial" w:cs="Arial" w:eastAsia="Arial" w:hAnsi="Arial"/>
                <w:sz w:val="14"/>
                <w:szCs w:val="14"/>
                <w:b w:val="1"/>
                <w:bCs w:val="1"/>
                <w:color w:val="auto"/>
                <w:w w:val="95"/>
              </w:rPr>
              <w:t>Weighted</w:t>
            </w:r>
          </w:p>
        </w:tc>
      </w:tr>
      <w:tr>
        <w:trPr>
          <w:trHeight w:val="161"/>
        </w:trPr>
        <w:tc>
          <w:tcPr>
            <w:tcW w:w="2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87"/>
              </w:rPr>
              <w:t>fair value</w:t>
            </w:r>
          </w:p>
        </w:tc>
        <w:tc>
          <w:tcPr>
            <w:tcW w:w="160" w:type="dxa"/>
            <w:vAlign w:val="bottom"/>
          </w:tcPr>
          <w:p>
            <w:pPr>
              <w:spacing w:after="0"/>
              <w:rPr>
                <w:sz w:val="14"/>
                <w:szCs w:val="14"/>
                <w:color w:val="auto"/>
              </w:rPr>
            </w:pPr>
          </w:p>
        </w:tc>
        <w:tc>
          <w:tcPr>
            <w:tcW w:w="164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technique(s)</w:t>
            </w:r>
          </w:p>
        </w:tc>
        <w:tc>
          <w:tcPr>
            <w:tcW w:w="180" w:type="dxa"/>
            <w:vAlign w:val="bottom"/>
          </w:tcPr>
          <w:p>
            <w:pPr>
              <w:spacing w:after="0"/>
              <w:rPr>
                <w:sz w:val="14"/>
                <w:szCs w:val="14"/>
                <w:color w:val="auto"/>
              </w:rPr>
            </w:pPr>
          </w:p>
        </w:tc>
        <w:tc>
          <w:tcPr>
            <w:tcW w:w="1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input description</w:t>
            </w:r>
          </w:p>
        </w:tc>
        <w:tc>
          <w:tcPr>
            <w:tcW w:w="160" w:type="dxa"/>
            <w:vAlign w:val="bottom"/>
          </w:tcPr>
          <w:p>
            <w:pPr>
              <w:spacing w:after="0"/>
              <w:rPr>
                <w:sz w:val="14"/>
                <w:szCs w:val="14"/>
                <w:color w:val="auto"/>
              </w:rPr>
            </w:pPr>
          </w:p>
        </w:tc>
        <w:tc>
          <w:tcPr>
            <w:tcW w:w="1660" w:type="dxa"/>
            <w:vAlign w:val="bottom"/>
            <w:tcBorders>
              <w:bottom w:val="single" w:sz="8" w:color="auto"/>
            </w:tcBorders>
          </w:tcPr>
          <w:p>
            <w:pPr>
              <w:jc w:val="right"/>
              <w:ind w:right="592"/>
              <w:spacing w:after="0"/>
              <w:rPr>
                <w:sz w:val="20"/>
                <w:szCs w:val="20"/>
                <w:color w:val="auto"/>
              </w:rPr>
            </w:pPr>
            <w:r>
              <w:rPr>
                <w:rFonts w:ascii="Arial" w:cs="Arial" w:eastAsia="Arial" w:hAnsi="Arial"/>
                <w:sz w:val="14"/>
                <w:szCs w:val="14"/>
                <w:b w:val="1"/>
                <w:bCs w:val="1"/>
                <w:color w:val="auto"/>
              </w:rPr>
              <w:t>inputs</w:t>
            </w:r>
          </w:p>
        </w:tc>
        <w:tc>
          <w:tcPr>
            <w:tcW w:w="180" w:type="dxa"/>
            <w:vAlign w:val="bottom"/>
          </w:tcPr>
          <w:p>
            <w:pPr>
              <w:spacing w:after="0"/>
              <w:rPr>
                <w:sz w:val="14"/>
                <w:szCs w:val="14"/>
                <w:color w:val="auto"/>
              </w:rPr>
            </w:pPr>
          </w:p>
        </w:tc>
        <w:tc>
          <w:tcPr>
            <w:tcW w:w="70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b w:val="1"/>
                <w:bCs w:val="1"/>
                <w:color w:val="auto"/>
              </w:rPr>
              <w:t>average</w:t>
            </w:r>
          </w:p>
        </w:tc>
      </w:tr>
      <w:tr>
        <w:trPr>
          <w:trHeight w:val="142"/>
        </w:trPr>
        <w:tc>
          <w:tcPr>
            <w:tcW w:w="2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jc w:val="center"/>
              <w:ind w:right="52"/>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16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180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10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r>
      <w:tr>
        <w:trPr>
          <w:trHeight w:val="138"/>
        </w:trPr>
        <w:tc>
          <w:tcPr>
            <w:tcW w:w="20" w:type="dxa"/>
            <w:vAlign w:val="bottom"/>
          </w:tcPr>
          <w:p>
            <w:pPr>
              <w:spacing w:after="0"/>
              <w:rPr>
                <w:sz w:val="11"/>
                <w:szCs w:val="11"/>
                <w:color w:val="auto"/>
              </w:rPr>
            </w:pPr>
          </w:p>
        </w:tc>
        <w:tc>
          <w:tcPr>
            <w:tcW w:w="1800" w:type="dxa"/>
            <w:vAlign w:val="bottom"/>
          </w:tcPr>
          <w:p>
            <w:pPr>
              <w:spacing w:after="0" w:line="138" w:lineRule="exact"/>
              <w:rPr>
                <w:sz w:val="20"/>
                <w:szCs w:val="20"/>
                <w:color w:val="auto"/>
              </w:rPr>
            </w:pPr>
            <w:r>
              <w:rPr>
                <w:rFonts w:ascii="Arial" w:cs="Arial" w:eastAsia="Arial" w:hAnsi="Arial"/>
                <w:sz w:val="14"/>
                <w:szCs w:val="14"/>
                <w:color w:val="auto"/>
              </w:rPr>
              <w:t>Fixed maturities, available-</w:t>
            </w: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59"/>
        </w:trPr>
        <w:tc>
          <w:tcPr>
            <w:tcW w:w="20" w:type="dxa"/>
            <w:vAlign w:val="bottom"/>
          </w:tcPr>
          <w:p>
            <w:pPr>
              <w:spacing w:after="0"/>
              <w:rPr>
                <w:sz w:val="13"/>
                <w:szCs w:val="13"/>
                <w:color w:val="auto"/>
              </w:rPr>
            </w:pPr>
          </w:p>
        </w:tc>
        <w:tc>
          <w:tcPr>
            <w:tcW w:w="1800" w:type="dxa"/>
            <w:vAlign w:val="bottom"/>
          </w:tcPr>
          <w:p>
            <w:pPr>
              <w:ind w:left="140"/>
              <w:spacing w:after="0" w:line="159" w:lineRule="exact"/>
              <w:rPr>
                <w:sz w:val="20"/>
                <w:szCs w:val="20"/>
                <w:color w:val="auto"/>
              </w:rPr>
            </w:pPr>
            <w:r>
              <w:rPr>
                <w:rFonts w:ascii="Arial" w:cs="Arial" w:eastAsia="Arial" w:hAnsi="Arial"/>
                <w:sz w:val="14"/>
                <w:szCs w:val="14"/>
                <w:color w:val="auto"/>
              </w:rPr>
              <w:t>for-sale:</w:t>
            </w: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00" w:type="dxa"/>
            <w:vAlign w:val="bottom"/>
          </w:tcPr>
          <w:p>
            <w:pPr>
              <w:spacing w:after="0"/>
              <w:rPr>
                <w:sz w:val="13"/>
                <w:szCs w:val="13"/>
                <w:color w:val="auto"/>
              </w:rPr>
            </w:pPr>
          </w:p>
        </w:tc>
      </w:tr>
      <w:tr>
        <w:trPr>
          <w:trHeight w:val="311"/>
        </w:trPr>
        <w:tc>
          <w:tcPr>
            <w:tcW w:w="20" w:type="dxa"/>
            <w:vAlign w:val="bottom"/>
          </w:tcPr>
          <w:p>
            <w:pPr>
              <w:spacing w:after="0"/>
              <w:rPr>
                <w:sz w:val="24"/>
                <w:szCs w:val="24"/>
                <w:color w:val="auto"/>
              </w:rPr>
            </w:pPr>
          </w:p>
        </w:tc>
        <w:tc>
          <w:tcPr>
            <w:tcW w:w="1800" w:type="dxa"/>
            <w:vAlign w:val="bottom"/>
            <w:shd w:val="clear" w:color="auto" w:fill="CCEEFF"/>
          </w:tcPr>
          <w:p>
            <w:pPr>
              <w:ind w:left="140"/>
              <w:spacing w:after="0"/>
              <w:rPr>
                <w:sz w:val="20"/>
                <w:szCs w:val="20"/>
                <w:color w:val="auto"/>
              </w:rPr>
            </w:pPr>
            <w:r>
              <w:rPr>
                <w:rFonts w:ascii="Arial" w:cs="Arial" w:eastAsia="Arial" w:hAnsi="Arial"/>
                <w:sz w:val="14"/>
                <w:szCs w:val="14"/>
                <w:color w:val="auto"/>
              </w:rPr>
              <w:t>Non-U.S. governments</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w w:val="76"/>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11.7</w:t>
            </w:r>
          </w:p>
        </w:tc>
        <w:tc>
          <w:tcPr>
            <w:tcW w:w="1800" w:type="dxa"/>
            <w:vAlign w:val="bottom"/>
            <w:gridSpan w:val="2"/>
            <w:shd w:val="clear" w:color="auto" w:fill="CCEEFF"/>
          </w:tcPr>
          <w:p>
            <w:pPr>
              <w:jc w:val="right"/>
              <w:ind w:right="392"/>
              <w:spacing w:after="0"/>
              <w:rPr>
                <w:sz w:val="20"/>
                <w:szCs w:val="20"/>
                <w:color w:val="auto"/>
              </w:rPr>
            </w:pPr>
            <w:r>
              <w:rPr>
                <w:rFonts w:ascii="Arial" w:cs="Arial" w:eastAsia="Arial" w:hAnsi="Arial"/>
                <w:sz w:val="14"/>
                <w:szCs w:val="14"/>
                <w:color w:val="auto"/>
                <w:w w:val="99"/>
              </w:rPr>
              <w:t>Discounted cash flow</w:t>
            </w:r>
          </w:p>
        </w:tc>
        <w:tc>
          <w:tcPr>
            <w:tcW w:w="18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Discount rate (1)</w:t>
            </w:r>
          </w:p>
        </w:tc>
        <w:tc>
          <w:tcPr>
            <w:tcW w:w="18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2.0%</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2.0%</w:t>
            </w:r>
          </w:p>
        </w:tc>
      </w:tr>
      <w:tr>
        <w:trPr>
          <w:trHeight w:val="311"/>
        </w:trPr>
        <w:tc>
          <w:tcPr>
            <w:tcW w:w="2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820" w:type="dxa"/>
            <w:vAlign w:val="bottom"/>
            <w:gridSpan w:val="2"/>
          </w:tcPr>
          <w:p>
            <w:pPr>
              <w:ind w:left="180"/>
              <w:spacing w:after="0"/>
              <w:rPr>
                <w:sz w:val="20"/>
                <w:szCs w:val="20"/>
                <w:color w:val="auto"/>
              </w:rPr>
            </w:pPr>
            <w:r>
              <w:rPr>
                <w:rFonts w:ascii="Arial" w:cs="Arial" w:eastAsia="Arial" w:hAnsi="Arial"/>
                <w:sz w:val="14"/>
                <w:szCs w:val="14"/>
                <w:color w:val="auto"/>
              </w:rPr>
              <w:t>Illiquidity premium</w:t>
            </w:r>
          </w:p>
        </w:tc>
        <w:tc>
          <w:tcPr>
            <w:tcW w:w="160" w:type="dxa"/>
            <w:vAlign w:val="bottom"/>
          </w:tcPr>
          <w:p>
            <w:pPr>
              <w:spacing w:after="0"/>
              <w:rPr>
                <w:sz w:val="24"/>
                <w:szCs w:val="24"/>
                <w:color w:val="auto"/>
              </w:rPr>
            </w:pPr>
          </w:p>
        </w:tc>
        <w:tc>
          <w:tcPr>
            <w:tcW w:w="1660" w:type="dxa"/>
            <w:vAlign w:val="bottom"/>
          </w:tcPr>
          <w:p>
            <w:pPr>
              <w:jc w:val="right"/>
              <w:spacing w:after="0"/>
              <w:rPr>
                <w:sz w:val="20"/>
                <w:szCs w:val="20"/>
                <w:color w:val="auto"/>
              </w:rPr>
            </w:pPr>
            <w:r>
              <w:rPr>
                <w:rFonts w:ascii="Arial" w:cs="Arial" w:eastAsia="Arial" w:hAnsi="Arial"/>
                <w:sz w:val="14"/>
                <w:szCs w:val="14"/>
                <w:color w:val="auto"/>
              </w:rPr>
              <w:t>50 basis points ("bps")</w:t>
            </w:r>
          </w:p>
        </w:tc>
        <w:tc>
          <w:tcPr>
            <w:tcW w:w="18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50bps</w:t>
            </w:r>
          </w:p>
        </w:tc>
      </w:tr>
      <w:tr>
        <w:trPr>
          <w:trHeight w:val="311"/>
        </w:trPr>
        <w:tc>
          <w:tcPr>
            <w:tcW w:w="20" w:type="dxa"/>
            <w:vAlign w:val="bottom"/>
          </w:tcPr>
          <w:p>
            <w:pPr>
              <w:spacing w:after="0"/>
              <w:rPr>
                <w:sz w:val="24"/>
                <w:szCs w:val="24"/>
                <w:color w:val="auto"/>
              </w:rPr>
            </w:pPr>
          </w:p>
        </w:tc>
        <w:tc>
          <w:tcPr>
            <w:tcW w:w="1800" w:type="dxa"/>
            <w:vAlign w:val="bottom"/>
            <w:shd w:val="clear" w:color="auto" w:fill="CCEEFF"/>
          </w:tcPr>
          <w:p>
            <w:pPr>
              <w:ind w:left="140"/>
              <w:spacing w:after="0"/>
              <w:rPr>
                <w:sz w:val="20"/>
                <w:szCs w:val="20"/>
                <w:color w:val="auto"/>
              </w:rPr>
            </w:pPr>
            <w:r>
              <w:rPr>
                <w:rFonts w:ascii="Arial" w:cs="Arial" w:eastAsia="Arial" w:hAnsi="Arial"/>
                <w:sz w:val="14"/>
                <w:szCs w:val="14"/>
                <w:color w:val="auto"/>
              </w:rPr>
              <w:t>Corporate</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70.1</w:t>
            </w:r>
          </w:p>
        </w:tc>
        <w:tc>
          <w:tcPr>
            <w:tcW w:w="1800" w:type="dxa"/>
            <w:vAlign w:val="bottom"/>
            <w:gridSpan w:val="2"/>
            <w:shd w:val="clear" w:color="auto" w:fill="CCEEFF"/>
          </w:tcPr>
          <w:p>
            <w:pPr>
              <w:jc w:val="right"/>
              <w:ind w:right="392"/>
              <w:spacing w:after="0"/>
              <w:rPr>
                <w:sz w:val="20"/>
                <w:szCs w:val="20"/>
                <w:color w:val="auto"/>
              </w:rPr>
            </w:pPr>
            <w:r>
              <w:rPr>
                <w:rFonts w:ascii="Arial" w:cs="Arial" w:eastAsia="Arial" w:hAnsi="Arial"/>
                <w:sz w:val="14"/>
                <w:szCs w:val="14"/>
                <w:color w:val="auto"/>
                <w:w w:val="99"/>
              </w:rPr>
              <w:t>Discounted cash flow</w:t>
            </w:r>
          </w:p>
        </w:tc>
        <w:tc>
          <w:tcPr>
            <w:tcW w:w="18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Discount rate (1)</w:t>
            </w:r>
          </w:p>
        </w:tc>
        <w:tc>
          <w:tcPr>
            <w:tcW w:w="18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1.9% - 7.7%</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4.4%</w:t>
            </w:r>
          </w:p>
        </w:tc>
      </w:tr>
      <w:tr>
        <w:trPr>
          <w:trHeight w:val="300"/>
        </w:trPr>
        <w:tc>
          <w:tcPr>
            <w:tcW w:w="2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820" w:type="dxa"/>
            <w:vAlign w:val="bottom"/>
            <w:gridSpan w:val="2"/>
          </w:tcPr>
          <w:p>
            <w:pPr>
              <w:ind w:left="180"/>
              <w:spacing w:after="0"/>
              <w:rPr>
                <w:sz w:val="20"/>
                <w:szCs w:val="20"/>
                <w:color w:val="auto"/>
              </w:rPr>
            </w:pPr>
            <w:r>
              <w:rPr>
                <w:rFonts w:ascii="Arial" w:cs="Arial" w:eastAsia="Arial" w:hAnsi="Arial"/>
                <w:sz w:val="14"/>
                <w:szCs w:val="14"/>
                <w:color w:val="auto"/>
              </w:rPr>
              <w:t>Earnings before interest,</w:t>
            </w:r>
          </w:p>
        </w:tc>
        <w:tc>
          <w:tcPr>
            <w:tcW w:w="160" w:type="dxa"/>
            <w:vAlign w:val="bottom"/>
          </w:tcPr>
          <w:p>
            <w:pPr>
              <w:spacing w:after="0"/>
              <w:rPr>
                <w:sz w:val="24"/>
                <w:szCs w:val="24"/>
                <w:color w:val="auto"/>
              </w:rPr>
            </w:pPr>
          </w:p>
        </w:tc>
        <w:tc>
          <w:tcPr>
            <w:tcW w:w="1660" w:type="dxa"/>
            <w:vAlign w:val="bottom"/>
          </w:tcPr>
          <w:p>
            <w:pPr>
              <w:jc w:val="right"/>
              <w:spacing w:after="0"/>
              <w:rPr>
                <w:sz w:val="20"/>
                <w:szCs w:val="20"/>
                <w:color w:val="auto"/>
              </w:rPr>
            </w:pPr>
            <w:r>
              <w:rPr>
                <w:rFonts w:ascii="Arial" w:cs="Arial" w:eastAsia="Arial" w:hAnsi="Arial"/>
                <w:sz w:val="14"/>
                <w:szCs w:val="14"/>
                <w:color w:val="auto"/>
              </w:rPr>
              <w:t>0x - 4.5x</w:t>
            </w:r>
          </w:p>
        </w:tc>
        <w:tc>
          <w:tcPr>
            <w:tcW w:w="18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0.2x</w:t>
            </w:r>
          </w:p>
        </w:tc>
      </w:tr>
      <w:tr>
        <w:trPr>
          <w:trHeight w:val="149"/>
        </w:trPr>
        <w:tc>
          <w:tcPr>
            <w:tcW w:w="2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820" w:type="dxa"/>
            <w:vAlign w:val="bottom"/>
            <w:gridSpan w:val="2"/>
          </w:tcPr>
          <w:p>
            <w:pPr>
              <w:ind w:left="180"/>
              <w:spacing w:after="0" w:line="149" w:lineRule="exact"/>
              <w:rPr>
                <w:sz w:val="20"/>
                <w:szCs w:val="20"/>
                <w:color w:val="auto"/>
              </w:rPr>
            </w:pPr>
            <w:r>
              <w:rPr>
                <w:rFonts w:ascii="Arial" w:cs="Arial" w:eastAsia="Arial" w:hAnsi="Arial"/>
                <w:sz w:val="14"/>
                <w:szCs w:val="14"/>
                <w:color w:val="auto"/>
              </w:rPr>
              <w:t>taxes, depreciation and</w:t>
            </w:r>
          </w:p>
        </w:tc>
        <w:tc>
          <w:tcPr>
            <w:tcW w:w="16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r>
      <w:tr>
        <w:trPr>
          <w:trHeight w:val="172"/>
        </w:trPr>
        <w:tc>
          <w:tcPr>
            <w:tcW w:w="2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1820" w:type="dxa"/>
            <w:vAlign w:val="bottom"/>
            <w:gridSpan w:val="2"/>
          </w:tcPr>
          <w:p>
            <w:pPr>
              <w:ind w:left="180"/>
              <w:spacing w:after="0"/>
              <w:rPr>
                <w:sz w:val="20"/>
                <w:szCs w:val="20"/>
                <w:color w:val="auto"/>
              </w:rPr>
            </w:pPr>
            <w:r>
              <w:rPr>
                <w:rFonts w:ascii="Arial" w:cs="Arial" w:eastAsia="Arial" w:hAnsi="Arial"/>
                <w:sz w:val="14"/>
                <w:szCs w:val="14"/>
                <w:color w:val="auto"/>
              </w:rPr>
              <w:t>amortization multiple</w:t>
            </w:r>
          </w:p>
        </w:tc>
        <w:tc>
          <w:tcPr>
            <w:tcW w:w="16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00" w:type="dxa"/>
            <w:vAlign w:val="bottom"/>
          </w:tcPr>
          <w:p>
            <w:pPr>
              <w:spacing w:after="0"/>
              <w:rPr>
                <w:sz w:val="14"/>
                <w:szCs w:val="1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-7620</wp:posOffset>
            </wp:positionV>
            <wp:extent cx="5797550" cy="19748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5797550" cy="19748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1300"/>
        <w:spacing w:after="0"/>
        <w:rPr>
          <w:sz w:val="20"/>
          <w:szCs w:val="20"/>
          <w:color w:val="auto"/>
        </w:rPr>
      </w:pPr>
      <w:r>
        <w:rPr>
          <w:rFonts w:ascii="Arial" w:cs="Arial" w:eastAsia="Arial" w:hAnsi="Arial"/>
          <w:sz w:val="12"/>
          <w:szCs w:val="12"/>
          <w:color w:val="auto"/>
        </w:rPr>
        <w:t>Commercial mortgage-</w:t>
      </w:r>
    </w:p>
    <w:p>
      <w:pPr>
        <w:spacing w:after="0" w:line="22" w:lineRule="exact"/>
        <w:rPr>
          <w:sz w:val="20"/>
          <w:szCs w:val="20"/>
          <w:color w:val="auto"/>
        </w:rPr>
      </w:pPr>
    </w:p>
    <w:p>
      <w:pPr>
        <w:ind w:left="1440"/>
        <w:spacing w:after="0"/>
        <w:rPr>
          <w:sz w:val="20"/>
          <w:szCs w:val="20"/>
          <w:color w:val="auto"/>
        </w:rPr>
      </w:pPr>
      <w:r>
        <w:rPr>
          <w:rFonts w:ascii="Arial" w:cs="Arial" w:eastAsia="Arial" w:hAnsi="Arial"/>
          <w:sz w:val="14"/>
          <w:szCs w:val="14"/>
          <w:color w:val="auto"/>
        </w:rPr>
        <w:t>backed securities</w:t>
      </w:r>
    </w:p>
    <w:p>
      <w:pPr>
        <w:spacing w:after="0" w:line="138" w:lineRule="exact"/>
        <w:rPr>
          <w:sz w:val="20"/>
          <w:szCs w:val="20"/>
          <w:color w:val="auto"/>
        </w:rPr>
      </w:pPr>
    </w:p>
    <w:p>
      <w:pPr>
        <w:ind w:left="1300"/>
        <w:spacing w:after="0"/>
        <w:rPr>
          <w:sz w:val="20"/>
          <w:szCs w:val="20"/>
          <w:color w:val="auto"/>
        </w:rPr>
      </w:pPr>
      <w:r>
        <w:rPr>
          <w:rFonts w:ascii="Arial" w:cs="Arial" w:eastAsia="Arial" w:hAnsi="Arial"/>
          <w:sz w:val="14"/>
          <w:szCs w:val="14"/>
          <w:color w:val="auto"/>
        </w:rPr>
        <w:t>Collateralized debt</w:t>
      </w:r>
    </w:p>
    <w:p>
      <w:pPr>
        <w:ind w:left="1440"/>
        <w:spacing w:after="0"/>
        <w:rPr>
          <w:sz w:val="20"/>
          <w:szCs w:val="20"/>
          <w:color w:val="auto"/>
        </w:rPr>
      </w:pPr>
      <w:r>
        <w:rPr>
          <w:rFonts w:ascii="Arial" w:cs="Arial" w:eastAsia="Arial" w:hAnsi="Arial"/>
          <w:sz w:val="14"/>
          <w:szCs w:val="14"/>
          <w:color w:val="auto"/>
        </w:rPr>
        <w:t>obligations</w:t>
      </w:r>
    </w:p>
    <w:p>
      <w:pPr>
        <w:spacing w:after="0" w:line="200" w:lineRule="exact"/>
        <w:rPr>
          <w:sz w:val="20"/>
          <w:szCs w:val="20"/>
          <w:color w:val="auto"/>
        </w:rPr>
      </w:pPr>
    </w:p>
    <w:p>
      <w:pPr>
        <w:spacing w:after="0" w:line="248" w:lineRule="exact"/>
        <w:rPr>
          <w:sz w:val="20"/>
          <w:szCs w:val="20"/>
          <w:color w:val="auto"/>
        </w:rPr>
      </w:pPr>
    </w:p>
    <w:p>
      <w:pPr>
        <w:ind w:left="1300"/>
        <w:spacing w:after="0"/>
        <w:rPr>
          <w:sz w:val="20"/>
          <w:szCs w:val="20"/>
          <w:color w:val="auto"/>
        </w:rPr>
      </w:pPr>
      <w:r>
        <w:rPr>
          <w:rFonts w:ascii="Arial" w:cs="Arial" w:eastAsia="Arial" w:hAnsi="Arial"/>
          <w:sz w:val="12"/>
          <w:szCs w:val="12"/>
          <w:color w:val="auto"/>
        </w:rPr>
        <w:t>Other debt obligations</w:t>
      </w:r>
    </w:p>
    <w:p>
      <w:pPr>
        <w:spacing w:after="0" w:line="200" w:lineRule="exact"/>
        <w:rPr>
          <w:sz w:val="20"/>
          <w:szCs w:val="20"/>
          <w:color w:val="auto"/>
        </w:rPr>
      </w:pPr>
    </w:p>
    <w:p>
      <w:pPr>
        <w:spacing w:after="0" w:line="283" w:lineRule="exact"/>
        <w:rPr>
          <w:sz w:val="20"/>
          <w:szCs w:val="20"/>
          <w:color w:val="auto"/>
        </w:rPr>
      </w:pPr>
    </w:p>
    <w:p>
      <w:pPr>
        <w:jc w:val="center"/>
        <w:ind w:left="700"/>
        <w:spacing w:after="0"/>
        <w:rPr>
          <w:sz w:val="20"/>
          <w:szCs w:val="20"/>
          <w:color w:val="auto"/>
        </w:rPr>
      </w:pPr>
      <w:r>
        <w:rPr>
          <w:rFonts w:ascii="Arial" w:cs="Arial" w:eastAsia="Arial" w:hAnsi="Arial"/>
          <w:sz w:val="12"/>
          <w:szCs w:val="12"/>
          <w:color w:val="auto"/>
        </w:rPr>
        <w:t>Fixed maturities, trading</w:t>
      </w: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1140"/>
        <w:spacing w:after="0"/>
        <w:rPr>
          <w:sz w:val="20"/>
          <w:szCs w:val="20"/>
          <w:color w:val="auto"/>
        </w:rPr>
      </w:pPr>
      <w:r>
        <w:rPr>
          <w:rFonts w:ascii="Arial" w:cs="Arial" w:eastAsia="Arial" w:hAnsi="Arial"/>
          <w:sz w:val="14"/>
          <w:szCs w:val="14"/>
          <w:color w:val="auto"/>
        </w:rPr>
        <w:t>Other investments</w:t>
      </w:r>
    </w:p>
    <w:p>
      <w:pPr>
        <w:spacing w:after="0" w:line="20" w:lineRule="exact"/>
        <w:rPr>
          <w:sz w:val="20"/>
          <w:szCs w:val="20"/>
          <w:color w:val="auto"/>
        </w:rPr>
      </w:pPr>
      <w:r>
        <w:rPr>
          <w:sz w:val="20"/>
          <w:szCs w:val="20"/>
          <w:color w:val="auto"/>
        </w:rPr>
        <w:br w:type="column"/>
      </w:r>
    </w:p>
    <w:p>
      <w:pPr>
        <w:spacing w:after="0" w:line="10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6"/>
        </w:trPr>
        <w:tc>
          <w:tcPr>
            <w:tcW w:w="400" w:type="dxa"/>
            <w:vAlign w:val="bottom"/>
          </w:tcPr>
          <w:p>
            <w:pPr>
              <w:spacing w:after="0"/>
              <w:rPr>
                <w:sz w:val="16"/>
                <w:szCs w:val="16"/>
                <w:color w:val="auto"/>
              </w:rPr>
            </w:pPr>
          </w:p>
        </w:tc>
        <w:tc>
          <w:tcPr>
            <w:tcW w:w="1740" w:type="dxa"/>
            <w:vAlign w:val="bottom"/>
          </w:tcPr>
          <w:p>
            <w:pPr>
              <w:spacing w:after="0"/>
              <w:rPr>
                <w:sz w:val="16"/>
                <w:szCs w:val="16"/>
                <w:color w:val="auto"/>
              </w:rPr>
            </w:pPr>
          </w:p>
        </w:tc>
        <w:tc>
          <w:tcPr>
            <w:tcW w:w="2160" w:type="dxa"/>
            <w:vAlign w:val="bottom"/>
          </w:tcPr>
          <w:p>
            <w:pPr>
              <w:ind w:left="160"/>
              <w:spacing w:after="0"/>
              <w:rPr>
                <w:sz w:val="20"/>
                <w:szCs w:val="20"/>
                <w:color w:val="auto"/>
              </w:rPr>
            </w:pPr>
            <w:r>
              <w:rPr>
                <w:rFonts w:ascii="Arial" w:cs="Arial" w:eastAsia="Arial" w:hAnsi="Arial"/>
                <w:sz w:val="14"/>
                <w:szCs w:val="14"/>
                <w:color w:val="auto"/>
              </w:rPr>
              <w:t>Comparability adjustment</w:t>
            </w:r>
          </w:p>
        </w:tc>
        <w:tc>
          <w:tcPr>
            <w:tcW w:w="1700" w:type="dxa"/>
            <w:vAlign w:val="bottom"/>
          </w:tcPr>
          <w:p>
            <w:pPr>
              <w:jc w:val="right"/>
              <w:ind w:right="192"/>
              <w:spacing w:after="0"/>
              <w:rPr>
                <w:sz w:val="20"/>
                <w:szCs w:val="20"/>
                <w:color w:val="auto"/>
              </w:rPr>
            </w:pPr>
            <w:r>
              <w:rPr>
                <w:rFonts w:ascii="Arial" w:cs="Arial" w:eastAsia="Arial" w:hAnsi="Arial"/>
                <w:sz w:val="14"/>
                <w:szCs w:val="14"/>
                <w:color w:val="auto"/>
              </w:rPr>
              <w:t>0 - 125bps</w:t>
            </w:r>
          </w:p>
        </w:tc>
        <w:tc>
          <w:tcPr>
            <w:tcW w:w="640" w:type="dxa"/>
            <w:vAlign w:val="bottom"/>
          </w:tcPr>
          <w:p>
            <w:pPr>
              <w:jc w:val="right"/>
              <w:spacing w:after="0"/>
              <w:rPr>
                <w:sz w:val="20"/>
                <w:szCs w:val="20"/>
                <w:color w:val="auto"/>
              </w:rPr>
            </w:pPr>
            <w:r>
              <w:rPr>
                <w:rFonts w:ascii="Arial" w:cs="Arial" w:eastAsia="Arial" w:hAnsi="Arial"/>
                <w:sz w:val="14"/>
                <w:szCs w:val="14"/>
                <w:color w:val="auto"/>
              </w:rPr>
              <w:t>43bps</w:t>
            </w:r>
          </w:p>
        </w:tc>
      </w:tr>
      <w:tr>
        <w:trPr>
          <w:trHeight w:val="311"/>
        </w:trPr>
        <w:tc>
          <w:tcPr>
            <w:tcW w:w="40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2160" w:type="dxa"/>
            <w:vAlign w:val="bottom"/>
          </w:tcPr>
          <w:p>
            <w:pPr>
              <w:ind w:left="160"/>
              <w:spacing w:after="0"/>
              <w:rPr>
                <w:sz w:val="20"/>
                <w:szCs w:val="20"/>
                <w:color w:val="auto"/>
              </w:rPr>
            </w:pPr>
            <w:r>
              <w:rPr>
                <w:rFonts w:ascii="Arial" w:cs="Arial" w:eastAsia="Arial" w:hAnsi="Arial"/>
                <w:sz w:val="14"/>
                <w:szCs w:val="14"/>
                <w:color w:val="auto"/>
              </w:rPr>
              <w:t>Probability of default</w:t>
            </w:r>
          </w:p>
        </w:tc>
        <w:tc>
          <w:tcPr>
            <w:tcW w:w="1700" w:type="dxa"/>
            <w:vAlign w:val="bottom"/>
          </w:tcPr>
          <w:p>
            <w:pPr>
              <w:jc w:val="right"/>
              <w:ind w:right="192"/>
              <w:spacing w:after="0"/>
              <w:rPr>
                <w:sz w:val="20"/>
                <w:szCs w:val="20"/>
                <w:color w:val="auto"/>
              </w:rPr>
            </w:pPr>
            <w:r>
              <w:rPr>
                <w:rFonts w:ascii="Arial" w:cs="Arial" w:eastAsia="Arial" w:hAnsi="Arial"/>
                <w:sz w:val="14"/>
                <w:szCs w:val="14"/>
                <w:color w:val="auto"/>
              </w:rPr>
              <w:t>0% - 100%</w:t>
            </w:r>
          </w:p>
        </w:tc>
        <w:tc>
          <w:tcPr>
            <w:tcW w:w="640" w:type="dxa"/>
            <w:vAlign w:val="bottom"/>
          </w:tcPr>
          <w:p>
            <w:pPr>
              <w:jc w:val="right"/>
              <w:spacing w:after="0"/>
              <w:rPr>
                <w:sz w:val="20"/>
                <w:szCs w:val="20"/>
                <w:color w:val="auto"/>
              </w:rPr>
            </w:pPr>
            <w:r>
              <w:rPr>
                <w:rFonts w:ascii="Arial" w:cs="Arial" w:eastAsia="Arial" w:hAnsi="Arial"/>
                <w:sz w:val="14"/>
                <w:szCs w:val="14"/>
                <w:color w:val="auto"/>
              </w:rPr>
              <w:t>5.4%</w:t>
            </w:r>
          </w:p>
        </w:tc>
      </w:tr>
      <w:tr>
        <w:trPr>
          <w:trHeight w:val="311"/>
        </w:trPr>
        <w:tc>
          <w:tcPr>
            <w:tcW w:w="40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2160" w:type="dxa"/>
            <w:vAlign w:val="bottom"/>
          </w:tcPr>
          <w:p>
            <w:pPr>
              <w:ind w:left="160"/>
              <w:spacing w:after="0"/>
              <w:rPr>
                <w:sz w:val="20"/>
                <w:szCs w:val="20"/>
                <w:color w:val="auto"/>
              </w:rPr>
            </w:pPr>
            <w:r>
              <w:rPr>
                <w:rFonts w:ascii="Arial" w:cs="Arial" w:eastAsia="Arial" w:hAnsi="Arial"/>
                <w:sz w:val="14"/>
                <w:szCs w:val="14"/>
                <w:color w:val="auto"/>
              </w:rPr>
              <w:t>Potential loss severity</w:t>
            </w:r>
          </w:p>
        </w:tc>
        <w:tc>
          <w:tcPr>
            <w:tcW w:w="1700" w:type="dxa"/>
            <w:vAlign w:val="bottom"/>
          </w:tcPr>
          <w:p>
            <w:pPr>
              <w:jc w:val="right"/>
              <w:ind w:right="192"/>
              <w:spacing w:after="0"/>
              <w:rPr>
                <w:sz w:val="20"/>
                <w:szCs w:val="20"/>
                <w:color w:val="auto"/>
              </w:rPr>
            </w:pPr>
            <w:r>
              <w:rPr>
                <w:rFonts w:ascii="Arial" w:cs="Arial" w:eastAsia="Arial" w:hAnsi="Arial"/>
                <w:sz w:val="14"/>
                <w:szCs w:val="14"/>
                <w:color w:val="auto"/>
              </w:rPr>
              <w:t>0% - 16%</w:t>
            </w:r>
          </w:p>
        </w:tc>
        <w:tc>
          <w:tcPr>
            <w:tcW w:w="640" w:type="dxa"/>
            <w:vAlign w:val="bottom"/>
          </w:tcPr>
          <w:p>
            <w:pPr>
              <w:jc w:val="right"/>
              <w:spacing w:after="0"/>
              <w:rPr>
                <w:sz w:val="20"/>
                <w:szCs w:val="20"/>
                <w:color w:val="auto"/>
              </w:rPr>
            </w:pPr>
            <w:r>
              <w:rPr>
                <w:rFonts w:ascii="Arial" w:cs="Arial" w:eastAsia="Arial" w:hAnsi="Arial"/>
                <w:sz w:val="14"/>
                <w:szCs w:val="14"/>
                <w:color w:val="auto"/>
              </w:rPr>
              <w:t>0.9%</w:t>
            </w:r>
          </w:p>
        </w:tc>
      </w:tr>
      <w:tr>
        <w:trPr>
          <w:trHeight w:val="311"/>
        </w:trPr>
        <w:tc>
          <w:tcPr>
            <w:tcW w:w="40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2160" w:type="dxa"/>
            <w:vAlign w:val="bottom"/>
          </w:tcPr>
          <w:p>
            <w:pPr>
              <w:ind w:left="160"/>
              <w:spacing w:after="0"/>
              <w:rPr>
                <w:sz w:val="20"/>
                <w:szCs w:val="20"/>
                <w:color w:val="auto"/>
              </w:rPr>
            </w:pPr>
            <w:r>
              <w:rPr>
                <w:rFonts w:ascii="Arial" w:cs="Arial" w:eastAsia="Arial" w:hAnsi="Arial"/>
                <w:sz w:val="14"/>
                <w:szCs w:val="14"/>
                <w:color w:val="auto"/>
              </w:rPr>
              <w:t>Illiquidity premium</w:t>
            </w:r>
          </w:p>
        </w:tc>
        <w:tc>
          <w:tcPr>
            <w:tcW w:w="1700" w:type="dxa"/>
            <w:vAlign w:val="bottom"/>
          </w:tcPr>
          <w:p>
            <w:pPr>
              <w:jc w:val="right"/>
              <w:ind w:right="192"/>
              <w:spacing w:after="0"/>
              <w:rPr>
                <w:sz w:val="20"/>
                <w:szCs w:val="20"/>
                <w:color w:val="auto"/>
              </w:rPr>
            </w:pPr>
            <w:r>
              <w:rPr>
                <w:rFonts w:ascii="Arial" w:cs="Arial" w:eastAsia="Arial" w:hAnsi="Arial"/>
                <w:sz w:val="14"/>
                <w:szCs w:val="14"/>
                <w:color w:val="auto"/>
              </w:rPr>
              <w:t>0bps - 25bps</w:t>
            </w:r>
          </w:p>
        </w:tc>
        <w:tc>
          <w:tcPr>
            <w:tcW w:w="640" w:type="dxa"/>
            <w:vAlign w:val="bottom"/>
          </w:tcPr>
          <w:p>
            <w:pPr>
              <w:jc w:val="right"/>
              <w:spacing w:after="0"/>
              <w:rPr>
                <w:sz w:val="20"/>
                <w:szCs w:val="20"/>
                <w:color w:val="auto"/>
              </w:rPr>
            </w:pPr>
            <w:r>
              <w:rPr>
                <w:rFonts w:ascii="Arial" w:cs="Arial" w:eastAsia="Arial" w:hAnsi="Arial"/>
                <w:sz w:val="14"/>
                <w:szCs w:val="14"/>
                <w:color w:val="auto"/>
              </w:rPr>
              <w:t>15bps</w:t>
            </w:r>
          </w:p>
        </w:tc>
      </w:tr>
      <w:tr>
        <w:trPr>
          <w:trHeight w:val="459"/>
        </w:trPr>
        <w:tc>
          <w:tcPr>
            <w:tcW w:w="400" w:type="dxa"/>
            <w:vAlign w:val="bottom"/>
          </w:tcPr>
          <w:p>
            <w:pPr>
              <w:jc w:val="right"/>
              <w:ind w:right="32"/>
              <w:spacing w:after="0"/>
              <w:rPr>
                <w:sz w:val="20"/>
                <w:szCs w:val="20"/>
                <w:color w:val="auto"/>
              </w:rPr>
            </w:pPr>
            <w:r>
              <w:rPr>
                <w:rFonts w:ascii="Arial" w:cs="Arial" w:eastAsia="Arial" w:hAnsi="Arial"/>
                <w:sz w:val="14"/>
                <w:szCs w:val="14"/>
                <w:b w:val="1"/>
                <w:bCs w:val="1"/>
                <w:color w:val="auto"/>
              </w:rPr>
              <w:t>1.6</w:t>
            </w:r>
          </w:p>
        </w:tc>
        <w:tc>
          <w:tcPr>
            <w:tcW w:w="1740" w:type="dxa"/>
            <w:vAlign w:val="bottom"/>
          </w:tcPr>
          <w:p>
            <w:pPr>
              <w:ind w:left="80"/>
              <w:spacing w:after="0"/>
              <w:rPr>
                <w:sz w:val="20"/>
                <w:szCs w:val="20"/>
                <w:color w:val="auto"/>
              </w:rPr>
            </w:pPr>
            <w:r>
              <w:rPr>
                <w:rFonts w:ascii="Arial" w:cs="Arial" w:eastAsia="Arial" w:hAnsi="Arial"/>
                <w:sz w:val="14"/>
                <w:szCs w:val="14"/>
                <w:color w:val="auto"/>
              </w:rPr>
              <w:t>Discounted cash flow</w:t>
            </w:r>
          </w:p>
        </w:tc>
        <w:tc>
          <w:tcPr>
            <w:tcW w:w="2160" w:type="dxa"/>
            <w:vAlign w:val="bottom"/>
          </w:tcPr>
          <w:p>
            <w:pPr>
              <w:ind w:left="160"/>
              <w:spacing w:after="0"/>
              <w:rPr>
                <w:sz w:val="20"/>
                <w:szCs w:val="20"/>
                <w:color w:val="auto"/>
              </w:rPr>
            </w:pPr>
            <w:r>
              <w:rPr>
                <w:rFonts w:ascii="Arial" w:cs="Arial" w:eastAsia="Arial" w:hAnsi="Arial"/>
                <w:sz w:val="14"/>
                <w:szCs w:val="14"/>
                <w:color w:val="auto"/>
              </w:rPr>
              <w:t>Discount rate (1)</w:t>
            </w:r>
          </w:p>
        </w:tc>
        <w:tc>
          <w:tcPr>
            <w:tcW w:w="1700" w:type="dxa"/>
            <w:vAlign w:val="bottom"/>
          </w:tcPr>
          <w:p>
            <w:pPr>
              <w:jc w:val="right"/>
              <w:ind w:right="192"/>
              <w:spacing w:after="0"/>
              <w:rPr>
                <w:sz w:val="20"/>
                <w:szCs w:val="20"/>
                <w:color w:val="auto"/>
              </w:rPr>
            </w:pPr>
            <w:r>
              <w:rPr>
                <w:rFonts w:ascii="Arial" w:cs="Arial" w:eastAsia="Arial" w:hAnsi="Arial"/>
                <w:sz w:val="14"/>
                <w:szCs w:val="14"/>
                <w:color w:val="auto"/>
              </w:rPr>
              <w:t>1.5% - 4.5%</w:t>
            </w:r>
          </w:p>
        </w:tc>
        <w:tc>
          <w:tcPr>
            <w:tcW w:w="640" w:type="dxa"/>
            <w:vAlign w:val="bottom"/>
          </w:tcPr>
          <w:p>
            <w:pPr>
              <w:jc w:val="right"/>
              <w:spacing w:after="0"/>
              <w:rPr>
                <w:sz w:val="20"/>
                <w:szCs w:val="20"/>
                <w:color w:val="auto"/>
              </w:rPr>
            </w:pPr>
            <w:r>
              <w:rPr>
                <w:rFonts w:ascii="Arial" w:cs="Arial" w:eastAsia="Arial" w:hAnsi="Arial"/>
                <w:sz w:val="14"/>
                <w:szCs w:val="14"/>
                <w:color w:val="auto"/>
              </w:rPr>
              <w:t>0.0%</w:t>
            </w:r>
          </w:p>
        </w:tc>
      </w:tr>
      <w:tr>
        <w:trPr>
          <w:trHeight w:val="459"/>
        </w:trPr>
        <w:tc>
          <w:tcPr>
            <w:tcW w:w="400" w:type="dxa"/>
            <w:vAlign w:val="bottom"/>
          </w:tcPr>
          <w:p>
            <w:pPr>
              <w:jc w:val="right"/>
              <w:ind w:right="32"/>
              <w:spacing w:after="0"/>
              <w:rPr>
                <w:sz w:val="20"/>
                <w:szCs w:val="20"/>
                <w:color w:val="auto"/>
              </w:rPr>
            </w:pPr>
            <w:r>
              <w:rPr>
                <w:rFonts w:ascii="Arial" w:cs="Arial" w:eastAsia="Arial" w:hAnsi="Arial"/>
                <w:sz w:val="14"/>
                <w:szCs w:val="14"/>
                <w:b w:val="1"/>
                <w:bCs w:val="1"/>
                <w:color w:val="auto"/>
              </w:rPr>
              <w:t>13.6</w:t>
            </w:r>
          </w:p>
        </w:tc>
        <w:tc>
          <w:tcPr>
            <w:tcW w:w="1740" w:type="dxa"/>
            <w:vAlign w:val="bottom"/>
          </w:tcPr>
          <w:p>
            <w:pPr>
              <w:ind w:left="80"/>
              <w:spacing w:after="0"/>
              <w:rPr>
                <w:sz w:val="20"/>
                <w:szCs w:val="20"/>
                <w:color w:val="auto"/>
              </w:rPr>
            </w:pPr>
            <w:r>
              <w:rPr>
                <w:rFonts w:ascii="Arial" w:cs="Arial" w:eastAsia="Arial" w:hAnsi="Arial"/>
                <w:sz w:val="14"/>
                <w:szCs w:val="14"/>
                <w:color w:val="auto"/>
              </w:rPr>
              <w:t>Discounted cash flow</w:t>
            </w:r>
          </w:p>
        </w:tc>
        <w:tc>
          <w:tcPr>
            <w:tcW w:w="2160" w:type="dxa"/>
            <w:vAlign w:val="bottom"/>
          </w:tcPr>
          <w:p>
            <w:pPr>
              <w:ind w:left="160"/>
              <w:spacing w:after="0"/>
              <w:rPr>
                <w:sz w:val="20"/>
                <w:szCs w:val="20"/>
                <w:color w:val="auto"/>
              </w:rPr>
            </w:pPr>
            <w:r>
              <w:rPr>
                <w:rFonts w:ascii="Arial" w:cs="Arial" w:eastAsia="Arial" w:hAnsi="Arial"/>
                <w:sz w:val="14"/>
                <w:szCs w:val="14"/>
                <w:color w:val="auto"/>
              </w:rPr>
              <w:t>Discount rate (1)</w:t>
            </w:r>
          </w:p>
        </w:tc>
        <w:tc>
          <w:tcPr>
            <w:tcW w:w="1700" w:type="dxa"/>
            <w:vAlign w:val="bottom"/>
          </w:tcPr>
          <w:p>
            <w:pPr>
              <w:jc w:val="right"/>
              <w:ind w:right="192"/>
              <w:spacing w:after="0"/>
              <w:rPr>
                <w:sz w:val="20"/>
                <w:szCs w:val="20"/>
                <w:color w:val="auto"/>
              </w:rPr>
            </w:pPr>
            <w:r>
              <w:rPr>
                <w:rFonts w:ascii="Arial" w:cs="Arial" w:eastAsia="Arial" w:hAnsi="Arial"/>
                <w:sz w:val="14"/>
                <w:szCs w:val="14"/>
                <w:color w:val="auto"/>
              </w:rPr>
              <w:t>1.5%</w:t>
            </w:r>
          </w:p>
        </w:tc>
        <w:tc>
          <w:tcPr>
            <w:tcW w:w="640" w:type="dxa"/>
            <w:vAlign w:val="bottom"/>
          </w:tcPr>
          <w:p>
            <w:pPr>
              <w:jc w:val="right"/>
              <w:spacing w:after="0"/>
              <w:rPr>
                <w:sz w:val="20"/>
                <w:szCs w:val="20"/>
                <w:color w:val="auto"/>
              </w:rPr>
            </w:pPr>
            <w:r>
              <w:rPr>
                <w:rFonts w:ascii="Arial" w:cs="Arial" w:eastAsia="Arial" w:hAnsi="Arial"/>
                <w:sz w:val="14"/>
                <w:szCs w:val="14"/>
                <w:color w:val="auto"/>
              </w:rPr>
              <w:t>1.5%</w:t>
            </w:r>
          </w:p>
        </w:tc>
      </w:tr>
      <w:tr>
        <w:trPr>
          <w:trHeight w:val="311"/>
        </w:trPr>
        <w:tc>
          <w:tcPr>
            <w:tcW w:w="40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2160" w:type="dxa"/>
            <w:vAlign w:val="bottom"/>
          </w:tcPr>
          <w:p>
            <w:pPr>
              <w:ind w:left="160"/>
              <w:spacing w:after="0"/>
              <w:rPr>
                <w:sz w:val="20"/>
                <w:szCs w:val="20"/>
                <w:color w:val="auto"/>
              </w:rPr>
            </w:pPr>
            <w:r>
              <w:rPr>
                <w:rFonts w:ascii="Arial" w:cs="Arial" w:eastAsia="Arial" w:hAnsi="Arial"/>
                <w:sz w:val="14"/>
                <w:szCs w:val="14"/>
                <w:color w:val="auto"/>
              </w:rPr>
              <w:t>Illiquidity premium</w:t>
            </w:r>
          </w:p>
        </w:tc>
        <w:tc>
          <w:tcPr>
            <w:tcW w:w="1700" w:type="dxa"/>
            <w:vAlign w:val="bottom"/>
          </w:tcPr>
          <w:p>
            <w:pPr>
              <w:jc w:val="right"/>
              <w:ind w:right="192"/>
              <w:spacing w:after="0"/>
              <w:rPr>
                <w:sz w:val="20"/>
                <w:szCs w:val="20"/>
                <w:color w:val="auto"/>
              </w:rPr>
            </w:pPr>
            <w:r>
              <w:rPr>
                <w:rFonts w:ascii="Arial" w:cs="Arial" w:eastAsia="Arial" w:hAnsi="Arial"/>
                <w:sz w:val="14"/>
                <w:szCs w:val="14"/>
                <w:color w:val="auto"/>
              </w:rPr>
              <w:t>400bps</w:t>
            </w:r>
          </w:p>
        </w:tc>
        <w:tc>
          <w:tcPr>
            <w:tcW w:w="640" w:type="dxa"/>
            <w:vAlign w:val="bottom"/>
          </w:tcPr>
          <w:p>
            <w:pPr>
              <w:jc w:val="right"/>
              <w:spacing w:after="0"/>
              <w:rPr>
                <w:sz w:val="20"/>
                <w:szCs w:val="20"/>
                <w:color w:val="auto"/>
              </w:rPr>
            </w:pPr>
            <w:r>
              <w:rPr>
                <w:rFonts w:ascii="Arial" w:cs="Arial" w:eastAsia="Arial" w:hAnsi="Arial"/>
                <w:sz w:val="14"/>
                <w:szCs w:val="14"/>
                <w:color w:val="auto"/>
              </w:rPr>
              <w:t>400bps</w:t>
            </w:r>
          </w:p>
        </w:tc>
      </w:tr>
      <w:tr>
        <w:trPr>
          <w:trHeight w:val="311"/>
        </w:trPr>
        <w:tc>
          <w:tcPr>
            <w:tcW w:w="400" w:type="dxa"/>
            <w:vAlign w:val="bottom"/>
          </w:tcPr>
          <w:p>
            <w:pPr>
              <w:jc w:val="right"/>
              <w:ind w:right="32"/>
              <w:spacing w:after="0"/>
              <w:rPr>
                <w:sz w:val="20"/>
                <w:szCs w:val="20"/>
                <w:color w:val="auto"/>
              </w:rPr>
            </w:pPr>
            <w:r>
              <w:rPr>
                <w:rFonts w:ascii="Arial" w:cs="Arial" w:eastAsia="Arial" w:hAnsi="Arial"/>
                <w:sz w:val="14"/>
                <w:szCs w:val="14"/>
                <w:b w:val="1"/>
                <w:bCs w:val="1"/>
                <w:color w:val="auto"/>
              </w:rPr>
              <w:t>33.6</w:t>
            </w:r>
          </w:p>
        </w:tc>
        <w:tc>
          <w:tcPr>
            <w:tcW w:w="1740" w:type="dxa"/>
            <w:vAlign w:val="bottom"/>
          </w:tcPr>
          <w:p>
            <w:pPr>
              <w:ind w:left="80"/>
              <w:spacing w:after="0"/>
              <w:rPr>
                <w:sz w:val="20"/>
                <w:szCs w:val="20"/>
                <w:color w:val="auto"/>
              </w:rPr>
            </w:pPr>
            <w:r>
              <w:rPr>
                <w:rFonts w:ascii="Arial" w:cs="Arial" w:eastAsia="Arial" w:hAnsi="Arial"/>
                <w:sz w:val="14"/>
                <w:szCs w:val="14"/>
                <w:color w:val="auto"/>
              </w:rPr>
              <w:t>Discounted cash flow</w:t>
            </w:r>
          </w:p>
        </w:tc>
        <w:tc>
          <w:tcPr>
            <w:tcW w:w="2160" w:type="dxa"/>
            <w:vAlign w:val="bottom"/>
          </w:tcPr>
          <w:p>
            <w:pPr>
              <w:ind w:left="160"/>
              <w:spacing w:after="0"/>
              <w:rPr>
                <w:sz w:val="20"/>
                <w:szCs w:val="20"/>
                <w:color w:val="auto"/>
              </w:rPr>
            </w:pPr>
            <w:r>
              <w:rPr>
                <w:rFonts w:ascii="Arial" w:cs="Arial" w:eastAsia="Arial" w:hAnsi="Arial"/>
                <w:sz w:val="14"/>
                <w:szCs w:val="14"/>
                <w:color w:val="auto"/>
              </w:rPr>
              <w:t>Discount rate (1)</w:t>
            </w:r>
          </w:p>
        </w:tc>
        <w:tc>
          <w:tcPr>
            <w:tcW w:w="1700" w:type="dxa"/>
            <w:vAlign w:val="bottom"/>
          </w:tcPr>
          <w:p>
            <w:pPr>
              <w:jc w:val="right"/>
              <w:ind w:right="192"/>
              <w:spacing w:after="0"/>
              <w:rPr>
                <w:sz w:val="20"/>
                <w:szCs w:val="20"/>
                <w:color w:val="auto"/>
              </w:rPr>
            </w:pPr>
            <w:r>
              <w:rPr>
                <w:rFonts w:ascii="Arial" w:cs="Arial" w:eastAsia="Arial" w:hAnsi="Arial"/>
                <w:sz w:val="14"/>
                <w:szCs w:val="14"/>
                <w:color w:val="auto"/>
              </w:rPr>
              <w:t>2.0% - 15.0%</w:t>
            </w:r>
          </w:p>
        </w:tc>
        <w:tc>
          <w:tcPr>
            <w:tcW w:w="640" w:type="dxa"/>
            <w:vAlign w:val="bottom"/>
          </w:tcPr>
          <w:p>
            <w:pPr>
              <w:jc w:val="right"/>
              <w:spacing w:after="0"/>
              <w:rPr>
                <w:sz w:val="20"/>
                <w:szCs w:val="20"/>
                <w:color w:val="auto"/>
              </w:rPr>
            </w:pPr>
            <w:r>
              <w:rPr>
                <w:rFonts w:ascii="Arial" w:cs="Arial" w:eastAsia="Arial" w:hAnsi="Arial"/>
                <w:sz w:val="14"/>
                <w:szCs w:val="14"/>
                <w:color w:val="auto"/>
              </w:rPr>
              <w:t>6.7%</w:t>
            </w:r>
          </w:p>
        </w:tc>
      </w:tr>
      <w:tr>
        <w:trPr>
          <w:trHeight w:val="311"/>
        </w:trPr>
        <w:tc>
          <w:tcPr>
            <w:tcW w:w="40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2160" w:type="dxa"/>
            <w:vAlign w:val="bottom"/>
          </w:tcPr>
          <w:p>
            <w:pPr>
              <w:ind w:left="160"/>
              <w:spacing w:after="0"/>
              <w:rPr>
                <w:sz w:val="20"/>
                <w:szCs w:val="20"/>
                <w:color w:val="auto"/>
              </w:rPr>
            </w:pPr>
            <w:r>
              <w:rPr>
                <w:rFonts w:ascii="Arial" w:cs="Arial" w:eastAsia="Arial" w:hAnsi="Arial"/>
                <w:sz w:val="14"/>
                <w:szCs w:val="14"/>
                <w:color w:val="auto"/>
              </w:rPr>
              <w:t>Illiquidity premium</w:t>
            </w:r>
          </w:p>
        </w:tc>
        <w:tc>
          <w:tcPr>
            <w:tcW w:w="1700" w:type="dxa"/>
            <w:vAlign w:val="bottom"/>
          </w:tcPr>
          <w:p>
            <w:pPr>
              <w:jc w:val="right"/>
              <w:ind w:right="192"/>
              <w:spacing w:after="0"/>
              <w:rPr>
                <w:sz w:val="20"/>
                <w:szCs w:val="20"/>
                <w:color w:val="auto"/>
              </w:rPr>
            </w:pPr>
            <w:r>
              <w:rPr>
                <w:rFonts w:ascii="Arial" w:cs="Arial" w:eastAsia="Arial" w:hAnsi="Arial"/>
                <w:sz w:val="14"/>
                <w:szCs w:val="14"/>
                <w:color w:val="auto"/>
              </w:rPr>
              <w:t>0bps - 50bps</w:t>
            </w:r>
          </w:p>
        </w:tc>
        <w:tc>
          <w:tcPr>
            <w:tcW w:w="640" w:type="dxa"/>
            <w:vAlign w:val="bottom"/>
          </w:tcPr>
          <w:p>
            <w:pPr>
              <w:jc w:val="right"/>
              <w:spacing w:after="0"/>
              <w:rPr>
                <w:sz w:val="20"/>
                <w:szCs w:val="20"/>
                <w:color w:val="auto"/>
              </w:rPr>
            </w:pPr>
            <w:r>
              <w:rPr>
                <w:rFonts w:ascii="Arial" w:cs="Arial" w:eastAsia="Arial" w:hAnsi="Arial"/>
                <w:sz w:val="14"/>
                <w:szCs w:val="14"/>
                <w:color w:val="auto"/>
              </w:rPr>
              <w:t>11bps</w:t>
            </w:r>
          </w:p>
        </w:tc>
      </w:tr>
      <w:tr>
        <w:trPr>
          <w:trHeight w:val="311"/>
        </w:trPr>
        <w:tc>
          <w:tcPr>
            <w:tcW w:w="400" w:type="dxa"/>
            <w:vAlign w:val="bottom"/>
          </w:tcPr>
          <w:p>
            <w:pPr>
              <w:jc w:val="right"/>
              <w:ind w:right="32"/>
              <w:spacing w:after="0"/>
              <w:rPr>
                <w:sz w:val="20"/>
                <w:szCs w:val="20"/>
                <w:color w:val="auto"/>
              </w:rPr>
            </w:pPr>
            <w:r>
              <w:rPr>
                <w:rFonts w:ascii="Arial" w:cs="Arial" w:eastAsia="Arial" w:hAnsi="Arial"/>
                <w:sz w:val="14"/>
                <w:szCs w:val="14"/>
                <w:b w:val="1"/>
                <w:bCs w:val="1"/>
                <w:color w:val="auto"/>
              </w:rPr>
              <w:t>36.2</w:t>
            </w:r>
          </w:p>
        </w:tc>
        <w:tc>
          <w:tcPr>
            <w:tcW w:w="1740" w:type="dxa"/>
            <w:vAlign w:val="bottom"/>
          </w:tcPr>
          <w:p>
            <w:pPr>
              <w:ind w:left="80"/>
              <w:spacing w:after="0"/>
              <w:rPr>
                <w:sz w:val="20"/>
                <w:szCs w:val="20"/>
                <w:color w:val="auto"/>
              </w:rPr>
            </w:pPr>
            <w:r>
              <w:rPr>
                <w:rFonts w:ascii="Arial" w:cs="Arial" w:eastAsia="Arial" w:hAnsi="Arial"/>
                <w:sz w:val="14"/>
                <w:szCs w:val="14"/>
                <w:color w:val="auto"/>
              </w:rPr>
              <w:t>Discounted cash flow</w:t>
            </w:r>
          </w:p>
        </w:tc>
        <w:tc>
          <w:tcPr>
            <w:tcW w:w="2160" w:type="dxa"/>
            <w:vAlign w:val="bottom"/>
          </w:tcPr>
          <w:p>
            <w:pPr>
              <w:ind w:left="160"/>
              <w:spacing w:after="0"/>
              <w:rPr>
                <w:sz w:val="20"/>
                <w:szCs w:val="20"/>
                <w:color w:val="auto"/>
              </w:rPr>
            </w:pPr>
            <w:r>
              <w:rPr>
                <w:rFonts w:ascii="Arial" w:cs="Arial" w:eastAsia="Arial" w:hAnsi="Arial"/>
                <w:sz w:val="14"/>
                <w:szCs w:val="14"/>
                <w:color w:val="auto"/>
              </w:rPr>
              <w:t>Discount rate (1)</w:t>
            </w:r>
          </w:p>
        </w:tc>
        <w:tc>
          <w:tcPr>
            <w:tcW w:w="1700" w:type="dxa"/>
            <w:vAlign w:val="bottom"/>
          </w:tcPr>
          <w:p>
            <w:pPr>
              <w:jc w:val="right"/>
              <w:ind w:right="192"/>
              <w:spacing w:after="0"/>
              <w:rPr>
                <w:sz w:val="20"/>
                <w:szCs w:val="20"/>
                <w:color w:val="auto"/>
              </w:rPr>
            </w:pPr>
            <w:r>
              <w:rPr>
                <w:rFonts w:ascii="Arial" w:cs="Arial" w:eastAsia="Arial" w:hAnsi="Arial"/>
                <w:sz w:val="14"/>
                <w:szCs w:val="14"/>
                <w:color w:val="auto"/>
              </w:rPr>
              <w:t>1.6% - 83.0%</w:t>
            </w:r>
          </w:p>
        </w:tc>
        <w:tc>
          <w:tcPr>
            <w:tcW w:w="640" w:type="dxa"/>
            <w:vAlign w:val="bottom"/>
          </w:tcPr>
          <w:p>
            <w:pPr>
              <w:jc w:val="right"/>
              <w:spacing w:after="0"/>
              <w:rPr>
                <w:sz w:val="20"/>
                <w:szCs w:val="20"/>
                <w:color w:val="auto"/>
              </w:rPr>
            </w:pPr>
            <w:r>
              <w:rPr>
                <w:rFonts w:ascii="Arial" w:cs="Arial" w:eastAsia="Arial" w:hAnsi="Arial"/>
                <w:sz w:val="14"/>
                <w:szCs w:val="14"/>
                <w:color w:val="auto"/>
              </w:rPr>
              <w:t>3.4%</w:t>
            </w:r>
          </w:p>
        </w:tc>
      </w:tr>
      <w:tr>
        <w:trPr>
          <w:trHeight w:val="311"/>
        </w:trPr>
        <w:tc>
          <w:tcPr>
            <w:tcW w:w="40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2160" w:type="dxa"/>
            <w:vAlign w:val="bottom"/>
          </w:tcPr>
          <w:p>
            <w:pPr>
              <w:ind w:left="160"/>
              <w:spacing w:after="0"/>
              <w:rPr>
                <w:sz w:val="20"/>
                <w:szCs w:val="20"/>
                <w:color w:val="auto"/>
              </w:rPr>
            </w:pPr>
            <w:r>
              <w:rPr>
                <w:rFonts w:ascii="Arial" w:cs="Arial" w:eastAsia="Arial" w:hAnsi="Arial"/>
                <w:sz w:val="14"/>
                <w:szCs w:val="14"/>
                <w:color w:val="auto"/>
              </w:rPr>
              <w:t>Illiquidity premium</w:t>
            </w:r>
          </w:p>
        </w:tc>
        <w:tc>
          <w:tcPr>
            <w:tcW w:w="1700" w:type="dxa"/>
            <w:vAlign w:val="bottom"/>
          </w:tcPr>
          <w:p>
            <w:pPr>
              <w:jc w:val="right"/>
              <w:ind w:right="192"/>
              <w:spacing w:after="0"/>
              <w:rPr>
                <w:sz w:val="20"/>
                <w:szCs w:val="20"/>
                <w:color w:val="auto"/>
              </w:rPr>
            </w:pPr>
            <w:r>
              <w:rPr>
                <w:rFonts w:ascii="Arial" w:cs="Arial" w:eastAsia="Arial" w:hAnsi="Arial"/>
                <w:sz w:val="14"/>
                <w:szCs w:val="14"/>
                <w:color w:val="auto"/>
              </w:rPr>
              <w:t>0bps - 1,400bps</w:t>
            </w:r>
          </w:p>
        </w:tc>
        <w:tc>
          <w:tcPr>
            <w:tcW w:w="640" w:type="dxa"/>
            <w:vAlign w:val="bottom"/>
          </w:tcPr>
          <w:p>
            <w:pPr>
              <w:jc w:val="right"/>
              <w:spacing w:after="0"/>
              <w:rPr>
                <w:sz w:val="20"/>
                <w:szCs w:val="20"/>
                <w:color w:val="auto"/>
              </w:rPr>
            </w:pPr>
            <w:r>
              <w:rPr>
                <w:rFonts w:ascii="Arial" w:cs="Arial" w:eastAsia="Arial" w:hAnsi="Arial"/>
                <w:sz w:val="14"/>
                <w:szCs w:val="14"/>
                <w:color w:val="auto"/>
              </w:rPr>
              <w:t>370bps</w:t>
            </w:r>
          </w:p>
        </w:tc>
      </w:tr>
      <w:tr>
        <w:trPr>
          <w:trHeight w:val="311"/>
        </w:trPr>
        <w:tc>
          <w:tcPr>
            <w:tcW w:w="400" w:type="dxa"/>
            <w:vAlign w:val="bottom"/>
          </w:tcPr>
          <w:p>
            <w:pPr>
              <w:jc w:val="right"/>
              <w:ind w:right="32"/>
              <w:spacing w:after="0"/>
              <w:rPr>
                <w:sz w:val="20"/>
                <w:szCs w:val="20"/>
                <w:color w:val="auto"/>
              </w:rPr>
            </w:pPr>
            <w:r>
              <w:rPr>
                <w:rFonts w:ascii="Arial" w:cs="Arial" w:eastAsia="Arial" w:hAnsi="Arial"/>
                <w:sz w:val="14"/>
                <w:szCs w:val="14"/>
                <w:b w:val="1"/>
                <w:bCs w:val="1"/>
                <w:color w:val="auto"/>
                <w:w w:val="79"/>
              </w:rPr>
              <w:t>110.4</w:t>
            </w:r>
          </w:p>
        </w:tc>
        <w:tc>
          <w:tcPr>
            <w:tcW w:w="1740" w:type="dxa"/>
            <w:vAlign w:val="bottom"/>
          </w:tcPr>
          <w:p>
            <w:pPr>
              <w:ind w:left="80"/>
              <w:spacing w:after="0"/>
              <w:rPr>
                <w:sz w:val="20"/>
                <w:szCs w:val="20"/>
                <w:color w:val="auto"/>
              </w:rPr>
            </w:pPr>
            <w:r>
              <w:rPr>
                <w:rFonts w:ascii="Arial" w:cs="Arial" w:eastAsia="Arial" w:hAnsi="Arial"/>
                <w:sz w:val="14"/>
                <w:szCs w:val="14"/>
                <w:color w:val="auto"/>
              </w:rPr>
              <w:t>See note (2)</w:t>
            </w:r>
          </w:p>
        </w:tc>
        <w:tc>
          <w:tcPr>
            <w:tcW w:w="21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640" w:type="dxa"/>
            <w:vAlign w:val="bottom"/>
          </w:tcPr>
          <w:p>
            <w:pPr>
              <w:spacing w:after="0"/>
              <w:rPr>
                <w:sz w:val="24"/>
                <w:szCs w:val="24"/>
                <w:color w:val="auto"/>
              </w:rPr>
            </w:pPr>
          </w:p>
        </w:tc>
      </w:tr>
      <w:tr>
        <w:trPr>
          <w:trHeight w:val="287"/>
        </w:trPr>
        <w:tc>
          <w:tcPr>
            <w:tcW w:w="400" w:type="dxa"/>
            <w:vAlign w:val="bottom"/>
          </w:tcPr>
          <w:p>
            <w:pPr>
              <w:jc w:val="right"/>
              <w:ind w:right="32"/>
              <w:spacing w:after="0"/>
              <w:rPr>
                <w:sz w:val="20"/>
                <w:szCs w:val="20"/>
                <w:color w:val="auto"/>
              </w:rPr>
            </w:pPr>
            <w:r>
              <w:rPr>
                <w:rFonts w:ascii="Arial" w:cs="Arial" w:eastAsia="Arial" w:hAnsi="Arial"/>
                <w:sz w:val="14"/>
                <w:szCs w:val="14"/>
                <w:b w:val="1"/>
                <w:bCs w:val="1"/>
                <w:color w:val="auto"/>
              </w:rPr>
              <w:t>68.1</w:t>
            </w:r>
          </w:p>
        </w:tc>
        <w:tc>
          <w:tcPr>
            <w:tcW w:w="1740" w:type="dxa"/>
            <w:vAlign w:val="bottom"/>
          </w:tcPr>
          <w:p>
            <w:pPr>
              <w:ind w:left="80"/>
              <w:spacing w:after="0"/>
              <w:rPr>
                <w:sz w:val="20"/>
                <w:szCs w:val="20"/>
                <w:color w:val="auto"/>
              </w:rPr>
            </w:pPr>
            <w:r>
              <w:rPr>
                <w:rFonts w:ascii="Arial" w:cs="Arial" w:eastAsia="Arial" w:hAnsi="Arial"/>
                <w:sz w:val="14"/>
                <w:szCs w:val="14"/>
                <w:color w:val="auto"/>
              </w:rPr>
              <w:t>Discounted cash flow —</w:t>
            </w:r>
          </w:p>
        </w:tc>
        <w:tc>
          <w:tcPr>
            <w:tcW w:w="2160" w:type="dxa"/>
            <w:vAlign w:val="bottom"/>
          </w:tcPr>
          <w:p>
            <w:pPr>
              <w:ind w:left="160"/>
              <w:spacing w:after="0"/>
              <w:rPr>
                <w:sz w:val="20"/>
                <w:szCs w:val="20"/>
                <w:color w:val="auto"/>
              </w:rPr>
            </w:pPr>
            <w:r>
              <w:rPr>
                <w:rFonts w:ascii="Arial" w:cs="Arial" w:eastAsia="Arial" w:hAnsi="Arial"/>
                <w:sz w:val="14"/>
                <w:szCs w:val="14"/>
                <w:color w:val="auto"/>
              </w:rPr>
              <w:t>Discount rate (1)</w:t>
            </w:r>
          </w:p>
        </w:tc>
        <w:tc>
          <w:tcPr>
            <w:tcW w:w="1700" w:type="dxa"/>
            <w:vAlign w:val="bottom"/>
          </w:tcPr>
          <w:p>
            <w:pPr>
              <w:jc w:val="right"/>
              <w:ind w:right="192"/>
              <w:spacing w:after="0"/>
              <w:rPr>
                <w:sz w:val="20"/>
                <w:szCs w:val="20"/>
                <w:color w:val="auto"/>
              </w:rPr>
            </w:pPr>
            <w:r>
              <w:rPr>
                <w:rFonts w:ascii="Arial" w:cs="Arial" w:eastAsia="Arial" w:hAnsi="Arial"/>
                <w:sz w:val="14"/>
                <w:szCs w:val="14"/>
                <w:color w:val="auto"/>
              </w:rPr>
              <w:t>4.8%</w:t>
            </w:r>
          </w:p>
        </w:tc>
        <w:tc>
          <w:tcPr>
            <w:tcW w:w="640" w:type="dxa"/>
            <w:vAlign w:val="bottom"/>
          </w:tcPr>
          <w:p>
            <w:pPr>
              <w:jc w:val="right"/>
              <w:spacing w:after="0"/>
              <w:rPr>
                <w:sz w:val="20"/>
                <w:szCs w:val="20"/>
                <w:color w:val="auto"/>
              </w:rPr>
            </w:pPr>
            <w:r>
              <w:rPr>
                <w:rFonts w:ascii="Arial" w:cs="Arial" w:eastAsia="Arial" w:hAnsi="Arial"/>
                <w:sz w:val="14"/>
                <w:szCs w:val="14"/>
                <w:color w:val="auto"/>
              </w:rPr>
              <w:t>4.8%</w:t>
            </w:r>
          </w:p>
        </w:tc>
      </w:tr>
      <w:tr>
        <w:trPr>
          <w:trHeight w:val="149"/>
        </w:trPr>
        <w:tc>
          <w:tcPr>
            <w:tcW w:w="400" w:type="dxa"/>
            <w:vAlign w:val="bottom"/>
          </w:tcPr>
          <w:p>
            <w:pPr>
              <w:spacing w:after="0"/>
              <w:rPr>
                <w:sz w:val="12"/>
                <w:szCs w:val="12"/>
                <w:color w:val="auto"/>
              </w:rPr>
            </w:pPr>
          </w:p>
        </w:tc>
        <w:tc>
          <w:tcPr>
            <w:tcW w:w="1740" w:type="dxa"/>
            <w:vAlign w:val="bottom"/>
          </w:tcPr>
          <w:p>
            <w:pPr>
              <w:ind w:left="80"/>
              <w:spacing w:after="0" w:line="149" w:lineRule="exact"/>
              <w:rPr>
                <w:sz w:val="20"/>
                <w:szCs w:val="20"/>
                <w:color w:val="auto"/>
              </w:rPr>
            </w:pPr>
            <w:r>
              <w:rPr>
                <w:rFonts w:ascii="Arial" w:cs="Arial" w:eastAsia="Arial" w:hAnsi="Arial"/>
                <w:sz w:val="14"/>
                <w:szCs w:val="14"/>
                <w:color w:val="auto"/>
                <w:w w:val="95"/>
              </w:rPr>
              <w:t>commercial mortgage loans</w:t>
            </w:r>
          </w:p>
        </w:tc>
        <w:tc>
          <w:tcPr>
            <w:tcW w:w="216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640" w:type="dxa"/>
            <w:vAlign w:val="bottom"/>
          </w:tcPr>
          <w:p>
            <w:pPr>
              <w:spacing w:after="0"/>
              <w:rPr>
                <w:sz w:val="12"/>
                <w:szCs w:val="12"/>
                <w:color w:val="auto"/>
              </w:rPr>
            </w:pPr>
          </w:p>
        </w:tc>
      </w:tr>
      <w:tr>
        <w:trPr>
          <w:trHeight w:val="172"/>
        </w:trPr>
        <w:tc>
          <w:tcPr>
            <w:tcW w:w="400" w:type="dxa"/>
            <w:vAlign w:val="bottom"/>
          </w:tcPr>
          <w:p>
            <w:pPr>
              <w:spacing w:after="0"/>
              <w:rPr>
                <w:sz w:val="14"/>
                <w:szCs w:val="14"/>
                <w:color w:val="auto"/>
              </w:rPr>
            </w:pPr>
          </w:p>
        </w:tc>
        <w:tc>
          <w:tcPr>
            <w:tcW w:w="1740" w:type="dxa"/>
            <w:vAlign w:val="bottom"/>
          </w:tcPr>
          <w:p>
            <w:pPr>
              <w:ind w:left="80"/>
              <w:spacing w:after="0"/>
              <w:rPr>
                <w:sz w:val="20"/>
                <w:szCs w:val="20"/>
                <w:color w:val="auto"/>
              </w:rPr>
            </w:pPr>
            <w:r>
              <w:rPr>
                <w:rFonts w:ascii="Arial" w:cs="Arial" w:eastAsia="Arial" w:hAnsi="Arial"/>
                <w:sz w:val="14"/>
                <w:szCs w:val="14"/>
                <w:color w:val="auto"/>
              </w:rPr>
              <w:t>of consolidated VIEs</w:t>
            </w:r>
          </w:p>
        </w:tc>
        <w:tc>
          <w:tcPr>
            <w:tcW w:w="216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640" w:type="dxa"/>
            <w:vAlign w:val="bottom"/>
          </w:tcPr>
          <w:p>
            <w:pPr>
              <w:spacing w:after="0"/>
              <w:rPr>
                <w:sz w:val="14"/>
                <w:szCs w:val="1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-1576705</wp:posOffset>
            </wp:positionH>
            <wp:positionV relativeFrom="paragraph">
              <wp:posOffset>-2554605</wp:posOffset>
            </wp:positionV>
            <wp:extent cx="5797550" cy="19748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5797550" cy="197485"/>
                    </a:xfrm>
                    <a:prstGeom prst="rect">
                      <a:avLst/>
                    </a:prstGeom>
                    <a:noFill/>
                  </pic:spPr>
                </pic:pic>
              </a:graphicData>
            </a:graphic>
          </wp:anchor>
        </w:drawing>
        <w:drawing>
          <wp:anchor simplePos="0" relativeHeight="251657728" behindDoc="1" locked="0" layoutInCell="0" allowOverlap="1">
            <wp:simplePos x="0" y="0"/>
            <wp:positionH relativeFrom="column">
              <wp:posOffset>-1576705</wp:posOffset>
            </wp:positionH>
            <wp:positionV relativeFrom="paragraph">
              <wp:posOffset>-2160270</wp:posOffset>
            </wp:positionV>
            <wp:extent cx="5797550" cy="29146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5797550" cy="291465"/>
                    </a:xfrm>
                    <a:prstGeom prst="rect">
                      <a:avLst/>
                    </a:prstGeom>
                    <a:noFill/>
                  </pic:spPr>
                </pic:pic>
              </a:graphicData>
            </a:graphic>
          </wp:anchor>
        </w:drawing>
        <w:drawing>
          <wp:anchor simplePos="0" relativeHeight="251657728" behindDoc="1" locked="0" layoutInCell="0" allowOverlap="1">
            <wp:simplePos x="0" y="0"/>
            <wp:positionH relativeFrom="column">
              <wp:posOffset>-1576705</wp:posOffset>
            </wp:positionH>
            <wp:positionV relativeFrom="paragraph">
              <wp:posOffset>-1576705</wp:posOffset>
            </wp:positionV>
            <wp:extent cx="5797550" cy="19748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5797550" cy="197485"/>
                    </a:xfrm>
                    <a:prstGeom prst="rect">
                      <a:avLst/>
                    </a:prstGeom>
                    <a:noFill/>
                  </pic:spPr>
                </pic:pic>
              </a:graphicData>
            </a:graphic>
          </wp:anchor>
        </w:drawing>
        <w:drawing>
          <wp:anchor simplePos="0" relativeHeight="251657728" behindDoc="1" locked="0" layoutInCell="0" allowOverlap="1">
            <wp:simplePos x="0" y="0"/>
            <wp:positionH relativeFrom="column">
              <wp:posOffset>-1576705</wp:posOffset>
            </wp:positionH>
            <wp:positionV relativeFrom="paragraph">
              <wp:posOffset>-1182370</wp:posOffset>
            </wp:positionV>
            <wp:extent cx="5797550" cy="19748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5797550" cy="197485"/>
                    </a:xfrm>
                    <a:prstGeom prst="rect">
                      <a:avLst/>
                    </a:prstGeom>
                    <a:noFill/>
                  </pic:spPr>
                </pic:pic>
              </a:graphicData>
            </a:graphic>
          </wp:anchor>
        </w:drawing>
        <w:drawing>
          <wp:anchor simplePos="0" relativeHeight="251657728" behindDoc="1" locked="0" layoutInCell="0" allowOverlap="1">
            <wp:simplePos x="0" y="0"/>
            <wp:positionH relativeFrom="column">
              <wp:posOffset>-1576705</wp:posOffset>
            </wp:positionH>
            <wp:positionV relativeFrom="paragraph">
              <wp:posOffset>-788035</wp:posOffset>
            </wp:positionV>
            <wp:extent cx="5797550" cy="1974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5797550" cy="197485"/>
                    </a:xfrm>
                    <a:prstGeom prst="rect">
                      <a:avLst/>
                    </a:prstGeom>
                    <a:noFill/>
                  </pic:spPr>
                </pic:pic>
              </a:graphicData>
            </a:graphic>
          </wp:anchor>
        </w:drawing>
        <w:drawing>
          <wp:anchor simplePos="0" relativeHeight="251657728" behindDoc="1" locked="0" layoutInCell="0" allowOverlap="1">
            <wp:simplePos x="0" y="0"/>
            <wp:positionH relativeFrom="column">
              <wp:posOffset>-1576705</wp:posOffset>
            </wp:positionH>
            <wp:positionV relativeFrom="paragraph">
              <wp:posOffset>-393700</wp:posOffset>
            </wp:positionV>
            <wp:extent cx="5797550" cy="38608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5797550" cy="386080"/>
                    </a:xfrm>
                    <a:prstGeom prst="rect">
                      <a:avLst/>
                    </a:prstGeom>
                    <a:noFill/>
                  </pic:spPr>
                </pic:pic>
              </a:graphicData>
            </a:graphic>
          </wp:anchor>
        </w:drawing>
      </w:r>
    </w:p>
    <w:p>
      <w:pPr>
        <w:spacing w:after="0" w:line="125" w:lineRule="exact"/>
        <w:rPr>
          <w:sz w:val="20"/>
          <w:szCs w:val="20"/>
          <w:color w:val="auto"/>
        </w:rPr>
      </w:pPr>
    </w:p>
    <w:p>
      <w:pPr>
        <w:sectPr>
          <w:pgSz w:w="11900" w:h="16838" w:orient="portrait"/>
          <w:cols w:equalWidth="0" w:num="2">
            <w:col w:w="2920" w:space="720"/>
            <w:col w:w="7780"/>
          </w:cols>
          <w:pgMar w:left="240" w:top="131" w:right="239" w:bottom="1440" w:gutter="0" w:footer="0" w:header="0"/>
          <w:type w:val="continuous"/>
        </w:sectPr>
      </w:pPr>
    </w:p>
    <w:tbl>
      <w:tblPr>
        <w:tblLayout w:type="fixed"/>
        <w:tblInd w:w="1160" w:type="dxa"/>
        <w:tblCellMar>
          <w:top w:w="0" w:type="dxa"/>
          <w:left w:w="0" w:type="dxa"/>
          <w:bottom w:w="0" w:type="dxa"/>
          <w:right w:w="0" w:type="dxa"/>
        </w:tblCellMar>
      </w:tblPr>
      <w:tr>
        <w:trPr>
          <w:trHeight w:val="173"/>
        </w:trPr>
        <w:tc>
          <w:tcPr>
            <w:tcW w:w="4540" w:type="dxa"/>
            <w:vAlign w:val="bottom"/>
          </w:tcPr>
          <w:p>
            <w:pPr>
              <w:spacing w:after="0"/>
              <w:rPr>
                <w:sz w:val="15"/>
                <w:szCs w:val="15"/>
                <w:color w:val="auto"/>
              </w:rPr>
            </w:pPr>
          </w:p>
        </w:tc>
        <w:tc>
          <w:tcPr>
            <w:tcW w:w="2320" w:type="dxa"/>
            <w:vAlign w:val="bottom"/>
          </w:tcPr>
          <w:p>
            <w:pPr>
              <w:ind w:left="240"/>
              <w:spacing w:after="0"/>
              <w:rPr>
                <w:sz w:val="20"/>
                <w:szCs w:val="20"/>
                <w:color w:val="auto"/>
              </w:rPr>
            </w:pPr>
            <w:r>
              <w:rPr>
                <w:rFonts w:ascii="Arial" w:cs="Arial" w:eastAsia="Arial" w:hAnsi="Arial"/>
                <w:sz w:val="14"/>
                <w:szCs w:val="14"/>
                <w:color w:val="auto"/>
              </w:rPr>
              <w:t>Illiquidity premium</w:t>
            </w:r>
          </w:p>
        </w:tc>
        <w:tc>
          <w:tcPr>
            <w:tcW w:w="1640" w:type="dxa"/>
            <w:vAlign w:val="bottom"/>
          </w:tcPr>
          <w:p>
            <w:pPr>
              <w:jc w:val="right"/>
              <w:ind w:right="212"/>
              <w:spacing w:after="0"/>
              <w:rPr>
                <w:sz w:val="20"/>
                <w:szCs w:val="20"/>
                <w:color w:val="auto"/>
              </w:rPr>
            </w:pPr>
            <w:r>
              <w:rPr>
                <w:rFonts w:ascii="Arial" w:cs="Arial" w:eastAsia="Arial" w:hAnsi="Arial"/>
                <w:sz w:val="14"/>
                <w:szCs w:val="14"/>
                <w:color w:val="auto"/>
              </w:rPr>
              <w:t>94bps</w:t>
            </w:r>
          </w:p>
        </w:tc>
        <w:tc>
          <w:tcPr>
            <w:tcW w:w="620" w:type="dxa"/>
            <w:vAlign w:val="bottom"/>
          </w:tcPr>
          <w:p>
            <w:pPr>
              <w:jc w:val="right"/>
              <w:spacing w:after="0"/>
              <w:rPr>
                <w:sz w:val="20"/>
                <w:szCs w:val="20"/>
                <w:color w:val="auto"/>
              </w:rPr>
            </w:pPr>
            <w:r>
              <w:rPr>
                <w:rFonts w:ascii="Arial" w:cs="Arial" w:eastAsia="Arial" w:hAnsi="Arial"/>
                <w:sz w:val="14"/>
                <w:szCs w:val="14"/>
                <w:color w:val="auto"/>
              </w:rPr>
              <w:t>94bps</w:t>
            </w:r>
          </w:p>
        </w:tc>
      </w:tr>
      <w:tr>
        <w:trPr>
          <w:trHeight w:val="300"/>
        </w:trPr>
        <w:tc>
          <w:tcPr>
            <w:tcW w:w="4540" w:type="dxa"/>
            <w:vAlign w:val="bottom"/>
            <w:shd w:val="clear" w:color="auto" w:fill="CCEEFF"/>
          </w:tcPr>
          <w:p>
            <w:pPr>
              <w:ind w:left="2540"/>
              <w:spacing w:after="0"/>
              <w:rPr>
                <w:sz w:val="20"/>
                <w:szCs w:val="20"/>
                <w:color w:val="auto"/>
              </w:rPr>
            </w:pPr>
            <w:r>
              <w:rPr>
                <w:rFonts w:ascii="Arial" w:cs="Arial" w:eastAsia="Arial" w:hAnsi="Arial"/>
                <w:sz w:val="14"/>
                <w:szCs w:val="14"/>
                <w:b w:val="1"/>
                <w:bCs w:val="1"/>
                <w:color w:val="auto"/>
              </w:rPr>
              <w:t xml:space="preserve">74.8   </w:t>
            </w:r>
            <w:r>
              <w:rPr>
                <w:rFonts w:ascii="Arial" w:cs="Arial" w:eastAsia="Arial" w:hAnsi="Arial"/>
                <w:sz w:val="14"/>
                <w:szCs w:val="14"/>
                <w:color w:val="auto"/>
              </w:rPr>
              <w:t>Discounted cash flow —</w:t>
            </w:r>
          </w:p>
        </w:tc>
        <w:tc>
          <w:tcPr>
            <w:tcW w:w="2320" w:type="dxa"/>
            <w:vAlign w:val="bottom"/>
            <w:shd w:val="clear" w:color="auto" w:fill="CCEEFF"/>
          </w:tcPr>
          <w:p>
            <w:pPr>
              <w:ind w:left="240"/>
              <w:spacing w:after="0"/>
              <w:rPr>
                <w:sz w:val="20"/>
                <w:szCs w:val="20"/>
                <w:color w:val="auto"/>
              </w:rPr>
            </w:pPr>
            <w:r>
              <w:rPr>
                <w:rFonts w:ascii="Arial" w:cs="Arial" w:eastAsia="Arial" w:hAnsi="Arial"/>
                <w:sz w:val="14"/>
                <w:szCs w:val="14"/>
                <w:color w:val="auto"/>
              </w:rPr>
              <w:t>Discount rate (1)</w:t>
            </w:r>
          </w:p>
        </w:tc>
        <w:tc>
          <w:tcPr>
            <w:tcW w:w="1640" w:type="dxa"/>
            <w:vAlign w:val="bottom"/>
            <w:shd w:val="clear" w:color="auto" w:fill="CCEEFF"/>
          </w:tcPr>
          <w:p>
            <w:pPr>
              <w:jc w:val="right"/>
              <w:ind w:right="212"/>
              <w:spacing w:after="0"/>
              <w:rPr>
                <w:sz w:val="20"/>
                <w:szCs w:val="20"/>
                <w:color w:val="auto"/>
              </w:rPr>
            </w:pPr>
            <w:r>
              <w:rPr>
                <w:rFonts w:ascii="Arial" w:cs="Arial" w:eastAsia="Arial" w:hAnsi="Arial"/>
                <w:sz w:val="14"/>
                <w:szCs w:val="14"/>
                <w:color w:val="auto"/>
              </w:rPr>
              <w:t>7.8% - 8.1%</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7.9%</w:t>
            </w:r>
          </w:p>
        </w:tc>
      </w:tr>
      <w:tr>
        <w:trPr>
          <w:trHeight w:val="149"/>
        </w:trPr>
        <w:tc>
          <w:tcPr>
            <w:tcW w:w="4540" w:type="dxa"/>
            <w:vAlign w:val="bottom"/>
            <w:shd w:val="clear" w:color="auto" w:fill="CCEEFF"/>
          </w:tcPr>
          <w:p>
            <w:pPr>
              <w:ind w:left="2960"/>
              <w:spacing w:after="0" w:line="149" w:lineRule="exact"/>
              <w:rPr>
                <w:sz w:val="20"/>
                <w:szCs w:val="20"/>
                <w:color w:val="auto"/>
              </w:rPr>
            </w:pPr>
            <w:r>
              <w:rPr>
                <w:rFonts w:ascii="Arial" w:cs="Arial" w:eastAsia="Arial" w:hAnsi="Arial"/>
                <w:sz w:val="14"/>
                <w:szCs w:val="14"/>
                <w:color w:val="auto"/>
                <w:w w:val="99"/>
              </w:rPr>
              <w:t>equity method real estate</w:t>
            </w:r>
          </w:p>
        </w:tc>
        <w:tc>
          <w:tcPr>
            <w:tcW w:w="2320" w:type="dxa"/>
            <w:vAlign w:val="bottom"/>
            <w:shd w:val="clear" w:color="auto" w:fill="CCEEFF"/>
          </w:tcPr>
          <w:p>
            <w:pPr>
              <w:spacing w:after="0"/>
              <w:rPr>
                <w:sz w:val="12"/>
                <w:szCs w:val="12"/>
                <w:color w:val="auto"/>
              </w:rPr>
            </w:pPr>
          </w:p>
        </w:tc>
        <w:tc>
          <w:tcPr>
            <w:tcW w:w="164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r>
      <w:tr>
        <w:trPr>
          <w:trHeight w:val="159"/>
        </w:trPr>
        <w:tc>
          <w:tcPr>
            <w:tcW w:w="4540" w:type="dxa"/>
            <w:vAlign w:val="bottom"/>
            <w:shd w:val="clear" w:color="auto" w:fill="CCEEFF"/>
          </w:tcPr>
          <w:p>
            <w:pPr>
              <w:ind w:left="2960"/>
              <w:spacing w:after="0" w:line="159" w:lineRule="exact"/>
              <w:rPr>
                <w:sz w:val="20"/>
                <w:szCs w:val="20"/>
                <w:color w:val="auto"/>
              </w:rPr>
            </w:pPr>
            <w:r>
              <w:rPr>
                <w:rFonts w:ascii="Arial" w:cs="Arial" w:eastAsia="Arial" w:hAnsi="Arial"/>
                <w:sz w:val="14"/>
                <w:szCs w:val="14"/>
                <w:color w:val="auto"/>
              </w:rPr>
              <w:t>investments</w:t>
            </w:r>
          </w:p>
        </w:tc>
        <w:tc>
          <w:tcPr>
            <w:tcW w:w="2320" w:type="dxa"/>
            <w:vAlign w:val="bottom"/>
            <w:shd w:val="clear" w:color="auto" w:fill="CCEEFF"/>
          </w:tcPr>
          <w:p>
            <w:pPr>
              <w:spacing w:after="0"/>
              <w:rPr>
                <w:sz w:val="13"/>
                <w:szCs w:val="13"/>
                <w:color w:val="auto"/>
              </w:rPr>
            </w:pPr>
          </w:p>
        </w:tc>
        <w:tc>
          <w:tcPr>
            <w:tcW w:w="1640" w:type="dxa"/>
            <w:vAlign w:val="bottom"/>
            <w:shd w:val="clear" w:color="auto" w:fill="CCEEFF"/>
          </w:tcPr>
          <w:p>
            <w:pPr>
              <w:spacing w:after="0"/>
              <w:rPr>
                <w:sz w:val="13"/>
                <w:szCs w:val="13"/>
                <w:color w:val="auto"/>
              </w:rPr>
            </w:pPr>
          </w:p>
        </w:tc>
        <w:tc>
          <w:tcPr>
            <w:tcW w:w="620" w:type="dxa"/>
            <w:vAlign w:val="bottom"/>
            <w:shd w:val="clear" w:color="auto" w:fill="CCEEFF"/>
          </w:tcPr>
          <w:p>
            <w:pPr>
              <w:spacing w:after="0"/>
              <w:rPr>
                <w:sz w:val="13"/>
                <w:szCs w:val="13"/>
                <w:color w:val="auto"/>
              </w:rPr>
            </w:pPr>
          </w:p>
        </w:tc>
      </w:tr>
      <w:tr>
        <w:trPr>
          <w:trHeight w:val="311"/>
        </w:trPr>
        <w:tc>
          <w:tcPr>
            <w:tcW w:w="4540" w:type="dxa"/>
            <w:vAlign w:val="bottom"/>
          </w:tcPr>
          <w:p>
            <w:pPr>
              <w:spacing w:after="0"/>
              <w:rPr>
                <w:sz w:val="24"/>
                <w:szCs w:val="24"/>
                <w:color w:val="auto"/>
              </w:rPr>
            </w:pPr>
          </w:p>
        </w:tc>
        <w:tc>
          <w:tcPr>
            <w:tcW w:w="2320" w:type="dxa"/>
            <w:vAlign w:val="bottom"/>
          </w:tcPr>
          <w:p>
            <w:pPr>
              <w:ind w:left="240"/>
              <w:spacing w:after="0"/>
              <w:rPr>
                <w:sz w:val="20"/>
                <w:szCs w:val="20"/>
                <w:color w:val="auto"/>
              </w:rPr>
            </w:pPr>
            <w:r>
              <w:rPr>
                <w:rFonts w:ascii="Arial" w:cs="Arial" w:eastAsia="Arial" w:hAnsi="Arial"/>
                <w:sz w:val="14"/>
                <w:szCs w:val="14"/>
                <w:color w:val="auto"/>
              </w:rPr>
              <w:t>Terminal capitalization rate</w:t>
            </w:r>
          </w:p>
        </w:tc>
        <w:tc>
          <w:tcPr>
            <w:tcW w:w="1640" w:type="dxa"/>
            <w:vAlign w:val="bottom"/>
          </w:tcPr>
          <w:p>
            <w:pPr>
              <w:jc w:val="right"/>
              <w:ind w:right="212"/>
              <w:spacing w:after="0"/>
              <w:rPr>
                <w:sz w:val="20"/>
                <w:szCs w:val="20"/>
                <w:color w:val="auto"/>
              </w:rPr>
            </w:pPr>
            <w:r>
              <w:rPr>
                <w:rFonts w:ascii="Arial" w:cs="Arial" w:eastAsia="Arial" w:hAnsi="Arial"/>
                <w:sz w:val="14"/>
                <w:szCs w:val="14"/>
                <w:color w:val="auto"/>
              </w:rPr>
              <w:t>5.5% - 6.8%</w:t>
            </w:r>
          </w:p>
        </w:tc>
        <w:tc>
          <w:tcPr>
            <w:tcW w:w="620" w:type="dxa"/>
            <w:vAlign w:val="bottom"/>
          </w:tcPr>
          <w:p>
            <w:pPr>
              <w:jc w:val="right"/>
              <w:spacing w:after="0"/>
              <w:rPr>
                <w:sz w:val="20"/>
                <w:szCs w:val="20"/>
                <w:color w:val="auto"/>
              </w:rPr>
            </w:pPr>
            <w:r>
              <w:rPr>
                <w:rFonts w:ascii="Arial" w:cs="Arial" w:eastAsia="Arial" w:hAnsi="Arial"/>
                <w:sz w:val="14"/>
                <w:szCs w:val="14"/>
                <w:color w:val="auto"/>
              </w:rPr>
              <w:t>6.1%</w:t>
            </w:r>
          </w:p>
        </w:tc>
      </w:tr>
      <w:tr>
        <w:trPr>
          <w:trHeight w:val="300"/>
        </w:trPr>
        <w:tc>
          <w:tcPr>
            <w:tcW w:w="4540" w:type="dxa"/>
            <w:vAlign w:val="bottom"/>
            <w:shd w:val="clear" w:color="auto" w:fill="CCEEFF"/>
          </w:tcPr>
          <w:p>
            <w:pPr>
              <w:spacing w:after="0"/>
              <w:rPr>
                <w:sz w:val="24"/>
                <w:szCs w:val="24"/>
                <w:color w:val="auto"/>
              </w:rPr>
            </w:pPr>
          </w:p>
        </w:tc>
        <w:tc>
          <w:tcPr>
            <w:tcW w:w="2320" w:type="dxa"/>
            <w:vAlign w:val="bottom"/>
            <w:shd w:val="clear" w:color="auto" w:fill="CCEEFF"/>
          </w:tcPr>
          <w:p>
            <w:pPr>
              <w:ind w:left="240"/>
              <w:spacing w:after="0"/>
              <w:rPr>
                <w:sz w:val="20"/>
                <w:szCs w:val="20"/>
                <w:color w:val="auto"/>
              </w:rPr>
            </w:pPr>
            <w:r>
              <w:rPr>
                <w:rFonts w:ascii="Arial" w:cs="Arial" w:eastAsia="Arial" w:hAnsi="Arial"/>
                <w:sz w:val="14"/>
                <w:szCs w:val="14"/>
                <w:color w:val="auto"/>
              </w:rPr>
              <w:t>Average market rent growth</w:t>
            </w:r>
          </w:p>
        </w:tc>
        <w:tc>
          <w:tcPr>
            <w:tcW w:w="1640" w:type="dxa"/>
            <w:vAlign w:val="bottom"/>
            <w:shd w:val="clear" w:color="auto" w:fill="CCEEFF"/>
          </w:tcPr>
          <w:p>
            <w:pPr>
              <w:jc w:val="right"/>
              <w:ind w:right="212"/>
              <w:spacing w:after="0"/>
              <w:rPr>
                <w:sz w:val="20"/>
                <w:szCs w:val="20"/>
                <w:color w:val="auto"/>
              </w:rPr>
            </w:pPr>
            <w:r>
              <w:rPr>
                <w:rFonts w:ascii="Arial" w:cs="Arial" w:eastAsia="Arial" w:hAnsi="Arial"/>
                <w:sz w:val="14"/>
                <w:szCs w:val="14"/>
                <w:color w:val="auto"/>
              </w:rPr>
              <w:t>3.5% - 3.6%</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w:t>
            </w:r>
          </w:p>
        </w:tc>
      </w:tr>
      <w:tr>
        <w:trPr>
          <w:trHeight w:val="159"/>
        </w:trPr>
        <w:tc>
          <w:tcPr>
            <w:tcW w:w="4540" w:type="dxa"/>
            <w:vAlign w:val="bottom"/>
            <w:shd w:val="clear" w:color="auto" w:fill="CCEEFF"/>
          </w:tcPr>
          <w:p>
            <w:pPr>
              <w:spacing w:after="0"/>
              <w:rPr>
                <w:sz w:val="13"/>
                <w:szCs w:val="13"/>
                <w:color w:val="auto"/>
              </w:rPr>
            </w:pPr>
          </w:p>
        </w:tc>
        <w:tc>
          <w:tcPr>
            <w:tcW w:w="2320" w:type="dxa"/>
            <w:vAlign w:val="bottom"/>
            <w:shd w:val="clear" w:color="auto" w:fill="CCEEFF"/>
          </w:tcPr>
          <w:p>
            <w:pPr>
              <w:ind w:left="240"/>
              <w:spacing w:after="0" w:line="159" w:lineRule="exact"/>
              <w:rPr>
                <w:sz w:val="20"/>
                <w:szCs w:val="20"/>
                <w:color w:val="auto"/>
              </w:rPr>
            </w:pPr>
            <w:r>
              <w:rPr>
                <w:rFonts w:ascii="Arial" w:cs="Arial" w:eastAsia="Arial" w:hAnsi="Arial"/>
                <w:sz w:val="14"/>
                <w:szCs w:val="14"/>
                <w:color w:val="auto"/>
              </w:rPr>
              <w:t>rate</w:t>
            </w:r>
          </w:p>
        </w:tc>
        <w:tc>
          <w:tcPr>
            <w:tcW w:w="1640" w:type="dxa"/>
            <w:vAlign w:val="bottom"/>
            <w:shd w:val="clear" w:color="auto" w:fill="CCEEFF"/>
          </w:tcPr>
          <w:p>
            <w:pPr>
              <w:spacing w:after="0"/>
              <w:rPr>
                <w:sz w:val="13"/>
                <w:szCs w:val="13"/>
                <w:color w:val="auto"/>
              </w:rPr>
            </w:pPr>
          </w:p>
        </w:tc>
        <w:tc>
          <w:tcPr>
            <w:tcW w:w="620" w:type="dxa"/>
            <w:vAlign w:val="bottom"/>
            <w:shd w:val="clear" w:color="auto" w:fill="CCEEFF"/>
          </w:tcPr>
          <w:p>
            <w:pPr>
              <w:spacing w:after="0"/>
              <w:rPr>
                <w:sz w:val="13"/>
                <w:szCs w:val="13"/>
                <w:color w:val="auto"/>
              </w:rPr>
            </w:pPr>
          </w:p>
        </w:tc>
      </w:tr>
      <w:tr>
        <w:trPr>
          <w:trHeight w:val="300"/>
        </w:trPr>
        <w:tc>
          <w:tcPr>
            <w:tcW w:w="4540" w:type="dxa"/>
            <w:vAlign w:val="bottom"/>
          </w:tcPr>
          <w:p>
            <w:pPr>
              <w:ind w:left="2960"/>
              <w:spacing w:after="0"/>
              <w:rPr>
                <w:sz w:val="20"/>
                <w:szCs w:val="20"/>
                <w:color w:val="auto"/>
              </w:rPr>
            </w:pPr>
            <w:r>
              <w:rPr>
                <w:rFonts w:ascii="Arial" w:cs="Arial" w:eastAsia="Arial" w:hAnsi="Arial"/>
                <w:sz w:val="14"/>
                <w:szCs w:val="14"/>
                <w:color w:val="auto"/>
              </w:rPr>
              <w:t>Discounted cash flow —</w:t>
            </w:r>
          </w:p>
        </w:tc>
        <w:tc>
          <w:tcPr>
            <w:tcW w:w="2320" w:type="dxa"/>
            <w:vAlign w:val="bottom"/>
          </w:tcPr>
          <w:p>
            <w:pPr>
              <w:ind w:left="240"/>
              <w:spacing w:after="0"/>
              <w:rPr>
                <w:sz w:val="20"/>
                <w:szCs w:val="20"/>
                <w:color w:val="auto"/>
              </w:rPr>
            </w:pPr>
            <w:r>
              <w:rPr>
                <w:rFonts w:ascii="Arial" w:cs="Arial" w:eastAsia="Arial" w:hAnsi="Arial"/>
                <w:sz w:val="14"/>
                <w:szCs w:val="14"/>
                <w:color w:val="auto"/>
              </w:rPr>
              <w:t>Loan to value</w:t>
            </w:r>
          </w:p>
        </w:tc>
        <w:tc>
          <w:tcPr>
            <w:tcW w:w="1640" w:type="dxa"/>
            <w:vAlign w:val="bottom"/>
          </w:tcPr>
          <w:p>
            <w:pPr>
              <w:jc w:val="right"/>
              <w:ind w:right="212"/>
              <w:spacing w:after="0"/>
              <w:rPr>
                <w:sz w:val="20"/>
                <w:szCs w:val="20"/>
                <w:color w:val="auto"/>
              </w:rPr>
            </w:pPr>
            <w:r>
              <w:rPr>
                <w:rFonts w:ascii="Arial" w:cs="Arial" w:eastAsia="Arial" w:hAnsi="Arial"/>
                <w:sz w:val="14"/>
                <w:szCs w:val="14"/>
                <w:color w:val="auto"/>
              </w:rPr>
              <w:t>40.5% - 61.0%</w:t>
            </w:r>
          </w:p>
        </w:tc>
        <w:tc>
          <w:tcPr>
            <w:tcW w:w="620" w:type="dxa"/>
            <w:vAlign w:val="bottom"/>
          </w:tcPr>
          <w:p>
            <w:pPr>
              <w:jc w:val="right"/>
              <w:spacing w:after="0"/>
              <w:rPr>
                <w:sz w:val="20"/>
                <w:szCs w:val="20"/>
                <w:color w:val="auto"/>
              </w:rPr>
            </w:pPr>
            <w:r>
              <w:rPr>
                <w:rFonts w:ascii="Arial" w:cs="Arial" w:eastAsia="Arial" w:hAnsi="Arial"/>
                <w:sz w:val="14"/>
                <w:szCs w:val="14"/>
                <w:color w:val="auto"/>
              </w:rPr>
              <w:t>50.7%</w:t>
            </w:r>
          </w:p>
        </w:tc>
      </w:tr>
      <w:tr>
        <w:trPr>
          <w:trHeight w:val="149"/>
        </w:trPr>
        <w:tc>
          <w:tcPr>
            <w:tcW w:w="4540" w:type="dxa"/>
            <w:vAlign w:val="bottom"/>
          </w:tcPr>
          <w:p>
            <w:pPr>
              <w:ind w:left="2960"/>
              <w:spacing w:after="0" w:line="149" w:lineRule="exact"/>
              <w:rPr>
                <w:sz w:val="20"/>
                <w:szCs w:val="20"/>
                <w:color w:val="auto"/>
              </w:rPr>
            </w:pPr>
            <w:r>
              <w:rPr>
                <w:rFonts w:ascii="Arial" w:cs="Arial" w:eastAsia="Arial" w:hAnsi="Arial"/>
                <w:sz w:val="14"/>
                <w:szCs w:val="14"/>
                <w:color w:val="auto"/>
                <w:w w:val="99"/>
              </w:rPr>
              <w:t>equity method real estate</w:t>
            </w:r>
          </w:p>
        </w:tc>
        <w:tc>
          <w:tcPr>
            <w:tcW w:w="23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620" w:type="dxa"/>
            <w:vAlign w:val="bottom"/>
          </w:tcPr>
          <w:p>
            <w:pPr>
              <w:spacing w:after="0"/>
              <w:rPr>
                <w:sz w:val="12"/>
                <w:szCs w:val="12"/>
                <w:color w:val="auto"/>
              </w:rPr>
            </w:pPr>
          </w:p>
        </w:tc>
      </w:tr>
      <w:tr>
        <w:trPr>
          <w:trHeight w:val="159"/>
        </w:trPr>
        <w:tc>
          <w:tcPr>
            <w:tcW w:w="4540" w:type="dxa"/>
            <w:vAlign w:val="bottom"/>
          </w:tcPr>
          <w:p>
            <w:pPr>
              <w:ind w:left="2960"/>
              <w:spacing w:after="0" w:line="159" w:lineRule="exact"/>
              <w:rPr>
                <w:sz w:val="20"/>
                <w:szCs w:val="20"/>
                <w:color w:val="auto"/>
              </w:rPr>
            </w:pPr>
            <w:r>
              <w:rPr>
                <w:rFonts w:ascii="Arial" w:cs="Arial" w:eastAsia="Arial" w:hAnsi="Arial"/>
                <w:sz w:val="14"/>
                <w:szCs w:val="14"/>
                <w:color w:val="auto"/>
              </w:rPr>
              <w:t>investment — debt</w:t>
            </w:r>
          </w:p>
        </w:tc>
        <w:tc>
          <w:tcPr>
            <w:tcW w:w="232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620" w:type="dxa"/>
            <w:vAlign w:val="bottom"/>
          </w:tcPr>
          <w:p>
            <w:pPr>
              <w:spacing w:after="0"/>
              <w:rPr>
                <w:sz w:val="13"/>
                <w:szCs w:val="13"/>
                <w:color w:val="auto"/>
              </w:rPr>
            </w:pPr>
          </w:p>
        </w:tc>
      </w:tr>
      <w:tr>
        <w:trPr>
          <w:trHeight w:val="311"/>
        </w:trPr>
        <w:tc>
          <w:tcPr>
            <w:tcW w:w="4540" w:type="dxa"/>
            <w:vAlign w:val="bottom"/>
            <w:shd w:val="clear" w:color="auto" w:fill="CCEEFF"/>
          </w:tcPr>
          <w:p>
            <w:pPr>
              <w:spacing w:after="0"/>
              <w:rPr>
                <w:sz w:val="24"/>
                <w:szCs w:val="24"/>
                <w:color w:val="auto"/>
              </w:rPr>
            </w:pPr>
          </w:p>
        </w:tc>
        <w:tc>
          <w:tcPr>
            <w:tcW w:w="2320" w:type="dxa"/>
            <w:vAlign w:val="bottom"/>
            <w:shd w:val="clear" w:color="auto" w:fill="CCEEFF"/>
          </w:tcPr>
          <w:p>
            <w:pPr>
              <w:ind w:left="240"/>
              <w:spacing w:after="0"/>
              <w:rPr>
                <w:sz w:val="20"/>
                <w:szCs w:val="20"/>
                <w:color w:val="auto"/>
              </w:rPr>
            </w:pPr>
            <w:r>
              <w:rPr>
                <w:rFonts w:ascii="Arial" w:cs="Arial" w:eastAsia="Arial" w:hAnsi="Arial"/>
                <w:sz w:val="14"/>
                <w:szCs w:val="14"/>
                <w:color w:val="auto"/>
              </w:rPr>
              <w:t>Credit spread rate</w:t>
            </w:r>
          </w:p>
        </w:tc>
        <w:tc>
          <w:tcPr>
            <w:tcW w:w="1640" w:type="dxa"/>
            <w:vAlign w:val="bottom"/>
            <w:shd w:val="clear" w:color="auto" w:fill="CCEEFF"/>
          </w:tcPr>
          <w:p>
            <w:pPr>
              <w:jc w:val="right"/>
              <w:ind w:right="212"/>
              <w:spacing w:after="0"/>
              <w:rPr>
                <w:sz w:val="20"/>
                <w:szCs w:val="20"/>
                <w:color w:val="auto"/>
              </w:rPr>
            </w:pPr>
            <w:r>
              <w:rPr>
                <w:rFonts w:ascii="Arial" w:cs="Arial" w:eastAsia="Arial" w:hAnsi="Arial"/>
                <w:sz w:val="14"/>
                <w:szCs w:val="14"/>
                <w:color w:val="auto"/>
              </w:rPr>
              <w:t>1.5% - 2.0%</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r>
    </w:tbl>
    <w:p>
      <w:pPr>
        <w:spacing w:after="0" w:line="200" w:lineRule="exact"/>
        <w:rPr>
          <w:sz w:val="20"/>
          <w:szCs w:val="20"/>
          <w:color w:val="auto"/>
        </w:rPr>
      </w:pPr>
    </w:p>
    <w:p>
      <w:pPr>
        <w:sectPr>
          <w:pgSz w:w="11900" w:h="16838" w:orient="portrait"/>
          <w:cols w:equalWidth="0" w:num="1">
            <w:col w:w="11420"/>
          </w:cols>
          <w:pgMar w:left="240" w:top="131" w:right="239" w:bottom="1440" w:gutter="0" w:footer="0" w:header="0"/>
          <w:type w:val="continuous"/>
        </w:sectPr>
      </w:pPr>
    </w:p>
    <w:p>
      <w:pPr>
        <w:spacing w:after="0" w:line="8"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75" w:name="page176"/>
    <w:bookmarkEnd w:id="17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Fair Value Measurements — (continued)</w:t>
      </w:r>
    </w:p>
    <w:p>
      <w:pPr>
        <w:spacing w:after="0" w:line="227"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tcPr>
          <w:p>
            <w:pPr>
              <w:spacing w:after="0"/>
              <w:rPr>
                <w:sz w:val="14"/>
                <w:szCs w:val="14"/>
                <w:color w:val="auto"/>
              </w:rPr>
            </w:pPr>
          </w:p>
        </w:tc>
        <w:tc>
          <w:tcPr>
            <w:tcW w:w="1820" w:type="dxa"/>
            <w:vAlign w:val="bottom"/>
            <w:tcBorders>
              <w:bottom w:val="single" w:sz="8" w:color="auto"/>
            </w:tcBorders>
            <w:gridSpan w:val="2"/>
          </w:tcPr>
          <w:p>
            <w:pPr>
              <w:ind w:left="140"/>
              <w:spacing w:after="0"/>
              <w:rPr>
                <w:sz w:val="20"/>
                <w:szCs w:val="20"/>
                <w:color w:val="auto"/>
              </w:rPr>
            </w:pPr>
            <w:r>
              <w:rPr>
                <w:rFonts w:ascii="Arial" w:cs="Arial" w:eastAsia="Arial" w:hAnsi="Arial"/>
                <w:sz w:val="14"/>
                <w:szCs w:val="14"/>
                <w:b w:val="1"/>
                <w:bCs w:val="1"/>
                <w:color w:val="auto"/>
              </w:rPr>
              <w:t>As of December 31, 2013</w:t>
            </w:r>
          </w:p>
        </w:tc>
        <w:tc>
          <w:tcPr>
            <w:tcW w:w="160" w:type="dxa"/>
            <w:vAlign w:val="bottom"/>
            <w:tcBorders>
              <w:bottom w:val="single" w:sz="8" w:color="auto"/>
            </w:tcBorders>
          </w:tcPr>
          <w:p>
            <w:pPr>
              <w:spacing w:after="0"/>
              <w:rPr>
                <w:sz w:val="14"/>
                <w:szCs w:val="14"/>
                <w:color w:val="auto"/>
              </w:rPr>
            </w:pPr>
          </w:p>
        </w:tc>
        <w:tc>
          <w:tcPr>
            <w:tcW w:w="16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00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78"/>
              </w:rPr>
              <w:t>Assets /</w:t>
            </w:r>
          </w:p>
        </w:tc>
        <w:tc>
          <w:tcPr>
            <w:tcW w:w="16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10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(liabilities)</w:t>
            </w:r>
          </w:p>
        </w:tc>
        <w:tc>
          <w:tcPr>
            <w:tcW w:w="16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10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measured at</w:t>
            </w:r>
          </w:p>
        </w:tc>
        <w:tc>
          <w:tcPr>
            <w:tcW w:w="160" w:type="dxa"/>
            <w:vAlign w:val="bottom"/>
          </w:tcPr>
          <w:p>
            <w:pPr>
              <w:spacing w:after="0"/>
              <w:rPr>
                <w:sz w:val="12"/>
                <w:szCs w:val="12"/>
                <w:color w:val="auto"/>
              </w:rPr>
            </w:pPr>
          </w:p>
        </w:tc>
        <w:tc>
          <w:tcPr>
            <w:tcW w:w="1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Valuation</w:t>
            </w:r>
          </w:p>
        </w:tc>
        <w:tc>
          <w:tcPr>
            <w:tcW w:w="180" w:type="dxa"/>
            <w:vAlign w:val="bottom"/>
          </w:tcPr>
          <w:p>
            <w:pPr>
              <w:spacing w:after="0"/>
              <w:rPr>
                <w:sz w:val="12"/>
                <w:szCs w:val="12"/>
                <w:color w:val="auto"/>
              </w:rPr>
            </w:pPr>
          </w:p>
        </w:tc>
        <w:tc>
          <w:tcPr>
            <w:tcW w:w="1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Unobservable</w:t>
            </w:r>
          </w:p>
        </w:tc>
        <w:tc>
          <w:tcPr>
            <w:tcW w:w="160" w:type="dxa"/>
            <w:vAlign w:val="bottom"/>
          </w:tcPr>
          <w:p>
            <w:pPr>
              <w:spacing w:after="0"/>
              <w:rPr>
                <w:sz w:val="12"/>
                <w:szCs w:val="12"/>
                <w:color w:val="auto"/>
              </w:rPr>
            </w:pPr>
          </w:p>
        </w:tc>
        <w:tc>
          <w:tcPr>
            <w:tcW w:w="1660" w:type="dxa"/>
            <w:vAlign w:val="bottom"/>
          </w:tcPr>
          <w:p>
            <w:pPr>
              <w:jc w:val="right"/>
              <w:ind w:right="352"/>
              <w:spacing w:after="0" w:line="149" w:lineRule="exact"/>
              <w:rPr>
                <w:sz w:val="20"/>
                <w:szCs w:val="20"/>
                <w:color w:val="auto"/>
              </w:rPr>
            </w:pPr>
            <w:r>
              <w:rPr>
                <w:rFonts w:ascii="Arial" w:cs="Arial" w:eastAsia="Arial" w:hAnsi="Arial"/>
                <w:sz w:val="14"/>
                <w:szCs w:val="14"/>
                <w:b w:val="1"/>
                <w:bCs w:val="1"/>
                <w:color w:val="auto"/>
              </w:rPr>
              <w:t>Input/range of</w:t>
            </w:r>
          </w:p>
        </w:tc>
        <w:tc>
          <w:tcPr>
            <w:tcW w:w="180" w:type="dxa"/>
            <w:vAlign w:val="bottom"/>
          </w:tcPr>
          <w:p>
            <w:pPr>
              <w:spacing w:after="0"/>
              <w:rPr>
                <w:sz w:val="12"/>
                <w:szCs w:val="12"/>
                <w:color w:val="auto"/>
              </w:rPr>
            </w:pPr>
          </w:p>
        </w:tc>
        <w:tc>
          <w:tcPr>
            <w:tcW w:w="700" w:type="dxa"/>
            <w:vAlign w:val="bottom"/>
          </w:tcPr>
          <w:p>
            <w:pPr>
              <w:jc w:val="right"/>
              <w:ind w:right="12"/>
              <w:spacing w:after="0" w:line="149" w:lineRule="exact"/>
              <w:rPr>
                <w:sz w:val="20"/>
                <w:szCs w:val="20"/>
                <w:color w:val="auto"/>
              </w:rPr>
            </w:pPr>
            <w:r>
              <w:rPr>
                <w:rFonts w:ascii="Arial" w:cs="Arial" w:eastAsia="Arial" w:hAnsi="Arial"/>
                <w:sz w:val="14"/>
                <w:szCs w:val="14"/>
                <w:b w:val="1"/>
                <w:bCs w:val="1"/>
                <w:color w:val="auto"/>
                <w:w w:val="95"/>
              </w:rPr>
              <w:t>Weighted</w:t>
            </w:r>
          </w:p>
        </w:tc>
      </w:tr>
      <w:tr>
        <w:trPr>
          <w:trHeight w:val="161"/>
        </w:trPr>
        <w:tc>
          <w:tcPr>
            <w:tcW w:w="2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fair value</w:t>
            </w:r>
          </w:p>
        </w:tc>
        <w:tc>
          <w:tcPr>
            <w:tcW w:w="160" w:type="dxa"/>
            <w:vAlign w:val="bottom"/>
          </w:tcPr>
          <w:p>
            <w:pPr>
              <w:spacing w:after="0"/>
              <w:rPr>
                <w:sz w:val="14"/>
                <w:szCs w:val="14"/>
                <w:color w:val="auto"/>
              </w:rPr>
            </w:pPr>
          </w:p>
        </w:tc>
        <w:tc>
          <w:tcPr>
            <w:tcW w:w="1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technique(s)</w:t>
            </w:r>
          </w:p>
        </w:tc>
        <w:tc>
          <w:tcPr>
            <w:tcW w:w="180" w:type="dxa"/>
            <w:vAlign w:val="bottom"/>
          </w:tcPr>
          <w:p>
            <w:pPr>
              <w:spacing w:after="0"/>
              <w:rPr>
                <w:sz w:val="14"/>
                <w:szCs w:val="14"/>
                <w:color w:val="auto"/>
              </w:rPr>
            </w:pPr>
          </w:p>
        </w:tc>
        <w:tc>
          <w:tcPr>
            <w:tcW w:w="1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input description</w:t>
            </w:r>
          </w:p>
        </w:tc>
        <w:tc>
          <w:tcPr>
            <w:tcW w:w="160" w:type="dxa"/>
            <w:vAlign w:val="bottom"/>
          </w:tcPr>
          <w:p>
            <w:pPr>
              <w:spacing w:after="0"/>
              <w:rPr>
                <w:sz w:val="14"/>
                <w:szCs w:val="14"/>
                <w:color w:val="auto"/>
              </w:rPr>
            </w:pPr>
          </w:p>
        </w:tc>
        <w:tc>
          <w:tcPr>
            <w:tcW w:w="1660" w:type="dxa"/>
            <w:vAlign w:val="bottom"/>
            <w:tcBorders>
              <w:bottom w:val="single" w:sz="8" w:color="auto"/>
            </w:tcBorders>
          </w:tcPr>
          <w:p>
            <w:pPr>
              <w:jc w:val="right"/>
              <w:ind w:right="592"/>
              <w:spacing w:after="0"/>
              <w:rPr>
                <w:sz w:val="20"/>
                <w:szCs w:val="20"/>
                <w:color w:val="auto"/>
              </w:rPr>
            </w:pPr>
            <w:r>
              <w:rPr>
                <w:rFonts w:ascii="Arial" w:cs="Arial" w:eastAsia="Arial" w:hAnsi="Arial"/>
                <w:sz w:val="14"/>
                <w:szCs w:val="14"/>
                <w:b w:val="1"/>
                <w:bCs w:val="1"/>
                <w:color w:val="auto"/>
              </w:rPr>
              <w:t>inputs</w:t>
            </w:r>
          </w:p>
        </w:tc>
        <w:tc>
          <w:tcPr>
            <w:tcW w:w="180" w:type="dxa"/>
            <w:vAlign w:val="bottom"/>
          </w:tcPr>
          <w:p>
            <w:pPr>
              <w:spacing w:after="0"/>
              <w:rPr>
                <w:sz w:val="14"/>
                <w:szCs w:val="14"/>
                <w:color w:val="auto"/>
              </w:rPr>
            </w:pPr>
          </w:p>
        </w:tc>
        <w:tc>
          <w:tcPr>
            <w:tcW w:w="70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b w:val="1"/>
                <w:bCs w:val="1"/>
                <w:color w:val="auto"/>
              </w:rPr>
              <w:t>average</w:t>
            </w:r>
          </w:p>
        </w:tc>
      </w:tr>
      <w:tr>
        <w:trPr>
          <w:trHeight w:val="142"/>
        </w:trPr>
        <w:tc>
          <w:tcPr>
            <w:tcW w:w="2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1000" w:type="dxa"/>
            <w:vAlign w:val="bottom"/>
          </w:tcPr>
          <w:p>
            <w:pPr>
              <w:jc w:val="center"/>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16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r>
      <w:tr>
        <w:trPr>
          <w:trHeight w:val="138"/>
        </w:trPr>
        <w:tc>
          <w:tcPr>
            <w:tcW w:w="20" w:type="dxa"/>
            <w:vAlign w:val="bottom"/>
          </w:tcPr>
          <w:p>
            <w:pPr>
              <w:spacing w:after="0"/>
              <w:rPr>
                <w:sz w:val="11"/>
                <w:szCs w:val="11"/>
                <w:color w:val="auto"/>
              </w:rPr>
            </w:pPr>
          </w:p>
        </w:tc>
        <w:tc>
          <w:tcPr>
            <w:tcW w:w="180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Separate account assets</w:t>
            </w:r>
          </w:p>
        </w:tc>
        <w:tc>
          <w:tcPr>
            <w:tcW w:w="1000" w:type="dxa"/>
            <w:vAlign w:val="bottom"/>
            <w:shd w:val="clear" w:color="auto" w:fill="CCEEFF"/>
          </w:tcPr>
          <w:p>
            <w:pPr>
              <w:jc w:val="right"/>
              <w:spacing w:after="0" w:line="138" w:lineRule="exact"/>
              <w:rPr>
                <w:sz w:val="20"/>
                <w:szCs w:val="20"/>
                <w:color w:val="auto"/>
              </w:rPr>
            </w:pPr>
            <w:r>
              <w:rPr>
                <w:rFonts w:ascii="Arial" w:cs="Arial" w:eastAsia="Arial" w:hAnsi="Arial"/>
                <w:sz w:val="14"/>
                <w:szCs w:val="14"/>
                <w:b w:val="1"/>
                <w:bCs w:val="1"/>
                <w:color w:val="auto"/>
              </w:rPr>
              <w:t>5,090.4</w:t>
            </w:r>
          </w:p>
        </w:tc>
        <w:tc>
          <w:tcPr>
            <w:tcW w:w="1800" w:type="dxa"/>
            <w:vAlign w:val="bottom"/>
            <w:gridSpan w:val="2"/>
            <w:shd w:val="clear" w:color="auto" w:fill="CCEEFF"/>
          </w:tcPr>
          <w:p>
            <w:pPr>
              <w:ind w:left="160"/>
              <w:spacing w:after="0" w:line="138" w:lineRule="exact"/>
              <w:rPr>
                <w:sz w:val="20"/>
                <w:szCs w:val="20"/>
                <w:color w:val="auto"/>
              </w:rPr>
            </w:pPr>
            <w:r>
              <w:rPr>
                <w:rFonts w:ascii="Arial" w:cs="Arial" w:eastAsia="Arial" w:hAnsi="Arial"/>
                <w:sz w:val="14"/>
                <w:szCs w:val="14"/>
                <w:color w:val="auto"/>
              </w:rPr>
              <w:t>Discounted cash flow —</w:t>
            </w:r>
          </w:p>
        </w:tc>
        <w:tc>
          <w:tcPr>
            <w:tcW w:w="1820" w:type="dxa"/>
            <w:vAlign w:val="bottom"/>
            <w:gridSpan w:val="2"/>
            <w:shd w:val="clear" w:color="auto" w:fill="CCEEFF"/>
          </w:tcPr>
          <w:p>
            <w:pPr>
              <w:ind w:left="180"/>
              <w:spacing w:after="0" w:line="138" w:lineRule="exact"/>
              <w:rPr>
                <w:sz w:val="20"/>
                <w:szCs w:val="20"/>
                <w:color w:val="auto"/>
              </w:rPr>
            </w:pPr>
            <w:r>
              <w:rPr>
                <w:rFonts w:ascii="Arial" w:cs="Arial" w:eastAsia="Arial" w:hAnsi="Arial"/>
                <w:sz w:val="14"/>
                <w:szCs w:val="14"/>
                <w:color w:val="auto"/>
              </w:rPr>
              <w:t>Discount rate (1)</w:t>
            </w:r>
          </w:p>
        </w:tc>
        <w:tc>
          <w:tcPr>
            <w:tcW w:w="1820" w:type="dxa"/>
            <w:vAlign w:val="bottom"/>
            <w:gridSpan w:val="2"/>
            <w:shd w:val="clear" w:color="auto" w:fill="CCEEFF"/>
          </w:tcPr>
          <w:p>
            <w:pPr>
              <w:jc w:val="right"/>
              <w:spacing w:after="0" w:line="138" w:lineRule="exact"/>
              <w:rPr>
                <w:sz w:val="20"/>
                <w:szCs w:val="20"/>
                <w:color w:val="auto"/>
              </w:rPr>
            </w:pPr>
            <w:r>
              <w:rPr>
                <w:rFonts w:ascii="Arial" w:cs="Arial" w:eastAsia="Arial" w:hAnsi="Arial"/>
                <w:sz w:val="14"/>
                <w:szCs w:val="14"/>
                <w:color w:val="auto"/>
              </w:rPr>
              <w:t>0.6% - 5.6%</w:t>
            </w:r>
          </w:p>
        </w:tc>
        <w:tc>
          <w:tcPr>
            <w:tcW w:w="880" w:type="dxa"/>
            <w:vAlign w:val="bottom"/>
            <w:gridSpan w:val="2"/>
            <w:shd w:val="clear" w:color="auto" w:fill="CCEEFF"/>
          </w:tcPr>
          <w:p>
            <w:pPr>
              <w:jc w:val="right"/>
              <w:spacing w:after="0" w:line="138" w:lineRule="exact"/>
              <w:rPr>
                <w:sz w:val="20"/>
                <w:szCs w:val="20"/>
                <w:color w:val="auto"/>
              </w:rPr>
            </w:pPr>
            <w:r>
              <w:rPr>
                <w:rFonts w:ascii="Arial" w:cs="Arial" w:eastAsia="Arial" w:hAnsi="Arial"/>
                <w:sz w:val="14"/>
                <w:szCs w:val="14"/>
                <w:color w:val="auto"/>
              </w:rPr>
              <w:t>3.3%</w:t>
            </w:r>
          </w:p>
        </w:tc>
      </w:tr>
      <w:tr>
        <w:trPr>
          <w:trHeight w:val="159"/>
        </w:trPr>
        <w:tc>
          <w:tcPr>
            <w:tcW w:w="20" w:type="dxa"/>
            <w:vAlign w:val="bottom"/>
          </w:tcPr>
          <w:p>
            <w:pPr>
              <w:spacing w:after="0"/>
              <w:rPr>
                <w:sz w:val="13"/>
                <w:szCs w:val="13"/>
                <w:color w:val="auto"/>
              </w:rPr>
            </w:pPr>
          </w:p>
        </w:tc>
        <w:tc>
          <w:tcPr>
            <w:tcW w:w="180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1800" w:type="dxa"/>
            <w:vAlign w:val="bottom"/>
            <w:gridSpan w:val="2"/>
            <w:shd w:val="clear" w:color="auto" w:fill="CCEEFF"/>
          </w:tcPr>
          <w:p>
            <w:pPr>
              <w:ind w:left="160"/>
              <w:spacing w:after="0" w:line="159" w:lineRule="exact"/>
              <w:rPr>
                <w:sz w:val="20"/>
                <w:szCs w:val="20"/>
                <w:color w:val="auto"/>
              </w:rPr>
            </w:pPr>
            <w:r>
              <w:rPr>
                <w:rFonts w:ascii="Arial" w:cs="Arial" w:eastAsia="Arial" w:hAnsi="Arial"/>
                <w:sz w:val="14"/>
                <w:szCs w:val="14"/>
                <w:color w:val="auto"/>
              </w:rPr>
              <w:t>mortgage loans</w:t>
            </w:r>
          </w:p>
        </w:tc>
        <w:tc>
          <w:tcPr>
            <w:tcW w:w="180" w:type="dxa"/>
            <w:vAlign w:val="bottom"/>
            <w:shd w:val="clear" w:color="auto" w:fill="CCEEFF"/>
          </w:tcPr>
          <w:p>
            <w:pPr>
              <w:spacing w:after="0"/>
              <w:rPr>
                <w:sz w:val="13"/>
                <w:szCs w:val="13"/>
                <w:color w:val="auto"/>
              </w:rPr>
            </w:pPr>
          </w:p>
        </w:tc>
        <w:tc>
          <w:tcPr>
            <w:tcW w:w="16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66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r>
      <w:tr>
        <w:trPr>
          <w:trHeight w:val="311"/>
        </w:trPr>
        <w:tc>
          <w:tcPr>
            <w:tcW w:w="2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820" w:type="dxa"/>
            <w:vAlign w:val="bottom"/>
            <w:gridSpan w:val="2"/>
          </w:tcPr>
          <w:p>
            <w:pPr>
              <w:ind w:left="180"/>
              <w:spacing w:after="0"/>
              <w:rPr>
                <w:sz w:val="20"/>
                <w:szCs w:val="20"/>
                <w:color w:val="auto"/>
              </w:rPr>
            </w:pPr>
            <w:r>
              <w:rPr>
                <w:rFonts w:ascii="Arial" w:cs="Arial" w:eastAsia="Arial" w:hAnsi="Arial"/>
                <w:sz w:val="14"/>
                <w:szCs w:val="14"/>
                <w:color w:val="auto"/>
              </w:rPr>
              <w:t>Illiquidity premium</w:t>
            </w:r>
          </w:p>
        </w:tc>
        <w:tc>
          <w:tcPr>
            <w:tcW w:w="160" w:type="dxa"/>
            <w:vAlign w:val="bottom"/>
          </w:tcPr>
          <w:p>
            <w:pPr>
              <w:spacing w:after="0"/>
              <w:rPr>
                <w:sz w:val="24"/>
                <w:szCs w:val="24"/>
                <w:color w:val="auto"/>
              </w:rPr>
            </w:pPr>
          </w:p>
        </w:tc>
        <w:tc>
          <w:tcPr>
            <w:tcW w:w="1660" w:type="dxa"/>
            <w:vAlign w:val="bottom"/>
          </w:tcPr>
          <w:p>
            <w:pPr>
              <w:jc w:val="right"/>
              <w:spacing w:after="0"/>
              <w:rPr>
                <w:sz w:val="20"/>
                <w:szCs w:val="20"/>
                <w:color w:val="auto"/>
              </w:rPr>
            </w:pPr>
            <w:r>
              <w:rPr>
                <w:rFonts w:ascii="Arial" w:cs="Arial" w:eastAsia="Arial" w:hAnsi="Arial"/>
                <w:sz w:val="14"/>
                <w:szCs w:val="14"/>
                <w:color w:val="auto"/>
              </w:rPr>
              <w:t>0bps - 60bps</w:t>
            </w:r>
          </w:p>
        </w:tc>
        <w:tc>
          <w:tcPr>
            <w:tcW w:w="18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12bps</w:t>
            </w:r>
          </w:p>
        </w:tc>
      </w:tr>
      <w:tr>
        <w:trPr>
          <w:trHeight w:val="311"/>
        </w:trPr>
        <w:tc>
          <w:tcPr>
            <w:tcW w:w="20" w:type="dxa"/>
            <w:vAlign w:val="bottom"/>
          </w:tcPr>
          <w:p>
            <w:pPr>
              <w:spacing w:after="0"/>
              <w:rPr>
                <w:sz w:val="24"/>
                <w:szCs w:val="24"/>
                <w:color w:val="auto"/>
              </w:rPr>
            </w:pPr>
          </w:p>
        </w:tc>
        <w:tc>
          <w:tcPr>
            <w:tcW w:w="180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40" w:type="dxa"/>
            <w:vAlign w:val="bottom"/>
            <w:shd w:val="clear" w:color="auto" w:fill="CCEEFF"/>
          </w:tcPr>
          <w:p>
            <w:pPr>
              <w:spacing w:after="0"/>
              <w:rPr>
                <w:sz w:val="24"/>
                <w:szCs w:val="24"/>
                <w:color w:val="auto"/>
              </w:rPr>
            </w:pPr>
          </w:p>
        </w:tc>
        <w:tc>
          <w:tcPr>
            <w:tcW w:w="18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Credit spread rate</w:t>
            </w:r>
          </w:p>
        </w:tc>
        <w:tc>
          <w:tcPr>
            <w:tcW w:w="160" w:type="dxa"/>
            <w:vAlign w:val="bottom"/>
            <w:shd w:val="clear" w:color="auto" w:fill="CCEEFF"/>
          </w:tcPr>
          <w:p>
            <w:pPr>
              <w:spacing w:after="0"/>
              <w:rPr>
                <w:sz w:val="24"/>
                <w:szCs w:val="24"/>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32bps - 440bps</w:t>
            </w: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214bps</w:t>
            </w:r>
          </w:p>
        </w:tc>
      </w:tr>
      <w:tr>
        <w:trPr>
          <w:trHeight w:val="300"/>
        </w:trPr>
        <w:tc>
          <w:tcPr>
            <w:tcW w:w="2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800" w:type="dxa"/>
            <w:vAlign w:val="bottom"/>
            <w:gridSpan w:val="2"/>
          </w:tcPr>
          <w:p>
            <w:pPr>
              <w:ind w:left="160"/>
              <w:spacing w:after="0"/>
              <w:rPr>
                <w:sz w:val="20"/>
                <w:szCs w:val="20"/>
                <w:color w:val="auto"/>
              </w:rPr>
            </w:pPr>
            <w:r>
              <w:rPr>
                <w:rFonts w:ascii="Arial" w:cs="Arial" w:eastAsia="Arial" w:hAnsi="Arial"/>
                <w:sz w:val="14"/>
                <w:szCs w:val="14"/>
                <w:color w:val="auto"/>
                <w:w w:val="91"/>
              </w:rPr>
              <w:t>Discounted cash flow — real</w:t>
            </w:r>
          </w:p>
        </w:tc>
        <w:tc>
          <w:tcPr>
            <w:tcW w:w="1820" w:type="dxa"/>
            <w:vAlign w:val="bottom"/>
            <w:gridSpan w:val="2"/>
          </w:tcPr>
          <w:p>
            <w:pPr>
              <w:ind w:left="180"/>
              <w:spacing w:after="0"/>
              <w:rPr>
                <w:sz w:val="20"/>
                <w:szCs w:val="20"/>
                <w:color w:val="auto"/>
              </w:rPr>
            </w:pPr>
            <w:r>
              <w:rPr>
                <w:rFonts w:ascii="Arial" w:cs="Arial" w:eastAsia="Arial" w:hAnsi="Arial"/>
                <w:sz w:val="14"/>
                <w:szCs w:val="14"/>
                <w:color w:val="auto"/>
              </w:rPr>
              <w:t>Discount rate (1)</w:t>
            </w:r>
          </w:p>
        </w:tc>
        <w:tc>
          <w:tcPr>
            <w:tcW w:w="1820" w:type="dxa"/>
            <w:vAlign w:val="bottom"/>
            <w:gridSpan w:val="2"/>
          </w:tcPr>
          <w:p>
            <w:pPr>
              <w:jc w:val="right"/>
              <w:spacing w:after="0"/>
              <w:rPr>
                <w:sz w:val="20"/>
                <w:szCs w:val="20"/>
                <w:color w:val="auto"/>
              </w:rPr>
            </w:pPr>
            <w:r>
              <w:rPr>
                <w:rFonts w:ascii="Arial" w:cs="Arial" w:eastAsia="Arial" w:hAnsi="Arial"/>
                <w:sz w:val="14"/>
                <w:szCs w:val="14"/>
                <w:color w:val="auto"/>
              </w:rPr>
              <w:t>6.0% - 16.0%</w:t>
            </w: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7.6%</w:t>
            </w:r>
          </w:p>
        </w:tc>
      </w:tr>
      <w:tr>
        <w:trPr>
          <w:trHeight w:val="159"/>
        </w:trPr>
        <w:tc>
          <w:tcPr>
            <w:tcW w:w="20" w:type="dxa"/>
            <w:vAlign w:val="bottom"/>
          </w:tcPr>
          <w:p>
            <w:pPr>
              <w:spacing w:after="0"/>
              <w:rPr>
                <w:sz w:val="13"/>
                <w:szCs w:val="13"/>
                <w:color w:val="auto"/>
              </w:rPr>
            </w:pPr>
          </w:p>
        </w:tc>
        <w:tc>
          <w:tcPr>
            <w:tcW w:w="18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800" w:type="dxa"/>
            <w:vAlign w:val="bottom"/>
            <w:gridSpan w:val="2"/>
          </w:tcPr>
          <w:p>
            <w:pPr>
              <w:ind w:left="160"/>
              <w:spacing w:after="0" w:line="159" w:lineRule="exact"/>
              <w:rPr>
                <w:sz w:val="20"/>
                <w:szCs w:val="20"/>
                <w:color w:val="auto"/>
              </w:rPr>
            </w:pPr>
            <w:r>
              <w:rPr>
                <w:rFonts w:ascii="Arial" w:cs="Arial" w:eastAsia="Arial" w:hAnsi="Arial"/>
                <w:sz w:val="14"/>
                <w:szCs w:val="14"/>
                <w:color w:val="auto"/>
              </w:rPr>
              <w:t>estate</w:t>
            </w:r>
          </w:p>
        </w:tc>
        <w:tc>
          <w:tcPr>
            <w:tcW w:w="18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00" w:type="dxa"/>
            <w:vAlign w:val="bottom"/>
          </w:tcPr>
          <w:p>
            <w:pPr>
              <w:spacing w:after="0"/>
              <w:rPr>
                <w:sz w:val="13"/>
                <w:szCs w:val="13"/>
                <w:color w:val="auto"/>
              </w:rPr>
            </w:pPr>
          </w:p>
        </w:tc>
      </w:tr>
      <w:tr>
        <w:trPr>
          <w:trHeight w:val="311"/>
        </w:trPr>
        <w:tc>
          <w:tcPr>
            <w:tcW w:w="20" w:type="dxa"/>
            <w:vAlign w:val="bottom"/>
          </w:tcPr>
          <w:p>
            <w:pPr>
              <w:spacing w:after="0"/>
              <w:rPr>
                <w:sz w:val="24"/>
                <w:szCs w:val="24"/>
                <w:color w:val="auto"/>
              </w:rPr>
            </w:pPr>
          </w:p>
        </w:tc>
        <w:tc>
          <w:tcPr>
            <w:tcW w:w="180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40" w:type="dxa"/>
            <w:vAlign w:val="bottom"/>
            <w:shd w:val="clear" w:color="auto" w:fill="CCEEFF"/>
          </w:tcPr>
          <w:p>
            <w:pPr>
              <w:spacing w:after="0"/>
              <w:rPr>
                <w:sz w:val="24"/>
                <w:szCs w:val="24"/>
                <w:color w:val="auto"/>
              </w:rPr>
            </w:pPr>
          </w:p>
        </w:tc>
        <w:tc>
          <w:tcPr>
            <w:tcW w:w="18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w w:val="96"/>
              </w:rPr>
              <w:t>Terminal capitalization rate</w:t>
            </w:r>
          </w:p>
        </w:tc>
        <w:tc>
          <w:tcPr>
            <w:tcW w:w="18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4.5% - 9.0%</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6.6%</w:t>
            </w:r>
          </w:p>
        </w:tc>
      </w:tr>
      <w:tr>
        <w:trPr>
          <w:trHeight w:val="300"/>
        </w:trPr>
        <w:tc>
          <w:tcPr>
            <w:tcW w:w="2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820" w:type="dxa"/>
            <w:vAlign w:val="bottom"/>
            <w:gridSpan w:val="2"/>
          </w:tcPr>
          <w:p>
            <w:pPr>
              <w:ind w:left="180"/>
              <w:spacing w:after="0"/>
              <w:rPr>
                <w:sz w:val="20"/>
                <w:szCs w:val="20"/>
                <w:color w:val="auto"/>
              </w:rPr>
            </w:pPr>
            <w:r>
              <w:rPr>
                <w:rFonts w:ascii="Arial" w:cs="Arial" w:eastAsia="Arial" w:hAnsi="Arial"/>
                <w:sz w:val="14"/>
                <w:szCs w:val="14"/>
                <w:color w:val="auto"/>
                <w:w w:val="93"/>
              </w:rPr>
              <w:t>Average market rent growth</w:t>
            </w:r>
          </w:p>
        </w:tc>
        <w:tc>
          <w:tcPr>
            <w:tcW w:w="1820" w:type="dxa"/>
            <w:vAlign w:val="bottom"/>
            <w:gridSpan w:val="2"/>
          </w:tcPr>
          <w:p>
            <w:pPr>
              <w:jc w:val="right"/>
              <w:spacing w:after="0"/>
              <w:rPr>
                <w:sz w:val="20"/>
                <w:szCs w:val="20"/>
                <w:color w:val="auto"/>
              </w:rPr>
            </w:pPr>
            <w:r>
              <w:rPr>
                <w:rFonts w:ascii="Arial" w:cs="Arial" w:eastAsia="Arial" w:hAnsi="Arial"/>
                <w:sz w:val="14"/>
                <w:szCs w:val="14"/>
                <w:color w:val="auto"/>
              </w:rPr>
              <w:t>2.4% - 4.7%</w:t>
            </w: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3.0%</w:t>
            </w:r>
          </w:p>
        </w:tc>
      </w:tr>
      <w:tr>
        <w:trPr>
          <w:trHeight w:val="159"/>
        </w:trPr>
        <w:tc>
          <w:tcPr>
            <w:tcW w:w="20" w:type="dxa"/>
            <w:vAlign w:val="bottom"/>
          </w:tcPr>
          <w:p>
            <w:pPr>
              <w:spacing w:after="0"/>
              <w:rPr>
                <w:sz w:val="13"/>
                <w:szCs w:val="13"/>
                <w:color w:val="auto"/>
              </w:rPr>
            </w:pPr>
          </w:p>
        </w:tc>
        <w:tc>
          <w:tcPr>
            <w:tcW w:w="18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1820" w:type="dxa"/>
            <w:vAlign w:val="bottom"/>
            <w:gridSpan w:val="2"/>
          </w:tcPr>
          <w:p>
            <w:pPr>
              <w:ind w:left="180"/>
              <w:spacing w:after="0" w:line="159" w:lineRule="exact"/>
              <w:rPr>
                <w:sz w:val="20"/>
                <w:szCs w:val="20"/>
                <w:color w:val="auto"/>
              </w:rPr>
            </w:pPr>
            <w:r>
              <w:rPr>
                <w:rFonts w:ascii="Arial" w:cs="Arial" w:eastAsia="Arial" w:hAnsi="Arial"/>
                <w:sz w:val="14"/>
                <w:szCs w:val="14"/>
                <w:color w:val="auto"/>
              </w:rPr>
              <w:t>rate</w:t>
            </w:r>
          </w:p>
        </w:tc>
        <w:tc>
          <w:tcPr>
            <w:tcW w:w="160" w:type="dxa"/>
            <w:vAlign w:val="bottom"/>
          </w:tcPr>
          <w:p>
            <w:pPr>
              <w:spacing w:after="0"/>
              <w:rPr>
                <w:sz w:val="13"/>
                <w:szCs w:val="13"/>
                <w:color w:val="auto"/>
              </w:rPr>
            </w:pPr>
          </w:p>
        </w:tc>
        <w:tc>
          <w:tcPr>
            <w:tcW w:w="1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00" w:type="dxa"/>
            <w:vAlign w:val="bottom"/>
          </w:tcPr>
          <w:p>
            <w:pPr>
              <w:spacing w:after="0"/>
              <w:rPr>
                <w:sz w:val="13"/>
                <w:szCs w:val="13"/>
                <w:color w:val="auto"/>
              </w:rPr>
            </w:pPr>
          </w:p>
        </w:tc>
      </w:tr>
      <w:tr>
        <w:trPr>
          <w:trHeight w:val="300"/>
        </w:trPr>
        <w:tc>
          <w:tcPr>
            <w:tcW w:w="20" w:type="dxa"/>
            <w:vAlign w:val="bottom"/>
          </w:tcPr>
          <w:p>
            <w:pPr>
              <w:spacing w:after="0"/>
              <w:rPr>
                <w:sz w:val="24"/>
                <w:szCs w:val="24"/>
                <w:color w:val="auto"/>
              </w:rPr>
            </w:pPr>
          </w:p>
        </w:tc>
        <w:tc>
          <w:tcPr>
            <w:tcW w:w="180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80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w w:val="91"/>
              </w:rPr>
              <w:t>Discounted cash flow — real</w:t>
            </w:r>
          </w:p>
        </w:tc>
        <w:tc>
          <w:tcPr>
            <w:tcW w:w="18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Loan to value</w:t>
            </w:r>
          </w:p>
        </w:tc>
        <w:tc>
          <w:tcPr>
            <w:tcW w:w="18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11.0% - 55.9%</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50.3%</w:t>
            </w:r>
          </w:p>
        </w:tc>
      </w:tr>
      <w:tr>
        <w:trPr>
          <w:trHeight w:val="159"/>
        </w:trPr>
        <w:tc>
          <w:tcPr>
            <w:tcW w:w="20" w:type="dxa"/>
            <w:vAlign w:val="bottom"/>
          </w:tcPr>
          <w:p>
            <w:pPr>
              <w:spacing w:after="0"/>
              <w:rPr>
                <w:sz w:val="13"/>
                <w:szCs w:val="13"/>
                <w:color w:val="auto"/>
              </w:rPr>
            </w:pPr>
          </w:p>
        </w:tc>
        <w:tc>
          <w:tcPr>
            <w:tcW w:w="180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1800" w:type="dxa"/>
            <w:vAlign w:val="bottom"/>
            <w:gridSpan w:val="2"/>
            <w:shd w:val="clear" w:color="auto" w:fill="CCEEFF"/>
          </w:tcPr>
          <w:p>
            <w:pPr>
              <w:ind w:left="160"/>
              <w:spacing w:after="0" w:line="159" w:lineRule="exact"/>
              <w:rPr>
                <w:sz w:val="20"/>
                <w:szCs w:val="20"/>
                <w:color w:val="auto"/>
              </w:rPr>
            </w:pPr>
            <w:r>
              <w:rPr>
                <w:rFonts w:ascii="Arial" w:cs="Arial" w:eastAsia="Arial" w:hAnsi="Arial"/>
                <w:sz w:val="14"/>
                <w:szCs w:val="14"/>
                <w:color w:val="auto"/>
              </w:rPr>
              <w:t>estate debt</w:t>
            </w:r>
          </w:p>
        </w:tc>
        <w:tc>
          <w:tcPr>
            <w:tcW w:w="180" w:type="dxa"/>
            <w:vAlign w:val="bottom"/>
            <w:shd w:val="clear" w:color="auto" w:fill="CCEEFF"/>
          </w:tcPr>
          <w:p>
            <w:pPr>
              <w:spacing w:after="0"/>
              <w:rPr>
                <w:sz w:val="13"/>
                <w:szCs w:val="13"/>
                <w:color w:val="auto"/>
              </w:rPr>
            </w:pPr>
          </w:p>
        </w:tc>
        <w:tc>
          <w:tcPr>
            <w:tcW w:w="16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66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r>
      <w:tr>
        <w:trPr>
          <w:trHeight w:val="311"/>
        </w:trPr>
        <w:tc>
          <w:tcPr>
            <w:tcW w:w="2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820" w:type="dxa"/>
            <w:vAlign w:val="bottom"/>
            <w:gridSpan w:val="2"/>
          </w:tcPr>
          <w:p>
            <w:pPr>
              <w:ind w:left="180"/>
              <w:spacing w:after="0"/>
              <w:rPr>
                <w:sz w:val="20"/>
                <w:szCs w:val="20"/>
                <w:color w:val="auto"/>
              </w:rPr>
            </w:pPr>
            <w:r>
              <w:rPr>
                <w:rFonts w:ascii="Arial" w:cs="Arial" w:eastAsia="Arial" w:hAnsi="Arial"/>
                <w:sz w:val="14"/>
                <w:szCs w:val="14"/>
                <w:color w:val="auto"/>
              </w:rPr>
              <w:t>Credit spread rate</w:t>
            </w:r>
          </w:p>
        </w:tc>
        <w:tc>
          <w:tcPr>
            <w:tcW w:w="1820" w:type="dxa"/>
            <w:vAlign w:val="bottom"/>
            <w:gridSpan w:val="2"/>
          </w:tcPr>
          <w:p>
            <w:pPr>
              <w:jc w:val="right"/>
              <w:spacing w:after="0"/>
              <w:rPr>
                <w:sz w:val="20"/>
                <w:szCs w:val="20"/>
                <w:color w:val="auto"/>
              </w:rPr>
            </w:pPr>
            <w:r>
              <w:rPr>
                <w:rFonts w:ascii="Arial" w:cs="Arial" w:eastAsia="Arial" w:hAnsi="Arial"/>
                <w:sz w:val="14"/>
                <w:szCs w:val="14"/>
                <w:color w:val="auto"/>
              </w:rPr>
              <w:t>1.5% - 5.2%</w:t>
            </w: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3.3%</w:t>
            </w:r>
          </w:p>
        </w:tc>
      </w:tr>
      <w:tr>
        <w:trPr>
          <w:trHeight w:val="311"/>
        </w:trPr>
        <w:tc>
          <w:tcPr>
            <w:tcW w:w="20" w:type="dxa"/>
            <w:vAlign w:val="bottom"/>
          </w:tcPr>
          <w:p>
            <w:pPr>
              <w:spacing w:after="0"/>
              <w:rPr>
                <w:sz w:val="24"/>
                <w:szCs w:val="24"/>
                <w:color w:val="auto"/>
              </w:rPr>
            </w:pPr>
          </w:p>
        </w:tc>
        <w:tc>
          <w:tcPr>
            <w:tcW w:w="180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Liabilities</w:t>
            </w:r>
          </w:p>
        </w:tc>
        <w:tc>
          <w:tcPr>
            <w:tcW w:w="10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4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6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r>
    </w:tbl>
    <w:p>
      <w:pPr>
        <w:spacing w:after="0" w:line="139" w:lineRule="exact"/>
        <w:rPr>
          <w:sz w:val="20"/>
          <w:szCs w:val="20"/>
          <w:color w:val="auto"/>
        </w:rPr>
      </w:pPr>
    </w:p>
    <w:p>
      <w:pPr>
        <w:sectPr>
          <w:pgSz w:w="11900" w:h="16838" w:orient="portrait"/>
          <w:cols w:equalWidth="0" w:num="1">
            <w:col w:w="10280"/>
          </w:cols>
          <w:pgMar w:left="240" w:top="131" w:right="1379" w:bottom="1440" w:gutter="0" w:footer="0" w:header="0"/>
        </w:sectPr>
      </w:pPr>
    </w:p>
    <w:tbl>
      <w:tblPr>
        <w:tblLayout w:type="fixed"/>
        <w:tblInd w:w="1140" w:type="dxa"/>
        <w:tblCellMar>
          <w:top w:w="0" w:type="dxa"/>
          <w:left w:w="0" w:type="dxa"/>
          <w:bottom w:w="0" w:type="dxa"/>
          <w:right w:w="0" w:type="dxa"/>
        </w:tblCellMar>
      </w:tblPr>
      <w:tr>
        <w:trPr>
          <w:trHeight w:val="161"/>
        </w:trPr>
        <w:tc>
          <w:tcPr>
            <w:tcW w:w="1980" w:type="dxa"/>
            <w:vAlign w:val="bottom"/>
          </w:tcPr>
          <w:p>
            <w:pPr>
              <w:spacing w:after="0"/>
              <w:rPr>
                <w:sz w:val="20"/>
                <w:szCs w:val="20"/>
                <w:color w:val="auto"/>
              </w:rPr>
            </w:pPr>
            <w:r>
              <w:rPr>
                <w:rFonts w:ascii="Arial" w:cs="Arial" w:eastAsia="Arial" w:hAnsi="Arial"/>
                <w:sz w:val="14"/>
                <w:szCs w:val="14"/>
                <w:color w:val="auto"/>
              </w:rPr>
              <w:t>Investment-type insurance</w:t>
            </w:r>
          </w:p>
        </w:tc>
        <w:tc>
          <w:tcPr>
            <w:tcW w:w="940" w:type="dxa"/>
            <w:vAlign w:val="bottom"/>
            <w:vMerge w:val="restart"/>
          </w:tcPr>
          <w:p>
            <w:pPr>
              <w:jc w:val="right"/>
              <w:ind w:right="12"/>
              <w:spacing w:after="0"/>
              <w:rPr>
                <w:sz w:val="20"/>
                <w:szCs w:val="20"/>
                <w:color w:val="auto"/>
              </w:rPr>
            </w:pPr>
            <w:r>
              <w:rPr>
                <w:rFonts w:ascii="Arial" w:cs="Arial" w:eastAsia="Arial" w:hAnsi="Arial"/>
                <w:sz w:val="14"/>
                <w:szCs w:val="14"/>
                <w:b w:val="1"/>
                <w:bCs w:val="1"/>
                <w:color w:val="auto"/>
              </w:rPr>
              <w:t>(6.9)</w:t>
            </w:r>
          </w:p>
        </w:tc>
        <w:tc>
          <w:tcPr>
            <w:tcW w:w="156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2"/>
        </w:trPr>
        <w:tc>
          <w:tcPr>
            <w:tcW w:w="1980" w:type="dxa"/>
            <w:vAlign w:val="bottom"/>
          </w:tcPr>
          <w:p>
            <w:pPr>
              <w:ind w:left="160"/>
              <w:spacing w:after="0"/>
              <w:rPr>
                <w:sz w:val="20"/>
                <w:szCs w:val="20"/>
                <w:color w:val="auto"/>
              </w:rPr>
            </w:pPr>
            <w:r>
              <w:rPr>
                <w:rFonts w:ascii="Arial" w:cs="Arial" w:eastAsia="Arial" w:hAnsi="Arial"/>
                <w:sz w:val="14"/>
                <w:szCs w:val="14"/>
                <w:color w:val="auto"/>
              </w:rPr>
              <w:t>contracts</w:t>
            </w:r>
          </w:p>
        </w:tc>
        <w:tc>
          <w:tcPr>
            <w:tcW w:w="940" w:type="dxa"/>
            <w:vAlign w:val="bottom"/>
            <w:vMerge w:val="continue"/>
          </w:tcPr>
          <w:p>
            <w:pPr>
              <w:spacing w:after="0"/>
              <w:rPr>
                <w:sz w:val="14"/>
                <w:szCs w:val="14"/>
                <w:color w:val="auto"/>
              </w:rPr>
            </w:pPr>
          </w:p>
        </w:tc>
        <w:tc>
          <w:tcPr>
            <w:tcW w:w="1560" w:type="dxa"/>
            <w:vAlign w:val="bottom"/>
          </w:tcPr>
          <w:p>
            <w:pPr>
              <w:ind w:left="60"/>
              <w:spacing w:after="0"/>
              <w:rPr>
                <w:sz w:val="20"/>
                <w:szCs w:val="20"/>
                <w:color w:val="auto"/>
              </w:rPr>
            </w:pPr>
            <w:r>
              <w:rPr>
                <w:rFonts w:ascii="Arial" w:cs="Arial" w:eastAsia="Arial" w:hAnsi="Arial"/>
                <w:sz w:val="14"/>
                <w:szCs w:val="14"/>
                <w:color w:val="auto"/>
              </w:rPr>
              <w:t>Discounted cash flow</w:t>
            </w:r>
          </w:p>
        </w:tc>
        <w:tc>
          <w:tcPr>
            <w:tcW w:w="1740" w:type="dxa"/>
            <w:vAlign w:val="bottom"/>
          </w:tcPr>
          <w:p>
            <w:pPr>
              <w:ind w:left="320"/>
              <w:spacing w:after="0"/>
              <w:rPr>
                <w:sz w:val="20"/>
                <w:szCs w:val="20"/>
                <w:color w:val="auto"/>
              </w:rPr>
            </w:pPr>
            <w:r>
              <w:rPr>
                <w:rFonts w:ascii="Arial" w:cs="Arial" w:eastAsia="Arial" w:hAnsi="Arial"/>
                <w:sz w:val="14"/>
                <w:szCs w:val="14"/>
                <w:color w:val="auto"/>
                <w:w w:val="85"/>
              </w:rPr>
              <w:t>Long duration interest rate</w:t>
            </w:r>
          </w:p>
        </w:tc>
        <w:tc>
          <w:tcPr>
            <w:tcW w:w="0" w:type="dxa"/>
            <w:vAlign w:val="bottom"/>
          </w:tcPr>
          <w:p>
            <w:pPr>
              <w:spacing w:after="0"/>
              <w:rPr>
                <w:sz w:val="1"/>
                <w:szCs w:val="1"/>
                <w:color w:val="auto"/>
              </w:rPr>
            </w:pPr>
          </w:p>
        </w:tc>
      </w:tr>
      <w:tr>
        <w:trPr>
          <w:trHeight w:val="287"/>
        </w:trPr>
        <w:tc>
          <w:tcPr>
            <w:tcW w:w="19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740" w:type="dxa"/>
            <w:vAlign w:val="bottom"/>
          </w:tcPr>
          <w:p>
            <w:pPr>
              <w:ind w:left="320"/>
              <w:spacing w:after="0"/>
              <w:rPr>
                <w:sz w:val="20"/>
                <w:szCs w:val="20"/>
                <w:color w:val="auto"/>
              </w:rPr>
            </w:pPr>
            <w:r>
              <w:rPr>
                <w:rFonts w:ascii="Arial" w:cs="Arial" w:eastAsia="Arial" w:hAnsi="Arial"/>
                <w:sz w:val="14"/>
                <w:szCs w:val="14"/>
                <w:color w:val="auto"/>
                <w:w w:val="92"/>
              </w:rPr>
              <w:t>Long-term equity market</w:t>
            </w:r>
          </w:p>
        </w:tc>
        <w:tc>
          <w:tcPr>
            <w:tcW w:w="0" w:type="dxa"/>
            <w:vAlign w:val="bottom"/>
          </w:tcPr>
          <w:p>
            <w:pPr>
              <w:spacing w:after="0"/>
              <w:rPr>
                <w:sz w:val="1"/>
                <w:szCs w:val="1"/>
                <w:color w:val="auto"/>
              </w:rPr>
            </w:pPr>
          </w:p>
        </w:tc>
      </w:tr>
      <w:tr>
        <w:trPr>
          <w:trHeight w:val="172"/>
        </w:trPr>
        <w:tc>
          <w:tcPr>
            <w:tcW w:w="19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740" w:type="dxa"/>
            <w:vAlign w:val="bottom"/>
          </w:tcPr>
          <w:p>
            <w:pPr>
              <w:ind w:left="320"/>
              <w:spacing w:after="0"/>
              <w:rPr>
                <w:sz w:val="20"/>
                <w:szCs w:val="20"/>
                <w:color w:val="auto"/>
              </w:rPr>
            </w:pPr>
            <w:r>
              <w:rPr>
                <w:rFonts w:ascii="Arial" w:cs="Arial" w:eastAsia="Arial" w:hAnsi="Arial"/>
                <w:sz w:val="14"/>
                <w:szCs w:val="14"/>
                <w:color w:val="auto"/>
              </w:rPr>
              <w:t>volatility</w:t>
            </w:r>
          </w:p>
        </w:tc>
        <w:tc>
          <w:tcPr>
            <w:tcW w:w="0" w:type="dxa"/>
            <w:vAlign w:val="bottom"/>
          </w:tcPr>
          <w:p>
            <w:pPr>
              <w:spacing w:after="0"/>
              <w:rPr>
                <w:sz w:val="1"/>
                <w:szCs w:val="1"/>
                <w:color w:val="auto"/>
              </w:rPr>
            </w:pPr>
          </w:p>
        </w:tc>
      </w:tr>
      <w:tr>
        <w:trPr>
          <w:trHeight w:val="311"/>
        </w:trPr>
        <w:tc>
          <w:tcPr>
            <w:tcW w:w="19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740" w:type="dxa"/>
            <w:vAlign w:val="bottom"/>
          </w:tcPr>
          <w:p>
            <w:pPr>
              <w:ind w:left="320"/>
              <w:spacing w:after="0"/>
              <w:rPr>
                <w:sz w:val="20"/>
                <w:szCs w:val="20"/>
                <w:color w:val="auto"/>
              </w:rPr>
            </w:pPr>
            <w:r>
              <w:rPr>
                <w:rFonts w:ascii="Arial" w:cs="Arial" w:eastAsia="Arial" w:hAnsi="Arial"/>
                <w:sz w:val="14"/>
                <w:szCs w:val="14"/>
                <w:color w:val="auto"/>
              </w:rPr>
              <w:t>Non-performance risk</w:t>
            </w:r>
          </w:p>
        </w:tc>
        <w:tc>
          <w:tcPr>
            <w:tcW w:w="0" w:type="dxa"/>
            <w:vAlign w:val="bottom"/>
          </w:tcPr>
          <w:p>
            <w:pPr>
              <w:spacing w:after="0"/>
              <w:rPr>
                <w:sz w:val="1"/>
                <w:szCs w:val="1"/>
                <w:color w:val="auto"/>
              </w:rPr>
            </w:pPr>
          </w:p>
        </w:tc>
      </w:tr>
      <w:tr>
        <w:trPr>
          <w:trHeight w:val="311"/>
        </w:trPr>
        <w:tc>
          <w:tcPr>
            <w:tcW w:w="19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740" w:type="dxa"/>
            <w:vAlign w:val="bottom"/>
          </w:tcPr>
          <w:p>
            <w:pPr>
              <w:ind w:left="320"/>
              <w:spacing w:after="0"/>
              <w:rPr>
                <w:sz w:val="20"/>
                <w:szCs w:val="20"/>
                <w:color w:val="auto"/>
              </w:rPr>
            </w:pPr>
            <w:r>
              <w:rPr>
                <w:rFonts w:ascii="Arial" w:cs="Arial" w:eastAsia="Arial" w:hAnsi="Arial"/>
                <w:sz w:val="14"/>
                <w:szCs w:val="14"/>
                <w:color w:val="auto"/>
              </w:rPr>
              <w:t>Utilization rate</w:t>
            </w:r>
          </w:p>
        </w:tc>
        <w:tc>
          <w:tcPr>
            <w:tcW w:w="0" w:type="dxa"/>
            <w:vAlign w:val="bottom"/>
          </w:tcPr>
          <w:p>
            <w:pPr>
              <w:spacing w:after="0"/>
              <w:rPr>
                <w:sz w:val="1"/>
                <w:szCs w:val="1"/>
                <w:color w:val="auto"/>
              </w:rPr>
            </w:pPr>
          </w:p>
        </w:tc>
      </w:tr>
      <w:tr>
        <w:trPr>
          <w:trHeight w:val="311"/>
        </w:trPr>
        <w:tc>
          <w:tcPr>
            <w:tcW w:w="19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740" w:type="dxa"/>
            <w:vAlign w:val="bottom"/>
          </w:tcPr>
          <w:p>
            <w:pPr>
              <w:ind w:left="320"/>
              <w:spacing w:after="0"/>
              <w:rPr>
                <w:sz w:val="20"/>
                <w:szCs w:val="20"/>
                <w:color w:val="auto"/>
              </w:rPr>
            </w:pPr>
            <w:r>
              <w:rPr>
                <w:rFonts w:ascii="Arial" w:cs="Arial" w:eastAsia="Arial" w:hAnsi="Arial"/>
                <w:sz w:val="14"/>
                <w:szCs w:val="14"/>
                <w:color w:val="auto"/>
              </w:rPr>
              <w:t>Lapse rate</w:t>
            </w:r>
          </w:p>
        </w:tc>
        <w:tc>
          <w:tcPr>
            <w:tcW w:w="0" w:type="dxa"/>
            <w:vAlign w:val="bottom"/>
          </w:tcPr>
          <w:p>
            <w:pPr>
              <w:spacing w:after="0"/>
              <w:rPr>
                <w:sz w:val="1"/>
                <w:szCs w:val="1"/>
                <w:color w:val="auto"/>
              </w:rPr>
            </w:pPr>
          </w:p>
        </w:tc>
      </w:tr>
      <w:tr>
        <w:trPr>
          <w:trHeight w:val="311"/>
        </w:trPr>
        <w:tc>
          <w:tcPr>
            <w:tcW w:w="19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740" w:type="dxa"/>
            <w:vAlign w:val="bottom"/>
          </w:tcPr>
          <w:p>
            <w:pPr>
              <w:ind w:left="320"/>
              <w:spacing w:after="0"/>
              <w:rPr>
                <w:sz w:val="20"/>
                <w:szCs w:val="20"/>
                <w:color w:val="auto"/>
              </w:rPr>
            </w:pPr>
            <w:r>
              <w:rPr>
                <w:rFonts w:ascii="Arial" w:cs="Arial" w:eastAsia="Arial" w:hAnsi="Arial"/>
                <w:sz w:val="14"/>
                <w:szCs w:val="14"/>
                <w:color w:val="auto"/>
              </w:rPr>
              <w:t>Mortality rate</w:t>
            </w:r>
          </w:p>
        </w:tc>
        <w:tc>
          <w:tcPr>
            <w:tcW w:w="0" w:type="dxa"/>
            <w:vAlign w:val="bottom"/>
          </w:tcPr>
          <w:p>
            <w:pPr>
              <w:spacing w:after="0"/>
              <w:rPr>
                <w:sz w:val="1"/>
                <w:szCs w:val="1"/>
                <w:color w:val="auto"/>
              </w:rPr>
            </w:pPr>
          </w:p>
        </w:tc>
      </w:tr>
      <w:tr>
        <w:trPr>
          <w:trHeight w:val="311"/>
        </w:trPr>
        <w:tc>
          <w:tcPr>
            <w:tcW w:w="1980" w:type="dxa"/>
            <w:vAlign w:val="bottom"/>
          </w:tcPr>
          <w:p>
            <w:pPr>
              <w:spacing w:after="0"/>
              <w:rPr>
                <w:sz w:val="20"/>
                <w:szCs w:val="20"/>
                <w:color w:val="auto"/>
              </w:rPr>
            </w:pPr>
            <w:r>
              <w:rPr>
                <w:rFonts w:ascii="Arial" w:cs="Arial" w:eastAsia="Arial" w:hAnsi="Arial"/>
                <w:sz w:val="14"/>
                <w:szCs w:val="14"/>
                <w:color w:val="auto"/>
              </w:rPr>
              <w:t>Derivative liabilities</w:t>
            </w:r>
          </w:p>
        </w:tc>
        <w:tc>
          <w:tcPr>
            <w:tcW w:w="940" w:type="dxa"/>
            <w:vAlign w:val="bottom"/>
          </w:tcPr>
          <w:p>
            <w:pPr>
              <w:jc w:val="right"/>
              <w:ind w:right="12"/>
              <w:spacing w:after="0"/>
              <w:rPr>
                <w:sz w:val="20"/>
                <w:szCs w:val="20"/>
                <w:color w:val="auto"/>
              </w:rPr>
            </w:pPr>
            <w:r>
              <w:rPr>
                <w:rFonts w:ascii="Arial" w:cs="Arial" w:eastAsia="Arial" w:hAnsi="Arial"/>
                <w:sz w:val="14"/>
                <w:szCs w:val="14"/>
                <w:b w:val="1"/>
                <w:bCs w:val="1"/>
                <w:color w:val="auto"/>
              </w:rPr>
              <w:t>(19.9)</w:t>
            </w:r>
          </w:p>
        </w:tc>
        <w:tc>
          <w:tcPr>
            <w:tcW w:w="1560" w:type="dxa"/>
            <w:vAlign w:val="bottom"/>
          </w:tcPr>
          <w:p>
            <w:pPr>
              <w:ind w:left="60"/>
              <w:spacing w:after="0"/>
              <w:rPr>
                <w:sz w:val="20"/>
                <w:szCs w:val="20"/>
                <w:color w:val="auto"/>
              </w:rPr>
            </w:pPr>
            <w:r>
              <w:rPr>
                <w:rFonts w:ascii="Arial" w:cs="Arial" w:eastAsia="Arial" w:hAnsi="Arial"/>
                <w:sz w:val="14"/>
                <w:szCs w:val="14"/>
                <w:color w:val="auto"/>
              </w:rPr>
              <w:t>See note (2)</w:t>
            </w:r>
          </w:p>
        </w:tc>
        <w:tc>
          <w:tcPr>
            <w:tcW w:w="1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1980" w:type="dxa"/>
            <w:vAlign w:val="bottom"/>
          </w:tcPr>
          <w:p>
            <w:pPr>
              <w:spacing w:after="0"/>
              <w:rPr>
                <w:sz w:val="20"/>
                <w:szCs w:val="20"/>
                <w:color w:val="auto"/>
              </w:rPr>
            </w:pPr>
            <w:r>
              <w:rPr>
                <w:rFonts w:ascii="Arial" w:cs="Arial" w:eastAsia="Arial" w:hAnsi="Arial"/>
                <w:sz w:val="14"/>
                <w:szCs w:val="14"/>
                <w:color w:val="auto"/>
              </w:rPr>
              <w:t>Other liabilities</w:t>
            </w:r>
          </w:p>
        </w:tc>
        <w:tc>
          <w:tcPr>
            <w:tcW w:w="940" w:type="dxa"/>
            <w:vAlign w:val="bottom"/>
          </w:tcPr>
          <w:p>
            <w:pPr>
              <w:jc w:val="right"/>
              <w:ind w:right="12"/>
              <w:spacing w:after="0"/>
              <w:rPr>
                <w:sz w:val="20"/>
                <w:szCs w:val="20"/>
                <w:color w:val="auto"/>
              </w:rPr>
            </w:pPr>
            <w:r>
              <w:rPr>
                <w:rFonts w:ascii="Arial" w:cs="Arial" w:eastAsia="Arial" w:hAnsi="Arial"/>
                <w:sz w:val="14"/>
                <w:szCs w:val="14"/>
                <w:b w:val="1"/>
                <w:bCs w:val="1"/>
                <w:color w:val="auto"/>
              </w:rPr>
              <w:t>(73.9)</w:t>
            </w:r>
          </w:p>
        </w:tc>
        <w:tc>
          <w:tcPr>
            <w:tcW w:w="1560" w:type="dxa"/>
            <w:vAlign w:val="bottom"/>
          </w:tcPr>
          <w:p>
            <w:pPr>
              <w:ind w:left="60"/>
              <w:spacing w:after="0"/>
              <w:rPr>
                <w:sz w:val="20"/>
                <w:szCs w:val="20"/>
                <w:color w:val="auto"/>
              </w:rPr>
            </w:pPr>
            <w:r>
              <w:rPr>
                <w:rFonts w:ascii="Arial" w:cs="Arial" w:eastAsia="Arial" w:hAnsi="Arial"/>
                <w:sz w:val="14"/>
                <w:szCs w:val="14"/>
                <w:color w:val="auto"/>
              </w:rPr>
              <w:t>See note (2)</w:t>
            </w:r>
          </w:p>
        </w:tc>
        <w:tc>
          <w:tcPr>
            <w:tcW w:w="17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-1482725</wp:posOffset>
            </wp:positionV>
            <wp:extent cx="5797550" cy="29146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5797550" cy="291465"/>
                    </a:xfrm>
                    <a:prstGeom prst="rect">
                      <a:avLst/>
                    </a:prstGeom>
                    <a:noFill/>
                  </pic:spPr>
                </pic:pic>
              </a:graphicData>
            </a:graphic>
          </wp:anchor>
        </w:drawing>
        <w:drawing>
          <wp:anchor simplePos="0" relativeHeight="251657728" behindDoc="1" locked="0" layoutInCell="0" allowOverlap="1">
            <wp:simplePos x="0" y="0"/>
            <wp:positionH relativeFrom="column">
              <wp:posOffset>734060</wp:posOffset>
            </wp:positionH>
            <wp:positionV relativeFrom="paragraph">
              <wp:posOffset>-993775</wp:posOffset>
            </wp:positionV>
            <wp:extent cx="5797550" cy="19748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5797550" cy="197485"/>
                    </a:xfrm>
                    <a:prstGeom prst="rect">
                      <a:avLst/>
                    </a:prstGeom>
                    <a:noFill/>
                  </pic:spPr>
                </pic:pic>
              </a:graphicData>
            </a:graphic>
          </wp:anchor>
        </w:drawing>
        <w:drawing>
          <wp:anchor simplePos="0" relativeHeight="251657728" behindDoc="1" locked="0" layoutInCell="0" allowOverlap="1">
            <wp:simplePos x="0" y="0"/>
            <wp:positionH relativeFrom="column">
              <wp:posOffset>734060</wp:posOffset>
            </wp:positionH>
            <wp:positionV relativeFrom="paragraph">
              <wp:posOffset>-599440</wp:posOffset>
            </wp:positionV>
            <wp:extent cx="5797550" cy="1974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5797550" cy="197485"/>
                    </a:xfrm>
                    <a:prstGeom prst="rect">
                      <a:avLst/>
                    </a:prstGeom>
                    <a:noFill/>
                  </pic:spPr>
                </pic:pic>
              </a:graphicData>
            </a:graphic>
          </wp:anchor>
        </w:drawing>
        <w:drawing>
          <wp:anchor simplePos="0" relativeHeight="251657728" behindDoc="1" locked="0" layoutInCell="0" allowOverlap="1">
            <wp:simplePos x="0" y="0"/>
            <wp:positionH relativeFrom="column">
              <wp:posOffset>734060</wp:posOffset>
            </wp:positionH>
            <wp:positionV relativeFrom="paragraph">
              <wp:posOffset>-205105</wp:posOffset>
            </wp:positionV>
            <wp:extent cx="5797550" cy="19748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5797550" cy="19748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41" w:lineRule="exact"/>
        <w:rPr>
          <w:sz w:val="20"/>
          <w:szCs w:val="20"/>
          <w:color w:val="auto"/>
        </w:rPr>
      </w:pPr>
    </w:p>
    <w:p>
      <w:pPr>
        <w:jc w:val="right"/>
        <w:ind w:right="900"/>
        <w:spacing w:after="0"/>
        <w:rPr>
          <w:sz w:val="20"/>
          <w:szCs w:val="20"/>
          <w:color w:val="auto"/>
        </w:rPr>
      </w:pPr>
      <w:r>
        <w:rPr>
          <w:rFonts w:ascii="Arial" w:cs="Arial" w:eastAsia="Arial" w:hAnsi="Arial"/>
          <w:sz w:val="12"/>
          <w:szCs w:val="12"/>
          <w:color w:val="auto"/>
        </w:rPr>
        <w:t>3.8% - 3.9% (3)</w:t>
      </w:r>
    </w:p>
    <w:p>
      <w:pPr>
        <w:spacing w:after="0" w:line="159" w:lineRule="exact"/>
        <w:rPr>
          <w:sz w:val="20"/>
          <w:szCs w:val="20"/>
          <w:color w:val="auto"/>
        </w:rPr>
      </w:pPr>
    </w:p>
    <w:p>
      <w:pPr>
        <w:jc w:val="right"/>
        <w:ind w:right="900"/>
        <w:spacing w:after="0"/>
        <w:rPr>
          <w:sz w:val="20"/>
          <w:szCs w:val="20"/>
          <w:color w:val="auto"/>
        </w:rPr>
      </w:pPr>
      <w:r>
        <w:rPr>
          <w:rFonts w:ascii="Arial" w:cs="Arial" w:eastAsia="Arial" w:hAnsi="Arial"/>
          <w:sz w:val="12"/>
          <w:szCs w:val="12"/>
          <w:color w:val="auto"/>
        </w:rPr>
        <w:t>15.0% - 40.1%</w:t>
      </w:r>
    </w:p>
    <w:p>
      <w:pPr>
        <w:spacing w:after="0" w:line="321" w:lineRule="exact"/>
        <w:rPr>
          <w:sz w:val="20"/>
          <w:szCs w:val="20"/>
          <w:color w:val="auto"/>
        </w:rPr>
      </w:pPr>
    </w:p>
    <w:p>
      <w:pPr>
        <w:ind w:left="200"/>
        <w:spacing w:after="0"/>
        <w:rPr>
          <w:sz w:val="20"/>
          <w:szCs w:val="20"/>
          <w:color w:val="auto"/>
        </w:rPr>
      </w:pPr>
      <w:r>
        <w:rPr>
          <w:rFonts w:ascii="Arial" w:cs="Arial" w:eastAsia="Arial" w:hAnsi="Arial"/>
          <w:sz w:val="12"/>
          <w:szCs w:val="12"/>
          <w:color w:val="auto"/>
        </w:rPr>
        <w:t>0.2% - 1.2%</w:t>
      </w:r>
    </w:p>
    <w:p>
      <w:pPr>
        <w:spacing w:after="0" w:line="173" w:lineRule="exact"/>
        <w:rPr>
          <w:sz w:val="20"/>
          <w:szCs w:val="20"/>
          <w:color w:val="auto"/>
        </w:rPr>
      </w:pPr>
    </w:p>
    <w:p>
      <w:pPr>
        <w:jc w:val="right"/>
        <w:ind w:right="900"/>
        <w:spacing w:after="0"/>
        <w:rPr>
          <w:sz w:val="20"/>
          <w:szCs w:val="20"/>
          <w:color w:val="auto"/>
        </w:rPr>
      </w:pPr>
      <w:r>
        <w:rPr>
          <w:rFonts w:ascii="Arial" w:cs="Arial" w:eastAsia="Arial" w:hAnsi="Arial"/>
          <w:sz w:val="14"/>
          <w:szCs w:val="14"/>
          <w:color w:val="auto"/>
        </w:rPr>
        <w:t>See note (4)</w:t>
      </w:r>
    </w:p>
    <w:p>
      <w:pPr>
        <w:spacing w:after="0" w:line="150" w:lineRule="exact"/>
        <w:rPr>
          <w:sz w:val="20"/>
          <w:szCs w:val="20"/>
          <w:color w:val="auto"/>
        </w:rPr>
      </w:pPr>
    </w:p>
    <w:p>
      <w:pPr>
        <w:jc w:val="right"/>
        <w:ind w:right="900"/>
        <w:spacing w:after="0"/>
        <w:rPr>
          <w:sz w:val="20"/>
          <w:szCs w:val="20"/>
          <w:color w:val="auto"/>
        </w:rPr>
      </w:pPr>
      <w:r>
        <w:rPr>
          <w:rFonts w:ascii="Arial" w:cs="Arial" w:eastAsia="Arial" w:hAnsi="Arial"/>
          <w:sz w:val="14"/>
          <w:szCs w:val="14"/>
          <w:color w:val="auto"/>
        </w:rPr>
        <w:t>0.5% - 14.6%</w:t>
      </w:r>
    </w:p>
    <w:p>
      <w:pPr>
        <w:spacing w:after="0" w:line="150" w:lineRule="exact"/>
        <w:rPr>
          <w:sz w:val="20"/>
          <w:szCs w:val="20"/>
          <w:color w:val="auto"/>
        </w:rPr>
      </w:pPr>
    </w:p>
    <w:p>
      <w:pPr>
        <w:jc w:val="right"/>
        <w:ind w:right="900"/>
        <w:spacing w:after="0"/>
        <w:rPr>
          <w:sz w:val="20"/>
          <w:szCs w:val="20"/>
          <w:color w:val="auto"/>
        </w:rPr>
      </w:pPr>
      <w:r>
        <w:rPr>
          <w:rFonts w:ascii="Arial" w:cs="Arial" w:eastAsia="Arial" w:hAnsi="Arial"/>
          <w:sz w:val="14"/>
          <w:szCs w:val="14"/>
          <w:color w:val="auto"/>
        </w:rPr>
        <w:t>See note (5)</w:t>
      </w:r>
    </w:p>
    <w:p>
      <w:pPr>
        <w:spacing w:after="0" w:line="846" w:lineRule="exact"/>
        <w:rPr>
          <w:sz w:val="20"/>
          <w:szCs w:val="20"/>
          <w:color w:val="auto"/>
        </w:rPr>
      </w:pPr>
    </w:p>
    <w:p>
      <w:pPr>
        <w:sectPr>
          <w:pgSz w:w="11900" w:h="16838" w:orient="portrait"/>
          <w:cols w:equalWidth="0" w:num="2">
            <w:col w:w="7800" w:space="720"/>
            <w:col w:w="1760"/>
          </w:cols>
          <w:pgMar w:left="240" w:top="131" w:right="1379" w:bottom="1440" w:gutter="0" w:footer="0" w:header="0"/>
          <w:type w:val="continuous"/>
        </w:sectPr>
      </w:pPr>
    </w:p>
    <w:p>
      <w:pPr>
        <w:spacing w:after="0" w:line="200" w:lineRule="exact"/>
        <w:rPr>
          <w:sz w:val="20"/>
          <w:szCs w:val="20"/>
          <w:color w:val="auto"/>
        </w:rPr>
      </w:pPr>
    </w:p>
    <w:p>
      <w:pPr>
        <w:spacing w:after="0" w:line="22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tcPr>
          <w:p>
            <w:pPr>
              <w:spacing w:after="0"/>
              <w:rPr>
                <w:sz w:val="14"/>
                <w:szCs w:val="14"/>
                <w:color w:val="auto"/>
              </w:rPr>
            </w:pPr>
          </w:p>
        </w:tc>
        <w:tc>
          <w:tcPr>
            <w:tcW w:w="1820" w:type="dxa"/>
            <w:vAlign w:val="bottom"/>
            <w:tcBorders>
              <w:bottom w:val="single" w:sz="8" w:color="auto"/>
            </w:tcBorders>
            <w:gridSpan w:val="2"/>
          </w:tcPr>
          <w:p>
            <w:pPr>
              <w:ind w:left="140"/>
              <w:spacing w:after="0"/>
              <w:rPr>
                <w:sz w:val="20"/>
                <w:szCs w:val="20"/>
                <w:color w:val="auto"/>
              </w:rPr>
            </w:pPr>
            <w:r>
              <w:rPr>
                <w:rFonts w:ascii="Arial" w:cs="Arial" w:eastAsia="Arial" w:hAnsi="Arial"/>
                <w:sz w:val="14"/>
                <w:szCs w:val="14"/>
                <w:b w:val="1"/>
                <w:bCs w:val="1"/>
                <w:color w:val="auto"/>
              </w:rPr>
              <w:t>As of December 31, 2012</w:t>
            </w:r>
          </w:p>
        </w:tc>
        <w:tc>
          <w:tcPr>
            <w:tcW w:w="160" w:type="dxa"/>
            <w:vAlign w:val="bottom"/>
            <w:tcBorders>
              <w:bottom w:val="single" w:sz="8" w:color="auto"/>
            </w:tcBorders>
          </w:tcPr>
          <w:p>
            <w:pPr>
              <w:spacing w:after="0"/>
              <w:rPr>
                <w:sz w:val="14"/>
                <w:szCs w:val="14"/>
                <w:color w:val="auto"/>
              </w:rPr>
            </w:pPr>
          </w:p>
        </w:tc>
        <w:tc>
          <w:tcPr>
            <w:tcW w:w="16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jc w:val="center"/>
              <w:ind w:right="52"/>
              <w:spacing w:after="0" w:line="129" w:lineRule="exact"/>
              <w:rPr>
                <w:sz w:val="20"/>
                <w:szCs w:val="20"/>
                <w:color w:val="auto"/>
              </w:rPr>
            </w:pPr>
            <w:r>
              <w:rPr>
                <w:rFonts w:ascii="Arial" w:cs="Arial" w:eastAsia="Arial" w:hAnsi="Arial"/>
                <w:sz w:val="14"/>
                <w:szCs w:val="14"/>
                <w:b w:val="1"/>
                <w:bCs w:val="1"/>
                <w:color w:val="auto"/>
                <w:w w:val="78"/>
              </w:rPr>
              <w:t>Assets /</w:t>
            </w:r>
          </w:p>
        </w:tc>
        <w:tc>
          <w:tcPr>
            <w:tcW w:w="16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jc w:val="center"/>
              <w:ind w:right="52"/>
              <w:spacing w:after="0" w:line="149" w:lineRule="exact"/>
              <w:rPr>
                <w:sz w:val="20"/>
                <w:szCs w:val="20"/>
                <w:color w:val="auto"/>
              </w:rPr>
            </w:pPr>
            <w:r>
              <w:rPr>
                <w:rFonts w:ascii="Arial" w:cs="Arial" w:eastAsia="Arial" w:hAnsi="Arial"/>
                <w:sz w:val="14"/>
                <w:szCs w:val="14"/>
                <w:b w:val="1"/>
                <w:bCs w:val="1"/>
                <w:color w:val="auto"/>
                <w:w w:val="89"/>
              </w:rPr>
              <w:t>(liabilities)</w:t>
            </w:r>
          </w:p>
        </w:tc>
        <w:tc>
          <w:tcPr>
            <w:tcW w:w="16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jc w:val="center"/>
              <w:ind w:right="52"/>
              <w:spacing w:after="0" w:line="149" w:lineRule="exact"/>
              <w:rPr>
                <w:sz w:val="20"/>
                <w:szCs w:val="20"/>
                <w:color w:val="auto"/>
              </w:rPr>
            </w:pPr>
            <w:r>
              <w:rPr>
                <w:rFonts w:ascii="Arial" w:cs="Arial" w:eastAsia="Arial" w:hAnsi="Arial"/>
                <w:sz w:val="14"/>
                <w:szCs w:val="14"/>
                <w:b w:val="1"/>
                <w:bCs w:val="1"/>
                <w:color w:val="auto"/>
                <w:w w:val="84"/>
              </w:rPr>
              <w:t>measured at</w:t>
            </w:r>
          </w:p>
        </w:tc>
        <w:tc>
          <w:tcPr>
            <w:tcW w:w="160" w:type="dxa"/>
            <w:vAlign w:val="bottom"/>
          </w:tcPr>
          <w:p>
            <w:pPr>
              <w:spacing w:after="0"/>
              <w:rPr>
                <w:sz w:val="12"/>
                <w:szCs w:val="12"/>
                <w:color w:val="auto"/>
              </w:rPr>
            </w:pPr>
          </w:p>
        </w:tc>
        <w:tc>
          <w:tcPr>
            <w:tcW w:w="1640" w:type="dxa"/>
            <w:vAlign w:val="bottom"/>
          </w:tcPr>
          <w:p>
            <w:pPr>
              <w:jc w:val="right"/>
              <w:ind w:right="472"/>
              <w:spacing w:after="0" w:line="149" w:lineRule="exact"/>
              <w:rPr>
                <w:sz w:val="20"/>
                <w:szCs w:val="20"/>
                <w:color w:val="auto"/>
              </w:rPr>
            </w:pPr>
            <w:r>
              <w:rPr>
                <w:rFonts w:ascii="Arial" w:cs="Arial" w:eastAsia="Arial" w:hAnsi="Arial"/>
                <w:sz w:val="14"/>
                <w:szCs w:val="14"/>
                <w:b w:val="1"/>
                <w:bCs w:val="1"/>
                <w:color w:val="auto"/>
              </w:rPr>
              <w:t>Valuation</w:t>
            </w:r>
          </w:p>
        </w:tc>
        <w:tc>
          <w:tcPr>
            <w:tcW w:w="180" w:type="dxa"/>
            <w:vAlign w:val="bottom"/>
          </w:tcPr>
          <w:p>
            <w:pPr>
              <w:spacing w:after="0"/>
              <w:rPr>
                <w:sz w:val="12"/>
                <w:szCs w:val="12"/>
                <w:color w:val="auto"/>
              </w:rPr>
            </w:pPr>
          </w:p>
        </w:tc>
        <w:tc>
          <w:tcPr>
            <w:tcW w:w="1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Unobservable</w:t>
            </w:r>
          </w:p>
        </w:tc>
        <w:tc>
          <w:tcPr>
            <w:tcW w:w="160" w:type="dxa"/>
            <w:vAlign w:val="bottom"/>
          </w:tcPr>
          <w:p>
            <w:pPr>
              <w:spacing w:after="0"/>
              <w:rPr>
                <w:sz w:val="12"/>
                <w:szCs w:val="12"/>
                <w:color w:val="auto"/>
              </w:rPr>
            </w:pPr>
          </w:p>
        </w:tc>
        <w:tc>
          <w:tcPr>
            <w:tcW w:w="1660" w:type="dxa"/>
            <w:vAlign w:val="bottom"/>
          </w:tcPr>
          <w:p>
            <w:pPr>
              <w:jc w:val="right"/>
              <w:ind w:right="352"/>
              <w:spacing w:after="0" w:line="149" w:lineRule="exact"/>
              <w:rPr>
                <w:sz w:val="20"/>
                <w:szCs w:val="20"/>
                <w:color w:val="auto"/>
              </w:rPr>
            </w:pPr>
            <w:r>
              <w:rPr>
                <w:rFonts w:ascii="Arial" w:cs="Arial" w:eastAsia="Arial" w:hAnsi="Arial"/>
                <w:sz w:val="14"/>
                <w:szCs w:val="14"/>
                <w:b w:val="1"/>
                <w:bCs w:val="1"/>
                <w:color w:val="auto"/>
              </w:rPr>
              <w:t>Input/range of</w:t>
            </w:r>
          </w:p>
        </w:tc>
        <w:tc>
          <w:tcPr>
            <w:tcW w:w="180" w:type="dxa"/>
            <w:vAlign w:val="bottom"/>
          </w:tcPr>
          <w:p>
            <w:pPr>
              <w:spacing w:after="0"/>
              <w:rPr>
                <w:sz w:val="12"/>
                <w:szCs w:val="12"/>
                <w:color w:val="auto"/>
              </w:rPr>
            </w:pPr>
          </w:p>
        </w:tc>
        <w:tc>
          <w:tcPr>
            <w:tcW w:w="700" w:type="dxa"/>
            <w:vAlign w:val="bottom"/>
          </w:tcPr>
          <w:p>
            <w:pPr>
              <w:jc w:val="right"/>
              <w:ind w:right="12"/>
              <w:spacing w:after="0" w:line="149" w:lineRule="exact"/>
              <w:rPr>
                <w:sz w:val="20"/>
                <w:szCs w:val="20"/>
                <w:color w:val="auto"/>
              </w:rPr>
            </w:pPr>
            <w:r>
              <w:rPr>
                <w:rFonts w:ascii="Arial" w:cs="Arial" w:eastAsia="Arial" w:hAnsi="Arial"/>
                <w:sz w:val="14"/>
                <w:szCs w:val="14"/>
                <w:b w:val="1"/>
                <w:bCs w:val="1"/>
                <w:color w:val="auto"/>
                <w:w w:val="95"/>
              </w:rPr>
              <w:t>Weighted</w:t>
            </w:r>
          </w:p>
        </w:tc>
      </w:tr>
      <w:tr>
        <w:trPr>
          <w:trHeight w:val="161"/>
        </w:trPr>
        <w:tc>
          <w:tcPr>
            <w:tcW w:w="2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87"/>
              </w:rPr>
              <w:t>fair value</w:t>
            </w:r>
          </w:p>
        </w:tc>
        <w:tc>
          <w:tcPr>
            <w:tcW w:w="160" w:type="dxa"/>
            <w:vAlign w:val="bottom"/>
          </w:tcPr>
          <w:p>
            <w:pPr>
              <w:spacing w:after="0"/>
              <w:rPr>
                <w:sz w:val="14"/>
                <w:szCs w:val="14"/>
                <w:color w:val="auto"/>
              </w:rPr>
            </w:pPr>
          </w:p>
        </w:tc>
        <w:tc>
          <w:tcPr>
            <w:tcW w:w="164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technique(s)</w:t>
            </w:r>
          </w:p>
        </w:tc>
        <w:tc>
          <w:tcPr>
            <w:tcW w:w="180" w:type="dxa"/>
            <w:vAlign w:val="bottom"/>
          </w:tcPr>
          <w:p>
            <w:pPr>
              <w:spacing w:after="0"/>
              <w:rPr>
                <w:sz w:val="14"/>
                <w:szCs w:val="14"/>
                <w:color w:val="auto"/>
              </w:rPr>
            </w:pPr>
          </w:p>
        </w:tc>
        <w:tc>
          <w:tcPr>
            <w:tcW w:w="1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input description</w:t>
            </w:r>
          </w:p>
        </w:tc>
        <w:tc>
          <w:tcPr>
            <w:tcW w:w="160" w:type="dxa"/>
            <w:vAlign w:val="bottom"/>
          </w:tcPr>
          <w:p>
            <w:pPr>
              <w:spacing w:after="0"/>
              <w:rPr>
                <w:sz w:val="14"/>
                <w:szCs w:val="14"/>
                <w:color w:val="auto"/>
              </w:rPr>
            </w:pPr>
          </w:p>
        </w:tc>
        <w:tc>
          <w:tcPr>
            <w:tcW w:w="1660" w:type="dxa"/>
            <w:vAlign w:val="bottom"/>
            <w:tcBorders>
              <w:bottom w:val="single" w:sz="8" w:color="auto"/>
            </w:tcBorders>
          </w:tcPr>
          <w:p>
            <w:pPr>
              <w:jc w:val="right"/>
              <w:ind w:right="592"/>
              <w:spacing w:after="0"/>
              <w:rPr>
                <w:sz w:val="20"/>
                <w:szCs w:val="20"/>
                <w:color w:val="auto"/>
              </w:rPr>
            </w:pPr>
            <w:r>
              <w:rPr>
                <w:rFonts w:ascii="Arial" w:cs="Arial" w:eastAsia="Arial" w:hAnsi="Arial"/>
                <w:sz w:val="14"/>
                <w:szCs w:val="14"/>
                <w:b w:val="1"/>
                <w:bCs w:val="1"/>
                <w:color w:val="auto"/>
              </w:rPr>
              <w:t>inputs</w:t>
            </w:r>
          </w:p>
        </w:tc>
        <w:tc>
          <w:tcPr>
            <w:tcW w:w="180" w:type="dxa"/>
            <w:vAlign w:val="bottom"/>
          </w:tcPr>
          <w:p>
            <w:pPr>
              <w:spacing w:after="0"/>
              <w:rPr>
                <w:sz w:val="14"/>
                <w:szCs w:val="14"/>
                <w:color w:val="auto"/>
              </w:rPr>
            </w:pPr>
          </w:p>
        </w:tc>
        <w:tc>
          <w:tcPr>
            <w:tcW w:w="70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b w:val="1"/>
                <w:bCs w:val="1"/>
                <w:color w:val="auto"/>
              </w:rPr>
              <w:t>average</w:t>
            </w:r>
          </w:p>
        </w:tc>
      </w:tr>
      <w:tr>
        <w:trPr>
          <w:trHeight w:val="142"/>
        </w:trPr>
        <w:tc>
          <w:tcPr>
            <w:tcW w:w="2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jc w:val="center"/>
              <w:ind w:right="52"/>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16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180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10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r>
      <w:tr>
        <w:trPr>
          <w:trHeight w:val="138"/>
        </w:trPr>
        <w:tc>
          <w:tcPr>
            <w:tcW w:w="20" w:type="dxa"/>
            <w:vAlign w:val="bottom"/>
          </w:tcPr>
          <w:p>
            <w:pPr>
              <w:spacing w:after="0"/>
              <w:rPr>
                <w:sz w:val="11"/>
                <w:szCs w:val="11"/>
                <w:color w:val="auto"/>
              </w:rPr>
            </w:pPr>
          </w:p>
        </w:tc>
        <w:tc>
          <w:tcPr>
            <w:tcW w:w="1800" w:type="dxa"/>
            <w:vAlign w:val="bottom"/>
          </w:tcPr>
          <w:p>
            <w:pPr>
              <w:spacing w:after="0" w:line="138" w:lineRule="exact"/>
              <w:rPr>
                <w:sz w:val="20"/>
                <w:szCs w:val="20"/>
                <w:color w:val="auto"/>
              </w:rPr>
            </w:pPr>
            <w:r>
              <w:rPr>
                <w:rFonts w:ascii="Arial" w:cs="Arial" w:eastAsia="Arial" w:hAnsi="Arial"/>
                <w:sz w:val="14"/>
                <w:szCs w:val="14"/>
                <w:color w:val="auto"/>
              </w:rPr>
              <w:t>Fixed maturities, available-</w:t>
            </w: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59"/>
        </w:trPr>
        <w:tc>
          <w:tcPr>
            <w:tcW w:w="20" w:type="dxa"/>
            <w:vAlign w:val="bottom"/>
          </w:tcPr>
          <w:p>
            <w:pPr>
              <w:spacing w:after="0"/>
              <w:rPr>
                <w:sz w:val="13"/>
                <w:szCs w:val="13"/>
                <w:color w:val="auto"/>
              </w:rPr>
            </w:pPr>
          </w:p>
        </w:tc>
        <w:tc>
          <w:tcPr>
            <w:tcW w:w="1800" w:type="dxa"/>
            <w:vAlign w:val="bottom"/>
          </w:tcPr>
          <w:p>
            <w:pPr>
              <w:ind w:left="140"/>
              <w:spacing w:after="0" w:line="159" w:lineRule="exact"/>
              <w:rPr>
                <w:sz w:val="20"/>
                <w:szCs w:val="20"/>
                <w:color w:val="auto"/>
              </w:rPr>
            </w:pPr>
            <w:r>
              <w:rPr>
                <w:rFonts w:ascii="Arial" w:cs="Arial" w:eastAsia="Arial" w:hAnsi="Arial"/>
                <w:sz w:val="14"/>
                <w:szCs w:val="14"/>
                <w:color w:val="auto"/>
              </w:rPr>
              <w:t>for-sale:</w:t>
            </w: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00" w:type="dxa"/>
            <w:vAlign w:val="bottom"/>
          </w:tcPr>
          <w:p>
            <w:pPr>
              <w:spacing w:after="0"/>
              <w:rPr>
                <w:sz w:val="13"/>
                <w:szCs w:val="13"/>
                <w:color w:val="auto"/>
              </w:rPr>
            </w:pPr>
          </w:p>
        </w:tc>
      </w:tr>
      <w:tr>
        <w:trPr>
          <w:trHeight w:val="311"/>
        </w:trPr>
        <w:tc>
          <w:tcPr>
            <w:tcW w:w="20" w:type="dxa"/>
            <w:vAlign w:val="bottom"/>
          </w:tcPr>
          <w:p>
            <w:pPr>
              <w:spacing w:after="0"/>
              <w:rPr>
                <w:sz w:val="24"/>
                <w:szCs w:val="24"/>
                <w:color w:val="auto"/>
              </w:rPr>
            </w:pPr>
          </w:p>
        </w:tc>
        <w:tc>
          <w:tcPr>
            <w:tcW w:w="1800" w:type="dxa"/>
            <w:vAlign w:val="bottom"/>
            <w:shd w:val="clear" w:color="auto" w:fill="CCEEFF"/>
          </w:tcPr>
          <w:p>
            <w:pPr>
              <w:ind w:left="140"/>
              <w:spacing w:after="0"/>
              <w:rPr>
                <w:sz w:val="20"/>
                <w:szCs w:val="20"/>
                <w:color w:val="auto"/>
              </w:rPr>
            </w:pPr>
            <w:r>
              <w:rPr>
                <w:rFonts w:ascii="Arial" w:cs="Arial" w:eastAsia="Arial" w:hAnsi="Arial"/>
                <w:sz w:val="14"/>
                <w:szCs w:val="14"/>
                <w:color w:val="auto"/>
              </w:rPr>
              <w:t>Non-U.S. governments</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12.9</w:t>
            </w:r>
          </w:p>
        </w:tc>
        <w:tc>
          <w:tcPr>
            <w:tcW w:w="1800" w:type="dxa"/>
            <w:vAlign w:val="bottom"/>
            <w:gridSpan w:val="2"/>
            <w:shd w:val="clear" w:color="auto" w:fill="CCEEFF"/>
          </w:tcPr>
          <w:p>
            <w:pPr>
              <w:jc w:val="right"/>
              <w:ind w:right="392"/>
              <w:spacing w:after="0"/>
              <w:rPr>
                <w:sz w:val="20"/>
                <w:szCs w:val="20"/>
                <w:color w:val="auto"/>
              </w:rPr>
            </w:pPr>
            <w:r>
              <w:rPr>
                <w:rFonts w:ascii="Arial" w:cs="Arial" w:eastAsia="Arial" w:hAnsi="Arial"/>
                <w:sz w:val="14"/>
                <w:szCs w:val="14"/>
                <w:color w:val="auto"/>
                <w:w w:val="99"/>
              </w:rPr>
              <w:t>Discounted cash flow</w:t>
            </w:r>
          </w:p>
        </w:tc>
        <w:tc>
          <w:tcPr>
            <w:tcW w:w="18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Discount rate (1)</w:t>
            </w:r>
          </w:p>
        </w:tc>
        <w:tc>
          <w:tcPr>
            <w:tcW w:w="18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1.6%</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1.6%</w:t>
            </w:r>
          </w:p>
        </w:tc>
      </w:tr>
      <w:tr>
        <w:trPr>
          <w:trHeight w:val="311"/>
        </w:trPr>
        <w:tc>
          <w:tcPr>
            <w:tcW w:w="2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820" w:type="dxa"/>
            <w:vAlign w:val="bottom"/>
            <w:gridSpan w:val="2"/>
          </w:tcPr>
          <w:p>
            <w:pPr>
              <w:ind w:left="180"/>
              <w:spacing w:after="0"/>
              <w:rPr>
                <w:sz w:val="20"/>
                <w:szCs w:val="20"/>
                <w:color w:val="auto"/>
              </w:rPr>
            </w:pPr>
            <w:r>
              <w:rPr>
                <w:rFonts w:ascii="Arial" w:cs="Arial" w:eastAsia="Arial" w:hAnsi="Arial"/>
                <w:sz w:val="14"/>
                <w:szCs w:val="14"/>
                <w:color w:val="auto"/>
              </w:rPr>
              <w:t>Illiquidity premium</w:t>
            </w:r>
          </w:p>
        </w:tc>
        <w:tc>
          <w:tcPr>
            <w:tcW w:w="160" w:type="dxa"/>
            <w:vAlign w:val="bottom"/>
          </w:tcPr>
          <w:p>
            <w:pPr>
              <w:spacing w:after="0"/>
              <w:rPr>
                <w:sz w:val="24"/>
                <w:szCs w:val="24"/>
                <w:color w:val="auto"/>
              </w:rPr>
            </w:pPr>
          </w:p>
        </w:tc>
        <w:tc>
          <w:tcPr>
            <w:tcW w:w="1660" w:type="dxa"/>
            <w:vAlign w:val="bottom"/>
          </w:tcPr>
          <w:p>
            <w:pPr>
              <w:jc w:val="right"/>
              <w:spacing w:after="0"/>
              <w:rPr>
                <w:sz w:val="20"/>
                <w:szCs w:val="20"/>
                <w:color w:val="auto"/>
              </w:rPr>
            </w:pPr>
            <w:r>
              <w:rPr>
                <w:rFonts w:ascii="Arial" w:cs="Arial" w:eastAsia="Arial" w:hAnsi="Arial"/>
                <w:sz w:val="14"/>
                <w:szCs w:val="14"/>
                <w:color w:val="auto"/>
              </w:rPr>
              <w:t>50 basis points ("bps")</w:t>
            </w:r>
          </w:p>
        </w:tc>
        <w:tc>
          <w:tcPr>
            <w:tcW w:w="18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50bps</w:t>
            </w:r>
          </w:p>
        </w:tc>
      </w:tr>
      <w:tr>
        <w:trPr>
          <w:trHeight w:val="311"/>
        </w:trPr>
        <w:tc>
          <w:tcPr>
            <w:tcW w:w="20" w:type="dxa"/>
            <w:vAlign w:val="bottom"/>
          </w:tcPr>
          <w:p>
            <w:pPr>
              <w:spacing w:after="0"/>
              <w:rPr>
                <w:sz w:val="24"/>
                <w:szCs w:val="24"/>
                <w:color w:val="auto"/>
              </w:rPr>
            </w:pPr>
          </w:p>
        </w:tc>
        <w:tc>
          <w:tcPr>
            <w:tcW w:w="1800" w:type="dxa"/>
            <w:vAlign w:val="bottom"/>
            <w:shd w:val="clear" w:color="auto" w:fill="CCEEFF"/>
          </w:tcPr>
          <w:p>
            <w:pPr>
              <w:ind w:left="140"/>
              <w:spacing w:after="0"/>
              <w:rPr>
                <w:sz w:val="20"/>
                <w:szCs w:val="20"/>
                <w:color w:val="auto"/>
              </w:rPr>
            </w:pPr>
            <w:r>
              <w:rPr>
                <w:rFonts w:ascii="Arial" w:cs="Arial" w:eastAsia="Arial" w:hAnsi="Arial"/>
                <w:sz w:val="14"/>
                <w:szCs w:val="14"/>
                <w:color w:val="auto"/>
              </w:rPr>
              <w:t>Corporate</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66.6</w:t>
            </w:r>
          </w:p>
        </w:tc>
        <w:tc>
          <w:tcPr>
            <w:tcW w:w="1800" w:type="dxa"/>
            <w:vAlign w:val="bottom"/>
            <w:gridSpan w:val="2"/>
            <w:shd w:val="clear" w:color="auto" w:fill="CCEEFF"/>
          </w:tcPr>
          <w:p>
            <w:pPr>
              <w:jc w:val="right"/>
              <w:ind w:right="392"/>
              <w:spacing w:after="0"/>
              <w:rPr>
                <w:sz w:val="20"/>
                <w:szCs w:val="20"/>
                <w:color w:val="auto"/>
              </w:rPr>
            </w:pPr>
            <w:r>
              <w:rPr>
                <w:rFonts w:ascii="Arial" w:cs="Arial" w:eastAsia="Arial" w:hAnsi="Arial"/>
                <w:sz w:val="14"/>
                <w:szCs w:val="14"/>
                <w:color w:val="auto"/>
                <w:w w:val="99"/>
              </w:rPr>
              <w:t>Discounted cash flow</w:t>
            </w:r>
          </w:p>
        </w:tc>
        <w:tc>
          <w:tcPr>
            <w:tcW w:w="18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Discount rate (1)</w:t>
            </w:r>
          </w:p>
        </w:tc>
        <w:tc>
          <w:tcPr>
            <w:tcW w:w="18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1.7% - 29.0%</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8.4%</w:t>
            </w:r>
          </w:p>
        </w:tc>
      </w:tr>
      <w:tr>
        <w:trPr>
          <w:trHeight w:val="311"/>
        </w:trPr>
        <w:tc>
          <w:tcPr>
            <w:tcW w:w="2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820" w:type="dxa"/>
            <w:vAlign w:val="bottom"/>
            <w:gridSpan w:val="2"/>
          </w:tcPr>
          <w:p>
            <w:pPr>
              <w:ind w:left="180"/>
              <w:spacing w:after="0"/>
              <w:rPr>
                <w:sz w:val="20"/>
                <w:szCs w:val="20"/>
                <w:color w:val="auto"/>
              </w:rPr>
            </w:pPr>
            <w:r>
              <w:rPr>
                <w:rFonts w:ascii="Arial" w:cs="Arial" w:eastAsia="Arial" w:hAnsi="Arial"/>
                <w:sz w:val="14"/>
                <w:szCs w:val="14"/>
                <w:color w:val="auto"/>
              </w:rPr>
              <w:t>Illiquidity premium</w:t>
            </w:r>
          </w:p>
        </w:tc>
        <w:tc>
          <w:tcPr>
            <w:tcW w:w="160" w:type="dxa"/>
            <w:vAlign w:val="bottom"/>
          </w:tcPr>
          <w:p>
            <w:pPr>
              <w:spacing w:after="0"/>
              <w:rPr>
                <w:sz w:val="24"/>
                <w:szCs w:val="24"/>
                <w:color w:val="auto"/>
              </w:rPr>
            </w:pPr>
          </w:p>
        </w:tc>
        <w:tc>
          <w:tcPr>
            <w:tcW w:w="1660" w:type="dxa"/>
            <w:vAlign w:val="bottom"/>
          </w:tcPr>
          <w:p>
            <w:pPr>
              <w:jc w:val="right"/>
              <w:spacing w:after="0"/>
              <w:rPr>
                <w:sz w:val="20"/>
                <w:szCs w:val="20"/>
                <w:color w:val="auto"/>
              </w:rPr>
            </w:pPr>
            <w:r>
              <w:rPr>
                <w:rFonts w:ascii="Arial" w:cs="Arial" w:eastAsia="Arial" w:hAnsi="Arial"/>
                <w:sz w:val="14"/>
                <w:szCs w:val="14"/>
                <w:color w:val="auto"/>
              </w:rPr>
              <w:t>0bps - 100bps</w:t>
            </w:r>
          </w:p>
        </w:tc>
        <w:tc>
          <w:tcPr>
            <w:tcW w:w="18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39bps</w:t>
            </w:r>
          </w:p>
        </w:tc>
      </w:tr>
      <w:tr>
        <w:trPr>
          <w:trHeight w:val="300"/>
        </w:trPr>
        <w:tc>
          <w:tcPr>
            <w:tcW w:w="20" w:type="dxa"/>
            <w:vAlign w:val="bottom"/>
          </w:tcPr>
          <w:p>
            <w:pPr>
              <w:spacing w:after="0"/>
              <w:rPr>
                <w:sz w:val="24"/>
                <w:szCs w:val="24"/>
                <w:color w:val="auto"/>
              </w:rPr>
            </w:pPr>
          </w:p>
        </w:tc>
        <w:tc>
          <w:tcPr>
            <w:tcW w:w="1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40" w:type="dxa"/>
            <w:vAlign w:val="bottom"/>
            <w:shd w:val="clear" w:color="auto" w:fill="CCEEFF"/>
          </w:tcPr>
          <w:p>
            <w:pPr>
              <w:spacing w:after="0"/>
              <w:rPr>
                <w:sz w:val="24"/>
                <w:szCs w:val="24"/>
                <w:color w:val="auto"/>
              </w:rPr>
            </w:pPr>
          </w:p>
        </w:tc>
        <w:tc>
          <w:tcPr>
            <w:tcW w:w="18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Earnings before interest,</w:t>
            </w:r>
          </w:p>
        </w:tc>
        <w:tc>
          <w:tcPr>
            <w:tcW w:w="160" w:type="dxa"/>
            <w:vAlign w:val="bottom"/>
            <w:shd w:val="clear" w:color="auto" w:fill="CCEEFF"/>
          </w:tcPr>
          <w:p>
            <w:pPr>
              <w:spacing w:after="0"/>
              <w:rPr>
                <w:sz w:val="24"/>
                <w:szCs w:val="24"/>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0x - 3.5x</w:t>
            </w: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0.2x</w:t>
            </w:r>
          </w:p>
        </w:tc>
      </w:tr>
      <w:tr>
        <w:trPr>
          <w:trHeight w:val="149"/>
        </w:trPr>
        <w:tc>
          <w:tcPr>
            <w:tcW w:w="20" w:type="dxa"/>
            <w:vAlign w:val="bottom"/>
          </w:tcPr>
          <w:p>
            <w:pPr>
              <w:spacing w:after="0"/>
              <w:rPr>
                <w:sz w:val="12"/>
                <w:szCs w:val="12"/>
                <w:color w:val="auto"/>
              </w:rPr>
            </w:pPr>
          </w:p>
        </w:tc>
        <w:tc>
          <w:tcPr>
            <w:tcW w:w="1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40" w:type="dxa"/>
            <w:vAlign w:val="bottom"/>
            <w:shd w:val="clear" w:color="auto" w:fill="CCEEFF"/>
          </w:tcPr>
          <w:p>
            <w:pPr>
              <w:spacing w:after="0"/>
              <w:rPr>
                <w:sz w:val="12"/>
                <w:szCs w:val="12"/>
                <w:color w:val="auto"/>
              </w:rPr>
            </w:pPr>
          </w:p>
        </w:tc>
        <w:tc>
          <w:tcPr>
            <w:tcW w:w="1820" w:type="dxa"/>
            <w:vAlign w:val="bottom"/>
            <w:gridSpan w:val="2"/>
            <w:shd w:val="clear" w:color="auto" w:fill="CCEEFF"/>
          </w:tcPr>
          <w:p>
            <w:pPr>
              <w:ind w:left="180"/>
              <w:spacing w:after="0" w:line="149" w:lineRule="exact"/>
              <w:rPr>
                <w:sz w:val="20"/>
                <w:szCs w:val="20"/>
                <w:color w:val="auto"/>
              </w:rPr>
            </w:pPr>
            <w:r>
              <w:rPr>
                <w:rFonts w:ascii="Arial" w:cs="Arial" w:eastAsia="Arial" w:hAnsi="Arial"/>
                <w:sz w:val="14"/>
                <w:szCs w:val="14"/>
                <w:color w:val="auto"/>
              </w:rPr>
              <w:t>taxes, depreciation and</w:t>
            </w:r>
          </w:p>
        </w:tc>
        <w:tc>
          <w:tcPr>
            <w:tcW w:w="160" w:type="dxa"/>
            <w:vAlign w:val="bottom"/>
            <w:shd w:val="clear" w:color="auto" w:fill="CCEEFF"/>
          </w:tcPr>
          <w:p>
            <w:pPr>
              <w:spacing w:after="0"/>
              <w:rPr>
                <w:sz w:val="12"/>
                <w:szCs w:val="12"/>
                <w:color w:val="auto"/>
              </w:rPr>
            </w:pPr>
          </w:p>
        </w:tc>
        <w:tc>
          <w:tcPr>
            <w:tcW w:w="16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r>
      <w:tr>
        <w:trPr>
          <w:trHeight w:val="159"/>
        </w:trPr>
        <w:tc>
          <w:tcPr>
            <w:tcW w:w="20" w:type="dxa"/>
            <w:vAlign w:val="bottom"/>
          </w:tcPr>
          <w:p>
            <w:pPr>
              <w:spacing w:after="0"/>
              <w:rPr>
                <w:sz w:val="13"/>
                <w:szCs w:val="13"/>
                <w:color w:val="auto"/>
              </w:rPr>
            </w:pPr>
          </w:p>
        </w:tc>
        <w:tc>
          <w:tcPr>
            <w:tcW w:w="18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0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640" w:type="dxa"/>
            <w:vAlign w:val="bottom"/>
            <w:shd w:val="clear" w:color="auto" w:fill="CCEEFF"/>
          </w:tcPr>
          <w:p>
            <w:pPr>
              <w:spacing w:after="0"/>
              <w:rPr>
                <w:sz w:val="13"/>
                <w:szCs w:val="13"/>
                <w:color w:val="auto"/>
              </w:rPr>
            </w:pPr>
          </w:p>
        </w:tc>
        <w:tc>
          <w:tcPr>
            <w:tcW w:w="1820" w:type="dxa"/>
            <w:vAlign w:val="bottom"/>
            <w:gridSpan w:val="2"/>
            <w:shd w:val="clear" w:color="auto" w:fill="CCEEFF"/>
          </w:tcPr>
          <w:p>
            <w:pPr>
              <w:ind w:left="180"/>
              <w:spacing w:after="0" w:line="159" w:lineRule="exact"/>
              <w:rPr>
                <w:sz w:val="20"/>
                <w:szCs w:val="20"/>
                <w:color w:val="auto"/>
              </w:rPr>
            </w:pPr>
            <w:r>
              <w:rPr>
                <w:rFonts w:ascii="Arial" w:cs="Arial" w:eastAsia="Arial" w:hAnsi="Arial"/>
                <w:sz w:val="14"/>
                <w:szCs w:val="14"/>
                <w:color w:val="auto"/>
              </w:rPr>
              <w:t>amortization multiple</w:t>
            </w:r>
          </w:p>
        </w:tc>
        <w:tc>
          <w:tcPr>
            <w:tcW w:w="160" w:type="dxa"/>
            <w:vAlign w:val="bottom"/>
            <w:shd w:val="clear" w:color="auto" w:fill="CCEEFF"/>
          </w:tcPr>
          <w:p>
            <w:pPr>
              <w:spacing w:after="0"/>
              <w:rPr>
                <w:sz w:val="13"/>
                <w:szCs w:val="13"/>
                <w:color w:val="auto"/>
              </w:rPr>
            </w:pPr>
          </w:p>
        </w:tc>
        <w:tc>
          <w:tcPr>
            <w:tcW w:w="166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r>
      <w:tr>
        <w:trPr>
          <w:trHeight w:val="311"/>
        </w:trPr>
        <w:tc>
          <w:tcPr>
            <w:tcW w:w="2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820" w:type="dxa"/>
            <w:vAlign w:val="bottom"/>
            <w:gridSpan w:val="2"/>
          </w:tcPr>
          <w:p>
            <w:pPr>
              <w:ind w:left="180"/>
              <w:spacing w:after="0"/>
              <w:rPr>
                <w:sz w:val="20"/>
                <w:szCs w:val="20"/>
                <w:color w:val="auto"/>
              </w:rPr>
            </w:pPr>
            <w:r>
              <w:rPr>
                <w:rFonts w:ascii="Arial" w:cs="Arial" w:eastAsia="Arial" w:hAnsi="Arial"/>
                <w:sz w:val="14"/>
                <w:szCs w:val="14"/>
                <w:color w:val="auto"/>
              </w:rPr>
              <w:t>Probability of default</w:t>
            </w:r>
          </w:p>
        </w:tc>
        <w:tc>
          <w:tcPr>
            <w:tcW w:w="1820" w:type="dxa"/>
            <w:vAlign w:val="bottom"/>
            <w:gridSpan w:val="2"/>
          </w:tcPr>
          <w:p>
            <w:pPr>
              <w:jc w:val="right"/>
              <w:spacing w:after="0"/>
              <w:rPr>
                <w:sz w:val="20"/>
                <w:szCs w:val="20"/>
                <w:color w:val="auto"/>
              </w:rPr>
            </w:pPr>
            <w:r>
              <w:rPr>
                <w:rFonts w:ascii="Arial" w:cs="Arial" w:eastAsia="Arial" w:hAnsi="Arial"/>
                <w:sz w:val="14"/>
                <w:szCs w:val="14"/>
                <w:color w:val="auto"/>
              </w:rPr>
              <w:t>0% - 100%</w:t>
            </w: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6.4%</w:t>
            </w:r>
          </w:p>
        </w:tc>
      </w:tr>
      <w:tr>
        <w:trPr>
          <w:trHeight w:val="311"/>
        </w:trPr>
        <w:tc>
          <w:tcPr>
            <w:tcW w:w="20" w:type="dxa"/>
            <w:vAlign w:val="bottom"/>
          </w:tcPr>
          <w:p>
            <w:pPr>
              <w:spacing w:after="0"/>
              <w:rPr>
                <w:sz w:val="24"/>
                <w:szCs w:val="24"/>
                <w:color w:val="auto"/>
              </w:rPr>
            </w:pPr>
          </w:p>
        </w:tc>
        <w:tc>
          <w:tcPr>
            <w:tcW w:w="1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40" w:type="dxa"/>
            <w:vAlign w:val="bottom"/>
            <w:shd w:val="clear" w:color="auto" w:fill="CCEEFF"/>
          </w:tcPr>
          <w:p>
            <w:pPr>
              <w:spacing w:after="0"/>
              <w:rPr>
                <w:sz w:val="24"/>
                <w:szCs w:val="24"/>
                <w:color w:val="auto"/>
              </w:rPr>
            </w:pPr>
          </w:p>
        </w:tc>
        <w:tc>
          <w:tcPr>
            <w:tcW w:w="18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Potential loss severity</w:t>
            </w:r>
          </w:p>
        </w:tc>
        <w:tc>
          <w:tcPr>
            <w:tcW w:w="18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0% - 30%</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1.9%</w:t>
            </w:r>
          </w:p>
        </w:tc>
      </w:tr>
    </w:tbl>
    <w:p>
      <w:pPr>
        <w:spacing w:after="0" w:line="200" w:lineRule="exact"/>
        <w:rPr>
          <w:sz w:val="20"/>
          <w:szCs w:val="20"/>
          <w:color w:val="auto"/>
        </w:rPr>
      </w:pPr>
    </w:p>
    <w:p>
      <w:pPr>
        <w:sectPr>
          <w:pgSz w:w="11900" w:h="16838" w:orient="portrait"/>
          <w:cols w:equalWidth="0" w:num="1">
            <w:col w:w="10280"/>
          </w:cols>
          <w:pgMar w:left="240" w:top="131" w:right="1379" w:bottom="1440" w:gutter="0" w:footer="0" w:header="0"/>
          <w:type w:val="continuous"/>
        </w:sectPr>
      </w:pPr>
    </w:p>
    <w:p>
      <w:pPr>
        <w:spacing w:after="0" w:line="8" w:lineRule="exact"/>
        <w:rPr>
          <w:sz w:val="20"/>
          <w:szCs w:val="20"/>
          <w:color w:val="auto"/>
        </w:rPr>
      </w:pPr>
    </w:p>
    <w:p>
      <w:pPr>
        <w:ind w:left="5580"/>
        <w:spacing w:after="0"/>
        <w:rPr>
          <w:sz w:val="20"/>
          <w:szCs w:val="20"/>
          <w:color w:val="auto"/>
        </w:rPr>
      </w:pPr>
      <w:r>
        <w:rPr>
          <w:rFonts w:ascii="Arial" w:cs="Arial" w:eastAsia="Arial" w:hAnsi="Arial"/>
          <w:sz w:val="15"/>
          <w:szCs w:val="15"/>
          <w:color w:val="auto"/>
        </w:rPr>
        <w:t>172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type w:val="continuous"/>
        </w:sectPr>
      </w:pPr>
    </w:p>
    <w:bookmarkStart w:id="176" w:name="page177"/>
    <w:bookmarkEnd w:id="17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Fair Value Measurements — (continued)</w:t>
      </w:r>
    </w:p>
    <w:p>
      <w:pPr>
        <w:spacing w:after="0" w:line="227"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tcPr>
          <w:p>
            <w:pPr>
              <w:spacing w:after="0"/>
              <w:rPr>
                <w:sz w:val="14"/>
                <w:szCs w:val="14"/>
                <w:color w:val="auto"/>
              </w:rPr>
            </w:pPr>
          </w:p>
        </w:tc>
        <w:tc>
          <w:tcPr>
            <w:tcW w:w="1820" w:type="dxa"/>
            <w:vAlign w:val="bottom"/>
            <w:tcBorders>
              <w:bottom w:val="single" w:sz="8" w:color="auto"/>
            </w:tcBorders>
            <w:gridSpan w:val="2"/>
          </w:tcPr>
          <w:p>
            <w:pPr>
              <w:ind w:left="140"/>
              <w:spacing w:after="0"/>
              <w:rPr>
                <w:sz w:val="20"/>
                <w:szCs w:val="20"/>
                <w:color w:val="auto"/>
              </w:rPr>
            </w:pPr>
            <w:r>
              <w:rPr>
                <w:rFonts w:ascii="Arial" w:cs="Arial" w:eastAsia="Arial" w:hAnsi="Arial"/>
                <w:sz w:val="14"/>
                <w:szCs w:val="14"/>
                <w:b w:val="1"/>
                <w:bCs w:val="1"/>
                <w:color w:val="auto"/>
              </w:rPr>
              <w:t>As of December 31, 2012</w:t>
            </w:r>
          </w:p>
        </w:tc>
        <w:tc>
          <w:tcPr>
            <w:tcW w:w="160" w:type="dxa"/>
            <w:vAlign w:val="bottom"/>
            <w:tcBorders>
              <w:bottom w:val="single" w:sz="8" w:color="auto"/>
            </w:tcBorders>
          </w:tcPr>
          <w:p>
            <w:pPr>
              <w:spacing w:after="0"/>
              <w:rPr>
                <w:sz w:val="14"/>
                <w:szCs w:val="14"/>
                <w:color w:val="auto"/>
              </w:rPr>
            </w:pPr>
          </w:p>
        </w:tc>
        <w:tc>
          <w:tcPr>
            <w:tcW w:w="16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00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78"/>
              </w:rPr>
              <w:t>Assets /</w:t>
            </w:r>
          </w:p>
        </w:tc>
        <w:tc>
          <w:tcPr>
            <w:tcW w:w="16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10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(liabilities)</w:t>
            </w:r>
          </w:p>
        </w:tc>
        <w:tc>
          <w:tcPr>
            <w:tcW w:w="16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10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measured at</w:t>
            </w:r>
          </w:p>
        </w:tc>
        <w:tc>
          <w:tcPr>
            <w:tcW w:w="160" w:type="dxa"/>
            <w:vAlign w:val="bottom"/>
          </w:tcPr>
          <w:p>
            <w:pPr>
              <w:spacing w:after="0"/>
              <w:rPr>
                <w:sz w:val="12"/>
                <w:szCs w:val="12"/>
                <w:color w:val="auto"/>
              </w:rPr>
            </w:pPr>
          </w:p>
        </w:tc>
        <w:tc>
          <w:tcPr>
            <w:tcW w:w="1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Valuation</w:t>
            </w:r>
          </w:p>
        </w:tc>
        <w:tc>
          <w:tcPr>
            <w:tcW w:w="180" w:type="dxa"/>
            <w:vAlign w:val="bottom"/>
          </w:tcPr>
          <w:p>
            <w:pPr>
              <w:spacing w:after="0"/>
              <w:rPr>
                <w:sz w:val="12"/>
                <w:szCs w:val="12"/>
                <w:color w:val="auto"/>
              </w:rPr>
            </w:pPr>
          </w:p>
        </w:tc>
        <w:tc>
          <w:tcPr>
            <w:tcW w:w="1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Unobservable</w:t>
            </w:r>
          </w:p>
        </w:tc>
        <w:tc>
          <w:tcPr>
            <w:tcW w:w="160" w:type="dxa"/>
            <w:vAlign w:val="bottom"/>
          </w:tcPr>
          <w:p>
            <w:pPr>
              <w:spacing w:after="0"/>
              <w:rPr>
                <w:sz w:val="12"/>
                <w:szCs w:val="12"/>
                <w:color w:val="auto"/>
              </w:rPr>
            </w:pPr>
          </w:p>
        </w:tc>
        <w:tc>
          <w:tcPr>
            <w:tcW w:w="1660" w:type="dxa"/>
            <w:vAlign w:val="bottom"/>
          </w:tcPr>
          <w:p>
            <w:pPr>
              <w:jc w:val="right"/>
              <w:ind w:right="352"/>
              <w:spacing w:after="0" w:line="149" w:lineRule="exact"/>
              <w:rPr>
                <w:sz w:val="20"/>
                <w:szCs w:val="20"/>
                <w:color w:val="auto"/>
              </w:rPr>
            </w:pPr>
            <w:r>
              <w:rPr>
                <w:rFonts w:ascii="Arial" w:cs="Arial" w:eastAsia="Arial" w:hAnsi="Arial"/>
                <w:sz w:val="14"/>
                <w:szCs w:val="14"/>
                <w:b w:val="1"/>
                <w:bCs w:val="1"/>
                <w:color w:val="auto"/>
              </w:rPr>
              <w:t>Input/range of</w:t>
            </w:r>
          </w:p>
        </w:tc>
        <w:tc>
          <w:tcPr>
            <w:tcW w:w="180" w:type="dxa"/>
            <w:vAlign w:val="bottom"/>
          </w:tcPr>
          <w:p>
            <w:pPr>
              <w:spacing w:after="0"/>
              <w:rPr>
                <w:sz w:val="12"/>
                <w:szCs w:val="12"/>
                <w:color w:val="auto"/>
              </w:rPr>
            </w:pPr>
          </w:p>
        </w:tc>
        <w:tc>
          <w:tcPr>
            <w:tcW w:w="700" w:type="dxa"/>
            <w:vAlign w:val="bottom"/>
          </w:tcPr>
          <w:p>
            <w:pPr>
              <w:jc w:val="right"/>
              <w:ind w:right="12"/>
              <w:spacing w:after="0" w:line="149" w:lineRule="exact"/>
              <w:rPr>
                <w:sz w:val="20"/>
                <w:szCs w:val="20"/>
                <w:color w:val="auto"/>
              </w:rPr>
            </w:pPr>
            <w:r>
              <w:rPr>
                <w:rFonts w:ascii="Arial" w:cs="Arial" w:eastAsia="Arial" w:hAnsi="Arial"/>
                <w:sz w:val="14"/>
                <w:szCs w:val="14"/>
                <w:b w:val="1"/>
                <w:bCs w:val="1"/>
                <w:color w:val="auto"/>
                <w:w w:val="95"/>
              </w:rPr>
              <w:t>Weighted</w:t>
            </w:r>
          </w:p>
        </w:tc>
      </w:tr>
      <w:tr>
        <w:trPr>
          <w:trHeight w:val="161"/>
        </w:trPr>
        <w:tc>
          <w:tcPr>
            <w:tcW w:w="2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fair value</w:t>
            </w:r>
          </w:p>
        </w:tc>
        <w:tc>
          <w:tcPr>
            <w:tcW w:w="160" w:type="dxa"/>
            <w:vAlign w:val="bottom"/>
          </w:tcPr>
          <w:p>
            <w:pPr>
              <w:spacing w:after="0"/>
              <w:rPr>
                <w:sz w:val="14"/>
                <w:szCs w:val="14"/>
                <w:color w:val="auto"/>
              </w:rPr>
            </w:pPr>
          </w:p>
        </w:tc>
        <w:tc>
          <w:tcPr>
            <w:tcW w:w="1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technique(s)</w:t>
            </w:r>
          </w:p>
        </w:tc>
        <w:tc>
          <w:tcPr>
            <w:tcW w:w="180" w:type="dxa"/>
            <w:vAlign w:val="bottom"/>
          </w:tcPr>
          <w:p>
            <w:pPr>
              <w:spacing w:after="0"/>
              <w:rPr>
                <w:sz w:val="14"/>
                <w:szCs w:val="14"/>
                <w:color w:val="auto"/>
              </w:rPr>
            </w:pPr>
          </w:p>
        </w:tc>
        <w:tc>
          <w:tcPr>
            <w:tcW w:w="1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input description</w:t>
            </w:r>
          </w:p>
        </w:tc>
        <w:tc>
          <w:tcPr>
            <w:tcW w:w="160" w:type="dxa"/>
            <w:vAlign w:val="bottom"/>
          </w:tcPr>
          <w:p>
            <w:pPr>
              <w:spacing w:after="0"/>
              <w:rPr>
                <w:sz w:val="14"/>
                <w:szCs w:val="14"/>
                <w:color w:val="auto"/>
              </w:rPr>
            </w:pPr>
          </w:p>
        </w:tc>
        <w:tc>
          <w:tcPr>
            <w:tcW w:w="1660" w:type="dxa"/>
            <w:vAlign w:val="bottom"/>
            <w:tcBorders>
              <w:bottom w:val="single" w:sz="8" w:color="auto"/>
            </w:tcBorders>
          </w:tcPr>
          <w:p>
            <w:pPr>
              <w:jc w:val="right"/>
              <w:ind w:right="592"/>
              <w:spacing w:after="0"/>
              <w:rPr>
                <w:sz w:val="20"/>
                <w:szCs w:val="20"/>
                <w:color w:val="auto"/>
              </w:rPr>
            </w:pPr>
            <w:r>
              <w:rPr>
                <w:rFonts w:ascii="Arial" w:cs="Arial" w:eastAsia="Arial" w:hAnsi="Arial"/>
                <w:sz w:val="14"/>
                <w:szCs w:val="14"/>
                <w:b w:val="1"/>
                <w:bCs w:val="1"/>
                <w:color w:val="auto"/>
              </w:rPr>
              <w:t>inputs</w:t>
            </w:r>
          </w:p>
        </w:tc>
        <w:tc>
          <w:tcPr>
            <w:tcW w:w="180" w:type="dxa"/>
            <w:vAlign w:val="bottom"/>
          </w:tcPr>
          <w:p>
            <w:pPr>
              <w:spacing w:after="0"/>
              <w:rPr>
                <w:sz w:val="14"/>
                <w:szCs w:val="14"/>
                <w:color w:val="auto"/>
              </w:rPr>
            </w:pPr>
          </w:p>
        </w:tc>
        <w:tc>
          <w:tcPr>
            <w:tcW w:w="70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b w:val="1"/>
                <w:bCs w:val="1"/>
                <w:color w:val="auto"/>
              </w:rPr>
              <w:t>average</w:t>
            </w:r>
          </w:p>
        </w:tc>
      </w:tr>
      <w:tr>
        <w:trPr>
          <w:trHeight w:val="142"/>
        </w:trPr>
        <w:tc>
          <w:tcPr>
            <w:tcW w:w="2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1000" w:type="dxa"/>
            <w:vAlign w:val="bottom"/>
          </w:tcPr>
          <w:p>
            <w:pPr>
              <w:jc w:val="center"/>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16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r>
      <w:tr>
        <w:trPr>
          <w:trHeight w:val="138"/>
        </w:trPr>
        <w:tc>
          <w:tcPr>
            <w:tcW w:w="20" w:type="dxa"/>
            <w:vAlign w:val="bottom"/>
          </w:tcPr>
          <w:p>
            <w:pPr>
              <w:spacing w:after="0"/>
              <w:rPr>
                <w:sz w:val="11"/>
                <w:szCs w:val="11"/>
                <w:color w:val="auto"/>
              </w:rPr>
            </w:pPr>
          </w:p>
        </w:tc>
        <w:tc>
          <w:tcPr>
            <w:tcW w:w="1800" w:type="dxa"/>
            <w:vAlign w:val="bottom"/>
            <w:shd w:val="clear" w:color="auto" w:fill="CCEEFF"/>
          </w:tcPr>
          <w:p>
            <w:pPr>
              <w:ind w:left="140"/>
              <w:spacing w:after="0" w:line="138" w:lineRule="exact"/>
              <w:rPr>
                <w:sz w:val="20"/>
                <w:szCs w:val="20"/>
                <w:color w:val="auto"/>
              </w:rPr>
            </w:pPr>
            <w:r>
              <w:rPr>
                <w:rFonts w:ascii="Arial" w:cs="Arial" w:eastAsia="Arial" w:hAnsi="Arial"/>
                <w:sz w:val="14"/>
                <w:szCs w:val="14"/>
                <w:color w:val="auto"/>
              </w:rPr>
              <w:t>Collateralized debt</w:t>
            </w:r>
          </w:p>
        </w:tc>
        <w:tc>
          <w:tcPr>
            <w:tcW w:w="10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r>
      <w:tr>
        <w:trPr>
          <w:trHeight w:val="159"/>
        </w:trPr>
        <w:tc>
          <w:tcPr>
            <w:tcW w:w="20" w:type="dxa"/>
            <w:vAlign w:val="bottom"/>
          </w:tcPr>
          <w:p>
            <w:pPr>
              <w:spacing w:after="0"/>
              <w:rPr>
                <w:sz w:val="13"/>
                <w:szCs w:val="13"/>
                <w:color w:val="auto"/>
              </w:rPr>
            </w:pPr>
          </w:p>
        </w:tc>
        <w:tc>
          <w:tcPr>
            <w:tcW w:w="1800" w:type="dxa"/>
            <w:vAlign w:val="bottom"/>
            <w:shd w:val="clear" w:color="auto" w:fill="CCEEFF"/>
          </w:tcPr>
          <w:p>
            <w:pPr>
              <w:ind w:left="280"/>
              <w:spacing w:after="0" w:line="159" w:lineRule="exact"/>
              <w:rPr>
                <w:sz w:val="20"/>
                <w:szCs w:val="20"/>
                <w:color w:val="auto"/>
              </w:rPr>
            </w:pPr>
            <w:r>
              <w:rPr>
                <w:rFonts w:ascii="Arial" w:cs="Arial" w:eastAsia="Arial" w:hAnsi="Arial"/>
                <w:sz w:val="14"/>
                <w:szCs w:val="14"/>
                <w:color w:val="auto"/>
              </w:rPr>
              <w:t>obligations</w:t>
            </w:r>
          </w:p>
        </w:tc>
        <w:tc>
          <w:tcPr>
            <w:tcW w:w="10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38.2</w:t>
            </w:r>
          </w:p>
        </w:tc>
        <w:tc>
          <w:tcPr>
            <w:tcW w:w="1800" w:type="dxa"/>
            <w:vAlign w:val="bottom"/>
            <w:gridSpan w:val="2"/>
            <w:shd w:val="clear" w:color="auto" w:fill="CCEEFF"/>
          </w:tcPr>
          <w:p>
            <w:pPr>
              <w:ind w:left="160"/>
              <w:spacing w:after="0" w:line="159" w:lineRule="exact"/>
              <w:rPr>
                <w:sz w:val="20"/>
                <w:szCs w:val="20"/>
                <w:color w:val="auto"/>
              </w:rPr>
            </w:pPr>
            <w:r>
              <w:rPr>
                <w:rFonts w:ascii="Arial" w:cs="Arial" w:eastAsia="Arial" w:hAnsi="Arial"/>
                <w:sz w:val="14"/>
                <w:szCs w:val="14"/>
                <w:color w:val="auto"/>
              </w:rPr>
              <w:t>Discounted cash flow</w:t>
            </w:r>
          </w:p>
        </w:tc>
        <w:tc>
          <w:tcPr>
            <w:tcW w:w="1820" w:type="dxa"/>
            <w:vAlign w:val="bottom"/>
            <w:gridSpan w:val="2"/>
            <w:shd w:val="clear" w:color="auto" w:fill="CCEEFF"/>
          </w:tcPr>
          <w:p>
            <w:pPr>
              <w:ind w:left="180"/>
              <w:spacing w:after="0" w:line="159" w:lineRule="exact"/>
              <w:rPr>
                <w:sz w:val="20"/>
                <w:szCs w:val="20"/>
                <w:color w:val="auto"/>
              </w:rPr>
            </w:pPr>
            <w:r>
              <w:rPr>
                <w:rFonts w:ascii="Arial" w:cs="Arial" w:eastAsia="Arial" w:hAnsi="Arial"/>
                <w:sz w:val="14"/>
                <w:szCs w:val="14"/>
                <w:color w:val="auto"/>
              </w:rPr>
              <w:t>Discount rate (1)</w:t>
            </w:r>
          </w:p>
        </w:tc>
        <w:tc>
          <w:tcPr>
            <w:tcW w:w="182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1.0% - 19.8%</w:t>
            </w:r>
          </w:p>
        </w:tc>
        <w:tc>
          <w:tcPr>
            <w:tcW w:w="88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13.3%</w:t>
            </w:r>
          </w:p>
        </w:tc>
      </w:tr>
      <w:tr>
        <w:trPr>
          <w:trHeight w:val="311"/>
        </w:trPr>
        <w:tc>
          <w:tcPr>
            <w:tcW w:w="2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820" w:type="dxa"/>
            <w:vAlign w:val="bottom"/>
            <w:gridSpan w:val="2"/>
          </w:tcPr>
          <w:p>
            <w:pPr>
              <w:ind w:left="180"/>
              <w:spacing w:after="0"/>
              <w:rPr>
                <w:sz w:val="20"/>
                <w:szCs w:val="20"/>
                <w:color w:val="auto"/>
              </w:rPr>
            </w:pPr>
            <w:r>
              <w:rPr>
                <w:rFonts w:ascii="Arial" w:cs="Arial" w:eastAsia="Arial" w:hAnsi="Arial"/>
                <w:sz w:val="14"/>
                <w:szCs w:val="14"/>
                <w:color w:val="auto"/>
              </w:rPr>
              <w:t>Illiquidity premium</w:t>
            </w:r>
          </w:p>
        </w:tc>
        <w:tc>
          <w:tcPr>
            <w:tcW w:w="160" w:type="dxa"/>
            <w:vAlign w:val="bottom"/>
          </w:tcPr>
          <w:p>
            <w:pPr>
              <w:spacing w:after="0"/>
              <w:rPr>
                <w:sz w:val="24"/>
                <w:szCs w:val="24"/>
                <w:color w:val="auto"/>
              </w:rPr>
            </w:pPr>
          </w:p>
        </w:tc>
        <w:tc>
          <w:tcPr>
            <w:tcW w:w="1660" w:type="dxa"/>
            <w:vAlign w:val="bottom"/>
          </w:tcPr>
          <w:p>
            <w:pPr>
              <w:jc w:val="right"/>
              <w:spacing w:after="0"/>
              <w:rPr>
                <w:sz w:val="20"/>
                <w:szCs w:val="20"/>
                <w:color w:val="auto"/>
              </w:rPr>
            </w:pPr>
            <w:r>
              <w:rPr>
                <w:rFonts w:ascii="Arial" w:cs="Arial" w:eastAsia="Arial" w:hAnsi="Arial"/>
                <w:sz w:val="14"/>
                <w:szCs w:val="14"/>
                <w:color w:val="auto"/>
              </w:rPr>
              <w:t>400bps - 1,000bps</w:t>
            </w:r>
          </w:p>
        </w:tc>
        <w:tc>
          <w:tcPr>
            <w:tcW w:w="18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791bps</w:t>
            </w:r>
          </w:p>
        </w:tc>
      </w:tr>
      <w:tr>
        <w:trPr>
          <w:trHeight w:val="311"/>
        </w:trPr>
        <w:tc>
          <w:tcPr>
            <w:tcW w:w="20" w:type="dxa"/>
            <w:vAlign w:val="bottom"/>
          </w:tcPr>
          <w:p>
            <w:pPr>
              <w:spacing w:after="0"/>
              <w:rPr>
                <w:sz w:val="24"/>
                <w:szCs w:val="24"/>
                <w:color w:val="auto"/>
              </w:rPr>
            </w:pPr>
          </w:p>
        </w:tc>
        <w:tc>
          <w:tcPr>
            <w:tcW w:w="1800" w:type="dxa"/>
            <w:vAlign w:val="bottom"/>
            <w:shd w:val="clear" w:color="auto" w:fill="CCEEFF"/>
          </w:tcPr>
          <w:p>
            <w:pPr>
              <w:ind w:left="140"/>
              <w:spacing w:after="0"/>
              <w:rPr>
                <w:sz w:val="20"/>
                <w:szCs w:val="20"/>
                <w:color w:val="auto"/>
              </w:rPr>
            </w:pPr>
            <w:r>
              <w:rPr>
                <w:rFonts w:ascii="Arial" w:cs="Arial" w:eastAsia="Arial" w:hAnsi="Arial"/>
                <w:sz w:val="14"/>
                <w:szCs w:val="14"/>
                <w:color w:val="auto"/>
              </w:rPr>
              <w:t>Other debt obligations</w:t>
            </w: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14.7</w:t>
            </w:r>
          </w:p>
        </w:tc>
        <w:tc>
          <w:tcPr>
            <w:tcW w:w="180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Discounted cash flow</w:t>
            </w:r>
          </w:p>
        </w:tc>
        <w:tc>
          <w:tcPr>
            <w:tcW w:w="18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Discount rate (1)</w:t>
            </w:r>
          </w:p>
        </w:tc>
        <w:tc>
          <w:tcPr>
            <w:tcW w:w="18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6.5% - 20.0%</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11.8%</w:t>
            </w:r>
          </w:p>
        </w:tc>
      </w:tr>
      <w:tr>
        <w:trPr>
          <w:trHeight w:val="311"/>
        </w:trPr>
        <w:tc>
          <w:tcPr>
            <w:tcW w:w="2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820" w:type="dxa"/>
            <w:vAlign w:val="bottom"/>
            <w:gridSpan w:val="2"/>
          </w:tcPr>
          <w:p>
            <w:pPr>
              <w:ind w:left="180"/>
              <w:spacing w:after="0"/>
              <w:rPr>
                <w:sz w:val="20"/>
                <w:szCs w:val="20"/>
                <w:color w:val="auto"/>
              </w:rPr>
            </w:pPr>
            <w:r>
              <w:rPr>
                <w:rFonts w:ascii="Arial" w:cs="Arial" w:eastAsia="Arial" w:hAnsi="Arial"/>
                <w:sz w:val="14"/>
                <w:szCs w:val="14"/>
                <w:color w:val="auto"/>
              </w:rPr>
              <w:t>Illiquidity premium</w:t>
            </w:r>
          </w:p>
        </w:tc>
        <w:tc>
          <w:tcPr>
            <w:tcW w:w="160" w:type="dxa"/>
            <w:vAlign w:val="bottom"/>
          </w:tcPr>
          <w:p>
            <w:pPr>
              <w:spacing w:after="0"/>
              <w:rPr>
                <w:sz w:val="24"/>
                <w:szCs w:val="24"/>
                <w:color w:val="auto"/>
              </w:rPr>
            </w:pPr>
          </w:p>
        </w:tc>
        <w:tc>
          <w:tcPr>
            <w:tcW w:w="1660" w:type="dxa"/>
            <w:vAlign w:val="bottom"/>
          </w:tcPr>
          <w:p>
            <w:pPr>
              <w:jc w:val="right"/>
              <w:spacing w:after="0"/>
              <w:rPr>
                <w:sz w:val="20"/>
                <w:szCs w:val="20"/>
                <w:color w:val="auto"/>
              </w:rPr>
            </w:pPr>
            <w:r>
              <w:rPr>
                <w:rFonts w:ascii="Arial" w:cs="Arial" w:eastAsia="Arial" w:hAnsi="Arial"/>
                <w:sz w:val="14"/>
                <w:szCs w:val="14"/>
                <w:color w:val="auto"/>
              </w:rPr>
              <w:t>0bps - 50bps</w:t>
            </w:r>
          </w:p>
        </w:tc>
        <w:tc>
          <w:tcPr>
            <w:tcW w:w="18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30bps</w:t>
            </w:r>
          </w:p>
        </w:tc>
      </w:tr>
      <w:tr>
        <w:trPr>
          <w:trHeight w:val="311"/>
        </w:trPr>
        <w:tc>
          <w:tcPr>
            <w:tcW w:w="20" w:type="dxa"/>
            <w:vAlign w:val="bottom"/>
          </w:tcPr>
          <w:p>
            <w:pPr>
              <w:spacing w:after="0"/>
              <w:rPr>
                <w:sz w:val="24"/>
                <w:szCs w:val="24"/>
                <w:color w:val="auto"/>
              </w:rPr>
            </w:pPr>
          </w:p>
        </w:tc>
        <w:tc>
          <w:tcPr>
            <w:tcW w:w="1800" w:type="dxa"/>
            <w:vAlign w:val="bottom"/>
            <w:shd w:val="clear" w:color="auto" w:fill="CCEEFF"/>
          </w:tcPr>
          <w:p>
            <w:pPr>
              <w:spacing w:after="0"/>
              <w:rPr>
                <w:sz w:val="20"/>
                <w:szCs w:val="20"/>
                <w:color w:val="auto"/>
              </w:rPr>
            </w:pPr>
            <w:r>
              <w:rPr>
                <w:rFonts w:ascii="Arial" w:cs="Arial" w:eastAsia="Arial" w:hAnsi="Arial"/>
                <w:sz w:val="14"/>
                <w:szCs w:val="14"/>
                <w:color w:val="auto"/>
              </w:rPr>
              <w:t>Fixed maturities, trading</w:t>
            </w: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35.9</w:t>
            </w:r>
          </w:p>
        </w:tc>
        <w:tc>
          <w:tcPr>
            <w:tcW w:w="180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Discounted cash flow</w:t>
            </w:r>
          </w:p>
        </w:tc>
        <w:tc>
          <w:tcPr>
            <w:tcW w:w="18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Discount rate (1)</w:t>
            </w:r>
          </w:p>
        </w:tc>
        <w:tc>
          <w:tcPr>
            <w:tcW w:w="18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1.2% - 60.5%</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4.1%</w:t>
            </w:r>
          </w:p>
        </w:tc>
      </w:tr>
      <w:tr>
        <w:trPr>
          <w:trHeight w:val="311"/>
        </w:trPr>
        <w:tc>
          <w:tcPr>
            <w:tcW w:w="2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820" w:type="dxa"/>
            <w:vAlign w:val="bottom"/>
            <w:gridSpan w:val="2"/>
          </w:tcPr>
          <w:p>
            <w:pPr>
              <w:ind w:left="180"/>
              <w:spacing w:after="0"/>
              <w:rPr>
                <w:sz w:val="20"/>
                <w:szCs w:val="20"/>
                <w:color w:val="auto"/>
              </w:rPr>
            </w:pPr>
            <w:r>
              <w:rPr>
                <w:rFonts w:ascii="Arial" w:cs="Arial" w:eastAsia="Arial" w:hAnsi="Arial"/>
                <w:sz w:val="14"/>
                <w:szCs w:val="14"/>
                <w:color w:val="auto"/>
              </w:rPr>
              <w:t>Illiquidity premium</w:t>
            </w:r>
          </w:p>
        </w:tc>
        <w:tc>
          <w:tcPr>
            <w:tcW w:w="160" w:type="dxa"/>
            <w:vAlign w:val="bottom"/>
          </w:tcPr>
          <w:p>
            <w:pPr>
              <w:spacing w:after="0"/>
              <w:rPr>
                <w:sz w:val="24"/>
                <w:szCs w:val="24"/>
                <w:color w:val="auto"/>
              </w:rPr>
            </w:pPr>
          </w:p>
        </w:tc>
        <w:tc>
          <w:tcPr>
            <w:tcW w:w="1660" w:type="dxa"/>
            <w:vAlign w:val="bottom"/>
          </w:tcPr>
          <w:p>
            <w:pPr>
              <w:jc w:val="right"/>
              <w:spacing w:after="0"/>
              <w:rPr>
                <w:sz w:val="20"/>
                <w:szCs w:val="20"/>
                <w:color w:val="auto"/>
              </w:rPr>
            </w:pPr>
            <w:r>
              <w:rPr>
                <w:rFonts w:ascii="Arial" w:cs="Arial" w:eastAsia="Arial" w:hAnsi="Arial"/>
                <w:sz w:val="14"/>
                <w:szCs w:val="14"/>
                <w:color w:val="auto"/>
              </w:rPr>
              <w:t>0bps - 1,400bps</w:t>
            </w:r>
          </w:p>
        </w:tc>
        <w:tc>
          <w:tcPr>
            <w:tcW w:w="18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390bps</w:t>
            </w:r>
          </w:p>
        </w:tc>
      </w:tr>
      <w:tr>
        <w:trPr>
          <w:trHeight w:val="311"/>
        </w:trPr>
        <w:tc>
          <w:tcPr>
            <w:tcW w:w="20" w:type="dxa"/>
            <w:vAlign w:val="bottom"/>
          </w:tcPr>
          <w:p>
            <w:pPr>
              <w:spacing w:after="0"/>
              <w:rPr>
                <w:sz w:val="24"/>
                <w:szCs w:val="24"/>
                <w:color w:val="auto"/>
              </w:rPr>
            </w:pPr>
          </w:p>
        </w:tc>
        <w:tc>
          <w:tcPr>
            <w:tcW w:w="1800" w:type="dxa"/>
            <w:vAlign w:val="bottom"/>
            <w:shd w:val="clear" w:color="auto" w:fill="CCEEFF"/>
          </w:tcPr>
          <w:p>
            <w:pPr>
              <w:spacing w:after="0"/>
              <w:rPr>
                <w:sz w:val="24"/>
                <w:szCs w:val="24"/>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110.4</w:t>
            </w:r>
          </w:p>
        </w:tc>
        <w:tc>
          <w:tcPr>
            <w:tcW w:w="180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See note (2)</w:t>
            </w:r>
          </w:p>
        </w:tc>
        <w:tc>
          <w:tcPr>
            <w:tcW w:w="180" w:type="dxa"/>
            <w:vAlign w:val="bottom"/>
            <w:shd w:val="clear" w:color="auto" w:fill="CCEEFF"/>
          </w:tcPr>
          <w:p>
            <w:pPr>
              <w:spacing w:after="0"/>
              <w:rPr>
                <w:sz w:val="24"/>
                <w:szCs w:val="24"/>
                <w:color w:val="auto"/>
              </w:rPr>
            </w:pPr>
          </w:p>
        </w:tc>
        <w:tc>
          <w:tcPr>
            <w:tcW w:w="16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r>
      <w:tr>
        <w:trPr>
          <w:trHeight w:val="300"/>
        </w:trPr>
        <w:tc>
          <w:tcPr>
            <w:tcW w:w="1820" w:type="dxa"/>
            <w:vAlign w:val="bottom"/>
            <w:gridSpan w:val="2"/>
          </w:tcPr>
          <w:p>
            <w:pPr>
              <w:spacing w:after="0"/>
              <w:rPr>
                <w:sz w:val="20"/>
                <w:szCs w:val="20"/>
                <w:color w:val="auto"/>
              </w:rPr>
            </w:pPr>
            <w:r>
              <w:rPr>
                <w:rFonts w:ascii="Arial" w:cs="Arial" w:eastAsia="Arial" w:hAnsi="Arial"/>
                <w:sz w:val="14"/>
                <w:szCs w:val="14"/>
                <w:color w:val="auto"/>
              </w:rPr>
              <w:t>Other investments</w:t>
            </w:r>
          </w:p>
        </w:tc>
        <w:tc>
          <w:tcPr>
            <w:tcW w:w="1000" w:type="dxa"/>
            <w:vAlign w:val="bottom"/>
          </w:tcPr>
          <w:p>
            <w:pPr>
              <w:jc w:val="right"/>
              <w:spacing w:after="0"/>
              <w:rPr>
                <w:sz w:val="20"/>
                <w:szCs w:val="20"/>
                <w:color w:val="auto"/>
              </w:rPr>
            </w:pPr>
            <w:r>
              <w:rPr>
                <w:rFonts w:ascii="Arial" w:cs="Arial" w:eastAsia="Arial" w:hAnsi="Arial"/>
                <w:sz w:val="14"/>
                <w:szCs w:val="14"/>
                <w:color w:val="auto"/>
              </w:rPr>
              <w:t>80.3</w:t>
            </w:r>
          </w:p>
        </w:tc>
        <w:tc>
          <w:tcPr>
            <w:tcW w:w="1800" w:type="dxa"/>
            <w:vAlign w:val="bottom"/>
            <w:gridSpan w:val="2"/>
          </w:tcPr>
          <w:p>
            <w:pPr>
              <w:ind w:left="160"/>
              <w:spacing w:after="0"/>
              <w:rPr>
                <w:sz w:val="20"/>
                <w:szCs w:val="20"/>
                <w:color w:val="auto"/>
              </w:rPr>
            </w:pPr>
            <w:r>
              <w:rPr>
                <w:rFonts w:ascii="Arial" w:cs="Arial" w:eastAsia="Arial" w:hAnsi="Arial"/>
                <w:sz w:val="14"/>
                <w:szCs w:val="14"/>
                <w:color w:val="auto"/>
              </w:rPr>
              <w:t>Discounted cash flow —</w:t>
            </w:r>
          </w:p>
        </w:tc>
        <w:tc>
          <w:tcPr>
            <w:tcW w:w="1820" w:type="dxa"/>
            <w:vAlign w:val="bottom"/>
            <w:gridSpan w:val="2"/>
          </w:tcPr>
          <w:p>
            <w:pPr>
              <w:ind w:left="180"/>
              <w:spacing w:after="0"/>
              <w:rPr>
                <w:sz w:val="20"/>
                <w:szCs w:val="20"/>
                <w:color w:val="auto"/>
              </w:rPr>
            </w:pPr>
            <w:r>
              <w:rPr>
                <w:rFonts w:ascii="Arial" w:cs="Arial" w:eastAsia="Arial" w:hAnsi="Arial"/>
                <w:sz w:val="14"/>
                <w:szCs w:val="14"/>
                <w:color w:val="auto"/>
              </w:rPr>
              <w:t>Discount rate (1)</w:t>
            </w:r>
          </w:p>
        </w:tc>
        <w:tc>
          <w:tcPr>
            <w:tcW w:w="1820" w:type="dxa"/>
            <w:vAlign w:val="bottom"/>
            <w:gridSpan w:val="2"/>
          </w:tcPr>
          <w:p>
            <w:pPr>
              <w:jc w:val="right"/>
              <w:spacing w:after="0"/>
              <w:rPr>
                <w:sz w:val="20"/>
                <w:szCs w:val="20"/>
                <w:color w:val="auto"/>
              </w:rPr>
            </w:pPr>
            <w:r>
              <w:rPr>
                <w:rFonts w:ascii="Arial" w:cs="Arial" w:eastAsia="Arial" w:hAnsi="Arial"/>
                <w:sz w:val="14"/>
                <w:szCs w:val="14"/>
                <w:color w:val="auto"/>
              </w:rPr>
              <w:t>3.5%</w:t>
            </w: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3.5%</w:t>
            </w:r>
          </w:p>
        </w:tc>
      </w:tr>
      <w:tr>
        <w:trPr>
          <w:trHeight w:val="149"/>
        </w:trPr>
        <w:tc>
          <w:tcPr>
            <w:tcW w:w="2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800" w:type="dxa"/>
            <w:vAlign w:val="bottom"/>
            <w:gridSpan w:val="2"/>
          </w:tcPr>
          <w:p>
            <w:pPr>
              <w:ind w:left="160"/>
              <w:spacing w:after="0" w:line="149" w:lineRule="exact"/>
              <w:rPr>
                <w:sz w:val="20"/>
                <w:szCs w:val="20"/>
                <w:color w:val="auto"/>
              </w:rPr>
            </w:pPr>
            <w:r>
              <w:rPr>
                <w:rFonts w:ascii="Arial" w:cs="Arial" w:eastAsia="Arial" w:hAnsi="Arial"/>
                <w:sz w:val="14"/>
                <w:szCs w:val="14"/>
                <w:color w:val="auto"/>
                <w:w w:val="94"/>
              </w:rPr>
              <w:t>commercial mortgage loans</w:t>
            </w:r>
          </w:p>
        </w:tc>
        <w:tc>
          <w:tcPr>
            <w:tcW w:w="18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r>
      <w:tr>
        <w:trPr>
          <w:trHeight w:val="172"/>
        </w:trPr>
        <w:tc>
          <w:tcPr>
            <w:tcW w:w="2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800" w:type="dxa"/>
            <w:vAlign w:val="bottom"/>
            <w:gridSpan w:val="2"/>
          </w:tcPr>
          <w:p>
            <w:pPr>
              <w:ind w:left="160"/>
              <w:spacing w:after="0"/>
              <w:rPr>
                <w:sz w:val="20"/>
                <w:szCs w:val="20"/>
                <w:color w:val="auto"/>
              </w:rPr>
            </w:pPr>
            <w:r>
              <w:rPr>
                <w:rFonts w:ascii="Arial" w:cs="Arial" w:eastAsia="Arial" w:hAnsi="Arial"/>
                <w:sz w:val="14"/>
                <w:szCs w:val="14"/>
                <w:color w:val="auto"/>
              </w:rPr>
              <w:t>of consolidated VIEs</w:t>
            </w:r>
          </w:p>
        </w:tc>
        <w:tc>
          <w:tcPr>
            <w:tcW w:w="18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00" w:type="dxa"/>
            <w:vAlign w:val="bottom"/>
          </w:tcPr>
          <w:p>
            <w:pPr>
              <w:spacing w:after="0"/>
              <w:rPr>
                <w:sz w:val="14"/>
                <w:szCs w:val="1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-7620</wp:posOffset>
            </wp:positionV>
            <wp:extent cx="5797550" cy="19748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5797550" cy="197485"/>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p>
      <w:pPr>
        <w:spacing w:after="0" w:line="138" w:lineRule="exact"/>
        <w:rPr>
          <w:sz w:val="20"/>
          <w:szCs w:val="20"/>
          <w:color w:val="auto"/>
        </w:rPr>
      </w:pPr>
    </w:p>
    <w:p>
      <w:pPr>
        <w:ind w:left="5940"/>
        <w:spacing w:after="0"/>
        <w:rPr>
          <w:sz w:val="20"/>
          <w:szCs w:val="20"/>
          <w:color w:val="auto"/>
        </w:rPr>
      </w:pPr>
      <w:r>
        <w:rPr>
          <w:rFonts w:ascii="Arial" w:cs="Arial" w:eastAsia="Arial" w:hAnsi="Arial"/>
          <w:sz w:val="12"/>
          <w:szCs w:val="12"/>
          <w:color w:val="auto"/>
        </w:rPr>
        <w:t>Illiquidity premium</w:t>
      </w:r>
    </w:p>
    <w:p>
      <w:pPr>
        <w:spacing w:after="0" w:line="159" w:lineRule="exact"/>
        <w:rPr>
          <w:sz w:val="20"/>
          <w:szCs w:val="20"/>
          <w:color w:val="auto"/>
        </w:rPr>
      </w:pPr>
    </w:p>
    <w:p>
      <w:pPr>
        <w:ind w:left="3700"/>
        <w:spacing w:after="0"/>
        <w:tabs>
          <w:tab w:leader="none" w:pos="4100" w:val="left"/>
          <w:tab w:leader="none" w:pos="5920" w:val="left"/>
        </w:tabs>
        <w:rPr>
          <w:sz w:val="20"/>
          <w:szCs w:val="20"/>
          <w:color w:val="auto"/>
        </w:rPr>
      </w:pPr>
      <w:r>
        <w:rPr>
          <w:rFonts w:ascii="Arial" w:cs="Arial" w:eastAsia="Arial" w:hAnsi="Arial"/>
          <w:sz w:val="14"/>
          <w:szCs w:val="14"/>
          <w:color w:val="auto"/>
        </w:rPr>
        <w:t>33.6</w:t>
        <w:tab/>
        <w:t>Discounted cash flow —</w:t>
      </w:r>
      <w:r>
        <w:rPr>
          <w:sz w:val="20"/>
          <w:szCs w:val="20"/>
          <w:color w:val="auto"/>
        </w:rPr>
        <w:tab/>
      </w:r>
      <w:r>
        <w:rPr>
          <w:rFonts w:ascii="Arial" w:cs="Arial" w:eastAsia="Arial" w:hAnsi="Arial"/>
          <w:sz w:val="12"/>
          <w:szCs w:val="12"/>
          <w:color w:val="auto"/>
        </w:rPr>
        <w:t>Discount rate (1)</w:t>
      </w:r>
    </w:p>
    <w:p>
      <w:pPr>
        <w:spacing w:after="0" w:line="1" w:lineRule="exact"/>
        <w:rPr>
          <w:sz w:val="20"/>
          <w:szCs w:val="20"/>
          <w:color w:val="auto"/>
        </w:rPr>
      </w:pPr>
    </w:p>
    <w:p>
      <w:pPr>
        <w:ind w:left="4120"/>
        <w:spacing w:after="0"/>
        <w:rPr>
          <w:sz w:val="20"/>
          <w:szCs w:val="20"/>
          <w:color w:val="auto"/>
        </w:rPr>
      </w:pPr>
      <w:r>
        <w:rPr>
          <w:rFonts w:ascii="Arial" w:cs="Arial" w:eastAsia="Arial" w:hAnsi="Arial"/>
          <w:sz w:val="14"/>
          <w:szCs w:val="14"/>
          <w:color w:val="auto"/>
        </w:rPr>
        <w:t>equity method real estate</w:t>
      </w:r>
    </w:p>
    <w:p>
      <w:pPr>
        <w:ind w:left="4120"/>
        <w:spacing w:after="0" w:line="219" w:lineRule="auto"/>
        <w:rPr>
          <w:sz w:val="20"/>
          <w:szCs w:val="20"/>
          <w:color w:val="auto"/>
        </w:rPr>
      </w:pPr>
      <w:r>
        <w:rPr>
          <w:rFonts w:ascii="Arial" w:cs="Arial" w:eastAsia="Arial" w:hAnsi="Arial"/>
          <w:sz w:val="14"/>
          <w:szCs w:val="14"/>
          <w:color w:val="auto"/>
        </w:rPr>
        <w:t>investment</w:t>
      </w:r>
    </w:p>
    <w:p>
      <w:pPr>
        <w:spacing w:after="0" w:line="20" w:lineRule="exact"/>
        <w:rPr>
          <w:sz w:val="20"/>
          <w:szCs w:val="20"/>
          <w:color w:val="auto"/>
        </w:rPr>
      </w:pPr>
      <w:r>
        <w:rPr>
          <w:sz w:val="20"/>
          <w:szCs w:val="20"/>
          <w:color w:val="auto"/>
        </w:rPr>
        <w:br w:type="column"/>
      </w:r>
    </w:p>
    <w:p>
      <w:pPr>
        <w:spacing w:after="0" w:line="105" w:lineRule="exact"/>
        <w:rPr>
          <w:sz w:val="20"/>
          <w:szCs w:val="20"/>
          <w:color w:val="auto"/>
        </w:rPr>
      </w:pPr>
    </w:p>
    <w:p>
      <w:pPr>
        <w:spacing w:after="0"/>
        <w:tabs>
          <w:tab w:leader="none" w:pos="860" w:val="left"/>
        </w:tabs>
        <w:rPr>
          <w:sz w:val="20"/>
          <w:szCs w:val="20"/>
          <w:color w:val="auto"/>
        </w:rPr>
      </w:pPr>
      <w:r>
        <w:rPr>
          <w:rFonts w:ascii="Arial" w:cs="Arial" w:eastAsia="Arial" w:hAnsi="Arial"/>
          <w:sz w:val="12"/>
          <w:szCs w:val="12"/>
          <w:color w:val="auto"/>
        </w:rPr>
        <w:t>287bps</w:t>
      </w:r>
      <w:r>
        <w:rPr>
          <w:sz w:val="20"/>
          <w:szCs w:val="20"/>
          <w:color w:val="auto"/>
        </w:rPr>
        <w:tab/>
      </w:r>
      <w:r>
        <w:rPr>
          <w:rFonts w:ascii="Arial" w:cs="Arial" w:eastAsia="Arial" w:hAnsi="Arial"/>
          <w:sz w:val="12"/>
          <w:szCs w:val="12"/>
          <w:color w:val="auto"/>
        </w:rPr>
        <w:t>287bps</w:t>
      </w:r>
    </w:p>
    <w:p>
      <w:pPr>
        <w:spacing w:after="0" w:line="173" w:lineRule="exact"/>
        <w:rPr>
          <w:sz w:val="20"/>
          <w:szCs w:val="20"/>
          <w:color w:val="auto"/>
        </w:rPr>
      </w:pPr>
    </w:p>
    <w:p>
      <w:pPr>
        <w:ind w:left="100"/>
        <w:spacing w:after="0"/>
        <w:tabs>
          <w:tab w:leader="none" w:pos="980" w:val="left"/>
        </w:tabs>
        <w:rPr>
          <w:sz w:val="20"/>
          <w:szCs w:val="20"/>
          <w:color w:val="auto"/>
        </w:rPr>
      </w:pPr>
      <w:r>
        <w:rPr>
          <w:rFonts w:ascii="Arial" w:cs="Arial" w:eastAsia="Arial" w:hAnsi="Arial"/>
          <w:sz w:val="14"/>
          <w:szCs w:val="14"/>
          <w:color w:val="auto"/>
        </w:rPr>
        <w:t>9.3%</w:t>
      </w:r>
      <w:r>
        <w:rPr>
          <w:sz w:val="20"/>
          <w:szCs w:val="20"/>
          <w:color w:val="auto"/>
        </w:rPr>
        <w:tab/>
      </w:r>
      <w:r>
        <w:rPr>
          <w:rFonts w:ascii="Arial" w:cs="Arial" w:eastAsia="Arial" w:hAnsi="Arial"/>
          <w:sz w:val="12"/>
          <w:szCs w:val="12"/>
          <w:color w:val="auto"/>
        </w:rPr>
        <w:t>9.3%</w:t>
      </w:r>
    </w:p>
    <w:p>
      <w:pPr>
        <w:spacing w:after="0" w:line="328" w:lineRule="exact"/>
        <w:rPr>
          <w:sz w:val="20"/>
          <w:szCs w:val="20"/>
          <w:color w:val="auto"/>
        </w:rPr>
      </w:pPr>
    </w:p>
    <w:p>
      <w:pPr>
        <w:sectPr>
          <w:pgSz w:w="11900" w:h="16838" w:orient="portrait"/>
          <w:cols w:equalWidth="0" w:num="2">
            <w:col w:w="8280" w:space="720"/>
            <w:col w:w="1280"/>
          </w:cols>
          <w:pgMar w:left="240" w:top="131" w:right="1379" w:bottom="1440" w:gutter="0" w:footer="0" w:header="0"/>
          <w:type w:val="continuous"/>
        </w:sectPr>
      </w:pPr>
    </w:p>
    <w:tbl>
      <w:tblPr>
        <w:tblLayout w:type="fixed"/>
        <w:tblInd w:w="1160" w:type="dxa"/>
        <w:tblCellMar>
          <w:top w:w="0" w:type="dxa"/>
          <w:left w:w="0" w:type="dxa"/>
          <w:bottom w:w="0" w:type="dxa"/>
          <w:right w:w="0" w:type="dxa"/>
        </w:tblCellMar>
      </w:tblPr>
      <w:tr>
        <w:trPr>
          <w:trHeight w:val="291"/>
        </w:trPr>
        <w:tc>
          <w:tcPr>
            <w:tcW w:w="4540" w:type="dxa"/>
            <w:vAlign w:val="bottom"/>
            <w:shd w:val="clear" w:color="auto" w:fill="CCEEFF"/>
          </w:tcPr>
          <w:p>
            <w:pPr>
              <w:spacing w:after="0"/>
              <w:rPr>
                <w:sz w:val="24"/>
                <w:szCs w:val="24"/>
                <w:color w:val="auto"/>
              </w:rPr>
            </w:pPr>
          </w:p>
        </w:tc>
        <w:tc>
          <w:tcPr>
            <w:tcW w:w="2540" w:type="dxa"/>
            <w:vAlign w:val="bottom"/>
            <w:shd w:val="clear" w:color="auto" w:fill="CCEEFF"/>
          </w:tcPr>
          <w:p>
            <w:pPr>
              <w:ind w:left="240"/>
              <w:spacing w:after="0"/>
              <w:rPr>
                <w:sz w:val="20"/>
                <w:szCs w:val="20"/>
                <w:color w:val="auto"/>
              </w:rPr>
            </w:pPr>
            <w:r>
              <w:rPr>
                <w:rFonts w:ascii="Arial" w:cs="Arial" w:eastAsia="Arial" w:hAnsi="Arial"/>
                <w:sz w:val="14"/>
                <w:szCs w:val="14"/>
                <w:color w:val="auto"/>
              </w:rPr>
              <w:t>Terminal capitalization rate</w:t>
            </w:r>
          </w:p>
        </w:tc>
        <w:tc>
          <w:tcPr>
            <w:tcW w:w="1420" w:type="dxa"/>
            <w:vAlign w:val="bottom"/>
            <w:shd w:val="clear" w:color="auto" w:fill="CCEEFF"/>
          </w:tcPr>
          <w:p>
            <w:pPr>
              <w:jc w:val="right"/>
              <w:ind w:right="212"/>
              <w:spacing w:after="0"/>
              <w:rPr>
                <w:sz w:val="20"/>
                <w:szCs w:val="20"/>
                <w:color w:val="auto"/>
              </w:rPr>
            </w:pPr>
            <w:r>
              <w:rPr>
                <w:rFonts w:ascii="Arial" w:cs="Arial" w:eastAsia="Arial" w:hAnsi="Arial"/>
                <w:sz w:val="14"/>
                <w:szCs w:val="14"/>
                <w:color w:val="auto"/>
              </w:rPr>
              <w:t>5.5%</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w:t>
            </w:r>
          </w:p>
        </w:tc>
      </w:tr>
      <w:tr>
        <w:trPr>
          <w:trHeight w:val="300"/>
        </w:trPr>
        <w:tc>
          <w:tcPr>
            <w:tcW w:w="4540" w:type="dxa"/>
            <w:vAlign w:val="bottom"/>
          </w:tcPr>
          <w:p>
            <w:pPr>
              <w:spacing w:after="0"/>
              <w:rPr>
                <w:sz w:val="24"/>
                <w:szCs w:val="24"/>
                <w:color w:val="auto"/>
              </w:rPr>
            </w:pPr>
          </w:p>
        </w:tc>
        <w:tc>
          <w:tcPr>
            <w:tcW w:w="2540" w:type="dxa"/>
            <w:vAlign w:val="bottom"/>
          </w:tcPr>
          <w:p>
            <w:pPr>
              <w:ind w:left="240"/>
              <w:spacing w:after="0"/>
              <w:rPr>
                <w:sz w:val="20"/>
                <w:szCs w:val="20"/>
                <w:color w:val="auto"/>
              </w:rPr>
            </w:pPr>
            <w:r>
              <w:rPr>
                <w:rFonts w:ascii="Arial" w:cs="Arial" w:eastAsia="Arial" w:hAnsi="Arial"/>
                <w:sz w:val="14"/>
                <w:szCs w:val="14"/>
                <w:color w:val="auto"/>
              </w:rPr>
              <w:t>Average market rent growth</w:t>
            </w:r>
          </w:p>
        </w:tc>
        <w:tc>
          <w:tcPr>
            <w:tcW w:w="1420" w:type="dxa"/>
            <w:vAlign w:val="bottom"/>
          </w:tcPr>
          <w:p>
            <w:pPr>
              <w:jc w:val="right"/>
              <w:ind w:right="212"/>
              <w:spacing w:after="0"/>
              <w:rPr>
                <w:sz w:val="20"/>
                <w:szCs w:val="20"/>
                <w:color w:val="auto"/>
              </w:rPr>
            </w:pPr>
            <w:r>
              <w:rPr>
                <w:rFonts w:ascii="Arial" w:cs="Arial" w:eastAsia="Arial" w:hAnsi="Arial"/>
                <w:sz w:val="14"/>
                <w:szCs w:val="14"/>
                <w:color w:val="auto"/>
              </w:rPr>
              <w:t>3.6%</w:t>
            </w:r>
          </w:p>
        </w:tc>
        <w:tc>
          <w:tcPr>
            <w:tcW w:w="620" w:type="dxa"/>
            <w:vAlign w:val="bottom"/>
          </w:tcPr>
          <w:p>
            <w:pPr>
              <w:jc w:val="right"/>
              <w:spacing w:after="0"/>
              <w:rPr>
                <w:sz w:val="20"/>
                <w:szCs w:val="20"/>
                <w:color w:val="auto"/>
              </w:rPr>
            </w:pPr>
            <w:r>
              <w:rPr>
                <w:rFonts w:ascii="Arial" w:cs="Arial" w:eastAsia="Arial" w:hAnsi="Arial"/>
                <w:sz w:val="14"/>
                <w:szCs w:val="14"/>
                <w:color w:val="auto"/>
              </w:rPr>
              <w:t>3.6%</w:t>
            </w:r>
          </w:p>
        </w:tc>
      </w:tr>
      <w:tr>
        <w:trPr>
          <w:trHeight w:val="159"/>
        </w:trPr>
        <w:tc>
          <w:tcPr>
            <w:tcW w:w="4540" w:type="dxa"/>
            <w:vAlign w:val="bottom"/>
          </w:tcPr>
          <w:p>
            <w:pPr>
              <w:spacing w:after="0"/>
              <w:rPr>
                <w:sz w:val="13"/>
                <w:szCs w:val="13"/>
                <w:color w:val="auto"/>
              </w:rPr>
            </w:pPr>
          </w:p>
        </w:tc>
        <w:tc>
          <w:tcPr>
            <w:tcW w:w="2540" w:type="dxa"/>
            <w:vAlign w:val="bottom"/>
          </w:tcPr>
          <w:p>
            <w:pPr>
              <w:ind w:left="240"/>
              <w:spacing w:after="0" w:line="159" w:lineRule="exact"/>
              <w:rPr>
                <w:sz w:val="20"/>
                <w:szCs w:val="20"/>
                <w:color w:val="auto"/>
              </w:rPr>
            </w:pPr>
            <w:r>
              <w:rPr>
                <w:rFonts w:ascii="Arial" w:cs="Arial" w:eastAsia="Arial" w:hAnsi="Arial"/>
                <w:sz w:val="14"/>
                <w:szCs w:val="14"/>
                <w:color w:val="auto"/>
              </w:rPr>
              <w:t>rate</w:t>
            </w:r>
          </w:p>
        </w:tc>
        <w:tc>
          <w:tcPr>
            <w:tcW w:w="1420" w:type="dxa"/>
            <w:vAlign w:val="bottom"/>
          </w:tcPr>
          <w:p>
            <w:pPr>
              <w:spacing w:after="0"/>
              <w:rPr>
                <w:sz w:val="13"/>
                <w:szCs w:val="13"/>
                <w:color w:val="auto"/>
              </w:rPr>
            </w:pPr>
          </w:p>
        </w:tc>
        <w:tc>
          <w:tcPr>
            <w:tcW w:w="620" w:type="dxa"/>
            <w:vAlign w:val="bottom"/>
          </w:tcPr>
          <w:p>
            <w:pPr>
              <w:spacing w:after="0"/>
              <w:rPr>
                <w:sz w:val="13"/>
                <w:szCs w:val="13"/>
                <w:color w:val="auto"/>
              </w:rPr>
            </w:pPr>
          </w:p>
        </w:tc>
      </w:tr>
      <w:tr>
        <w:trPr>
          <w:trHeight w:val="300"/>
        </w:trPr>
        <w:tc>
          <w:tcPr>
            <w:tcW w:w="4540" w:type="dxa"/>
            <w:vAlign w:val="bottom"/>
            <w:shd w:val="clear" w:color="auto" w:fill="CCEEFF"/>
          </w:tcPr>
          <w:p>
            <w:pPr>
              <w:ind w:left="2960"/>
              <w:spacing w:after="0"/>
              <w:rPr>
                <w:sz w:val="20"/>
                <w:szCs w:val="20"/>
                <w:color w:val="auto"/>
              </w:rPr>
            </w:pPr>
            <w:r>
              <w:rPr>
                <w:rFonts w:ascii="Arial" w:cs="Arial" w:eastAsia="Arial" w:hAnsi="Arial"/>
                <w:sz w:val="14"/>
                <w:szCs w:val="14"/>
                <w:color w:val="auto"/>
              </w:rPr>
              <w:t>Discounted cash flow —</w:t>
            </w:r>
          </w:p>
        </w:tc>
        <w:tc>
          <w:tcPr>
            <w:tcW w:w="2540" w:type="dxa"/>
            <w:vAlign w:val="bottom"/>
            <w:shd w:val="clear" w:color="auto" w:fill="CCEEFF"/>
          </w:tcPr>
          <w:p>
            <w:pPr>
              <w:ind w:left="240"/>
              <w:spacing w:after="0"/>
              <w:rPr>
                <w:sz w:val="20"/>
                <w:szCs w:val="20"/>
                <w:color w:val="auto"/>
              </w:rPr>
            </w:pPr>
            <w:r>
              <w:rPr>
                <w:rFonts w:ascii="Arial" w:cs="Arial" w:eastAsia="Arial" w:hAnsi="Arial"/>
                <w:sz w:val="14"/>
                <w:szCs w:val="14"/>
                <w:color w:val="auto"/>
              </w:rPr>
              <w:t>Loan to value</w:t>
            </w:r>
          </w:p>
        </w:tc>
        <w:tc>
          <w:tcPr>
            <w:tcW w:w="1420" w:type="dxa"/>
            <w:vAlign w:val="bottom"/>
            <w:shd w:val="clear" w:color="auto" w:fill="CCEEFF"/>
          </w:tcPr>
          <w:p>
            <w:pPr>
              <w:jc w:val="right"/>
              <w:ind w:right="212"/>
              <w:spacing w:after="0"/>
              <w:rPr>
                <w:sz w:val="20"/>
                <w:szCs w:val="20"/>
                <w:color w:val="auto"/>
              </w:rPr>
            </w:pPr>
            <w:r>
              <w:rPr>
                <w:rFonts w:ascii="Arial" w:cs="Arial" w:eastAsia="Arial" w:hAnsi="Arial"/>
                <w:sz w:val="14"/>
                <w:szCs w:val="14"/>
                <w:color w:val="auto"/>
              </w:rPr>
              <w:t>49.4%</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49.4%</w:t>
            </w:r>
          </w:p>
        </w:tc>
      </w:tr>
      <w:tr>
        <w:trPr>
          <w:trHeight w:val="149"/>
        </w:trPr>
        <w:tc>
          <w:tcPr>
            <w:tcW w:w="4540" w:type="dxa"/>
            <w:vAlign w:val="bottom"/>
            <w:shd w:val="clear" w:color="auto" w:fill="CCEEFF"/>
          </w:tcPr>
          <w:p>
            <w:pPr>
              <w:ind w:left="2960"/>
              <w:spacing w:after="0" w:line="149" w:lineRule="exact"/>
              <w:rPr>
                <w:sz w:val="20"/>
                <w:szCs w:val="20"/>
                <w:color w:val="auto"/>
              </w:rPr>
            </w:pPr>
            <w:r>
              <w:rPr>
                <w:rFonts w:ascii="Arial" w:cs="Arial" w:eastAsia="Arial" w:hAnsi="Arial"/>
                <w:sz w:val="14"/>
                <w:szCs w:val="14"/>
                <w:color w:val="auto"/>
                <w:w w:val="99"/>
              </w:rPr>
              <w:t>equity method real estate</w:t>
            </w:r>
          </w:p>
        </w:tc>
        <w:tc>
          <w:tcPr>
            <w:tcW w:w="2540" w:type="dxa"/>
            <w:vAlign w:val="bottom"/>
            <w:shd w:val="clear" w:color="auto" w:fill="CCEEFF"/>
          </w:tcPr>
          <w:p>
            <w:pPr>
              <w:spacing w:after="0"/>
              <w:rPr>
                <w:sz w:val="12"/>
                <w:szCs w:val="12"/>
                <w:color w:val="auto"/>
              </w:rPr>
            </w:pPr>
          </w:p>
        </w:tc>
        <w:tc>
          <w:tcPr>
            <w:tcW w:w="14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r>
      <w:tr>
        <w:trPr>
          <w:trHeight w:val="159"/>
        </w:trPr>
        <w:tc>
          <w:tcPr>
            <w:tcW w:w="4540" w:type="dxa"/>
            <w:vAlign w:val="bottom"/>
            <w:shd w:val="clear" w:color="auto" w:fill="CCEEFF"/>
          </w:tcPr>
          <w:p>
            <w:pPr>
              <w:ind w:left="2960"/>
              <w:spacing w:after="0" w:line="159" w:lineRule="exact"/>
              <w:rPr>
                <w:sz w:val="20"/>
                <w:szCs w:val="20"/>
                <w:color w:val="auto"/>
              </w:rPr>
            </w:pPr>
            <w:r>
              <w:rPr>
                <w:rFonts w:ascii="Arial" w:cs="Arial" w:eastAsia="Arial" w:hAnsi="Arial"/>
                <w:sz w:val="14"/>
                <w:szCs w:val="14"/>
                <w:color w:val="auto"/>
              </w:rPr>
              <w:t>investment debt</w:t>
            </w:r>
          </w:p>
        </w:tc>
        <w:tc>
          <w:tcPr>
            <w:tcW w:w="2540" w:type="dxa"/>
            <w:vAlign w:val="bottom"/>
            <w:shd w:val="clear" w:color="auto" w:fill="CCEEFF"/>
          </w:tcPr>
          <w:p>
            <w:pPr>
              <w:spacing w:after="0"/>
              <w:rPr>
                <w:sz w:val="13"/>
                <w:szCs w:val="13"/>
                <w:color w:val="auto"/>
              </w:rPr>
            </w:pPr>
          </w:p>
        </w:tc>
        <w:tc>
          <w:tcPr>
            <w:tcW w:w="1420" w:type="dxa"/>
            <w:vAlign w:val="bottom"/>
            <w:shd w:val="clear" w:color="auto" w:fill="CCEEFF"/>
          </w:tcPr>
          <w:p>
            <w:pPr>
              <w:spacing w:after="0"/>
              <w:rPr>
                <w:sz w:val="13"/>
                <w:szCs w:val="13"/>
                <w:color w:val="auto"/>
              </w:rPr>
            </w:pPr>
          </w:p>
        </w:tc>
        <w:tc>
          <w:tcPr>
            <w:tcW w:w="620" w:type="dxa"/>
            <w:vAlign w:val="bottom"/>
            <w:shd w:val="clear" w:color="auto" w:fill="CCEEFF"/>
          </w:tcPr>
          <w:p>
            <w:pPr>
              <w:spacing w:after="0"/>
              <w:rPr>
                <w:sz w:val="13"/>
                <w:szCs w:val="13"/>
                <w:color w:val="auto"/>
              </w:rPr>
            </w:pPr>
          </w:p>
        </w:tc>
      </w:tr>
    </w:tbl>
    <w:p>
      <w:pPr>
        <w:spacing w:after="0" w:line="138" w:lineRule="exact"/>
        <w:rPr>
          <w:sz w:val="20"/>
          <w:szCs w:val="20"/>
          <w:color w:val="auto"/>
        </w:rPr>
      </w:pPr>
    </w:p>
    <w:p>
      <w:pPr>
        <w:sectPr>
          <w:pgSz w:w="11900" w:h="16838" w:orient="portrait"/>
          <w:cols w:equalWidth="0" w:num="1">
            <w:col w:w="10280"/>
          </w:cols>
          <w:pgMar w:left="240" w:top="131" w:right="1379" w:bottom="1440" w:gutter="0" w:footer="0" w:header="0"/>
          <w:type w:val="continuous"/>
        </w:sectPr>
      </w:pPr>
    </w:p>
    <w:p>
      <w:pPr>
        <w:spacing w:after="0" w:line="13" w:lineRule="exact"/>
        <w:rPr>
          <w:sz w:val="20"/>
          <w:szCs w:val="20"/>
          <w:color w:val="auto"/>
        </w:rPr>
      </w:pPr>
    </w:p>
    <w:p>
      <w:pPr>
        <w:ind w:left="5940"/>
        <w:spacing w:after="0"/>
        <w:rPr>
          <w:sz w:val="20"/>
          <w:szCs w:val="20"/>
          <w:color w:val="auto"/>
        </w:rPr>
      </w:pPr>
      <w:r>
        <w:rPr>
          <w:rFonts w:ascii="Arial" w:cs="Arial" w:eastAsia="Arial" w:hAnsi="Arial"/>
          <w:sz w:val="14"/>
          <w:szCs w:val="14"/>
          <w:color w:val="auto"/>
        </w:rPr>
        <w:t>Credit spread rate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-635</wp:posOffset>
            </wp:positionV>
            <wp:extent cx="5797550" cy="29146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5797550" cy="291465"/>
                    </a:xfrm>
                    <a:prstGeom prst="rect">
                      <a:avLst/>
                    </a:prstGeom>
                    <a:noFill/>
                  </pic:spPr>
                </pic:pic>
              </a:graphicData>
            </a:graphic>
          </wp:anchor>
        </w:drawing>
      </w:r>
    </w:p>
    <w:p>
      <w:pPr>
        <w:spacing w:after="0" w:line="116" w:lineRule="exact"/>
        <w:rPr>
          <w:sz w:val="20"/>
          <w:szCs w:val="20"/>
          <w:color w:val="auto"/>
        </w:rPr>
      </w:pPr>
    </w:p>
    <w:p>
      <w:pPr>
        <w:ind w:left="1140"/>
        <w:spacing w:after="0"/>
        <w:tabs>
          <w:tab w:leader="none" w:pos="3520" w:val="left"/>
          <w:tab w:leader="none" w:pos="4100" w:val="left"/>
          <w:tab w:leader="none" w:pos="5920" w:val="left"/>
        </w:tabs>
        <w:rPr>
          <w:sz w:val="20"/>
          <w:szCs w:val="20"/>
          <w:color w:val="auto"/>
        </w:rPr>
      </w:pPr>
      <w:r>
        <w:rPr>
          <w:rFonts w:ascii="Arial" w:cs="Arial" w:eastAsia="Arial" w:hAnsi="Arial"/>
          <w:sz w:val="14"/>
          <w:szCs w:val="14"/>
          <w:color w:val="auto"/>
        </w:rPr>
        <w:t>Separate account assets</w:t>
      </w:r>
      <w:r>
        <w:rPr>
          <w:sz w:val="20"/>
          <w:szCs w:val="20"/>
          <w:color w:val="auto"/>
        </w:rPr>
        <w:tab/>
      </w:r>
      <w:r>
        <w:rPr>
          <w:rFonts w:ascii="Arial" w:cs="Arial" w:eastAsia="Arial" w:hAnsi="Arial"/>
          <w:sz w:val="14"/>
          <w:szCs w:val="14"/>
          <w:color w:val="auto"/>
        </w:rPr>
        <w:t>4,449.0</w:t>
        <w:tab/>
        <w:t>Discounted cash flow —</w:t>
      </w:r>
      <w:r>
        <w:rPr>
          <w:sz w:val="20"/>
          <w:szCs w:val="20"/>
          <w:color w:val="auto"/>
        </w:rPr>
        <w:tab/>
      </w:r>
      <w:r>
        <w:rPr>
          <w:rFonts w:ascii="Arial" w:cs="Arial" w:eastAsia="Arial" w:hAnsi="Arial"/>
          <w:sz w:val="12"/>
          <w:szCs w:val="12"/>
          <w:color w:val="auto"/>
        </w:rPr>
        <w:t>Discount rate (1)</w:t>
      </w:r>
    </w:p>
    <w:p>
      <w:pPr>
        <w:spacing w:after="0" w:line="12" w:lineRule="exact"/>
        <w:rPr>
          <w:sz w:val="20"/>
          <w:szCs w:val="20"/>
          <w:color w:val="auto"/>
        </w:rPr>
      </w:pPr>
    </w:p>
    <w:p>
      <w:pPr>
        <w:ind w:left="4120"/>
        <w:spacing w:after="0"/>
        <w:rPr>
          <w:sz w:val="20"/>
          <w:szCs w:val="20"/>
          <w:color w:val="auto"/>
        </w:rPr>
      </w:pPr>
      <w:r>
        <w:rPr>
          <w:rFonts w:ascii="Arial" w:cs="Arial" w:eastAsia="Arial" w:hAnsi="Arial"/>
          <w:sz w:val="14"/>
          <w:szCs w:val="14"/>
          <w:color w:val="auto"/>
        </w:rPr>
        <w:t>mortgage loans</w:t>
      </w:r>
    </w:p>
    <w:p>
      <w:pPr>
        <w:spacing w:after="0" w:line="138" w:lineRule="exact"/>
        <w:rPr>
          <w:sz w:val="20"/>
          <w:szCs w:val="20"/>
          <w:color w:val="auto"/>
        </w:rPr>
      </w:pPr>
    </w:p>
    <w:p>
      <w:pPr>
        <w:ind w:left="5940"/>
        <w:spacing w:after="0"/>
        <w:rPr>
          <w:sz w:val="20"/>
          <w:szCs w:val="20"/>
          <w:color w:val="auto"/>
        </w:rPr>
      </w:pPr>
      <w:r>
        <w:rPr>
          <w:rFonts w:ascii="Arial" w:cs="Arial" w:eastAsia="Arial" w:hAnsi="Arial"/>
          <w:sz w:val="14"/>
          <w:szCs w:val="14"/>
          <w:color w:val="auto"/>
        </w:rPr>
        <w:t>Illiquidity premium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-635</wp:posOffset>
            </wp:positionV>
            <wp:extent cx="5797550" cy="19748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5797550" cy="197485"/>
                    </a:xfrm>
                    <a:prstGeom prst="rect">
                      <a:avLst/>
                    </a:prstGeom>
                    <a:noFill/>
                  </pic:spPr>
                </pic:pic>
              </a:graphicData>
            </a:graphic>
          </wp:anchor>
        </w:drawing>
      </w:r>
    </w:p>
    <w:p>
      <w:pPr>
        <w:spacing w:after="0" w:line="130" w:lineRule="exact"/>
        <w:rPr>
          <w:sz w:val="20"/>
          <w:szCs w:val="20"/>
          <w:color w:val="auto"/>
        </w:rPr>
      </w:pPr>
    </w:p>
    <w:p>
      <w:pPr>
        <w:ind w:left="5940"/>
        <w:spacing w:after="0"/>
        <w:rPr>
          <w:sz w:val="20"/>
          <w:szCs w:val="20"/>
          <w:color w:val="auto"/>
        </w:rPr>
      </w:pPr>
      <w:r>
        <w:rPr>
          <w:rFonts w:ascii="Arial" w:cs="Arial" w:eastAsia="Arial" w:hAnsi="Arial"/>
          <w:sz w:val="14"/>
          <w:szCs w:val="14"/>
          <w:color w:val="auto"/>
        </w:rPr>
        <w:t>Credit spread rate</w:t>
      </w:r>
    </w:p>
    <w:p>
      <w:pPr>
        <w:spacing w:after="0" w:line="149" w:lineRule="exact"/>
        <w:rPr>
          <w:sz w:val="20"/>
          <w:szCs w:val="20"/>
          <w:color w:val="auto"/>
        </w:rPr>
      </w:pPr>
    </w:p>
    <w:p>
      <w:pPr>
        <w:ind w:left="4120"/>
        <w:spacing w:after="0"/>
        <w:tabs>
          <w:tab w:leader="none" w:pos="5920" w:val="left"/>
        </w:tabs>
        <w:rPr>
          <w:sz w:val="20"/>
          <w:szCs w:val="20"/>
          <w:color w:val="auto"/>
        </w:rPr>
      </w:pPr>
      <w:r>
        <w:rPr>
          <w:rFonts w:ascii="Arial" w:cs="Arial" w:eastAsia="Arial" w:hAnsi="Arial"/>
          <w:sz w:val="14"/>
          <w:szCs w:val="14"/>
          <w:color w:val="auto"/>
        </w:rPr>
        <w:t>Discounted cash flow — real</w:t>
      </w:r>
      <w:r>
        <w:rPr>
          <w:sz w:val="20"/>
          <w:szCs w:val="20"/>
          <w:color w:val="auto"/>
        </w:rPr>
        <w:tab/>
      </w:r>
      <w:r>
        <w:rPr>
          <w:rFonts w:ascii="Arial" w:cs="Arial" w:eastAsia="Arial" w:hAnsi="Arial"/>
          <w:sz w:val="12"/>
          <w:szCs w:val="12"/>
          <w:color w:val="auto"/>
        </w:rPr>
        <w:t>Discount rate (1)</w:t>
      </w:r>
    </w:p>
    <w:p>
      <w:pPr>
        <w:ind w:left="4120"/>
        <w:spacing w:after="0"/>
        <w:rPr>
          <w:sz w:val="20"/>
          <w:szCs w:val="20"/>
          <w:color w:val="auto"/>
        </w:rPr>
      </w:pPr>
      <w:r>
        <w:rPr>
          <w:rFonts w:ascii="Arial" w:cs="Arial" w:eastAsia="Arial" w:hAnsi="Arial"/>
          <w:sz w:val="14"/>
          <w:szCs w:val="14"/>
          <w:color w:val="auto"/>
        </w:rPr>
        <w:t>estate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-8255</wp:posOffset>
            </wp:positionV>
            <wp:extent cx="5797550" cy="19748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5797550" cy="197485"/>
                    </a:xfrm>
                    <a:prstGeom prst="rect">
                      <a:avLst/>
                    </a:prstGeom>
                    <a:noFill/>
                  </pic:spPr>
                </pic:pic>
              </a:graphicData>
            </a:graphic>
          </wp:anchor>
        </w:drawing>
      </w:r>
    </w:p>
    <w:p>
      <w:pPr>
        <w:spacing w:after="0" w:line="118" w:lineRule="exact"/>
        <w:rPr>
          <w:sz w:val="20"/>
          <w:szCs w:val="20"/>
          <w:color w:val="auto"/>
        </w:rPr>
      </w:pPr>
    </w:p>
    <w:p>
      <w:pPr>
        <w:ind w:left="5940"/>
        <w:spacing w:after="0"/>
        <w:rPr>
          <w:sz w:val="20"/>
          <w:szCs w:val="20"/>
          <w:color w:val="auto"/>
        </w:rPr>
      </w:pPr>
      <w:r>
        <w:rPr>
          <w:rFonts w:ascii="Arial" w:cs="Arial" w:eastAsia="Arial" w:hAnsi="Arial"/>
          <w:sz w:val="12"/>
          <w:szCs w:val="12"/>
          <w:color w:val="auto"/>
        </w:rPr>
        <w:t>Terminal capitalization rate</w:t>
      </w:r>
    </w:p>
    <w:p>
      <w:pPr>
        <w:spacing w:after="0" w:line="173" w:lineRule="exact"/>
        <w:rPr>
          <w:sz w:val="20"/>
          <w:szCs w:val="20"/>
          <w:color w:val="auto"/>
        </w:rPr>
      </w:pPr>
    </w:p>
    <w:p>
      <w:pPr>
        <w:ind w:left="5940"/>
        <w:spacing w:after="0"/>
        <w:rPr>
          <w:sz w:val="20"/>
          <w:szCs w:val="20"/>
          <w:color w:val="auto"/>
        </w:rPr>
      </w:pPr>
      <w:r>
        <w:rPr>
          <w:rFonts w:ascii="Arial" w:cs="Arial" w:eastAsia="Arial" w:hAnsi="Arial"/>
          <w:sz w:val="12"/>
          <w:szCs w:val="12"/>
          <w:color w:val="auto"/>
        </w:rPr>
        <w:t>Average market rent growth</w:t>
      </w:r>
    </w:p>
    <w:p>
      <w:pPr>
        <w:spacing w:after="0" w:line="22" w:lineRule="exact"/>
        <w:rPr>
          <w:sz w:val="20"/>
          <w:szCs w:val="20"/>
          <w:color w:val="auto"/>
        </w:rPr>
      </w:pPr>
    </w:p>
    <w:p>
      <w:pPr>
        <w:ind w:left="5940"/>
        <w:spacing w:after="0"/>
        <w:rPr>
          <w:sz w:val="20"/>
          <w:szCs w:val="20"/>
          <w:color w:val="auto"/>
        </w:rPr>
      </w:pPr>
      <w:r>
        <w:rPr>
          <w:rFonts w:ascii="Arial" w:cs="Arial" w:eastAsia="Arial" w:hAnsi="Arial"/>
          <w:sz w:val="14"/>
          <w:szCs w:val="14"/>
          <w:color w:val="auto"/>
        </w:rPr>
        <w:t>rate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-7620</wp:posOffset>
            </wp:positionV>
            <wp:extent cx="5797550" cy="29146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5797550" cy="291465"/>
                    </a:xfrm>
                    <a:prstGeom prst="rect">
                      <a:avLst/>
                    </a:prstGeom>
                    <a:noFill/>
                  </pic:spPr>
                </pic:pic>
              </a:graphicData>
            </a:graphic>
          </wp:anchor>
        </w:drawing>
      </w:r>
    </w:p>
    <w:p>
      <w:pPr>
        <w:spacing w:after="0" w:line="118" w:lineRule="exact"/>
        <w:rPr>
          <w:sz w:val="20"/>
          <w:szCs w:val="20"/>
          <w:color w:val="auto"/>
        </w:rPr>
      </w:pPr>
    </w:p>
    <w:p>
      <w:pPr>
        <w:ind w:left="4120"/>
        <w:spacing w:after="0"/>
        <w:tabs>
          <w:tab w:leader="none" w:pos="5920" w:val="left"/>
        </w:tabs>
        <w:rPr>
          <w:sz w:val="20"/>
          <w:szCs w:val="20"/>
          <w:color w:val="auto"/>
        </w:rPr>
      </w:pPr>
      <w:r>
        <w:rPr>
          <w:rFonts w:ascii="Arial" w:cs="Arial" w:eastAsia="Arial" w:hAnsi="Arial"/>
          <w:sz w:val="14"/>
          <w:szCs w:val="14"/>
          <w:color w:val="auto"/>
        </w:rPr>
        <w:t>Discounted cash flow — real</w:t>
      </w:r>
      <w:r>
        <w:rPr>
          <w:sz w:val="20"/>
          <w:szCs w:val="20"/>
          <w:color w:val="auto"/>
        </w:rPr>
        <w:tab/>
      </w:r>
      <w:r>
        <w:rPr>
          <w:rFonts w:ascii="Arial" w:cs="Arial" w:eastAsia="Arial" w:hAnsi="Arial"/>
          <w:sz w:val="12"/>
          <w:szCs w:val="12"/>
          <w:color w:val="auto"/>
        </w:rPr>
        <w:t>Loan to value</w:t>
      </w:r>
    </w:p>
    <w:p>
      <w:pPr>
        <w:ind w:left="4120"/>
        <w:spacing w:after="0"/>
        <w:rPr>
          <w:sz w:val="20"/>
          <w:szCs w:val="20"/>
          <w:color w:val="auto"/>
        </w:rPr>
      </w:pPr>
      <w:r>
        <w:rPr>
          <w:rFonts w:ascii="Arial" w:cs="Arial" w:eastAsia="Arial" w:hAnsi="Arial"/>
          <w:sz w:val="14"/>
          <w:szCs w:val="14"/>
          <w:color w:val="auto"/>
        </w:rPr>
        <w:t>estate debt</w:t>
      </w:r>
    </w:p>
    <w:p>
      <w:pPr>
        <w:spacing w:after="0" w:line="138" w:lineRule="exact"/>
        <w:rPr>
          <w:sz w:val="20"/>
          <w:szCs w:val="20"/>
          <w:color w:val="auto"/>
        </w:rPr>
      </w:pPr>
    </w:p>
    <w:p>
      <w:pPr>
        <w:ind w:left="5940"/>
        <w:spacing w:after="0"/>
        <w:rPr>
          <w:sz w:val="20"/>
          <w:szCs w:val="20"/>
          <w:color w:val="auto"/>
        </w:rPr>
      </w:pPr>
      <w:r>
        <w:rPr>
          <w:rFonts w:ascii="Arial" w:cs="Arial" w:eastAsia="Arial" w:hAnsi="Arial"/>
          <w:sz w:val="14"/>
          <w:szCs w:val="14"/>
          <w:color w:val="auto"/>
        </w:rPr>
        <w:t>Credit spread rate</w:t>
      </w:r>
    </w:p>
    <w:p>
      <w:pPr>
        <w:spacing w:after="0" w:line="20" w:lineRule="exact"/>
        <w:rPr>
          <w:sz w:val="20"/>
          <w:szCs w:val="20"/>
          <w:color w:val="auto"/>
        </w:rPr>
      </w:pPr>
      <w:r>
        <w:rPr>
          <w:sz w:val="20"/>
          <w:szCs w:val="20"/>
          <w:color w:val="auto"/>
        </w:rPr>
        <w:br w:type="column"/>
      </w:r>
    </w:p>
    <w:p>
      <w:pPr>
        <w:jc w:val="right"/>
        <w:spacing w:after="0"/>
        <w:tabs>
          <w:tab w:leader="none" w:pos="260" w:val="left"/>
        </w:tabs>
        <w:rPr>
          <w:sz w:val="20"/>
          <w:szCs w:val="20"/>
          <w:color w:val="auto"/>
        </w:rPr>
      </w:pPr>
      <w:r>
        <w:rPr>
          <w:rFonts w:ascii="Arial" w:cs="Arial" w:eastAsia="Arial" w:hAnsi="Arial"/>
          <w:sz w:val="14"/>
          <w:szCs w:val="14"/>
          <w:color w:val="auto"/>
        </w:rPr>
        <w:t>3.3%</w:t>
      </w:r>
      <w:r>
        <w:rPr>
          <w:sz w:val="20"/>
          <w:szCs w:val="20"/>
          <w:color w:val="auto"/>
        </w:rPr>
        <w:tab/>
      </w:r>
      <w:r>
        <w:rPr>
          <w:rFonts w:ascii="Arial" w:cs="Arial" w:eastAsia="Arial" w:hAnsi="Arial"/>
          <w:sz w:val="12"/>
          <w:szCs w:val="12"/>
          <w:color w:val="auto"/>
        </w:rPr>
        <w:t>3.3%</w:t>
      </w:r>
    </w:p>
    <w:p>
      <w:pPr>
        <w:spacing w:after="0" w:line="150" w:lineRule="exact"/>
        <w:rPr>
          <w:sz w:val="20"/>
          <w:szCs w:val="20"/>
          <w:color w:val="auto"/>
        </w:rPr>
      </w:pPr>
    </w:p>
    <w:p>
      <w:pPr>
        <w:ind w:left="80"/>
        <w:spacing w:after="0"/>
        <w:tabs>
          <w:tab w:leader="none" w:pos="1420" w:val="left"/>
        </w:tabs>
        <w:rPr>
          <w:sz w:val="20"/>
          <w:szCs w:val="20"/>
          <w:color w:val="auto"/>
        </w:rPr>
      </w:pPr>
      <w:r>
        <w:rPr>
          <w:rFonts w:ascii="Arial" w:cs="Arial" w:eastAsia="Arial" w:hAnsi="Arial"/>
          <w:sz w:val="14"/>
          <w:szCs w:val="14"/>
          <w:color w:val="auto"/>
        </w:rPr>
        <w:t>0.8% - 10.4%</w:t>
      </w:r>
      <w:r>
        <w:rPr>
          <w:sz w:val="20"/>
          <w:szCs w:val="20"/>
          <w:color w:val="auto"/>
        </w:rPr>
        <w:tab/>
      </w:r>
      <w:r>
        <w:rPr>
          <w:rFonts w:ascii="Arial" w:cs="Arial" w:eastAsia="Arial" w:hAnsi="Arial"/>
          <w:sz w:val="12"/>
          <w:szCs w:val="12"/>
          <w:color w:val="auto"/>
        </w:rPr>
        <w:t>3.3%</w:t>
      </w:r>
    </w:p>
    <w:p>
      <w:pPr>
        <w:spacing w:after="0" w:line="298" w:lineRule="exact"/>
        <w:rPr>
          <w:sz w:val="20"/>
          <w:szCs w:val="20"/>
          <w:color w:val="auto"/>
        </w:rPr>
      </w:pPr>
    </w:p>
    <w:p>
      <w:pPr>
        <w:ind w:left="140"/>
        <w:spacing w:after="0"/>
        <w:tabs>
          <w:tab w:leader="none" w:pos="1380" w:val="left"/>
        </w:tabs>
        <w:rPr>
          <w:sz w:val="20"/>
          <w:szCs w:val="20"/>
          <w:color w:val="auto"/>
        </w:rPr>
      </w:pPr>
      <w:r>
        <w:rPr>
          <w:rFonts w:ascii="Arial" w:cs="Arial" w:eastAsia="Arial" w:hAnsi="Arial"/>
          <w:sz w:val="14"/>
          <w:szCs w:val="14"/>
          <w:color w:val="auto"/>
        </w:rPr>
        <w:t>0bps - 50bps</w:t>
      </w:r>
      <w:r>
        <w:rPr>
          <w:sz w:val="20"/>
          <w:szCs w:val="20"/>
          <w:color w:val="auto"/>
        </w:rPr>
        <w:tab/>
      </w:r>
      <w:r>
        <w:rPr>
          <w:rFonts w:ascii="Arial" w:cs="Arial" w:eastAsia="Arial" w:hAnsi="Arial"/>
          <w:sz w:val="11"/>
          <w:szCs w:val="11"/>
          <w:color w:val="auto"/>
        </w:rPr>
        <w:t>20bps</w:t>
      </w:r>
    </w:p>
    <w:p>
      <w:pPr>
        <w:spacing w:after="0" w:line="150" w:lineRule="exact"/>
        <w:rPr>
          <w:sz w:val="20"/>
          <w:szCs w:val="20"/>
          <w:color w:val="auto"/>
        </w:rPr>
      </w:pPr>
    </w:p>
    <w:p>
      <w:pPr>
        <w:spacing w:after="0"/>
        <w:tabs>
          <w:tab w:leader="none" w:pos="1300" w:val="left"/>
        </w:tabs>
        <w:rPr>
          <w:sz w:val="20"/>
          <w:szCs w:val="20"/>
          <w:color w:val="auto"/>
        </w:rPr>
      </w:pPr>
      <w:r>
        <w:rPr>
          <w:rFonts w:ascii="Arial" w:cs="Arial" w:eastAsia="Arial" w:hAnsi="Arial"/>
          <w:sz w:val="14"/>
          <w:szCs w:val="14"/>
          <w:color w:val="auto"/>
        </w:rPr>
        <w:t>44bps - 975bps</w:t>
      </w:r>
      <w:r>
        <w:rPr>
          <w:sz w:val="20"/>
          <w:szCs w:val="20"/>
          <w:color w:val="auto"/>
        </w:rPr>
        <w:tab/>
      </w:r>
      <w:r>
        <w:rPr>
          <w:rFonts w:ascii="Arial" w:cs="Arial" w:eastAsia="Arial" w:hAnsi="Arial"/>
          <w:sz w:val="12"/>
          <w:szCs w:val="12"/>
          <w:color w:val="auto"/>
        </w:rPr>
        <w:t>286bps</w:t>
      </w:r>
    </w:p>
    <w:p>
      <w:pPr>
        <w:spacing w:after="0" w:line="150" w:lineRule="exact"/>
        <w:rPr>
          <w:sz w:val="20"/>
          <w:szCs w:val="20"/>
          <w:color w:val="auto"/>
        </w:rPr>
      </w:pPr>
    </w:p>
    <w:p>
      <w:pPr>
        <w:ind w:left="80"/>
        <w:spacing w:after="0"/>
        <w:tabs>
          <w:tab w:leader="none" w:pos="1420" w:val="left"/>
        </w:tabs>
        <w:rPr>
          <w:sz w:val="20"/>
          <w:szCs w:val="20"/>
          <w:color w:val="auto"/>
        </w:rPr>
      </w:pPr>
      <w:r>
        <w:rPr>
          <w:rFonts w:ascii="Arial" w:cs="Arial" w:eastAsia="Arial" w:hAnsi="Arial"/>
          <w:sz w:val="14"/>
          <w:szCs w:val="14"/>
          <w:color w:val="auto"/>
        </w:rPr>
        <w:t>6.5% - 16.0%</w:t>
      </w:r>
      <w:r>
        <w:rPr>
          <w:sz w:val="20"/>
          <w:szCs w:val="20"/>
          <w:color w:val="auto"/>
        </w:rPr>
        <w:tab/>
      </w:r>
      <w:r>
        <w:rPr>
          <w:rFonts w:ascii="Arial" w:cs="Arial" w:eastAsia="Arial" w:hAnsi="Arial"/>
          <w:sz w:val="12"/>
          <w:szCs w:val="12"/>
          <w:color w:val="auto"/>
        </w:rPr>
        <w:t>8.3%</w:t>
      </w:r>
    </w:p>
    <w:p>
      <w:pPr>
        <w:spacing w:after="0" w:line="298" w:lineRule="exact"/>
        <w:rPr>
          <w:sz w:val="20"/>
          <w:szCs w:val="20"/>
          <w:color w:val="auto"/>
        </w:rPr>
      </w:pPr>
    </w:p>
    <w:p>
      <w:pPr>
        <w:ind w:left="160"/>
        <w:spacing w:after="0"/>
        <w:tabs>
          <w:tab w:leader="none" w:pos="1420" w:val="left"/>
        </w:tabs>
        <w:rPr>
          <w:sz w:val="20"/>
          <w:szCs w:val="20"/>
          <w:color w:val="auto"/>
        </w:rPr>
      </w:pPr>
      <w:r>
        <w:rPr>
          <w:rFonts w:ascii="Arial" w:cs="Arial" w:eastAsia="Arial" w:hAnsi="Arial"/>
          <w:sz w:val="14"/>
          <w:szCs w:val="14"/>
          <w:color w:val="auto"/>
        </w:rPr>
        <w:t>4.8% - 9.0%</w:t>
      </w:r>
      <w:r>
        <w:rPr>
          <w:sz w:val="20"/>
          <w:szCs w:val="20"/>
          <w:color w:val="auto"/>
        </w:rPr>
        <w:tab/>
      </w:r>
      <w:r>
        <w:rPr>
          <w:rFonts w:ascii="Arial" w:cs="Arial" w:eastAsia="Arial" w:hAnsi="Arial"/>
          <w:sz w:val="12"/>
          <w:szCs w:val="12"/>
          <w:color w:val="auto"/>
        </w:rPr>
        <w:t>7.2%</w:t>
      </w:r>
    </w:p>
    <w:p>
      <w:pPr>
        <w:spacing w:after="0" w:line="150" w:lineRule="exact"/>
        <w:rPr>
          <w:sz w:val="20"/>
          <w:szCs w:val="20"/>
          <w:color w:val="auto"/>
        </w:rPr>
      </w:pPr>
    </w:p>
    <w:p>
      <w:pPr>
        <w:ind w:left="160"/>
        <w:spacing w:after="0"/>
        <w:tabs>
          <w:tab w:leader="none" w:pos="1420" w:val="left"/>
        </w:tabs>
        <w:rPr>
          <w:sz w:val="20"/>
          <w:szCs w:val="20"/>
          <w:color w:val="auto"/>
        </w:rPr>
      </w:pPr>
      <w:r>
        <w:rPr>
          <w:rFonts w:ascii="Arial" w:cs="Arial" w:eastAsia="Arial" w:hAnsi="Arial"/>
          <w:sz w:val="14"/>
          <w:szCs w:val="14"/>
          <w:color w:val="auto"/>
        </w:rPr>
        <w:t>2.3% - 5.5%</w:t>
      </w:r>
      <w:r>
        <w:rPr>
          <w:sz w:val="20"/>
          <w:szCs w:val="20"/>
          <w:color w:val="auto"/>
        </w:rPr>
        <w:tab/>
      </w:r>
      <w:r>
        <w:rPr>
          <w:rFonts w:ascii="Arial" w:cs="Arial" w:eastAsia="Arial" w:hAnsi="Arial"/>
          <w:sz w:val="12"/>
          <w:szCs w:val="12"/>
          <w:color w:val="auto"/>
        </w:rPr>
        <w:t>3.3%</w:t>
      </w:r>
    </w:p>
    <w:p>
      <w:pPr>
        <w:spacing w:after="0" w:line="298" w:lineRule="exact"/>
        <w:rPr>
          <w:sz w:val="20"/>
          <w:szCs w:val="20"/>
          <w:color w:val="auto"/>
        </w:rPr>
      </w:pPr>
    </w:p>
    <w:p>
      <w:pPr>
        <w:ind w:left="20"/>
        <w:spacing w:after="0"/>
        <w:tabs>
          <w:tab w:leader="none" w:pos="1360" w:val="left"/>
        </w:tabs>
        <w:rPr>
          <w:sz w:val="20"/>
          <w:szCs w:val="20"/>
          <w:color w:val="auto"/>
        </w:rPr>
      </w:pPr>
      <w:r>
        <w:rPr>
          <w:rFonts w:ascii="Arial" w:cs="Arial" w:eastAsia="Arial" w:hAnsi="Arial"/>
          <w:sz w:val="14"/>
          <w:szCs w:val="14"/>
          <w:color w:val="auto"/>
        </w:rPr>
        <w:t>17.0% - 86.0%</w:t>
      </w:r>
      <w:r>
        <w:rPr>
          <w:sz w:val="20"/>
          <w:szCs w:val="20"/>
          <w:color w:val="auto"/>
        </w:rPr>
        <w:tab/>
      </w:r>
      <w:r>
        <w:rPr>
          <w:rFonts w:ascii="Arial" w:cs="Arial" w:eastAsia="Arial" w:hAnsi="Arial"/>
          <w:sz w:val="11"/>
          <w:szCs w:val="11"/>
          <w:color w:val="auto"/>
        </w:rPr>
        <w:t>54.8%</w:t>
      </w:r>
    </w:p>
    <w:p>
      <w:pPr>
        <w:spacing w:after="0" w:line="298" w:lineRule="exact"/>
        <w:rPr>
          <w:sz w:val="20"/>
          <w:szCs w:val="20"/>
          <w:color w:val="auto"/>
        </w:rPr>
      </w:pPr>
    </w:p>
    <w:p>
      <w:pPr>
        <w:ind w:left="160"/>
        <w:spacing w:after="0"/>
        <w:tabs>
          <w:tab w:leader="none" w:pos="1420" w:val="left"/>
        </w:tabs>
        <w:rPr>
          <w:sz w:val="20"/>
          <w:szCs w:val="20"/>
          <w:color w:val="auto"/>
        </w:rPr>
      </w:pPr>
      <w:r>
        <w:rPr>
          <w:rFonts w:ascii="Arial" w:cs="Arial" w:eastAsia="Arial" w:hAnsi="Arial"/>
          <w:sz w:val="14"/>
          <w:szCs w:val="14"/>
          <w:color w:val="auto"/>
        </w:rPr>
        <w:t>1.6% - 5.3%</w:t>
      </w:r>
      <w:r>
        <w:rPr>
          <w:sz w:val="20"/>
          <w:szCs w:val="20"/>
          <w:color w:val="auto"/>
        </w:rPr>
        <w:tab/>
      </w:r>
      <w:r>
        <w:rPr>
          <w:rFonts w:ascii="Arial" w:cs="Arial" w:eastAsia="Arial" w:hAnsi="Arial"/>
          <w:sz w:val="12"/>
          <w:szCs w:val="12"/>
          <w:color w:val="auto"/>
        </w:rPr>
        <w:t>3.5%</w:t>
      </w:r>
    </w:p>
    <w:p>
      <w:pPr>
        <w:spacing w:after="0" w:line="213" w:lineRule="exact"/>
        <w:rPr>
          <w:sz w:val="20"/>
          <w:szCs w:val="20"/>
          <w:color w:val="auto"/>
        </w:rPr>
      </w:pPr>
    </w:p>
    <w:p>
      <w:pPr>
        <w:sectPr>
          <w:pgSz w:w="11900" w:h="16838" w:orient="portrait"/>
          <w:cols w:equalWidth="0" w:num="2">
            <w:col w:w="7840" w:space="720"/>
            <w:col w:w="1720"/>
          </w:cols>
          <w:pgMar w:left="240" w:top="131" w:right="1379" w:bottom="1440" w:gutter="0" w:footer="0" w:header="0"/>
          <w:type w:val="continuous"/>
        </w:sectPr>
      </w:pPr>
    </w:p>
    <w:p>
      <w:pPr>
        <w:spacing w:after="0" w:line="6" w:lineRule="exact"/>
        <w:rPr>
          <w:sz w:val="20"/>
          <w:szCs w:val="20"/>
          <w:color w:val="auto"/>
        </w:rPr>
      </w:pPr>
    </w:p>
    <w:p>
      <w:pPr>
        <w:ind w:left="5580"/>
        <w:spacing w:after="0"/>
        <w:rPr>
          <w:sz w:val="20"/>
          <w:szCs w:val="20"/>
          <w:color w:val="auto"/>
        </w:rPr>
      </w:pPr>
      <w:r>
        <w:rPr>
          <w:rFonts w:ascii="Arial" w:cs="Arial" w:eastAsia="Arial" w:hAnsi="Arial"/>
          <w:sz w:val="15"/>
          <w:szCs w:val="15"/>
          <w:color w:val="auto"/>
        </w:rPr>
        <w:t>173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type w:val="continuous"/>
        </w:sectPr>
      </w:pPr>
    </w:p>
    <w:bookmarkStart w:id="177" w:name="page178"/>
    <w:bookmarkEnd w:id="17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Fair Value Measurements — (continued)</w:t>
      </w:r>
    </w:p>
    <w:p>
      <w:pPr>
        <w:spacing w:after="0" w:line="227"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tcPr>
          <w:p>
            <w:pPr>
              <w:spacing w:after="0"/>
              <w:rPr>
                <w:sz w:val="14"/>
                <w:szCs w:val="14"/>
                <w:color w:val="auto"/>
              </w:rPr>
            </w:pPr>
          </w:p>
        </w:tc>
        <w:tc>
          <w:tcPr>
            <w:tcW w:w="1820" w:type="dxa"/>
            <w:vAlign w:val="bottom"/>
            <w:tcBorders>
              <w:bottom w:val="single" w:sz="8" w:color="auto"/>
            </w:tcBorders>
            <w:gridSpan w:val="2"/>
          </w:tcPr>
          <w:p>
            <w:pPr>
              <w:ind w:left="140"/>
              <w:spacing w:after="0"/>
              <w:rPr>
                <w:sz w:val="20"/>
                <w:szCs w:val="20"/>
                <w:color w:val="auto"/>
              </w:rPr>
            </w:pPr>
            <w:r>
              <w:rPr>
                <w:rFonts w:ascii="Arial" w:cs="Arial" w:eastAsia="Arial" w:hAnsi="Arial"/>
                <w:sz w:val="14"/>
                <w:szCs w:val="14"/>
                <w:b w:val="1"/>
                <w:bCs w:val="1"/>
                <w:color w:val="auto"/>
              </w:rPr>
              <w:t>As of December 31, 2012</w:t>
            </w:r>
          </w:p>
        </w:tc>
        <w:tc>
          <w:tcPr>
            <w:tcW w:w="160" w:type="dxa"/>
            <w:vAlign w:val="bottom"/>
            <w:tcBorders>
              <w:bottom w:val="single" w:sz="8" w:color="auto"/>
            </w:tcBorders>
          </w:tcPr>
          <w:p>
            <w:pPr>
              <w:spacing w:after="0"/>
              <w:rPr>
                <w:sz w:val="14"/>
                <w:szCs w:val="14"/>
                <w:color w:val="auto"/>
              </w:rPr>
            </w:pPr>
          </w:p>
        </w:tc>
        <w:tc>
          <w:tcPr>
            <w:tcW w:w="16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100" w:type="dxa"/>
            <w:vAlign w:val="bottom"/>
            <w:gridSpan w:val="2"/>
          </w:tcPr>
          <w:p>
            <w:pPr>
              <w:jc w:val="center"/>
              <w:ind w:right="120"/>
              <w:spacing w:after="0" w:line="129" w:lineRule="exact"/>
              <w:rPr>
                <w:sz w:val="20"/>
                <w:szCs w:val="20"/>
                <w:color w:val="auto"/>
              </w:rPr>
            </w:pPr>
            <w:r>
              <w:rPr>
                <w:rFonts w:ascii="Arial" w:cs="Arial" w:eastAsia="Arial" w:hAnsi="Arial"/>
                <w:sz w:val="14"/>
                <w:szCs w:val="14"/>
                <w:b w:val="1"/>
                <w:bCs w:val="1"/>
                <w:color w:val="auto"/>
                <w:w w:val="78"/>
              </w:rPr>
              <w:t>Assets /</w:t>
            </w:r>
          </w:p>
        </w:tc>
        <w:tc>
          <w:tcPr>
            <w:tcW w:w="6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1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9"/>
              </w:rPr>
              <w:t>(liabilities)</w:t>
            </w:r>
          </w:p>
        </w:tc>
        <w:tc>
          <w:tcPr>
            <w:tcW w:w="6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1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4"/>
              </w:rPr>
              <w:t>measured at</w:t>
            </w:r>
          </w:p>
        </w:tc>
        <w:tc>
          <w:tcPr>
            <w:tcW w:w="60" w:type="dxa"/>
            <w:vAlign w:val="bottom"/>
          </w:tcPr>
          <w:p>
            <w:pPr>
              <w:spacing w:after="0"/>
              <w:rPr>
                <w:sz w:val="12"/>
                <w:szCs w:val="12"/>
                <w:color w:val="auto"/>
              </w:rPr>
            </w:pPr>
          </w:p>
        </w:tc>
        <w:tc>
          <w:tcPr>
            <w:tcW w:w="1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Valuation</w:t>
            </w:r>
          </w:p>
        </w:tc>
        <w:tc>
          <w:tcPr>
            <w:tcW w:w="180" w:type="dxa"/>
            <w:vAlign w:val="bottom"/>
          </w:tcPr>
          <w:p>
            <w:pPr>
              <w:spacing w:after="0"/>
              <w:rPr>
                <w:sz w:val="12"/>
                <w:szCs w:val="12"/>
                <w:color w:val="auto"/>
              </w:rPr>
            </w:pPr>
          </w:p>
        </w:tc>
        <w:tc>
          <w:tcPr>
            <w:tcW w:w="1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Unobservable</w:t>
            </w:r>
          </w:p>
        </w:tc>
        <w:tc>
          <w:tcPr>
            <w:tcW w:w="160" w:type="dxa"/>
            <w:vAlign w:val="bottom"/>
          </w:tcPr>
          <w:p>
            <w:pPr>
              <w:spacing w:after="0"/>
              <w:rPr>
                <w:sz w:val="12"/>
                <w:szCs w:val="12"/>
                <w:color w:val="auto"/>
              </w:rPr>
            </w:pPr>
          </w:p>
        </w:tc>
        <w:tc>
          <w:tcPr>
            <w:tcW w:w="1660" w:type="dxa"/>
            <w:vAlign w:val="bottom"/>
          </w:tcPr>
          <w:p>
            <w:pPr>
              <w:jc w:val="right"/>
              <w:ind w:right="352"/>
              <w:spacing w:after="0" w:line="149" w:lineRule="exact"/>
              <w:rPr>
                <w:sz w:val="20"/>
                <w:szCs w:val="20"/>
                <w:color w:val="auto"/>
              </w:rPr>
            </w:pPr>
            <w:r>
              <w:rPr>
                <w:rFonts w:ascii="Arial" w:cs="Arial" w:eastAsia="Arial" w:hAnsi="Arial"/>
                <w:sz w:val="14"/>
                <w:szCs w:val="14"/>
                <w:b w:val="1"/>
                <w:bCs w:val="1"/>
                <w:color w:val="auto"/>
              </w:rPr>
              <w:t>Input/range of</w:t>
            </w:r>
          </w:p>
        </w:tc>
        <w:tc>
          <w:tcPr>
            <w:tcW w:w="180" w:type="dxa"/>
            <w:vAlign w:val="bottom"/>
          </w:tcPr>
          <w:p>
            <w:pPr>
              <w:spacing w:after="0"/>
              <w:rPr>
                <w:sz w:val="12"/>
                <w:szCs w:val="12"/>
                <w:color w:val="auto"/>
              </w:rPr>
            </w:pPr>
          </w:p>
        </w:tc>
        <w:tc>
          <w:tcPr>
            <w:tcW w:w="7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Weighted</w:t>
            </w:r>
          </w:p>
        </w:tc>
      </w:t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1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7"/>
              </w:rPr>
              <w:t>fair value</w:t>
            </w:r>
          </w:p>
        </w:tc>
        <w:tc>
          <w:tcPr>
            <w:tcW w:w="60" w:type="dxa"/>
            <w:vAlign w:val="bottom"/>
          </w:tcPr>
          <w:p>
            <w:pPr>
              <w:spacing w:after="0"/>
              <w:rPr>
                <w:sz w:val="14"/>
                <w:szCs w:val="14"/>
                <w:color w:val="auto"/>
              </w:rPr>
            </w:pPr>
          </w:p>
        </w:tc>
        <w:tc>
          <w:tcPr>
            <w:tcW w:w="1640" w:type="dxa"/>
            <w:vAlign w:val="bottom"/>
          </w:tcPr>
          <w:p>
            <w:pPr>
              <w:jc w:val="center"/>
              <w:spacing w:after="0"/>
              <w:rPr>
                <w:sz w:val="20"/>
                <w:szCs w:val="20"/>
                <w:color w:val="auto"/>
              </w:rPr>
            </w:pPr>
            <w:r>
              <w:rPr>
                <w:rFonts w:ascii="Arial" w:cs="Arial" w:eastAsia="Arial" w:hAnsi="Arial"/>
                <w:sz w:val="14"/>
                <w:szCs w:val="14"/>
                <w:b w:val="1"/>
                <w:bCs w:val="1"/>
                <w:color w:val="auto"/>
                <w:w w:val="86"/>
              </w:rPr>
              <w:t>technique(s)</w:t>
            </w:r>
          </w:p>
        </w:tc>
        <w:tc>
          <w:tcPr>
            <w:tcW w:w="180" w:type="dxa"/>
            <w:vAlign w:val="bottom"/>
          </w:tcPr>
          <w:p>
            <w:pPr>
              <w:spacing w:after="0"/>
              <w:rPr>
                <w:sz w:val="14"/>
                <w:szCs w:val="14"/>
                <w:color w:val="auto"/>
              </w:rPr>
            </w:pPr>
          </w:p>
        </w:tc>
        <w:tc>
          <w:tcPr>
            <w:tcW w:w="1640" w:type="dxa"/>
            <w:vAlign w:val="bottom"/>
          </w:tcPr>
          <w:p>
            <w:pPr>
              <w:jc w:val="center"/>
              <w:spacing w:after="0"/>
              <w:rPr>
                <w:sz w:val="20"/>
                <w:szCs w:val="20"/>
                <w:color w:val="auto"/>
              </w:rPr>
            </w:pPr>
            <w:r>
              <w:rPr>
                <w:rFonts w:ascii="Arial" w:cs="Arial" w:eastAsia="Arial" w:hAnsi="Arial"/>
                <w:sz w:val="14"/>
                <w:szCs w:val="14"/>
                <w:b w:val="1"/>
                <w:bCs w:val="1"/>
                <w:color w:val="auto"/>
                <w:w w:val="86"/>
              </w:rPr>
              <w:t>input description</w:t>
            </w:r>
          </w:p>
        </w:tc>
        <w:tc>
          <w:tcPr>
            <w:tcW w:w="160" w:type="dxa"/>
            <w:vAlign w:val="bottom"/>
          </w:tcPr>
          <w:p>
            <w:pPr>
              <w:spacing w:after="0"/>
              <w:rPr>
                <w:sz w:val="14"/>
                <w:szCs w:val="14"/>
                <w:color w:val="auto"/>
              </w:rPr>
            </w:pPr>
          </w:p>
        </w:tc>
        <w:tc>
          <w:tcPr>
            <w:tcW w:w="1660" w:type="dxa"/>
            <w:vAlign w:val="bottom"/>
          </w:tcPr>
          <w:p>
            <w:pPr>
              <w:jc w:val="right"/>
              <w:ind w:right="592"/>
              <w:spacing w:after="0"/>
              <w:rPr>
                <w:sz w:val="20"/>
                <w:szCs w:val="20"/>
                <w:color w:val="auto"/>
              </w:rPr>
            </w:pPr>
            <w:r>
              <w:rPr>
                <w:rFonts w:ascii="Arial" w:cs="Arial" w:eastAsia="Arial" w:hAnsi="Arial"/>
                <w:sz w:val="14"/>
                <w:szCs w:val="14"/>
                <w:b w:val="1"/>
                <w:bCs w:val="1"/>
                <w:color w:val="auto"/>
              </w:rPr>
              <w:t>inputs</w:t>
            </w:r>
          </w:p>
        </w:tc>
        <w:tc>
          <w:tcPr>
            <w:tcW w:w="180" w:type="dxa"/>
            <w:vAlign w:val="bottom"/>
          </w:tcPr>
          <w:p>
            <w:pPr>
              <w:spacing w:after="0"/>
              <w:rPr>
                <w:sz w:val="14"/>
                <w:szCs w:val="14"/>
                <w:color w:val="auto"/>
              </w:rPr>
            </w:pPr>
          </w:p>
        </w:tc>
        <w:tc>
          <w:tcPr>
            <w:tcW w:w="700" w:type="dxa"/>
            <w:vAlign w:val="bottom"/>
          </w:tcPr>
          <w:p>
            <w:pPr>
              <w:jc w:val="center"/>
              <w:spacing w:after="0"/>
              <w:rPr>
                <w:sz w:val="20"/>
                <w:szCs w:val="20"/>
                <w:color w:val="auto"/>
              </w:rPr>
            </w:pPr>
            <w:r>
              <w:rPr>
                <w:rFonts w:ascii="Arial" w:cs="Arial" w:eastAsia="Arial" w:hAnsi="Arial"/>
                <w:sz w:val="14"/>
                <w:szCs w:val="14"/>
                <w:b w:val="1"/>
                <w:bCs w:val="1"/>
                <w:color w:val="auto"/>
                <w:w w:val="86"/>
              </w:rPr>
              <w:t>average</w:t>
            </w: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4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16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66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18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Liabilities</w:t>
            </w:r>
          </w:p>
        </w:tc>
        <w:tc>
          <w:tcPr>
            <w:tcW w:w="10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r>
      <w:tr>
        <w:trPr>
          <w:trHeight w:val="300"/>
        </w:trPr>
        <w:tc>
          <w:tcPr>
            <w:tcW w:w="1820" w:type="dxa"/>
            <w:vAlign w:val="bottom"/>
            <w:gridSpan w:val="3"/>
          </w:tcPr>
          <w:p>
            <w:pPr>
              <w:spacing w:after="0"/>
              <w:rPr>
                <w:sz w:val="20"/>
                <w:szCs w:val="20"/>
                <w:color w:val="auto"/>
              </w:rPr>
            </w:pPr>
            <w:r>
              <w:rPr>
                <w:rFonts w:ascii="Arial" w:cs="Arial" w:eastAsia="Arial" w:hAnsi="Arial"/>
                <w:sz w:val="14"/>
                <w:szCs w:val="14"/>
                <w:color w:val="auto"/>
              </w:rPr>
              <w:t>Investment-type insurance</w:t>
            </w: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159"/>
        </w:trPr>
        <w:tc>
          <w:tcPr>
            <w:tcW w:w="20" w:type="dxa"/>
            <w:vAlign w:val="bottom"/>
          </w:tcPr>
          <w:p>
            <w:pPr>
              <w:spacing w:after="0"/>
              <w:rPr>
                <w:sz w:val="13"/>
                <w:szCs w:val="13"/>
                <w:color w:val="auto"/>
              </w:rPr>
            </w:pPr>
          </w:p>
        </w:tc>
        <w:tc>
          <w:tcPr>
            <w:tcW w:w="1800" w:type="dxa"/>
            <w:vAlign w:val="bottom"/>
            <w:gridSpan w:val="2"/>
          </w:tcPr>
          <w:p>
            <w:pPr>
              <w:ind w:left="140"/>
              <w:spacing w:after="0" w:line="159" w:lineRule="exact"/>
              <w:rPr>
                <w:sz w:val="20"/>
                <w:szCs w:val="20"/>
                <w:color w:val="auto"/>
              </w:rPr>
            </w:pPr>
            <w:r>
              <w:rPr>
                <w:rFonts w:ascii="Arial" w:cs="Arial" w:eastAsia="Arial" w:hAnsi="Arial"/>
                <w:sz w:val="14"/>
                <w:szCs w:val="14"/>
                <w:color w:val="auto"/>
              </w:rPr>
              <w:t>contracts</w:t>
            </w:r>
          </w:p>
        </w:tc>
        <w:tc>
          <w:tcPr>
            <w:tcW w:w="1100" w:type="dxa"/>
            <w:vAlign w:val="bottom"/>
            <w:gridSpan w:val="2"/>
          </w:tcPr>
          <w:p>
            <w:pPr>
              <w:jc w:val="right"/>
              <w:ind w:right="80"/>
              <w:spacing w:after="0" w:line="159" w:lineRule="exact"/>
              <w:rPr>
                <w:sz w:val="20"/>
                <w:szCs w:val="20"/>
                <w:color w:val="auto"/>
              </w:rPr>
            </w:pPr>
            <w:r>
              <w:rPr>
                <w:rFonts w:ascii="Arial" w:cs="Arial" w:eastAsia="Arial" w:hAnsi="Arial"/>
                <w:sz w:val="14"/>
                <w:szCs w:val="14"/>
                <w:color w:val="auto"/>
              </w:rPr>
              <w:t>(170.5)</w:t>
            </w:r>
          </w:p>
        </w:tc>
        <w:tc>
          <w:tcPr>
            <w:tcW w:w="1700" w:type="dxa"/>
            <w:vAlign w:val="bottom"/>
            <w:gridSpan w:val="2"/>
          </w:tcPr>
          <w:p>
            <w:pPr>
              <w:ind w:left="60"/>
              <w:spacing w:after="0" w:line="159" w:lineRule="exact"/>
              <w:rPr>
                <w:sz w:val="20"/>
                <w:szCs w:val="20"/>
                <w:color w:val="auto"/>
              </w:rPr>
            </w:pPr>
            <w:r>
              <w:rPr>
                <w:rFonts w:ascii="Arial" w:cs="Arial" w:eastAsia="Arial" w:hAnsi="Arial"/>
                <w:sz w:val="14"/>
                <w:szCs w:val="14"/>
                <w:color w:val="auto"/>
              </w:rPr>
              <w:t>Discounted cash flow</w:t>
            </w:r>
          </w:p>
        </w:tc>
        <w:tc>
          <w:tcPr>
            <w:tcW w:w="1820" w:type="dxa"/>
            <w:vAlign w:val="bottom"/>
            <w:gridSpan w:val="2"/>
          </w:tcPr>
          <w:p>
            <w:pPr>
              <w:ind w:left="180"/>
              <w:spacing w:after="0" w:line="159" w:lineRule="exact"/>
              <w:rPr>
                <w:sz w:val="20"/>
                <w:szCs w:val="20"/>
                <w:color w:val="auto"/>
              </w:rPr>
            </w:pPr>
            <w:r>
              <w:rPr>
                <w:rFonts w:ascii="Arial" w:cs="Arial" w:eastAsia="Arial" w:hAnsi="Arial"/>
                <w:sz w:val="14"/>
                <w:szCs w:val="14"/>
                <w:color w:val="auto"/>
                <w:w w:val="99"/>
              </w:rPr>
              <w:t>Long duration interest rate</w:t>
            </w:r>
          </w:p>
        </w:tc>
        <w:tc>
          <w:tcPr>
            <w:tcW w:w="182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2.6% - 2.8% (3)</w:t>
            </w:r>
          </w:p>
        </w:tc>
        <w:tc>
          <w:tcPr>
            <w:tcW w:w="180" w:type="dxa"/>
            <w:vAlign w:val="bottom"/>
          </w:tcPr>
          <w:p>
            <w:pPr>
              <w:spacing w:after="0"/>
              <w:rPr>
                <w:sz w:val="13"/>
                <w:szCs w:val="13"/>
                <w:color w:val="auto"/>
              </w:rPr>
            </w:pPr>
          </w:p>
        </w:tc>
        <w:tc>
          <w:tcPr>
            <w:tcW w:w="700" w:type="dxa"/>
            <w:vAlign w:val="bottom"/>
          </w:tcPr>
          <w:p>
            <w:pPr>
              <w:spacing w:after="0"/>
              <w:rPr>
                <w:sz w:val="13"/>
                <w:szCs w:val="13"/>
                <w:color w:val="auto"/>
              </w:rPr>
            </w:pPr>
          </w:p>
        </w:tc>
      </w:tr>
      <w:tr>
        <w:trPr>
          <w:trHeight w:val="300"/>
        </w:trPr>
        <w:tc>
          <w:tcPr>
            <w:tcW w:w="20" w:type="dxa"/>
            <w:vAlign w:val="bottom"/>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640" w:type="dxa"/>
            <w:vAlign w:val="bottom"/>
            <w:shd w:val="clear" w:color="auto" w:fill="CCEEFF"/>
          </w:tcPr>
          <w:p>
            <w:pPr>
              <w:spacing w:after="0"/>
              <w:rPr>
                <w:sz w:val="24"/>
                <w:szCs w:val="24"/>
                <w:color w:val="auto"/>
              </w:rPr>
            </w:pPr>
          </w:p>
        </w:tc>
        <w:tc>
          <w:tcPr>
            <w:tcW w:w="18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Long-term equity market</w:t>
            </w:r>
          </w:p>
        </w:tc>
        <w:tc>
          <w:tcPr>
            <w:tcW w:w="18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16.1% - 38.3%</w:t>
            </w: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r>
      <w:tr>
        <w:trPr>
          <w:trHeight w:val="159"/>
        </w:trPr>
        <w:tc>
          <w:tcPr>
            <w:tcW w:w="20" w:type="dxa"/>
            <w:vAlign w:val="bottom"/>
          </w:tcPr>
          <w:p>
            <w:pPr>
              <w:spacing w:after="0"/>
              <w:rPr>
                <w:sz w:val="13"/>
                <w:szCs w:val="13"/>
                <w:color w:val="auto"/>
              </w:rPr>
            </w:pPr>
          </w:p>
        </w:tc>
        <w:tc>
          <w:tcPr>
            <w:tcW w:w="1120" w:type="dxa"/>
            <w:vAlign w:val="bottom"/>
            <w:shd w:val="clear" w:color="auto" w:fill="CCEEFF"/>
          </w:tcPr>
          <w:p>
            <w:pPr>
              <w:spacing w:after="0"/>
              <w:rPr>
                <w:sz w:val="13"/>
                <w:szCs w:val="13"/>
                <w:color w:val="auto"/>
              </w:rPr>
            </w:pPr>
          </w:p>
        </w:tc>
        <w:tc>
          <w:tcPr>
            <w:tcW w:w="68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640" w:type="dxa"/>
            <w:vAlign w:val="bottom"/>
            <w:shd w:val="clear" w:color="auto" w:fill="CCEEFF"/>
          </w:tcPr>
          <w:p>
            <w:pPr>
              <w:spacing w:after="0"/>
              <w:rPr>
                <w:sz w:val="13"/>
                <w:szCs w:val="13"/>
                <w:color w:val="auto"/>
              </w:rPr>
            </w:pPr>
          </w:p>
        </w:tc>
        <w:tc>
          <w:tcPr>
            <w:tcW w:w="1820" w:type="dxa"/>
            <w:vAlign w:val="bottom"/>
            <w:gridSpan w:val="2"/>
            <w:shd w:val="clear" w:color="auto" w:fill="CCEEFF"/>
          </w:tcPr>
          <w:p>
            <w:pPr>
              <w:ind w:left="180"/>
              <w:spacing w:after="0" w:line="159" w:lineRule="exact"/>
              <w:rPr>
                <w:sz w:val="20"/>
                <w:szCs w:val="20"/>
                <w:color w:val="auto"/>
              </w:rPr>
            </w:pPr>
            <w:r>
              <w:rPr>
                <w:rFonts w:ascii="Arial" w:cs="Arial" w:eastAsia="Arial" w:hAnsi="Arial"/>
                <w:sz w:val="14"/>
                <w:szCs w:val="14"/>
                <w:color w:val="auto"/>
              </w:rPr>
              <w:t>volatility</w:t>
            </w:r>
          </w:p>
        </w:tc>
        <w:tc>
          <w:tcPr>
            <w:tcW w:w="160" w:type="dxa"/>
            <w:vAlign w:val="bottom"/>
            <w:shd w:val="clear" w:color="auto" w:fill="CCEEFF"/>
          </w:tcPr>
          <w:p>
            <w:pPr>
              <w:spacing w:after="0"/>
              <w:rPr>
                <w:sz w:val="13"/>
                <w:szCs w:val="13"/>
                <w:color w:val="auto"/>
              </w:rPr>
            </w:pPr>
          </w:p>
        </w:tc>
        <w:tc>
          <w:tcPr>
            <w:tcW w:w="166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r>
      <w:tr>
        <w:trPr>
          <w:trHeight w:val="311"/>
        </w:trPr>
        <w:tc>
          <w:tcPr>
            <w:tcW w:w="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820" w:type="dxa"/>
            <w:vAlign w:val="bottom"/>
            <w:gridSpan w:val="2"/>
          </w:tcPr>
          <w:p>
            <w:pPr>
              <w:ind w:left="180"/>
              <w:spacing w:after="0"/>
              <w:rPr>
                <w:sz w:val="20"/>
                <w:szCs w:val="20"/>
                <w:color w:val="auto"/>
              </w:rPr>
            </w:pPr>
            <w:r>
              <w:rPr>
                <w:rFonts w:ascii="Arial" w:cs="Arial" w:eastAsia="Arial" w:hAnsi="Arial"/>
                <w:sz w:val="14"/>
                <w:szCs w:val="14"/>
                <w:color w:val="auto"/>
              </w:rPr>
              <w:t>Non-performance risk</w:t>
            </w:r>
          </w:p>
        </w:tc>
        <w:tc>
          <w:tcPr>
            <w:tcW w:w="1820" w:type="dxa"/>
            <w:vAlign w:val="bottom"/>
            <w:gridSpan w:val="2"/>
          </w:tcPr>
          <w:p>
            <w:pPr>
              <w:jc w:val="right"/>
              <w:spacing w:after="0"/>
              <w:rPr>
                <w:sz w:val="20"/>
                <w:szCs w:val="20"/>
                <w:color w:val="auto"/>
              </w:rPr>
            </w:pPr>
            <w:r>
              <w:rPr>
                <w:rFonts w:ascii="Arial" w:cs="Arial" w:eastAsia="Arial" w:hAnsi="Arial"/>
                <w:sz w:val="14"/>
                <w:szCs w:val="14"/>
                <w:color w:val="auto"/>
              </w:rPr>
              <w:t>0.3% - 1.6%</w:t>
            </w: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311"/>
        </w:trPr>
        <w:tc>
          <w:tcPr>
            <w:tcW w:w="20" w:type="dxa"/>
            <w:vAlign w:val="bottom"/>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640" w:type="dxa"/>
            <w:vAlign w:val="bottom"/>
            <w:shd w:val="clear" w:color="auto" w:fill="CCEEFF"/>
          </w:tcPr>
          <w:p>
            <w:pPr>
              <w:spacing w:after="0"/>
              <w:rPr>
                <w:sz w:val="24"/>
                <w:szCs w:val="24"/>
                <w:color w:val="auto"/>
              </w:rPr>
            </w:pPr>
          </w:p>
        </w:tc>
        <w:tc>
          <w:tcPr>
            <w:tcW w:w="18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Utilization rate</w:t>
            </w:r>
          </w:p>
        </w:tc>
        <w:tc>
          <w:tcPr>
            <w:tcW w:w="160" w:type="dxa"/>
            <w:vAlign w:val="bottom"/>
            <w:shd w:val="clear" w:color="auto" w:fill="CCEEFF"/>
          </w:tcPr>
          <w:p>
            <w:pPr>
              <w:spacing w:after="0"/>
              <w:rPr>
                <w:sz w:val="24"/>
                <w:szCs w:val="24"/>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See note (4)</w:t>
            </w: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r>
      <w:tr>
        <w:trPr>
          <w:trHeight w:val="311"/>
        </w:trPr>
        <w:tc>
          <w:tcPr>
            <w:tcW w:w="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820" w:type="dxa"/>
            <w:vAlign w:val="bottom"/>
            <w:gridSpan w:val="2"/>
          </w:tcPr>
          <w:p>
            <w:pPr>
              <w:ind w:left="180"/>
              <w:spacing w:after="0"/>
              <w:rPr>
                <w:sz w:val="20"/>
                <w:szCs w:val="20"/>
                <w:color w:val="auto"/>
              </w:rPr>
            </w:pPr>
            <w:r>
              <w:rPr>
                <w:rFonts w:ascii="Arial" w:cs="Arial" w:eastAsia="Arial" w:hAnsi="Arial"/>
                <w:sz w:val="14"/>
                <w:szCs w:val="14"/>
                <w:color w:val="auto"/>
              </w:rPr>
              <w:t>Lapse rate</w:t>
            </w:r>
          </w:p>
        </w:tc>
        <w:tc>
          <w:tcPr>
            <w:tcW w:w="1820" w:type="dxa"/>
            <w:vAlign w:val="bottom"/>
            <w:gridSpan w:val="2"/>
          </w:tcPr>
          <w:p>
            <w:pPr>
              <w:jc w:val="right"/>
              <w:spacing w:after="0"/>
              <w:rPr>
                <w:sz w:val="20"/>
                <w:szCs w:val="20"/>
                <w:color w:val="auto"/>
              </w:rPr>
            </w:pPr>
            <w:r>
              <w:rPr>
                <w:rFonts w:ascii="Arial" w:cs="Arial" w:eastAsia="Arial" w:hAnsi="Arial"/>
                <w:sz w:val="14"/>
                <w:szCs w:val="14"/>
                <w:color w:val="auto"/>
              </w:rPr>
              <w:t>0.5% - 14.6%</w:t>
            </w: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311"/>
        </w:trPr>
        <w:tc>
          <w:tcPr>
            <w:tcW w:w="20" w:type="dxa"/>
            <w:vAlign w:val="bottom"/>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640" w:type="dxa"/>
            <w:vAlign w:val="bottom"/>
            <w:shd w:val="clear" w:color="auto" w:fill="CCEEFF"/>
          </w:tcPr>
          <w:p>
            <w:pPr>
              <w:spacing w:after="0"/>
              <w:rPr>
                <w:sz w:val="24"/>
                <w:szCs w:val="24"/>
                <w:color w:val="auto"/>
              </w:rPr>
            </w:pPr>
          </w:p>
        </w:tc>
        <w:tc>
          <w:tcPr>
            <w:tcW w:w="18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Mortality rate</w:t>
            </w:r>
          </w:p>
        </w:tc>
        <w:tc>
          <w:tcPr>
            <w:tcW w:w="160" w:type="dxa"/>
            <w:vAlign w:val="bottom"/>
            <w:shd w:val="clear" w:color="auto" w:fill="CCEEFF"/>
          </w:tcPr>
          <w:p>
            <w:pPr>
              <w:spacing w:after="0"/>
              <w:rPr>
                <w:sz w:val="24"/>
                <w:szCs w:val="24"/>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See note (5)</w:t>
            </w: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r>
      <w:tr>
        <w:trPr>
          <w:trHeight w:val="311"/>
        </w:trPr>
        <w:tc>
          <w:tcPr>
            <w:tcW w:w="1820" w:type="dxa"/>
            <w:vAlign w:val="bottom"/>
            <w:gridSpan w:val="3"/>
          </w:tcPr>
          <w:p>
            <w:pPr>
              <w:spacing w:after="0"/>
              <w:rPr>
                <w:sz w:val="20"/>
                <w:szCs w:val="20"/>
                <w:color w:val="auto"/>
              </w:rPr>
            </w:pPr>
            <w:r>
              <w:rPr>
                <w:rFonts w:ascii="Arial" w:cs="Arial" w:eastAsia="Arial" w:hAnsi="Arial"/>
                <w:sz w:val="14"/>
                <w:szCs w:val="14"/>
                <w:color w:val="auto"/>
              </w:rPr>
              <w:t>Derivative liabilities</w:t>
            </w:r>
          </w:p>
        </w:tc>
        <w:tc>
          <w:tcPr>
            <w:tcW w:w="1100" w:type="dxa"/>
            <w:vAlign w:val="bottom"/>
            <w:gridSpan w:val="2"/>
          </w:tcPr>
          <w:p>
            <w:pPr>
              <w:jc w:val="right"/>
              <w:ind w:right="80"/>
              <w:spacing w:after="0"/>
              <w:rPr>
                <w:sz w:val="20"/>
                <w:szCs w:val="20"/>
                <w:color w:val="auto"/>
              </w:rPr>
            </w:pPr>
            <w:r>
              <w:rPr>
                <w:rFonts w:ascii="Arial" w:cs="Arial" w:eastAsia="Arial" w:hAnsi="Arial"/>
                <w:sz w:val="14"/>
                <w:szCs w:val="14"/>
                <w:color w:val="auto"/>
              </w:rPr>
              <w:t>(65.1)</w:t>
            </w:r>
          </w:p>
        </w:tc>
        <w:tc>
          <w:tcPr>
            <w:tcW w:w="1700" w:type="dxa"/>
            <w:vAlign w:val="bottom"/>
            <w:gridSpan w:val="2"/>
          </w:tcPr>
          <w:p>
            <w:pPr>
              <w:ind w:left="60"/>
              <w:spacing w:after="0"/>
              <w:rPr>
                <w:sz w:val="20"/>
                <w:szCs w:val="20"/>
                <w:color w:val="auto"/>
              </w:rPr>
            </w:pPr>
            <w:r>
              <w:rPr>
                <w:rFonts w:ascii="Arial" w:cs="Arial" w:eastAsia="Arial" w:hAnsi="Arial"/>
                <w:sz w:val="14"/>
                <w:szCs w:val="14"/>
                <w:color w:val="auto"/>
              </w:rPr>
              <w:t>See note (2)</w:t>
            </w:r>
          </w:p>
        </w:tc>
        <w:tc>
          <w:tcPr>
            <w:tcW w:w="1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311"/>
        </w:trPr>
        <w:tc>
          <w:tcPr>
            <w:tcW w:w="20" w:type="dxa"/>
            <w:vAlign w:val="bottom"/>
          </w:tcPr>
          <w:p>
            <w:pPr>
              <w:spacing w:after="0"/>
              <w:rPr>
                <w:sz w:val="24"/>
                <w:szCs w:val="24"/>
                <w:color w:val="auto"/>
              </w:rPr>
            </w:pPr>
          </w:p>
        </w:tc>
        <w:tc>
          <w:tcPr>
            <w:tcW w:w="180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Other liabilities</w:t>
            </w: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(39.6)</w:t>
            </w:r>
          </w:p>
        </w:tc>
        <w:tc>
          <w:tcPr>
            <w:tcW w:w="1700" w:type="dxa"/>
            <w:vAlign w:val="bottom"/>
            <w:gridSpan w:val="2"/>
            <w:shd w:val="clear" w:color="auto" w:fill="CCEEFF"/>
          </w:tcPr>
          <w:p>
            <w:pPr>
              <w:ind w:left="60"/>
              <w:spacing w:after="0"/>
              <w:rPr>
                <w:sz w:val="20"/>
                <w:szCs w:val="20"/>
                <w:color w:val="auto"/>
              </w:rPr>
            </w:pPr>
            <w:r>
              <w:rPr>
                <w:rFonts w:ascii="Arial" w:cs="Arial" w:eastAsia="Arial" w:hAnsi="Arial"/>
                <w:sz w:val="14"/>
                <w:szCs w:val="14"/>
                <w:color w:val="auto"/>
              </w:rPr>
              <w:t>See note (2)</w:t>
            </w:r>
          </w:p>
        </w:tc>
        <w:tc>
          <w:tcPr>
            <w:tcW w:w="180" w:type="dxa"/>
            <w:vAlign w:val="bottom"/>
            <w:shd w:val="clear" w:color="auto" w:fill="CCEEFF"/>
          </w:tcPr>
          <w:p>
            <w:pPr>
              <w:spacing w:after="0"/>
              <w:rPr>
                <w:sz w:val="24"/>
                <w:szCs w:val="24"/>
                <w:color w:val="auto"/>
              </w:rPr>
            </w:pPr>
          </w:p>
        </w:tc>
        <w:tc>
          <w:tcPr>
            <w:tcW w:w="16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r>
      <w:tr>
        <w:trPr>
          <w:trHeight w:val="108"/>
        </w:trPr>
        <w:tc>
          <w:tcPr>
            <w:tcW w:w="20" w:type="dxa"/>
            <w:vAlign w:val="bottom"/>
          </w:tcPr>
          <w:p>
            <w:pPr>
              <w:spacing w:after="0"/>
              <w:rPr>
                <w:sz w:val="9"/>
                <w:szCs w:val="9"/>
                <w:color w:val="auto"/>
              </w:rPr>
            </w:pPr>
          </w:p>
        </w:tc>
        <w:tc>
          <w:tcPr>
            <w:tcW w:w="1120" w:type="dxa"/>
            <w:vAlign w:val="bottom"/>
            <w:tcBorders>
              <w:bottom w:val="single" w:sz="8" w:color="auto"/>
            </w:tcBorders>
          </w:tcPr>
          <w:p>
            <w:pPr>
              <w:spacing w:after="0"/>
              <w:rPr>
                <w:sz w:val="9"/>
                <w:szCs w:val="9"/>
                <w:color w:val="auto"/>
              </w:rPr>
            </w:pPr>
          </w:p>
        </w:tc>
        <w:tc>
          <w:tcPr>
            <w:tcW w:w="68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16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660" w:type="dxa"/>
            <w:vAlign w:val="bottom"/>
          </w:tcPr>
          <w:p>
            <w:pPr>
              <w:spacing w:after="0"/>
              <w:rPr>
                <w:sz w:val="9"/>
                <w:szCs w:val="9"/>
                <w:color w:val="auto"/>
              </w:rPr>
            </w:pPr>
          </w:p>
        </w:tc>
        <w:tc>
          <w:tcPr>
            <w:tcW w:w="180" w:type="dxa"/>
            <w:vAlign w:val="bottom"/>
          </w:tcPr>
          <w:p>
            <w:pPr>
              <w:spacing w:after="0"/>
              <w:rPr>
                <w:sz w:val="9"/>
                <w:szCs w:val="9"/>
                <w:color w:val="auto"/>
              </w:rPr>
            </w:pPr>
          </w:p>
        </w:tc>
        <w:tc>
          <w:tcPr>
            <w:tcW w:w="700" w:type="dxa"/>
            <w:vAlign w:val="bottom"/>
          </w:tcPr>
          <w:p>
            <w:pPr>
              <w:spacing w:after="0"/>
              <w:rPr>
                <w:sz w:val="9"/>
                <w:szCs w:val="9"/>
                <w:color w:val="auto"/>
              </w:rPr>
            </w:pPr>
          </w:p>
        </w:tc>
      </w:tr>
    </w:tbl>
    <w:p>
      <w:pPr>
        <w:spacing w:after="0" w:line="192" w:lineRule="exact"/>
        <w:rPr>
          <w:sz w:val="20"/>
          <w:szCs w:val="20"/>
          <w:color w:val="auto"/>
        </w:rPr>
      </w:pPr>
    </w:p>
    <w:p>
      <w:pPr>
        <w:ind w:left="1680" w:right="20" w:hanging="531"/>
        <w:spacing w:after="0" w:line="239" w:lineRule="auto"/>
        <w:tabs>
          <w:tab w:leader="none" w:pos="1680" w:val="left"/>
        </w:tabs>
        <w:numPr>
          <w:ilvl w:val="0"/>
          <w:numId w:val="80"/>
        </w:numPr>
        <w:rPr>
          <w:rFonts w:ascii="Arial" w:cs="Arial" w:eastAsia="Arial" w:hAnsi="Arial"/>
          <w:sz w:val="14"/>
          <w:szCs w:val="14"/>
          <w:color w:val="auto"/>
        </w:rPr>
      </w:pPr>
      <w:r>
        <w:rPr>
          <w:rFonts w:ascii="Arial" w:cs="Arial" w:eastAsia="Arial" w:hAnsi="Arial"/>
          <w:sz w:val="14"/>
          <w:szCs w:val="14"/>
          <w:color w:val="auto"/>
        </w:rPr>
        <w:t>Represents market comparable interest rate or an index adjusted rate used as the base rate in the discounted cash flow analysis prior to any credit spread, illiquidity or other adjustments, where applicable.</w:t>
      </w:r>
    </w:p>
    <w:p>
      <w:pPr>
        <w:spacing w:after="0" w:line="111" w:lineRule="exact"/>
        <w:rPr>
          <w:rFonts w:ascii="Arial" w:cs="Arial" w:eastAsia="Arial" w:hAnsi="Arial"/>
          <w:sz w:val="14"/>
          <w:szCs w:val="14"/>
          <w:color w:val="auto"/>
        </w:rPr>
      </w:pPr>
    </w:p>
    <w:p>
      <w:pPr>
        <w:jc w:val="both"/>
        <w:ind w:left="1680" w:hanging="531"/>
        <w:spacing w:after="0" w:line="273" w:lineRule="auto"/>
        <w:tabs>
          <w:tab w:leader="none" w:pos="1680" w:val="left"/>
        </w:tabs>
        <w:numPr>
          <w:ilvl w:val="0"/>
          <w:numId w:val="80"/>
        </w:numPr>
        <w:rPr>
          <w:rFonts w:ascii="Arial" w:cs="Arial" w:eastAsia="Arial" w:hAnsi="Arial"/>
          <w:sz w:val="12"/>
          <w:szCs w:val="12"/>
          <w:color w:val="auto"/>
        </w:rPr>
      </w:pPr>
      <w:r>
        <w:rPr>
          <w:rFonts w:ascii="Arial" w:cs="Arial" w:eastAsia="Arial" w:hAnsi="Arial"/>
          <w:sz w:val="12"/>
          <w:szCs w:val="12"/>
          <w:color w:val="auto"/>
        </w:rPr>
        <w:t>Relates to a consolidated collateralized private investment vehicle that is a VIE. Fixed maturities, trading represents the underlying collateral of the investment structure and consists of high-grade fixed maturity investments, which are over-collateralized based on outstanding notes priced at par. The derivative liability represents credit default swaps that are valued using a correlation model to the credit default swap ("CDS") Index ("CDX") and inputs to the valuation are based on observable market data such as the end of period swap curve, CDS constituents of the index and spread levels of the index, as well as CDX tranche spreads. The other liabilities represent obligations to third party note holders due at maturity or termination of the trust. The value of the obligations reflect the third parties' interest in the investment structure.</w:t>
      </w:r>
    </w:p>
    <w:p>
      <w:pPr>
        <w:spacing w:after="0" w:line="93" w:lineRule="exact"/>
        <w:rPr>
          <w:rFonts w:ascii="Arial" w:cs="Arial" w:eastAsia="Arial" w:hAnsi="Arial"/>
          <w:sz w:val="12"/>
          <w:szCs w:val="12"/>
          <w:color w:val="auto"/>
        </w:rPr>
      </w:pPr>
    </w:p>
    <w:p>
      <w:pPr>
        <w:ind w:left="1680" w:hanging="531"/>
        <w:spacing w:after="0" w:line="239" w:lineRule="auto"/>
        <w:tabs>
          <w:tab w:leader="none" w:pos="1680" w:val="left"/>
        </w:tabs>
        <w:numPr>
          <w:ilvl w:val="0"/>
          <w:numId w:val="80"/>
        </w:numPr>
        <w:rPr>
          <w:rFonts w:ascii="Arial" w:cs="Arial" w:eastAsia="Arial" w:hAnsi="Arial"/>
          <w:sz w:val="14"/>
          <w:szCs w:val="14"/>
          <w:color w:val="auto"/>
        </w:rPr>
      </w:pPr>
      <w:r>
        <w:rPr>
          <w:rFonts w:ascii="Arial" w:cs="Arial" w:eastAsia="Arial" w:hAnsi="Arial"/>
          <w:sz w:val="14"/>
          <w:szCs w:val="14"/>
          <w:color w:val="auto"/>
        </w:rPr>
        <w:t>Represents the range of rate curves used in the valuation analysis that we have determined market participants would use when pricing the instrument. Derived from interpolation between observable 20 and 30-year swap rates.</w:t>
      </w:r>
    </w:p>
    <w:p>
      <w:pPr>
        <w:spacing w:after="0" w:line="111" w:lineRule="exact"/>
        <w:rPr>
          <w:rFonts w:ascii="Arial" w:cs="Arial" w:eastAsia="Arial" w:hAnsi="Arial"/>
          <w:sz w:val="14"/>
          <w:szCs w:val="14"/>
          <w:color w:val="auto"/>
        </w:rPr>
      </w:pPr>
    </w:p>
    <w:p>
      <w:pPr>
        <w:ind w:left="1680" w:hanging="531"/>
        <w:spacing w:after="0"/>
        <w:tabs>
          <w:tab w:leader="none" w:pos="1680" w:val="left"/>
        </w:tabs>
        <w:numPr>
          <w:ilvl w:val="0"/>
          <w:numId w:val="80"/>
        </w:numPr>
        <w:rPr>
          <w:rFonts w:ascii="Arial" w:cs="Arial" w:eastAsia="Arial" w:hAnsi="Arial"/>
          <w:sz w:val="12"/>
          <w:szCs w:val="12"/>
          <w:color w:val="auto"/>
        </w:rPr>
      </w:pPr>
      <w:r>
        <w:rPr>
          <w:rFonts w:ascii="Arial" w:cs="Arial" w:eastAsia="Arial" w:hAnsi="Arial"/>
          <w:sz w:val="12"/>
          <w:szCs w:val="12"/>
          <w:color w:val="auto"/>
        </w:rPr>
        <w:t>This input factor is the number of contractholders taking withdrawals as well as the amount and timing of the withdrawals and a range does not provide a meaningful presentation.</w:t>
      </w:r>
    </w:p>
    <w:p>
      <w:pPr>
        <w:spacing w:after="0" w:line="145" w:lineRule="exact"/>
        <w:rPr>
          <w:rFonts w:ascii="Arial" w:cs="Arial" w:eastAsia="Arial" w:hAnsi="Arial"/>
          <w:sz w:val="12"/>
          <w:szCs w:val="12"/>
          <w:color w:val="auto"/>
        </w:rPr>
      </w:pPr>
    </w:p>
    <w:p>
      <w:pPr>
        <w:ind w:left="1680" w:hanging="531"/>
        <w:spacing w:after="0"/>
        <w:tabs>
          <w:tab w:leader="none" w:pos="1680" w:val="left"/>
        </w:tabs>
        <w:numPr>
          <w:ilvl w:val="0"/>
          <w:numId w:val="80"/>
        </w:numPr>
        <w:rPr>
          <w:rFonts w:ascii="Arial" w:cs="Arial" w:eastAsia="Arial" w:hAnsi="Arial"/>
          <w:sz w:val="14"/>
          <w:szCs w:val="14"/>
          <w:color w:val="auto"/>
        </w:rPr>
      </w:pPr>
      <w:r>
        <w:rPr>
          <w:rFonts w:ascii="Arial" w:cs="Arial" w:eastAsia="Arial" w:hAnsi="Arial"/>
          <w:sz w:val="14"/>
          <w:szCs w:val="14"/>
          <w:color w:val="auto"/>
        </w:rPr>
        <w:t>This input is based on an appropriate industry mortality table and a range does not provide a meaningful presentation.</w:t>
      </w:r>
    </w:p>
    <w:p>
      <w:pPr>
        <w:spacing w:after="0" w:line="206" w:lineRule="exact"/>
        <w:rPr>
          <w:sz w:val="20"/>
          <w:szCs w:val="20"/>
          <w:color w:val="auto"/>
        </w:rPr>
      </w:pPr>
    </w:p>
    <w:p>
      <w:pPr>
        <w:jc w:val="both"/>
        <w:ind w:firstLine="482"/>
        <w:spacing w:after="0" w:line="298" w:lineRule="auto"/>
        <w:rPr>
          <w:sz w:val="20"/>
          <w:szCs w:val="20"/>
          <w:color w:val="auto"/>
        </w:rPr>
      </w:pPr>
      <w:r>
        <w:rPr>
          <w:rFonts w:ascii="Arial" w:cs="Arial" w:eastAsia="Arial" w:hAnsi="Arial"/>
          <w:sz w:val="16"/>
          <w:szCs w:val="16"/>
          <w:color w:val="auto"/>
        </w:rPr>
        <w:t>Market comparable discount rates are used as the base rate in the discounted cash flows used to determine the fair value of certain assets. Increases or decreases in the credit spreads on the comparable assets could cause the fair value of the assets to significantly decrease or increase, respectively. Additionally, we may adjust the base discount rate or the modeled price by applying an illiquidity premium given the highly structured nature of certain assets. Increases or decreases in this illiquidity premium could cause significant decreases or increases, respectively, in the fair value of the asset.</w:t>
      </w:r>
    </w:p>
    <w:p>
      <w:pPr>
        <w:spacing w:after="0" w:line="167" w:lineRule="exact"/>
        <w:rPr>
          <w:sz w:val="20"/>
          <w:szCs w:val="20"/>
          <w:color w:val="auto"/>
        </w:rPr>
      </w:pPr>
    </w:p>
    <w:p>
      <w:pPr>
        <w:jc w:val="both"/>
        <w:ind w:firstLine="374"/>
        <w:spacing w:after="0" w:line="289" w:lineRule="auto"/>
        <w:rPr>
          <w:sz w:val="20"/>
          <w:szCs w:val="20"/>
          <w:color w:val="auto"/>
        </w:rPr>
      </w:pPr>
      <w:r>
        <w:rPr>
          <w:rFonts w:ascii="Arial" w:cs="Arial" w:eastAsia="Arial" w:hAnsi="Arial"/>
          <w:sz w:val="16"/>
          <w:szCs w:val="16"/>
          <w:color w:val="auto"/>
        </w:rPr>
        <w:t>Embedded derivatives can be either assets or liabilities within the investment-type insurance contracts line item, depending on certain inputs at the reporting date. Increases to an asset or decreases to a liability are described as increases to fair value. Increases or decreases in market volatilities could cause significant decreases or increases, respectively, in the fair value of embedded derivatives in investment-type insurance contracts. Long duration interest rates are used as the mean return when projecting the growth in the value of associated account value and impact the discount rate used in the discounted future cash flows valuation. The amount of claims will increase if account value is not sufficient to cover guaranteed withdrawals. Increases or decreases in risk free rates could cause the fair value of the embedded derivative to significantly increase or decrease, respectively. Increases or decreases in our own credit risks, which impact the rates used to discount future cash flows, could significantly increase or decrease, respectively, the fair value of the embedded derivative. All of these changes in fair value would impact net income.</w:t>
      </w:r>
    </w:p>
    <w:p>
      <w:pPr>
        <w:spacing w:after="0" w:line="172" w:lineRule="exact"/>
        <w:rPr>
          <w:sz w:val="20"/>
          <w:szCs w:val="20"/>
          <w:color w:val="auto"/>
        </w:rPr>
      </w:pPr>
    </w:p>
    <w:p>
      <w:pPr>
        <w:jc w:val="both"/>
        <w:ind w:firstLine="358"/>
        <w:spacing w:after="0" w:line="259" w:lineRule="auto"/>
        <w:rPr>
          <w:sz w:val="20"/>
          <w:szCs w:val="20"/>
          <w:color w:val="auto"/>
        </w:rPr>
      </w:pPr>
      <w:r>
        <w:rPr>
          <w:rFonts w:ascii="Arial" w:cs="Arial" w:eastAsia="Arial" w:hAnsi="Arial"/>
          <w:sz w:val="18"/>
          <w:szCs w:val="18"/>
          <w:color w:val="auto"/>
        </w:rPr>
        <w:t>Decreases or increases in the mortality rate assumption could cause the fair value of the embedded derivative to decrease or increase, respectively. Decreases or increases in the overall lapse rate assumption could cause the fair value of the embedded derivative to decrease or increase, respectively. The lapse rate assumption varies dynamically based on</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78" w:name="page179"/>
    <w:bookmarkEnd w:id="17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Fair Value Measurements — (continued)</w:t>
      </w:r>
    </w:p>
    <w:p>
      <w:pPr>
        <w:spacing w:after="0" w:line="231"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the relationship of the guarantee and associated account value. A stronger or weaker dynamic lapse rate assumption could cause the fair value of the embedded derivative to decrease or increase, respectively. The utilization rate assumption includes how many contractholders will take withdrawals, when they will take them and how much of their benefit they will take. Increases or decreases in the assumption of the number of contractholders taking withdrawals could cause the fair value of the embedded derivative to decrease or increase, respectively. Assuming contractholders take withdrawals earlier or later could cause the fair value of the embedded derivative to decrease or increase, respectively. Assuming contractholders take more or less of their benefit could cause the fair value of the embedded derivative to decrease or increase, respectively.</w:t>
      </w:r>
    </w:p>
    <w:p>
      <w:pPr>
        <w:spacing w:after="0" w:line="3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Assets and Liabilities Measured at Fair Value on a Nonrecurring Basis</w:t>
      </w:r>
    </w:p>
    <w:p>
      <w:pPr>
        <w:spacing w:after="0" w:line="231" w:lineRule="exact"/>
        <w:rPr>
          <w:sz w:val="20"/>
          <w:szCs w:val="20"/>
          <w:color w:val="auto"/>
        </w:rPr>
      </w:pPr>
    </w:p>
    <w:p>
      <w:pPr>
        <w:jc w:val="both"/>
        <w:ind w:firstLine="377"/>
        <w:spacing w:after="0" w:line="289" w:lineRule="auto"/>
        <w:rPr>
          <w:sz w:val="20"/>
          <w:szCs w:val="20"/>
          <w:color w:val="auto"/>
        </w:rPr>
      </w:pPr>
      <w:r>
        <w:rPr>
          <w:rFonts w:ascii="Arial" w:cs="Arial" w:eastAsia="Arial" w:hAnsi="Arial"/>
          <w:sz w:val="16"/>
          <w:szCs w:val="16"/>
          <w:color w:val="auto"/>
        </w:rPr>
        <w:t>Certain assets are measured at fair value on a nonrecurring basis. During 2013, certain mortgage loans had been marked to fair value of $153.1 million. The net impact of impairments and improvements in estimated fair value of previously impaired loans resulted in a net loss of $27.5 million that was recorded in net realized capital gains (losses) as part of the mortgage loan valuation allowance. This includes the impact of certain loans no longer on our books. These collateral-dependent mortgage loans are a Level 3 fair value measurement, as fair value is based on the fair value of the underlying real estate collateral, which is estimated using appraised values that involve significant unobservable inputs. The fair value of the underlying collateral is determined based on a discounted cash flow valuation either from an external broker opinion of value or an internal model. Significant inputs used in the discounted cash flow calculation include: a discount rate, terminal capitalization rate and average market rent growth. The ranges of inputs used in the fair value measurements for the mortgage loans marked to fair value during 2013 were:</w:t>
      </w:r>
    </w:p>
    <w:p>
      <w:pPr>
        <w:spacing w:after="0" w:line="172" w:lineRule="exact"/>
        <w:rPr>
          <w:sz w:val="20"/>
          <w:szCs w:val="20"/>
          <w:color w:val="auto"/>
        </w:rPr>
      </w:pPr>
    </w:p>
    <w:p>
      <w:pPr>
        <w:ind w:left="540"/>
        <w:spacing w:after="0"/>
        <w:rPr>
          <w:sz w:val="20"/>
          <w:szCs w:val="20"/>
          <w:color w:val="auto"/>
        </w:rPr>
      </w:pPr>
      <w:r>
        <w:rPr>
          <w:rFonts w:ascii="Arial" w:cs="Arial" w:eastAsia="Arial" w:hAnsi="Arial"/>
          <w:sz w:val="18"/>
          <w:szCs w:val="18"/>
          <w:color w:val="auto"/>
        </w:rPr>
        <w:t>Discount rate = 8.0% - 20.0%</w:t>
      </w:r>
    </w:p>
    <w:p>
      <w:pPr>
        <w:spacing w:after="0" w:line="15" w:lineRule="exact"/>
        <w:rPr>
          <w:sz w:val="20"/>
          <w:szCs w:val="20"/>
          <w:color w:val="auto"/>
        </w:rPr>
      </w:pPr>
    </w:p>
    <w:p>
      <w:pPr>
        <w:ind w:left="540"/>
        <w:spacing w:after="0"/>
        <w:rPr>
          <w:sz w:val="20"/>
          <w:szCs w:val="20"/>
          <w:color w:val="auto"/>
        </w:rPr>
      </w:pPr>
      <w:r>
        <w:rPr>
          <w:rFonts w:ascii="Arial" w:cs="Arial" w:eastAsia="Arial" w:hAnsi="Arial"/>
          <w:sz w:val="18"/>
          <w:szCs w:val="18"/>
          <w:color w:val="auto"/>
        </w:rPr>
        <w:t>Terminal capitalization rate = 7.3% - 10.5%</w:t>
      </w:r>
    </w:p>
    <w:p>
      <w:pPr>
        <w:spacing w:after="0" w:line="9" w:lineRule="exact"/>
        <w:rPr>
          <w:sz w:val="20"/>
          <w:szCs w:val="20"/>
          <w:color w:val="auto"/>
        </w:rPr>
      </w:pPr>
    </w:p>
    <w:p>
      <w:pPr>
        <w:ind w:left="540"/>
        <w:spacing w:after="0"/>
        <w:rPr>
          <w:sz w:val="20"/>
          <w:szCs w:val="20"/>
          <w:color w:val="auto"/>
        </w:rPr>
      </w:pPr>
      <w:r>
        <w:rPr>
          <w:rFonts w:ascii="Arial" w:cs="Arial" w:eastAsia="Arial" w:hAnsi="Arial"/>
          <w:sz w:val="18"/>
          <w:szCs w:val="18"/>
          <w:color w:val="auto"/>
        </w:rPr>
        <w:t>Average market rent growth = 1.0% - 10.9%</w:t>
      </w:r>
    </w:p>
    <w:p>
      <w:pPr>
        <w:spacing w:after="0" w:line="219" w:lineRule="exact"/>
        <w:rPr>
          <w:sz w:val="20"/>
          <w:szCs w:val="20"/>
          <w:color w:val="auto"/>
        </w:rPr>
      </w:pPr>
    </w:p>
    <w:p>
      <w:pPr>
        <w:jc w:val="both"/>
        <w:ind w:firstLine="380"/>
        <w:spacing w:after="0" w:line="255" w:lineRule="auto"/>
        <w:rPr>
          <w:sz w:val="20"/>
          <w:szCs w:val="20"/>
          <w:color w:val="auto"/>
        </w:rPr>
      </w:pPr>
      <w:r>
        <w:rPr>
          <w:rFonts w:ascii="Arial" w:cs="Arial" w:eastAsia="Arial" w:hAnsi="Arial"/>
          <w:sz w:val="18"/>
          <w:szCs w:val="18"/>
          <w:color w:val="auto"/>
        </w:rPr>
        <w:t>During 2013, certain mortgage servicing rights had been marked to fair value of $7.3 million. The net impact of impairments and subsequent improvements in estimated fair value of previously impaired mortgage servicing rights resulted in a net gain of $1.3 million that was recorded in operating expenses. These mortgage servicing rights are a Level 3 fair value measurement, as fair value is determined by calculating the present value of the future servicing cash flows from the underlying mortgage loans. The discount rate used in calculating the present value of the future servicing cash flows was 4.3% for the year ended December 31, 2013.</w:t>
      </w:r>
    </w:p>
    <w:p>
      <w:pPr>
        <w:spacing w:after="0" w:line="197" w:lineRule="exact"/>
        <w:rPr>
          <w:sz w:val="20"/>
          <w:szCs w:val="20"/>
          <w:color w:val="auto"/>
        </w:rPr>
      </w:pPr>
    </w:p>
    <w:p>
      <w:pPr>
        <w:jc w:val="both"/>
        <w:ind w:firstLine="424"/>
        <w:spacing w:after="0" w:line="290" w:lineRule="auto"/>
        <w:rPr>
          <w:sz w:val="20"/>
          <w:szCs w:val="20"/>
          <w:color w:val="auto"/>
        </w:rPr>
      </w:pPr>
      <w:r>
        <w:rPr>
          <w:rFonts w:ascii="Arial" w:cs="Arial" w:eastAsia="Arial" w:hAnsi="Arial"/>
          <w:sz w:val="16"/>
          <w:szCs w:val="16"/>
          <w:color w:val="auto"/>
        </w:rPr>
        <w:t>During 2012, certain mortgage loans had been marked to fair value of $173.8 million. The net impact of impairments and improvements in estimated fair value of previously impaired loans resulted in a net loss of $12.3 million that was recorded in net realized capital gains (losses) as part of the mortgage loan valuation allowance. This includes the impact of certain loans no longer on our books. These collateral-dependent mortgage loans are a Level 3 fair value measurement, as fair value is based on the fair value of the underlying real estate collateral, which is estimated using appraised values that involve significant unobservable inputs. The fair value of the underlying collateral is determined based on a discounted cash flow valuation either from an external broker opinion of value or an internal model. Significant inputs used in the discounted cash flow calculation include: a discount rate, terminal capitalization rate and average market rent growth. The ranges of inputs used in the fair value measurements for the mortgage loans marked to fair value during 2012 were:</w:t>
      </w:r>
    </w:p>
    <w:p>
      <w:pPr>
        <w:spacing w:after="0" w:line="172" w:lineRule="exact"/>
        <w:rPr>
          <w:sz w:val="20"/>
          <w:szCs w:val="20"/>
          <w:color w:val="auto"/>
        </w:rPr>
      </w:pPr>
    </w:p>
    <w:p>
      <w:pPr>
        <w:ind w:left="540"/>
        <w:spacing w:after="0"/>
        <w:rPr>
          <w:sz w:val="20"/>
          <w:szCs w:val="20"/>
          <w:color w:val="auto"/>
        </w:rPr>
      </w:pPr>
      <w:r>
        <w:rPr>
          <w:rFonts w:ascii="Arial" w:cs="Arial" w:eastAsia="Arial" w:hAnsi="Arial"/>
          <w:sz w:val="18"/>
          <w:szCs w:val="18"/>
          <w:color w:val="auto"/>
        </w:rPr>
        <w:t>Discount rate = 8.0% - 20.0%</w:t>
      </w:r>
    </w:p>
    <w:p>
      <w:pPr>
        <w:spacing w:after="0" w:line="15" w:lineRule="exact"/>
        <w:rPr>
          <w:sz w:val="20"/>
          <w:szCs w:val="20"/>
          <w:color w:val="auto"/>
        </w:rPr>
      </w:pPr>
    </w:p>
    <w:p>
      <w:pPr>
        <w:ind w:left="540"/>
        <w:spacing w:after="0"/>
        <w:rPr>
          <w:sz w:val="20"/>
          <w:szCs w:val="20"/>
          <w:color w:val="auto"/>
        </w:rPr>
      </w:pPr>
      <w:r>
        <w:rPr>
          <w:rFonts w:ascii="Arial" w:cs="Arial" w:eastAsia="Arial" w:hAnsi="Arial"/>
          <w:sz w:val="18"/>
          <w:szCs w:val="18"/>
          <w:color w:val="auto"/>
        </w:rPr>
        <w:t>Terminal capitalization rate = 6.3% - 10.5%</w:t>
      </w:r>
    </w:p>
    <w:p>
      <w:pPr>
        <w:spacing w:after="0" w:line="9" w:lineRule="exact"/>
        <w:rPr>
          <w:sz w:val="20"/>
          <w:szCs w:val="20"/>
          <w:color w:val="auto"/>
        </w:rPr>
      </w:pPr>
    </w:p>
    <w:p>
      <w:pPr>
        <w:ind w:left="540"/>
        <w:spacing w:after="0"/>
        <w:rPr>
          <w:sz w:val="20"/>
          <w:szCs w:val="20"/>
          <w:color w:val="auto"/>
        </w:rPr>
      </w:pPr>
      <w:r>
        <w:rPr>
          <w:rFonts w:ascii="Arial" w:cs="Arial" w:eastAsia="Arial" w:hAnsi="Arial"/>
          <w:sz w:val="18"/>
          <w:szCs w:val="18"/>
          <w:color w:val="auto"/>
        </w:rPr>
        <w:t>Average market rent growth = 3.0% - 8.0%</w:t>
      </w:r>
    </w:p>
    <w:p>
      <w:pPr>
        <w:spacing w:after="0" w:line="219" w:lineRule="exact"/>
        <w:rPr>
          <w:sz w:val="20"/>
          <w:szCs w:val="20"/>
          <w:color w:val="auto"/>
        </w:rPr>
      </w:pPr>
    </w:p>
    <w:p>
      <w:pPr>
        <w:jc w:val="both"/>
        <w:ind w:firstLine="380"/>
        <w:spacing w:after="0" w:line="255" w:lineRule="auto"/>
        <w:rPr>
          <w:sz w:val="20"/>
          <w:szCs w:val="20"/>
          <w:color w:val="auto"/>
        </w:rPr>
      </w:pPr>
      <w:r>
        <w:rPr>
          <w:rFonts w:ascii="Arial" w:cs="Arial" w:eastAsia="Arial" w:hAnsi="Arial"/>
          <w:sz w:val="18"/>
          <w:szCs w:val="18"/>
          <w:color w:val="auto"/>
        </w:rPr>
        <w:t>During 2012, certain mortgage servicing rights had been marked to fair value of $7.0 million. The net impact of impairments and subsequent improvements in estimated fair value of previously impaired mortgage servicing rights resulted in a net gain of $0.4 million that was recorded in operating expenses. These mortgage servicing rights are a Level 3 fair value measurement, as fair value is determined by calculating the present value of the future servicing cash flows from the underlying mortgage loans. The discount rate used in calculating the present value of the future servicing cash flows was 3.1% for the year ended December 31, 2012.</w:t>
      </w:r>
    </w:p>
    <w:p>
      <w:pPr>
        <w:spacing w:after="0" w:line="197" w:lineRule="exact"/>
        <w:rPr>
          <w:sz w:val="20"/>
          <w:szCs w:val="20"/>
          <w:color w:val="auto"/>
        </w:rPr>
      </w:pPr>
    </w:p>
    <w:p>
      <w:pPr>
        <w:jc w:val="both"/>
        <w:ind w:firstLine="396"/>
        <w:spacing w:after="0" w:line="259" w:lineRule="auto"/>
        <w:rPr>
          <w:sz w:val="20"/>
          <w:szCs w:val="20"/>
          <w:color w:val="auto"/>
        </w:rPr>
      </w:pPr>
      <w:r>
        <w:rPr>
          <w:rFonts w:ascii="Arial" w:cs="Arial" w:eastAsia="Arial" w:hAnsi="Arial"/>
          <w:sz w:val="18"/>
          <w:szCs w:val="18"/>
          <w:color w:val="auto"/>
        </w:rPr>
        <w:t>During 2012, certain real estate had been written down to fair value of $5.0 million. This write down resulted in a loss of $0.1 million that was recorded in net realized capital gains (losses). This is a Level 3 fair value measurement, as the fair value of real estate is estimated using appraised values that involve significant unobservable inputs that are not developed internally.</w:t>
      </w:r>
    </w:p>
    <w:p>
      <w:pPr>
        <w:sectPr>
          <w:pgSz w:w="11900" w:h="16838" w:orient="portrait"/>
          <w:cols w:equalWidth="0" w:num="1">
            <w:col w:w="11420"/>
          </w:cols>
          <w:pgMar w:left="240" w:top="131" w:right="239" w:bottom="1440" w:gutter="0" w:footer="0" w:header="0"/>
        </w:sectPr>
      </w:pP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79" w:name="page180"/>
    <w:bookmarkEnd w:id="17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Fair Value Measurements — (continued)</w:t>
      </w:r>
    </w:p>
    <w:p>
      <w:pPr>
        <w:spacing w:after="0" w:line="231" w:lineRule="exact"/>
        <w:rPr>
          <w:sz w:val="20"/>
          <w:szCs w:val="20"/>
          <w:color w:val="auto"/>
        </w:rPr>
      </w:pPr>
    </w:p>
    <w:p>
      <w:pPr>
        <w:jc w:val="both"/>
        <w:ind w:firstLine="428"/>
        <w:spacing w:after="0" w:line="255" w:lineRule="auto"/>
        <w:rPr>
          <w:sz w:val="20"/>
          <w:szCs w:val="20"/>
          <w:color w:val="auto"/>
        </w:rPr>
      </w:pPr>
      <w:r>
        <w:rPr>
          <w:rFonts w:ascii="Arial" w:cs="Arial" w:eastAsia="Arial" w:hAnsi="Arial"/>
          <w:sz w:val="18"/>
          <w:szCs w:val="18"/>
          <w:color w:val="auto"/>
        </w:rPr>
        <w:t>During 2011, certain mortgage loans had been marked to fair value of $206.0 million. The net impact of impairments and improvements in estimated fair value of previously impaired loans resulted in a net loss of $27.7 million that was recorded in net realized capital gains (losses) as part of the mortgage loan valuation allowance. This includes the impact of certain loans no longer on our books. These collateral-dependent mortgage loans are a Level 3 fair value measurement, as fair value is based on the fair value of the underlying real estate collateral, which is estimated using appraised values that involve significant unobservable inputs.</w:t>
      </w:r>
    </w:p>
    <w:p>
      <w:pPr>
        <w:spacing w:after="0" w:line="197" w:lineRule="exact"/>
        <w:rPr>
          <w:sz w:val="20"/>
          <w:szCs w:val="20"/>
          <w:color w:val="auto"/>
        </w:rPr>
      </w:pPr>
    </w:p>
    <w:p>
      <w:pPr>
        <w:jc w:val="both"/>
        <w:ind w:firstLine="442"/>
        <w:spacing w:after="0" w:line="256" w:lineRule="auto"/>
        <w:rPr>
          <w:sz w:val="20"/>
          <w:szCs w:val="20"/>
          <w:color w:val="auto"/>
        </w:rPr>
      </w:pPr>
      <w:r>
        <w:rPr>
          <w:rFonts w:ascii="Arial" w:cs="Arial" w:eastAsia="Arial" w:hAnsi="Arial"/>
          <w:sz w:val="18"/>
          <w:szCs w:val="18"/>
          <w:color w:val="auto"/>
        </w:rPr>
        <w:t>During 2011, certain mortgage servicing rights had been written down to fair value of $4.4 million. The net impact of impairments and improvements in estimated fair value of previously impaired mortgage servicing rights resulted in a net loss of $1.1 million that was recorded in operating expenses. These mortgage servicing rights are a Level 3 fair value measurement, as fair value is determined by calculating the present value of the future servicing cash flows from the underlying mortgage loans.</w:t>
      </w:r>
    </w:p>
    <w:p>
      <w:pPr>
        <w:spacing w:after="0" w:line="197" w:lineRule="exact"/>
        <w:rPr>
          <w:sz w:val="20"/>
          <w:szCs w:val="20"/>
          <w:color w:val="auto"/>
        </w:rPr>
      </w:pPr>
    </w:p>
    <w:p>
      <w:pPr>
        <w:jc w:val="both"/>
        <w:ind w:firstLine="396"/>
        <w:spacing w:after="0" w:line="259" w:lineRule="auto"/>
        <w:rPr>
          <w:sz w:val="20"/>
          <w:szCs w:val="20"/>
          <w:color w:val="auto"/>
        </w:rPr>
      </w:pPr>
      <w:r>
        <w:rPr>
          <w:rFonts w:ascii="Arial" w:cs="Arial" w:eastAsia="Arial" w:hAnsi="Arial"/>
          <w:sz w:val="18"/>
          <w:szCs w:val="18"/>
          <w:color w:val="auto"/>
        </w:rPr>
        <w:t>During 2011, certain real estate had been written down to fair value of $3.9 million. This write down resulted in a loss of $0.6 million that was recorded in net realized capital gains (losses). This is a Level 3 fair value measurement, as the fair value of real estate is estimated using appraised values that involve significant unobservable inputs that are not developed internally.</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Fair Value Option</w:t>
      </w:r>
    </w:p>
    <w:p>
      <w:pPr>
        <w:spacing w:after="0" w:line="231" w:lineRule="exact"/>
        <w:rPr>
          <w:sz w:val="20"/>
          <w:szCs w:val="20"/>
          <w:color w:val="auto"/>
        </w:rPr>
      </w:pPr>
    </w:p>
    <w:p>
      <w:pPr>
        <w:jc w:val="both"/>
        <w:ind w:right="20" w:firstLine="540"/>
        <w:spacing w:after="0" w:line="298" w:lineRule="auto"/>
        <w:rPr>
          <w:sz w:val="20"/>
          <w:szCs w:val="20"/>
          <w:color w:val="auto"/>
        </w:rPr>
      </w:pPr>
      <w:r>
        <w:rPr>
          <w:rFonts w:ascii="Arial" w:cs="Arial" w:eastAsia="Arial" w:hAnsi="Arial"/>
          <w:sz w:val="16"/>
          <w:szCs w:val="16"/>
          <w:color w:val="auto"/>
        </w:rPr>
        <w:t>As a result of our implementation of new authoritative guidance related to the accounting for VIEs effective January 1, 2010, we elected fair value accounting for certain assets and liabilities of consolidated VIEs for which it was not practicable for us to determine the carrying value. The fair value option was elected for commercial mortgage loans reported with other investments and obligations reported with other liabilities in the consolidated statements of financial position. The changes in fair value of these items are reported in net realized capital gains (losses) on the consolidated statements of operations.</w:t>
      </w:r>
    </w:p>
    <w:p>
      <w:pPr>
        <w:spacing w:after="0" w:line="167" w:lineRule="exact"/>
        <w:rPr>
          <w:sz w:val="20"/>
          <w:szCs w:val="20"/>
          <w:color w:val="auto"/>
        </w:rPr>
      </w:pPr>
    </w:p>
    <w:p>
      <w:pPr>
        <w:jc w:val="both"/>
        <w:ind w:firstLine="616"/>
        <w:spacing w:after="0" w:line="290" w:lineRule="auto"/>
        <w:rPr>
          <w:sz w:val="20"/>
          <w:szCs w:val="20"/>
          <w:color w:val="auto"/>
        </w:rPr>
      </w:pPr>
      <w:r>
        <w:rPr>
          <w:rFonts w:ascii="Arial" w:cs="Arial" w:eastAsia="Arial" w:hAnsi="Arial"/>
          <w:sz w:val="16"/>
          <w:szCs w:val="16"/>
          <w:color w:val="auto"/>
        </w:rPr>
        <w:t>The fair value and aggregate contractual principal amounts of commercial mortgage loans for which the fair value option has been elected were $68.1 million and $64.0 million as of December 31, 2013, and $80.3 million and $76.4 million as of December 31, 2012, respectively. The change in fair value of the loans resulted in a $0.2 million, $2.6 million and ($2.6) million pre-tax gain (loss) for the years ended December 31, 2013, 2012 and 2011, respectively, none of which related to instrument-specific credit risk. None of these loans were more than 90 days past due or in nonaccrual status. Interest income on these commercial mortgage loans is included in net investment income on the consolidated statements of operations and is recorded based on the effective interest rates as determined at the closing of the loan. Interest income recorded on these commercial mortgage loans was $5.7 million, $6.9 million and $8.6 million for the years ended December 31, 2013, 2012 and 2011, respectively.</w:t>
      </w:r>
    </w:p>
    <w:p>
      <w:pPr>
        <w:spacing w:after="0" w:line="172" w:lineRule="exact"/>
        <w:rPr>
          <w:sz w:val="20"/>
          <w:szCs w:val="20"/>
          <w:color w:val="auto"/>
        </w:rPr>
      </w:pPr>
    </w:p>
    <w:p>
      <w:pPr>
        <w:jc w:val="both"/>
        <w:ind w:firstLine="633"/>
        <w:spacing w:after="0" w:line="291" w:lineRule="auto"/>
        <w:rPr>
          <w:sz w:val="20"/>
          <w:szCs w:val="20"/>
          <w:color w:val="auto"/>
        </w:rPr>
      </w:pPr>
      <w:r>
        <w:rPr>
          <w:rFonts w:ascii="Arial" w:cs="Arial" w:eastAsia="Arial" w:hAnsi="Arial"/>
          <w:sz w:val="16"/>
          <w:szCs w:val="16"/>
          <w:color w:val="auto"/>
        </w:rPr>
        <w:t>The fair value and aggregate unpaid principal amounts of obligations for which the fair value option has been elected were $104.9 million and $174.4 million as of December 31, 2013, and $85.0 million and $186.8 million as of December 31, 2012, respectively. For the years ended December 31, 2013, 2012 and 2011, the change in fair value of the obligations resulted in a pre-tax gain (loss) of ($32.8) million, ($37.7) million and $1.2 million, which includes a pre-tax loss of $34.3 million, $37.4 million and $1.1 million related to instrument-specific credit risk that is estimated based on credit spreads and quality ratings, respectively. Interest expense recorded on these obligations is included in operating expenses on the consolidated statements of operations and was $3.6 million, $5.3 million and $6.7 million for the years ended December 31, 2013, 2012 and 2011, respectively.</w:t>
      </w:r>
    </w:p>
    <w:p>
      <w:pPr>
        <w:spacing w:after="0" w:line="174" w:lineRule="exact"/>
        <w:rPr>
          <w:sz w:val="20"/>
          <w:szCs w:val="20"/>
          <w:color w:val="auto"/>
        </w:rPr>
      </w:pPr>
    </w:p>
    <w:p>
      <w:pPr>
        <w:jc w:val="both"/>
        <w:ind w:firstLine="480"/>
        <w:spacing w:after="0" w:line="290" w:lineRule="auto"/>
        <w:rPr>
          <w:sz w:val="20"/>
          <w:szCs w:val="20"/>
          <w:color w:val="auto"/>
        </w:rPr>
      </w:pPr>
      <w:r>
        <w:rPr>
          <w:rFonts w:ascii="Arial" w:cs="Arial" w:eastAsia="Arial" w:hAnsi="Arial"/>
          <w:sz w:val="16"/>
          <w:szCs w:val="16"/>
          <w:color w:val="auto"/>
        </w:rPr>
        <w:t>We invest in real estate ventures for the purpose of earning investment returns and for capital appreciation. We elected the fair value option for certain ventures that are subject to the equity method of accounting because the nature of the investments are to add value to the properties and generate income from the operations of the properties. Other equity method real estate investments are not fair valued because the investments mainly generate income from the operations of the underlying properties. These investments are reported with other investments in the consolidated statements of financial position. The changes in fair value are reported in net investment income on the consolidated statements of operations. The fair value of the equity method investments for which the fair value option has been elected was $74.8 million and $33.6 million as of December 31, 2013 and 2012, respectively. The change in fair value of the investments resulted in an $11.0 million and $(0.4) million pre-tax gain (loss) for the years ended December 31, 2013 and 2012, respectively.</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80" w:name="page181"/>
    <w:bookmarkEnd w:id="18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Fair Value Measurements — (continued)</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Instruments Not Reported at Fair Value</w:t>
      </w:r>
    </w:p>
    <w:p>
      <w:pPr>
        <w:spacing w:after="0" w:line="231" w:lineRule="exact"/>
        <w:rPr>
          <w:sz w:val="20"/>
          <w:szCs w:val="20"/>
          <w:color w:val="auto"/>
        </w:rPr>
      </w:pPr>
    </w:p>
    <w:p>
      <w:pPr>
        <w:jc w:val="both"/>
        <w:ind w:firstLine="396"/>
        <w:spacing w:after="0" w:line="268" w:lineRule="auto"/>
        <w:rPr>
          <w:sz w:val="20"/>
          <w:szCs w:val="20"/>
          <w:color w:val="auto"/>
        </w:rPr>
      </w:pPr>
      <w:r>
        <w:rPr>
          <w:rFonts w:ascii="Arial" w:cs="Arial" w:eastAsia="Arial" w:hAnsi="Arial"/>
          <w:sz w:val="18"/>
          <w:szCs w:val="18"/>
          <w:color w:val="auto"/>
        </w:rPr>
        <w:t>The carrying value and estimated fair value of financial instruments not recorded at fair value on a recurring basis but required to be disclosed at fair value were as follows:</w:t>
      </w:r>
    </w:p>
    <w:p>
      <w:pPr>
        <w:spacing w:after="0" w:line="18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gridSpan w:val="10"/>
          </w:tcPr>
          <w:p>
            <w:pPr>
              <w:jc w:val="center"/>
              <w:ind w:left="32"/>
              <w:spacing w:after="0"/>
              <w:rPr>
                <w:sz w:val="20"/>
                <w:szCs w:val="20"/>
                <w:color w:val="auto"/>
              </w:rPr>
            </w:pPr>
            <w:r>
              <w:rPr>
                <w:rFonts w:ascii="Arial" w:cs="Arial" w:eastAsia="Arial" w:hAnsi="Arial"/>
                <w:sz w:val="14"/>
                <w:szCs w:val="14"/>
                <w:b w:val="1"/>
                <w:bCs w:val="1"/>
                <w:color w:val="auto"/>
                <w:w w:val="87"/>
              </w:rPr>
              <w:t>December 31, 2013</w:t>
            </w:r>
          </w:p>
        </w:tc>
        <w:tc>
          <w:tcPr>
            <w:tcW w:w="8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31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180" w:type="dxa"/>
            <w:vAlign w:val="bottom"/>
            <w:gridSpan w:val="3"/>
            <w:vMerge w:val="restart"/>
          </w:tcPr>
          <w:p>
            <w:pPr>
              <w:jc w:val="right"/>
              <w:ind w:right="32"/>
              <w:spacing w:after="0"/>
              <w:rPr>
                <w:sz w:val="20"/>
                <w:szCs w:val="20"/>
                <w:color w:val="auto"/>
              </w:rPr>
            </w:pPr>
            <w:r>
              <w:rPr>
                <w:rFonts w:ascii="Arial" w:cs="Arial" w:eastAsia="Arial" w:hAnsi="Arial"/>
                <w:sz w:val="14"/>
                <w:szCs w:val="14"/>
                <w:b w:val="1"/>
                <w:bCs w:val="1"/>
                <w:color w:val="auto"/>
                <w:w w:val="94"/>
              </w:rPr>
              <w:t>Carrying amount</w:t>
            </w:r>
          </w:p>
        </w:tc>
        <w:tc>
          <w:tcPr>
            <w:tcW w:w="120" w:type="dxa"/>
            <w:vAlign w:val="bottom"/>
            <w:vMerge w:val="restart"/>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20" w:type="dxa"/>
            <w:vAlign w:val="bottom"/>
            <w:gridSpan w:val="2"/>
            <w:vMerge w:val="restart"/>
          </w:tcPr>
          <w:p>
            <w:pPr>
              <w:jc w:val="right"/>
              <w:ind w:right="52"/>
              <w:spacing w:after="0"/>
              <w:rPr>
                <w:sz w:val="20"/>
                <w:szCs w:val="20"/>
                <w:color w:val="auto"/>
              </w:rPr>
            </w:pPr>
            <w:r>
              <w:rPr>
                <w:rFonts w:ascii="Arial" w:cs="Arial" w:eastAsia="Arial" w:hAnsi="Arial"/>
                <w:sz w:val="14"/>
                <w:szCs w:val="14"/>
                <w:b w:val="1"/>
                <w:bCs w:val="1"/>
                <w:color w:val="auto"/>
                <w:w w:val="88"/>
              </w:rPr>
              <w:t>Fair value</w:t>
            </w:r>
          </w:p>
        </w:tc>
        <w:tc>
          <w:tcPr>
            <w:tcW w:w="140" w:type="dxa"/>
            <w:vAlign w:val="bottom"/>
            <w:gridSpan w:val="2"/>
            <w:vMerge w:val="restart"/>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80" w:type="dxa"/>
            <w:vAlign w:val="bottom"/>
            <w:gridSpan w:val="13"/>
          </w:tcPr>
          <w:p>
            <w:pPr>
              <w:jc w:val="right"/>
              <w:ind w:right="680"/>
              <w:spacing w:after="0"/>
              <w:rPr>
                <w:sz w:val="20"/>
                <w:szCs w:val="20"/>
                <w:color w:val="auto"/>
              </w:rPr>
            </w:pPr>
            <w:r>
              <w:rPr>
                <w:rFonts w:ascii="Arial" w:cs="Arial" w:eastAsia="Arial" w:hAnsi="Arial"/>
                <w:sz w:val="14"/>
                <w:szCs w:val="14"/>
                <w:b w:val="1"/>
                <w:bCs w:val="1"/>
                <w:color w:val="auto"/>
              </w:rPr>
              <w:t>Fair value hierarchy level</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1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80" w:type="dxa"/>
            <w:vAlign w:val="bottom"/>
            <w:tcBorders>
              <w:bottom w:val="single" w:sz="8" w:color="auto"/>
            </w:tcBorders>
            <w:gridSpan w:val="3"/>
            <w:vMerge w:val="continue"/>
          </w:tcPr>
          <w:p>
            <w:pPr>
              <w:spacing w:after="0"/>
              <w:rPr>
                <w:sz w:val="12"/>
                <w:szCs w:val="12"/>
                <w:color w:val="auto"/>
              </w:rPr>
            </w:pPr>
          </w:p>
        </w:tc>
        <w:tc>
          <w:tcPr>
            <w:tcW w:w="12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gridSpan w:val="2"/>
            <w:vMerge w:val="continue"/>
          </w:tcPr>
          <w:p>
            <w:pPr>
              <w:spacing w:after="0"/>
              <w:rPr>
                <w:sz w:val="12"/>
                <w:szCs w:val="12"/>
                <w:color w:val="auto"/>
              </w:rPr>
            </w:pPr>
          </w:p>
        </w:tc>
        <w:tc>
          <w:tcPr>
            <w:tcW w:w="14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gridSpan w:val="2"/>
          </w:tcPr>
          <w:p>
            <w:pPr>
              <w:jc w:val="right"/>
              <w:ind w:right="72"/>
              <w:spacing w:after="0" w:line="142" w:lineRule="exact"/>
              <w:rPr>
                <w:sz w:val="20"/>
                <w:szCs w:val="20"/>
                <w:color w:val="auto"/>
              </w:rPr>
            </w:pPr>
            <w:r>
              <w:rPr>
                <w:rFonts w:ascii="Arial" w:cs="Arial" w:eastAsia="Arial" w:hAnsi="Arial"/>
                <w:sz w:val="14"/>
                <w:szCs w:val="14"/>
                <w:b w:val="1"/>
                <w:bCs w:val="1"/>
                <w:color w:val="auto"/>
                <w:w w:val="92"/>
              </w:rPr>
              <w:t>Level 1</w:t>
            </w:r>
          </w:p>
        </w:tc>
        <w:tc>
          <w:tcPr>
            <w:tcW w:w="160" w:type="dxa"/>
            <w:vAlign w:val="bottom"/>
            <w:tcBorders>
              <w:top w:val="single" w:sz="8" w:color="auto"/>
            </w:tcBorders>
            <w:gridSpan w:val="2"/>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gridSpan w:val="2"/>
          </w:tcPr>
          <w:p>
            <w:pPr>
              <w:jc w:val="right"/>
              <w:ind w:right="72"/>
              <w:spacing w:after="0" w:line="142" w:lineRule="exact"/>
              <w:rPr>
                <w:sz w:val="20"/>
                <w:szCs w:val="20"/>
                <w:color w:val="auto"/>
              </w:rPr>
            </w:pPr>
            <w:r>
              <w:rPr>
                <w:rFonts w:ascii="Arial" w:cs="Arial" w:eastAsia="Arial" w:hAnsi="Arial"/>
                <w:sz w:val="14"/>
                <w:szCs w:val="14"/>
                <w:b w:val="1"/>
                <w:bCs w:val="1"/>
                <w:color w:val="auto"/>
                <w:w w:val="92"/>
              </w:rPr>
              <w:t>Level 2</w:t>
            </w:r>
          </w:p>
        </w:tc>
        <w:tc>
          <w:tcPr>
            <w:tcW w:w="120" w:type="dxa"/>
            <w:vAlign w:val="bottom"/>
            <w:tcBorders>
              <w:top w:val="single" w:sz="8" w:color="auto"/>
            </w:tcBorders>
            <w:gridSpan w:val="2"/>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right"/>
              <w:ind w:right="152"/>
              <w:spacing w:after="0" w:line="142" w:lineRule="exact"/>
              <w:rPr>
                <w:sz w:val="20"/>
                <w:szCs w:val="20"/>
                <w:color w:val="auto"/>
              </w:rPr>
            </w:pPr>
            <w:r>
              <w:rPr>
                <w:rFonts w:ascii="Arial" w:cs="Arial" w:eastAsia="Arial" w:hAnsi="Arial"/>
                <w:sz w:val="14"/>
                <w:szCs w:val="14"/>
                <w:b w:val="1"/>
                <w:bCs w:val="1"/>
                <w:color w:val="auto"/>
                <w:w w:val="88"/>
              </w:rPr>
              <w:t>Level 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1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760" w:type="dxa"/>
            <w:vAlign w:val="bottom"/>
            <w:gridSpan w:val="10"/>
          </w:tcPr>
          <w:p>
            <w:pPr>
              <w:jc w:val="center"/>
              <w:ind w:left="32"/>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0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 (liabilities)</w:t>
            </w:r>
          </w:p>
        </w:tc>
        <w:tc>
          <w:tcPr>
            <w:tcW w:w="1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00" w:type="dxa"/>
            <w:vAlign w:val="bottom"/>
          </w:tcPr>
          <w:p>
            <w:pPr>
              <w:spacing w:after="0" w:line="149" w:lineRule="exact"/>
              <w:rPr>
                <w:sz w:val="20"/>
                <w:szCs w:val="20"/>
                <w:color w:val="auto"/>
              </w:rPr>
            </w:pPr>
            <w:r>
              <w:rPr>
                <w:rFonts w:ascii="Arial" w:cs="Arial" w:eastAsia="Arial" w:hAnsi="Arial"/>
                <w:sz w:val="14"/>
                <w:szCs w:val="14"/>
                <w:color w:val="auto"/>
              </w:rPr>
              <w:t>Mortgage loans</w:t>
            </w:r>
          </w:p>
        </w:tc>
        <w:tc>
          <w:tcPr>
            <w:tcW w:w="1240" w:type="dxa"/>
            <w:vAlign w:val="bottom"/>
            <w:gridSpan w:val="2"/>
          </w:tcPr>
          <w:p>
            <w:pPr>
              <w:jc w:val="right"/>
              <w:ind w:right="12"/>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9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11,533.6</w:t>
            </w:r>
          </w:p>
        </w:tc>
        <w:tc>
          <w:tcPr>
            <w:tcW w:w="120" w:type="dxa"/>
            <w:vAlign w:val="bottom"/>
          </w:tcPr>
          <w:p>
            <w:pPr>
              <w:spacing w:after="0"/>
              <w:rPr>
                <w:sz w:val="12"/>
                <w:szCs w:val="12"/>
                <w:color w:val="auto"/>
              </w:rPr>
            </w:pPr>
          </w:p>
        </w:tc>
        <w:tc>
          <w:tcPr>
            <w:tcW w:w="12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7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11,773.5</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w w:val="76"/>
              </w:rPr>
              <w:t>$</w:t>
            </w:r>
          </w:p>
        </w:tc>
        <w:tc>
          <w:tcPr>
            <w:tcW w:w="100" w:type="dxa"/>
            <w:vAlign w:val="bottom"/>
          </w:tcPr>
          <w:p>
            <w:pPr>
              <w:spacing w:after="0"/>
              <w:rPr>
                <w:sz w:val="12"/>
                <w:szCs w:val="12"/>
                <w:color w:val="auto"/>
              </w:rPr>
            </w:pPr>
          </w:p>
        </w:tc>
        <w:tc>
          <w:tcPr>
            <w:tcW w:w="740" w:type="dxa"/>
            <w:vAlign w:val="bottom"/>
            <w:gridSpan w:val="4"/>
          </w:tcPr>
          <w:p>
            <w:pPr>
              <w:ind w:left="360"/>
              <w:spacing w:after="0" w:line="149" w:lineRule="exact"/>
              <w:rPr>
                <w:sz w:val="20"/>
                <w:szCs w:val="20"/>
                <w:color w:val="auto"/>
              </w:rPr>
            </w:pPr>
            <w:r>
              <w:rPr>
                <w:rFonts w:ascii="Arial" w:cs="Arial" w:eastAsia="Arial" w:hAnsi="Arial"/>
                <w:sz w:val="14"/>
                <w:szCs w:val="14"/>
                <w:b w:val="1"/>
                <w:bCs w:val="1"/>
                <w:color w:val="auto"/>
              </w:rPr>
              <w:t>—  $</w:t>
            </w:r>
          </w:p>
        </w:tc>
        <w:tc>
          <w:tcPr>
            <w:tcW w:w="80" w:type="dxa"/>
            <w:vAlign w:val="bottom"/>
          </w:tcPr>
          <w:p>
            <w:pPr>
              <w:spacing w:after="0"/>
              <w:rPr>
                <w:sz w:val="12"/>
                <w:szCs w:val="12"/>
                <w:color w:val="auto"/>
              </w:rPr>
            </w:pPr>
          </w:p>
        </w:tc>
        <w:tc>
          <w:tcPr>
            <w:tcW w:w="640" w:type="dxa"/>
            <w:vAlign w:val="bottom"/>
            <w:gridSpan w:val="3"/>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11,773.5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Policy loans</w:t>
            </w:r>
          </w:p>
        </w:tc>
        <w:tc>
          <w:tcPr>
            <w:tcW w:w="1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859.7</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963.3</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gridSpan w:val="4"/>
            <w:shd w:val="clear" w:color="auto" w:fill="CCEEFF"/>
          </w:tcPr>
          <w:p>
            <w:pPr>
              <w:jc w:val="right"/>
              <w:ind w:right="24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640" w:type="dxa"/>
            <w:vAlign w:val="bottom"/>
            <w:gridSpan w:val="3"/>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963.3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00" w:type="dxa"/>
            <w:vAlign w:val="bottom"/>
          </w:tcPr>
          <w:p>
            <w:pPr>
              <w:spacing w:after="0" w:line="149" w:lineRule="exact"/>
              <w:rPr>
                <w:sz w:val="20"/>
                <w:szCs w:val="20"/>
                <w:color w:val="auto"/>
              </w:rPr>
            </w:pPr>
            <w:r>
              <w:rPr>
                <w:rFonts w:ascii="Arial" w:cs="Arial" w:eastAsia="Arial" w:hAnsi="Arial"/>
                <w:sz w:val="14"/>
                <w:szCs w:val="14"/>
                <w:color w:val="auto"/>
              </w:rPr>
              <w:t>Other investments</w:t>
            </w:r>
          </w:p>
        </w:tc>
        <w:tc>
          <w:tcPr>
            <w:tcW w:w="1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174.0</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174.7</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4"/>
          </w:tcPr>
          <w:p>
            <w:pPr>
              <w:jc w:val="right"/>
              <w:ind w:right="24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140.9</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33.8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and cash equivalents</w:t>
            </w:r>
          </w:p>
        </w:tc>
        <w:tc>
          <w:tcPr>
            <w:tcW w:w="1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912.8</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912.8</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912.8</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3"/>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00" w:type="dxa"/>
            <w:vAlign w:val="bottom"/>
          </w:tcPr>
          <w:p>
            <w:pPr>
              <w:spacing w:after="0" w:line="149" w:lineRule="exact"/>
              <w:rPr>
                <w:sz w:val="20"/>
                <w:szCs w:val="20"/>
                <w:color w:val="auto"/>
              </w:rPr>
            </w:pPr>
            <w:r>
              <w:rPr>
                <w:rFonts w:ascii="Arial" w:cs="Arial" w:eastAsia="Arial" w:hAnsi="Arial"/>
                <w:sz w:val="14"/>
                <w:szCs w:val="14"/>
                <w:color w:val="auto"/>
              </w:rPr>
              <w:t>Investments-type insurance contracts</w:t>
            </w:r>
          </w:p>
        </w:tc>
        <w:tc>
          <w:tcPr>
            <w:tcW w:w="1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(29,909.6)</w:t>
            </w: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gridSpan w:val="3"/>
          </w:tcPr>
          <w:p>
            <w:pPr>
              <w:jc w:val="right"/>
              <w:ind w:right="40"/>
              <w:spacing w:after="0" w:line="149" w:lineRule="exact"/>
              <w:rPr>
                <w:sz w:val="20"/>
                <w:szCs w:val="20"/>
                <w:color w:val="auto"/>
              </w:rPr>
            </w:pPr>
            <w:r>
              <w:rPr>
                <w:rFonts w:ascii="Arial" w:cs="Arial" w:eastAsia="Arial" w:hAnsi="Arial"/>
                <w:sz w:val="14"/>
                <w:szCs w:val="14"/>
                <w:b w:val="1"/>
                <w:bCs w:val="1"/>
                <w:color w:val="auto"/>
              </w:rPr>
              <w:t>(30,093.1)</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4"/>
          </w:tcPr>
          <w:p>
            <w:pPr>
              <w:jc w:val="right"/>
              <w:ind w:right="24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58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w w:val="96"/>
              </w:rPr>
              <w:t>(5,902.2)</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(24,190.9)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Short-term debt</w:t>
            </w:r>
          </w:p>
        </w:tc>
        <w:tc>
          <w:tcPr>
            <w:tcW w:w="1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(150.6)</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gridSpan w:val="3"/>
            <w:shd w:val="clear" w:color="auto" w:fill="CCEEFF"/>
          </w:tcPr>
          <w:p>
            <w:pPr>
              <w:jc w:val="right"/>
              <w:ind w:right="40"/>
              <w:spacing w:after="0" w:line="149" w:lineRule="exact"/>
              <w:rPr>
                <w:sz w:val="20"/>
                <w:szCs w:val="20"/>
                <w:color w:val="auto"/>
              </w:rPr>
            </w:pPr>
            <w:r>
              <w:rPr>
                <w:rFonts w:ascii="Arial" w:cs="Arial" w:eastAsia="Arial" w:hAnsi="Arial"/>
                <w:sz w:val="14"/>
                <w:szCs w:val="14"/>
                <w:b w:val="1"/>
                <w:bCs w:val="1"/>
                <w:color w:val="auto"/>
              </w:rPr>
              <w:t>(150.6)</w:t>
            </w: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gridSpan w:val="4"/>
            <w:shd w:val="clear" w:color="auto" w:fill="CCEEFF"/>
          </w:tcPr>
          <w:p>
            <w:pPr>
              <w:jc w:val="right"/>
              <w:ind w:right="24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(150.6)</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00" w:type="dxa"/>
            <w:vAlign w:val="bottom"/>
          </w:tcPr>
          <w:p>
            <w:pPr>
              <w:spacing w:after="0" w:line="149" w:lineRule="exact"/>
              <w:rPr>
                <w:sz w:val="20"/>
                <w:szCs w:val="20"/>
                <w:color w:val="auto"/>
              </w:rPr>
            </w:pPr>
            <w:r>
              <w:rPr>
                <w:rFonts w:ascii="Arial" w:cs="Arial" w:eastAsia="Arial" w:hAnsi="Arial"/>
                <w:sz w:val="14"/>
                <w:szCs w:val="14"/>
                <w:color w:val="auto"/>
              </w:rPr>
              <w:t>Long-term debt</w:t>
            </w:r>
          </w:p>
        </w:tc>
        <w:tc>
          <w:tcPr>
            <w:tcW w:w="1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(2,601.4)</w:t>
            </w: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gridSpan w:val="3"/>
          </w:tcPr>
          <w:p>
            <w:pPr>
              <w:jc w:val="right"/>
              <w:ind w:right="40"/>
              <w:spacing w:after="0" w:line="149" w:lineRule="exact"/>
              <w:rPr>
                <w:sz w:val="20"/>
                <w:szCs w:val="20"/>
                <w:color w:val="auto"/>
              </w:rPr>
            </w:pPr>
            <w:r>
              <w:rPr>
                <w:rFonts w:ascii="Arial" w:cs="Arial" w:eastAsia="Arial" w:hAnsi="Arial"/>
                <w:sz w:val="14"/>
                <w:szCs w:val="14"/>
                <w:b w:val="1"/>
                <w:bCs w:val="1"/>
                <w:color w:val="auto"/>
              </w:rPr>
              <w:t>(2,692.1)</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4"/>
          </w:tcPr>
          <w:p>
            <w:pPr>
              <w:jc w:val="right"/>
              <w:ind w:right="24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58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w w:val="96"/>
              </w:rPr>
              <w:t>(2,639.0)</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(53.1)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Separate account liabilities</w:t>
            </w:r>
          </w:p>
        </w:tc>
        <w:tc>
          <w:tcPr>
            <w:tcW w:w="1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(119,500.7)</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gridSpan w:val="3"/>
            <w:shd w:val="clear" w:color="auto" w:fill="CCEEFF"/>
          </w:tcPr>
          <w:p>
            <w:pPr>
              <w:jc w:val="right"/>
              <w:ind w:right="40"/>
              <w:spacing w:after="0" w:line="149" w:lineRule="exact"/>
              <w:rPr>
                <w:sz w:val="20"/>
                <w:szCs w:val="20"/>
                <w:color w:val="auto"/>
              </w:rPr>
            </w:pPr>
            <w:r>
              <w:rPr>
                <w:rFonts w:ascii="Arial" w:cs="Arial" w:eastAsia="Arial" w:hAnsi="Arial"/>
                <w:sz w:val="14"/>
                <w:szCs w:val="14"/>
                <w:b w:val="1"/>
                <w:bCs w:val="1"/>
                <w:color w:val="auto"/>
              </w:rPr>
              <w:t>(118,059.7)</w:t>
            </w: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gridSpan w:val="4"/>
            <w:shd w:val="clear" w:color="auto" w:fill="CCEEFF"/>
          </w:tcPr>
          <w:p>
            <w:pPr>
              <w:jc w:val="right"/>
              <w:ind w:right="24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640" w:type="dxa"/>
            <w:vAlign w:val="bottom"/>
            <w:gridSpan w:val="3"/>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w w:val="92"/>
              </w:rPr>
              <w:t>(118,059.7)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00" w:type="dxa"/>
            <w:vAlign w:val="bottom"/>
          </w:tcPr>
          <w:p>
            <w:pPr>
              <w:spacing w:after="0" w:line="149" w:lineRule="exact"/>
              <w:rPr>
                <w:sz w:val="20"/>
                <w:szCs w:val="20"/>
                <w:color w:val="auto"/>
              </w:rPr>
            </w:pPr>
            <w:r>
              <w:rPr>
                <w:rFonts w:ascii="Arial" w:cs="Arial" w:eastAsia="Arial" w:hAnsi="Arial"/>
                <w:sz w:val="14"/>
                <w:szCs w:val="14"/>
                <w:color w:val="auto"/>
              </w:rPr>
              <w:t>Bank deposits</w:t>
            </w:r>
          </w:p>
        </w:tc>
        <w:tc>
          <w:tcPr>
            <w:tcW w:w="1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(1,949.0)</w:t>
            </w: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gridSpan w:val="3"/>
          </w:tcPr>
          <w:p>
            <w:pPr>
              <w:jc w:val="right"/>
              <w:ind w:right="40"/>
              <w:spacing w:after="0" w:line="149" w:lineRule="exact"/>
              <w:rPr>
                <w:sz w:val="20"/>
                <w:szCs w:val="20"/>
                <w:color w:val="auto"/>
              </w:rPr>
            </w:pPr>
            <w:r>
              <w:rPr>
                <w:rFonts w:ascii="Arial" w:cs="Arial" w:eastAsia="Arial" w:hAnsi="Arial"/>
                <w:sz w:val="14"/>
                <w:szCs w:val="14"/>
                <w:b w:val="1"/>
                <w:bCs w:val="1"/>
                <w:color w:val="auto"/>
              </w:rPr>
              <w:t>(1,951.1)</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w w:val="92"/>
              </w:rPr>
              <w:t>(1,252.2)</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(698.9)</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gridSpan w:val="2"/>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collateral payable</w:t>
            </w:r>
          </w:p>
        </w:tc>
        <w:tc>
          <w:tcPr>
            <w:tcW w:w="1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(32.5)</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gridSpan w:val="3"/>
            <w:shd w:val="clear" w:color="auto" w:fill="CCEEFF"/>
          </w:tcPr>
          <w:p>
            <w:pPr>
              <w:jc w:val="right"/>
              <w:ind w:right="40"/>
              <w:spacing w:after="0" w:line="149" w:lineRule="exact"/>
              <w:rPr>
                <w:sz w:val="20"/>
                <w:szCs w:val="20"/>
                <w:color w:val="auto"/>
              </w:rPr>
            </w:pPr>
            <w:r>
              <w:rPr>
                <w:rFonts w:ascii="Arial" w:cs="Arial" w:eastAsia="Arial" w:hAnsi="Arial"/>
                <w:sz w:val="14"/>
                <w:szCs w:val="14"/>
                <w:b w:val="1"/>
                <w:bCs w:val="1"/>
                <w:color w:val="auto"/>
              </w:rPr>
              <w:t>(32.5)</w:t>
            </w: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(32.5)</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3"/>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797"/>
        </w:trPr>
        <w:tc>
          <w:tcPr>
            <w:tcW w:w="20" w:type="dxa"/>
            <w:vAlign w:val="bottom"/>
          </w:tcPr>
          <w:p>
            <w:pPr>
              <w:spacing w:after="0"/>
              <w:rPr>
                <w:sz w:val="24"/>
                <w:szCs w:val="24"/>
                <w:color w:val="auto"/>
              </w:rPr>
            </w:pPr>
          </w:p>
        </w:tc>
        <w:tc>
          <w:tcPr>
            <w:tcW w:w="31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760" w:type="dxa"/>
            <w:vAlign w:val="bottom"/>
            <w:tcBorders>
              <w:bottom w:val="single" w:sz="8" w:color="auto"/>
            </w:tcBorders>
            <w:gridSpan w:val="10"/>
          </w:tcPr>
          <w:p>
            <w:pPr>
              <w:jc w:val="center"/>
              <w:ind w:left="152"/>
              <w:spacing w:after="0"/>
              <w:rPr>
                <w:sz w:val="20"/>
                <w:szCs w:val="20"/>
                <w:color w:val="auto"/>
              </w:rPr>
            </w:pPr>
            <w:r>
              <w:rPr>
                <w:rFonts w:ascii="Arial" w:cs="Arial" w:eastAsia="Arial" w:hAnsi="Arial"/>
                <w:sz w:val="14"/>
                <w:szCs w:val="14"/>
                <w:b w:val="1"/>
                <w:bCs w:val="1"/>
                <w:color w:val="auto"/>
                <w:w w:val="87"/>
              </w:rPr>
              <w:t>December 31, 2012</w:t>
            </w:r>
          </w:p>
        </w:tc>
        <w:tc>
          <w:tcPr>
            <w:tcW w:w="8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31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00" w:type="dxa"/>
            <w:vAlign w:val="bottom"/>
            <w:gridSpan w:val="2"/>
            <w:vMerge w:val="restart"/>
          </w:tcPr>
          <w:p>
            <w:pPr>
              <w:jc w:val="right"/>
              <w:ind w:right="80"/>
              <w:spacing w:after="0"/>
              <w:rPr>
                <w:sz w:val="20"/>
                <w:szCs w:val="20"/>
                <w:color w:val="auto"/>
              </w:rPr>
            </w:pPr>
            <w:r>
              <w:rPr>
                <w:rFonts w:ascii="Arial" w:cs="Arial" w:eastAsia="Arial" w:hAnsi="Arial"/>
                <w:sz w:val="14"/>
                <w:szCs w:val="14"/>
                <w:b w:val="1"/>
                <w:bCs w:val="1"/>
                <w:color w:val="auto"/>
                <w:w w:val="89"/>
              </w:rPr>
              <w:t>Carrying amount</w:t>
            </w: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6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w w:val="97"/>
              </w:rPr>
              <w:t>Fair value</w:t>
            </w:r>
          </w:p>
        </w:tc>
        <w:tc>
          <w:tcPr>
            <w:tcW w:w="60" w:type="dxa"/>
            <w:vAlign w:val="bottom"/>
            <w:vMerge w:val="restart"/>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80" w:type="dxa"/>
            <w:vAlign w:val="bottom"/>
            <w:gridSpan w:val="13"/>
          </w:tcPr>
          <w:p>
            <w:pPr>
              <w:ind w:left="360"/>
              <w:spacing w:after="0"/>
              <w:rPr>
                <w:sz w:val="20"/>
                <w:szCs w:val="20"/>
                <w:color w:val="auto"/>
              </w:rPr>
            </w:pPr>
            <w:r>
              <w:rPr>
                <w:rFonts w:ascii="Arial" w:cs="Arial" w:eastAsia="Arial" w:hAnsi="Arial"/>
                <w:sz w:val="14"/>
                <w:szCs w:val="14"/>
                <w:b w:val="1"/>
                <w:bCs w:val="1"/>
                <w:color w:val="auto"/>
              </w:rPr>
              <w:t>Fair value hierarchy level</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1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100" w:type="dxa"/>
            <w:vAlign w:val="bottom"/>
            <w:tcBorders>
              <w:bottom w:val="single" w:sz="8" w:color="auto"/>
            </w:tcBorders>
            <w:gridSpan w:val="2"/>
            <w:vMerge w:val="continue"/>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60" w:type="dxa"/>
            <w:vAlign w:val="bottom"/>
            <w:tcBorders>
              <w:bottom w:val="single" w:sz="8" w:color="auto"/>
            </w:tcBorders>
            <w:gridSpan w:val="2"/>
            <w:vMerge w:val="continue"/>
          </w:tcPr>
          <w:p>
            <w:pPr>
              <w:spacing w:after="0"/>
              <w:rPr>
                <w:sz w:val="12"/>
                <w:szCs w:val="12"/>
                <w:color w:val="auto"/>
              </w:rPr>
            </w:pPr>
          </w:p>
        </w:tc>
        <w:tc>
          <w:tcPr>
            <w:tcW w:w="6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gridSpan w:val="2"/>
          </w:tcPr>
          <w:p>
            <w:pPr>
              <w:jc w:val="right"/>
              <w:ind w:right="120"/>
              <w:spacing w:after="0" w:line="142" w:lineRule="exact"/>
              <w:rPr>
                <w:sz w:val="20"/>
                <w:szCs w:val="20"/>
                <w:color w:val="auto"/>
              </w:rPr>
            </w:pPr>
            <w:r>
              <w:rPr>
                <w:rFonts w:ascii="Arial" w:cs="Arial" w:eastAsia="Arial" w:hAnsi="Arial"/>
                <w:sz w:val="14"/>
                <w:szCs w:val="14"/>
                <w:b w:val="1"/>
                <w:bCs w:val="1"/>
                <w:color w:val="auto"/>
                <w:w w:val="88"/>
              </w:rPr>
              <w:t>Level 1</w:t>
            </w:r>
          </w:p>
        </w:tc>
        <w:tc>
          <w:tcPr>
            <w:tcW w:w="180" w:type="dxa"/>
            <w:vAlign w:val="bottom"/>
            <w:tcBorders>
              <w:top w:val="single" w:sz="8" w:color="auto"/>
            </w:tcBorders>
            <w:gridSpan w:val="2"/>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gridSpan w:val="2"/>
          </w:tcPr>
          <w:p>
            <w:pPr>
              <w:jc w:val="right"/>
              <w:ind w:right="140"/>
              <w:spacing w:after="0" w:line="142" w:lineRule="exact"/>
              <w:rPr>
                <w:sz w:val="20"/>
                <w:szCs w:val="20"/>
                <w:color w:val="auto"/>
              </w:rPr>
            </w:pPr>
            <w:r>
              <w:rPr>
                <w:rFonts w:ascii="Arial" w:cs="Arial" w:eastAsia="Arial" w:hAnsi="Arial"/>
                <w:sz w:val="14"/>
                <w:szCs w:val="14"/>
                <w:b w:val="1"/>
                <w:bCs w:val="1"/>
                <w:color w:val="auto"/>
                <w:w w:val="88"/>
              </w:rPr>
              <w:t>Level 2</w:t>
            </w:r>
          </w:p>
        </w:tc>
        <w:tc>
          <w:tcPr>
            <w:tcW w:w="6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w w:val="96"/>
              </w:rPr>
              <w:t>Level 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1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760" w:type="dxa"/>
            <w:vAlign w:val="bottom"/>
            <w:gridSpan w:val="10"/>
          </w:tcPr>
          <w:p>
            <w:pPr>
              <w:jc w:val="center"/>
              <w:ind w:left="172"/>
              <w:spacing w:after="0" w:line="142" w:lineRule="exact"/>
              <w:rPr>
                <w:sz w:val="20"/>
                <w:szCs w:val="20"/>
                <w:color w:val="auto"/>
              </w:rPr>
            </w:pPr>
            <w:r>
              <w:rPr>
                <w:rFonts w:ascii="Arial" w:cs="Arial" w:eastAsia="Arial" w:hAnsi="Arial"/>
                <w:sz w:val="14"/>
                <w:szCs w:val="14"/>
                <w:b w:val="1"/>
                <w:bCs w:val="1"/>
                <w:i w:val="1"/>
                <w:iCs w:val="1"/>
                <w:color w:val="auto"/>
                <w:w w:val="86"/>
              </w:rPr>
              <w:t>(in millions)</w:t>
            </w: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0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 (liabilities)</w:t>
            </w:r>
          </w:p>
        </w:tc>
        <w:tc>
          <w:tcPr>
            <w:tcW w:w="1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00" w:type="dxa"/>
            <w:vAlign w:val="bottom"/>
          </w:tcPr>
          <w:p>
            <w:pPr>
              <w:spacing w:after="0" w:line="149" w:lineRule="exact"/>
              <w:rPr>
                <w:sz w:val="20"/>
                <w:szCs w:val="20"/>
                <w:color w:val="auto"/>
              </w:rPr>
            </w:pPr>
            <w:r>
              <w:rPr>
                <w:rFonts w:ascii="Arial" w:cs="Arial" w:eastAsia="Arial" w:hAnsi="Arial"/>
                <w:sz w:val="14"/>
                <w:szCs w:val="14"/>
                <w:color w:val="auto"/>
              </w:rPr>
              <w:t>Mortgage loans</w:t>
            </w:r>
          </w:p>
        </w:tc>
        <w:tc>
          <w:tcPr>
            <w:tcW w:w="1300" w:type="dxa"/>
            <w:vAlign w:val="bottom"/>
            <w:gridSpan w:val="3"/>
          </w:tcPr>
          <w:p>
            <w:pPr>
              <w:jc w:val="right"/>
              <w:spacing w:after="0" w:line="149" w:lineRule="exact"/>
              <w:rPr>
                <w:sz w:val="20"/>
                <w:szCs w:val="20"/>
                <w:color w:val="auto"/>
              </w:rPr>
            </w:pPr>
            <w:r>
              <w:rPr>
                <w:rFonts w:ascii="Arial" w:cs="Arial" w:eastAsia="Arial" w:hAnsi="Arial"/>
                <w:sz w:val="14"/>
                <w:szCs w:val="14"/>
                <w:color w:val="auto"/>
              </w:rPr>
              <w:t>$</w:t>
            </w:r>
          </w:p>
        </w:tc>
        <w:tc>
          <w:tcPr>
            <w:tcW w:w="110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11,519.7</w:t>
            </w: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gridSpan w:val="3"/>
          </w:tcPr>
          <w:p>
            <w:pPr>
              <w:jc w:val="right"/>
              <w:ind w:right="20"/>
              <w:spacing w:after="0" w:line="149" w:lineRule="exact"/>
              <w:rPr>
                <w:sz w:val="20"/>
                <w:szCs w:val="20"/>
                <w:color w:val="auto"/>
              </w:rPr>
            </w:pPr>
            <w:r>
              <w:rPr>
                <w:rFonts w:ascii="Arial" w:cs="Arial" w:eastAsia="Arial" w:hAnsi="Arial"/>
                <w:sz w:val="14"/>
                <w:szCs w:val="14"/>
                <w:color w:val="auto"/>
              </w:rPr>
              <w:t>$   12,163.7</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40" w:type="dxa"/>
            <w:vAlign w:val="bottom"/>
            <w:gridSpan w:val="4"/>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4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200" w:type="dxa"/>
            <w:vAlign w:val="bottom"/>
            <w:gridSpan w:val="3"/>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12,163.7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Policy loans</w:t>
            </w:r>
          </w:p>
        </w:tc>
        <w:tc>
          <w:tcPr>
            <w:tcW w:w="1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864.9</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gridSpan w:val="3"/>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1,056.8</w:t>
            </w: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gridSpan w:val="4"/>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640" w:type="dxa"/>
            <w:vAlign w:val="bottom"/>
            <w:gridSpan w:val="3"/>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1,056.8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00" w:type="dxa"/>
            <w:vAlign w:val="bottom"/>
          </w:tcPr>
          <w:p>
            <w:pPr>
              <w:spacing w:after="0" w:line="149" w:lineRule="exact"/>
              <w:rPr>
                <w:sz w:val="20"/>
                <w:szCs w:val="20"/>
                <w:color w:val="auto"/>
              </w:rPr>
            </w:pPr>
            <w:r>
              <w:rPr>
                <w:rFonts w:ascii="Arial" w:cs="Arial" w:eastAsia="Arial" w:hAnsi="Arial"/>
                <w:sz w:val="14"/>
                <w:szCs w:val="14"/>
                <w:color w:val="auto"/>
              </w:rPr>
              <w:t>Other investments</w:t>
            </w:r>
          </w:p>
        </w:tc>
        <w:tc>
          <w:tcPr>
            <w:tcW w:w="1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280.1</w:t>
            </w: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gridSpan w:val="3"/>
          </w:tcPr>
          <w:p>
            <w:pPr>
              <w:jc w:val="right"/>
              <w:ind w:right="20"/>
              <w:spacing w:after="0" w:line="149" w:lineRule="exact"/>
              <w:rPr>
                <w:sz w:val="20"/>
                <w:szCs w:val="20"/>
                <w:color w:val="auto"/>
              </w:rPr>
            </w:pPr>
            <w:r>
              <w:rPr>
                <w:rFonts w:ascii="Arial" w:cs="Arial" w:eastAsia="Arial" w:hAnsi="Arial"/>
                <w:sz w:val="14"/>
                <w:szCs w:val="14"/>
                <w:color w:val="auto"/>
              </w:rPr>
              <w:t>280.5</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4"/>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5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195.3</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85.2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and cash equivalents</w:t>
            </w:r>
          </w:p>
        </w:tc>
        <w:tc>
          <w:tcPr>
            <w:tcW w:w="1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2,404.6</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gridSpan w:val="3"/>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2,404.6</w:t>
            </w: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2,364.6</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40.0</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00" w:type="dxa"/>
            <w:vAlign w:val="bottom"/>
          </w:tcPr>
          <w:p>
            <w:pPr>
              <w:spacing w:after="0" w:line="149" w:lineRule="exact"/>
              <w:rPr>
                <w:sz w:val="20"/>
                <w:szCs w:val="20"/>
                <w:color w:val="auto"/>
              </w:rPr>
            </w:pPr>
            <w:r>
              <w:rPr>
                <w:rFonts w:ascii="Arial" w:cs="Arial" w:eastAsia="Arial" w:hAnsi="Arial"/>
                <w:sz w:val="14"/>
                <w:szCs w:val="14"/>
                <w:color w:val="auto"/>
              </w:rPr>
              <w:t>Investments-type insurance contracts</w:t>
            </w:r>
          </w:p>
        </w:tc>
        <w:tc>
          <w:tcPr>
            <w:tcW w:w="1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20" w:type="dxa"/>
            <w:vAlign w:val="bottom"/>
            <w:gridSpan w:val="4"/>
          </w:tcPr>
          <w:p>
            <w:pPr>
              <w:jc w:val="right"/>
              <w:ind w:right="80"/>
              <w:spacing w:after="0" w:line="149" w:lineRule="exact"/>
              <w:rPr>
                <w:sz w:val="20"/>
                <w:szCs w:val="20"/>
                <w:color w:val="auto"/>
              </w:rPr>
            </w:pPr>
            <w:r>
              <w:rPr>
                <w:rFonts w:ascii="Arial" w:cs="Arial" w:eastAsia="Arial" w:hAnsi="Arial"/>
                <w:sz w:val="14"/>
                <w:szCs w:val="14"/>
                <w:color w:val="auto"/>
              </w:rPr>
              <w:t>(31,953.1)</w:t>
            </w:r>
          </w:p>
        </w:tc>
        <w:tc>
          <w:tcPr>
            <w:tcW w:w="860" w:type="dxa"/>
            <w:vAlign w:val="bottom"/>
            <w:gridSpan w:val="4"/>
          </w:tcPr>
          <w:p>
            <w:pPr>
              <w:jc w:val="right"/>
              <w:ind w:right="40"/>
              <w:spacing w:after="0" w:line="149" w:lineRule="exact"/>
              <w:rPr>
                <w:sz w:val="20"/>
                <w:szCs w:val="20"/>
                <w:color w:val="auto"/>
              </w:rPr>
            </w:pPr>
            <w:r>
              <w:rPr>
                <w:rFonts w:ascii="Arial" w:cs="Arial" w:eastAsia="Arial" w:hAnsi="Arial"/>
                <w:sz w:val="14"/>
                <w:szCs w:val="14"/>
                <w:color w:val="auto"/>
              </w:rPr>
              <w:t>(32,531.6)</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4"/>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40" w:type="dxa"/>
            <w:vAlign w:val="bottom"/>
            <w:gridSpan w:val="3"/>
          </w:tcPr>
          <w:p>
            <w:pPr>
              <w:jc w:val="right"/>
              <w:ind w:right="20"/>
              <w:spacing w:after="0" w:line="149" w:lineRule="exact"/>
              <w:rPr>
                <w:sz w:val="20"/>
                <w:szCs w:val="20"/>
                <w:color w:val="auto"/>
              </w:rPr>
            </w:pPr>
            <w:r>
              <w:rPr>
                <w:rFonts w:ascii="Arial" w:cs="Arial" w:eastAsia="Arial" w:hAnsi="Arial"/>
                <w:sz w:val="14"/>
                <w:szCs w:val="14"/>
                <w:color w:val="auto"/>
              </w:rPr>
              <w:t>(7,367.4)</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(25,164.2)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Short-term debt</w:t>
            </w:r>
          </w:p>
        </w:tc>
        <w:tc>
          <w:tcPr>
            <w:tcW w:w="1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20" w:type="dxa"/>
            <w:vAlign w:val="bottom"/>
            <w:gridSpan w:val="4"/>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(40.8)</w:t>
            </w:r>
          </w:p>
        </w:tc>
        <w:tc>
          <w:tcPr>
            <w:tcW w:w="860" w:type="dxa"/>
            <w:vAlign w:val="bottom"/>
            <w:gridSpan w:val="4"/>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(40.8)</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gridSpan w:val="4"/>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640" w:type="dxa"/>
            <w:vAlign w:val="bottom"/>
            <w:gridSpan w:val="3"/>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(40.8)</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00" w:type="dxa"/>
            <w:vAlign w:val="bottom"/>
          </w:tcPr>
          <w:p>
            <w:pPr>
              <w:spacing w:after="0" w:line="149" w:lineRule="exact"/>
              <w:rPr>
                <w:sz w:val="20"/>
                <w:szCs w:val="20"/>
                <w:color w:val="auto"/>
              </w:rPr>
            </w:pPr>
            <w:r>
              <w:rPr>
                <w:rFonts w:ascii="Arial" w:cs="Arial" w:eastAsia="Arial" w:hAnsi="Arial"/>
                <w:sz w:val="14"/>
                <w:szCs w:val="14"/>
                <w:color w:val="auto"/>
              </w:rPr>
              <w:t>Long-term debt</w:t>
            </w:r>
          </w:p>
        </w:tc>
        <w:tc>
          <w:tcPr>
            <w:tcW w:w="1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20" w:type="dxa"/>
            <w:vAlign w:val="bottom"/>
            <w:gridSpan w:val="4"/>
          </w:tcPr>
          <w:p>
            <w:pPr>
              <w:jc w:val="right"/>
              <w:ind w:right="80"/>
              <w:spacing w:after="0" w:line="149" w:lineRule="exact"/>
              <w:rPr>
                <w:sz w:val="20"/>
                <w:szCs w:val="20"/>
                <w:color w:val="auto"/>
              </w:rPr>
            </w:pPr>
            <w:r>
              <w:rPr>
                <w:rFonts w:ascii="Arial" w:cs="Arial" w:eastAsia="Arial" w:hAnsi="Arial"/>
                <w:sz w:val="14"/>
                <w:szCs w:val="14"/>
                <w:color w:val="auto"/>
              </w:rPr>
              <w:t>(2,671.3)</w:t>
            </w:r>
          </w:p>
        </w:tc>
        <w:tc>
          <w:tcPr>
            <w:tcW w:w="860" w:type="dxa"/>
            <w:vAlign w:val="bottom"/>
            <w:gridSpan w:val="4"/>
          </w:tcPr>
          <w:p>
            <w:pPr>
              <w:jc w:val="right"/>
              <w:ind w:right="40"/>
              <w:spacing w:after="0" w:line="149" w:lineRule="exact"/>
              <w:rPr>
                <w:sz w:val="20"/>
                <w:szCs w:val="20"/>
                <w:color w:val="auto"/>
              </w:rPr>
            </w:pPr>
            <w:r>
              <w:rPr>
                <w:rFonts w:ascii="Arial" w:cs="Arial" w:eastAsia="Arial" w:hAnsi="Arial"/>
                <w:sz w:val="14"/>
                <w:szCs w:val="14"/>
                <w:color w:val="auto"/>
              </w:rPr>
              <w:t>(2,951.4)</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4"/>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40" w:type="dxa"/>
            <w:vAlign w:val="bottom"/>
            <w:gridSpan w:val="3"/>
          </w:tcPr>
          <w:p>
            <w:pPr>
              <w:jc w:val="right"/>
              <w:ind w:right="20"/>
              <w:spacing w:after="0" w:line="149" w:lineRule="exact"/>
              <w:rPr>
                <w:sz w:val="20"/>
                <w:szCs w:val="20"/>
                <w:color w:val="auto"/>
              </w:rPr>
            </w:pPr>
            <w:r>
              <w:rPr>
                <w:rFonts w:ascii="Arial" w:cs="Arial" w:eastAsia="Arial" w:hAnsi="Arial"/>
                <w:sz w:val="14"/>
                <w:szCs w:val="14"/>
                <w:color w:val="auto"/>
              </w:rPr>
              <w:t>(2,921.7)</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(29.7)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Separate account liabilities</w:t>
            </w:r>
          </w:p>
        </w:tc>
        <w:tc>
          <w:tcPr>
            <w:tcW w:w="1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20" w:type="dxa"/>
            <w:vAlign w:val="bottom"/>
            <w:gridSpan w:val="4"/>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(73,096.0)</w:t>
            </w:r>
          </w:p>
        </w:tc>
        <w:tc>
          <w:tcPr>
            <w:tcW w:w="860" w:type="dxa"/>
            <w:vAlign w:val="bottom"/>
            <w:gridSpan w:val="4"/>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(72,173.8)</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gridSpan w:val="4"/>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640" w:type="dxa"/>
            <w:vAlign w:val="bottom"/>
            <w:gridSpan w:val="3"/>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(72,173.8)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00" w:type="dxa"/>
            <w:vAlign w:val="bottom"/>
          </w:tcPr>
          <w:p>
            <w:pPr>
              <w:spacing w:after="0" w:line="149" w:lineRule="exact"/>
              <w:rPr>
                <w:sz w:val="20"/>
                <w:szCs w:val="20"/>
                <w:color w:val="auto"/>
              </w:rPr>
            </w:pPr>
            <w:r>
              <w:rPr>
                <w:rFonts w:ascii="Arial" w:cs="Arial" w:eastAsia="Arial" w:hAnsi="Arial"/>
                <w:sz w:val="14"/>
                <w:szCs w:val="14"/>
                <w:color w:val="auto"/>
              </w:rPr>
              <w:t>Bank deposits</w:t>
            </w:r>
          </w:p>
        </w:tc>
        <w:tc>
          <w:tcPr>
            <w:tcW w:w="1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20" w:type="dxa"/>
            <w:vAlign w:val="bottom"/>
            <w:gridSpan w:val="4"/>
          </w:tcPr>
          <w:p>
            <w:pPr>
              <w:jc w:val="right"/>
              <w:ind w:right="80"/>
              <w:spacing w:after="0" w:line="149" w:lineRule="exact"/>
              <w:rPr>
                <w:sz w:val="20"/>
                <w:szCs w:val="20"/>
                <w:color w:val="auto"/>
              </w:rPr>
            </w:pPr>
            <w:r>
              <w:rPr>
                <w:rFonts w:ascii="Arial" w:cs="Arial" w:eastAsia="Arial" w:hAnsi="Arial"/>
                <w:sz w:val="14"/>
                <w:szCs w:val="14"/>
                <w:color w:val="auto"/>
              </w:rPr>
              <w:t>(2,174.7)</w:t>
            </w:r>
          </w:p>
        </w:tc>
        <w:tc>
          <w:tcPr>
            <w:tcW w:w="860" w:type="dxa"/>
            <w:vAlign w:val="bottom"/>
            <w:gridSpan w:val="4"/>
          </w:tcPr>
          <w:p>
            <w:pPr>
              <w:jc w:val="right"/>
              <w:ind w:right="40"/>
              <w:spacing w:after="0" w:line="149" w:lineRule="exact"/>
              <w:rPr>
                <w:sz w:val="20"/>
                <w:szCs w:val="20"/>
                <w:color w:val="auto"/>
              </w:rPr>
            </w:pPr>
            <w:r>
              <w:rPr>
                <w:rFonts w:ascii="Arial" w:cs="Arial" w:eastAsia="Arial" w:hAnsi="Arial"/>
                <w:sz w:val="14"/>
                <w:szCs w:val="14"/>
                <w:color w:val="auto"/>
              </w:rPr>
              <w:t>(2,177.7)</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(1,404.4)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gridSpan w:val="3"/>
          </w:tcPr>
          <w:p>
            <w:pPr>
              <w:jc w:val="right"/>
              <w:ind w:right="20"/>
              <w:spacing w:after="0" w:line="149" w:lineRule="exact"/>
              <w:rPr>
                <w:sz w:val="20"/>
                <w:szCs w:val="20"/>
                <w:color w:val="auto"/>
              </w:rPr>
            </w:pPr>
            <w:r>
              <w:rPr>
                <w:rFonts w:ascii="Arial" w:cs="Arial" w:eastAsia="Arial" w:hAnsi="Arial"/>
                <w:sz w:val="14"/>
                <w:szCs w:val="14"/>
                <w:color w:val="auto"/>
              </w:rPr>
              <w:t>(773.3)</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collateral payable</w:t>
            </w:r>
          </w:p>
        </w:tc>
        <w:tc>
          <w:tcPr>
            <w:tcW w:w="1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20" w:type="dxa"/>
            <w:vAlign w:val="bottom"/>
            <w:gridSpan w:val="4"/>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(205.6)</w:t>
            </w:r>
          </w:p>
        </w:tc>
        <w:tc>
          <w:tcPr>
            <w:tcW w:w="860" w:type="dxa"/>
            <w:vAlign w:val="bottom"/>
            <w:gridSpan w:val="4"/>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(205.6)</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gridSpan w:val="3"/>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(205.6)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3"/>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Mortgage Loans</w:t>
      </w:r>
    </w:p>
    <w:p>
      <w:pPr>
        <w:spacing w:after="0" w:line="225" w:lineRule="exact"/>
        <w:rPr>
          <w:sz w:val="20"/>
          <w:szCs w:val="20"/>
          <w:color w:val="auto"/>
        </w:rPr>
      </w:pPr>
    </w:p>
    <w:p>
      <w:pPr>
        <w:jc w:val="both"/>
        <w:ind w:firstLine="402"/>
        <w:spacing w:after="0" w:line="256" w:lineRule="auto"/>
        <w:rPr>
          <w:sz w:val="20"/>
          <w:szCs w:val="20"/>
          <w:color w:val="auto"/>
        </w:rPr>
      </w:pPr>
      <w:r>
        <w:rPr>
          <w:rFonts w:ascii="Arial" w:cs="Arial" w:eastAsia="Arial" w:hAnsi="Arial"/>
          <w:sz w:val="18"/>
          <w:szCs w:val="18"/>
          <w:color w:val="auto"/>
        </w:rPr>
        <w:t>Fair values of commercial and residential mortgage loans are primarily determined by discounting the expected cash flows at current treasury rates plus an applicable risk spread, which reflects credit quality and maturity of the loans. The risk spread is based on market clearing levels for loans with comparable credit quality, maturities and risk. The fair value of mortgage loans may also be based on the fair value of the underlying real estate collateral less cost to sell, which is estimated using appraised values. These are reflected in Level 3.</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Policy Loans</w:t>
      </w:r>
    </w:p>
    <w:p>
      <w:pPr>
        <w:spacing w:after="0" w:line="225" w:lineRule="exact"/>
        <w:rPr>
          <w:sz w:val="20"/>
          <w:szCs w:val="20"/>
          <w:color w:val="auto"/>
        </w:rPr>
      </w:pPr>
    </w:p>
    <w:p>
      <w:pPr>
        <w:jc w:val="both"/>
        <w:ind w:firstLine="439"/>
        <w:spacing w:after="0" w:line="268" w:lineRule="auto"/>
        <w:rPr>
          <w:sz w:val="20"/>
          <w:szCs w:val="20"/>
          <w:color w:val="auto"/>
        </w:rPr>
      </w:pPr>
      <w:r>
        <w:rPr>
          <w:rFonts w:ascii="Arial" w:cs="Arial" w:eastAsia="Arial" w:hAnsi="Arial"/>
          <w:sz w:val="18"/>
          <w:szCs w:val="18"/>
          <w:color w:val="auto"/>
        </w:rPr>
        <w:t>Fair values of policy loans are estimated by discounting expected cash flows using a risk-free rate based on the Treasury curve. The expected cash flows reflect an estimate of timing of the repayment of the loans. These are reflected in Level 3.</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Investments</w:t>
      </w:r>
    </w:p>
    <w:p>
      <w:pPr>
        <w:spacing w:after="0" w:line="225" w:lineRule="exact"/>
        <w:rPr>
          <w:sz w:val="20"/>
          <w:szCs w:val="20"/>
          <w:color w:val="auto"/>
        </w:rPr>
      </w:pPr>
    </w:p>
    <w:p>
      <w:pPr>
        <w:jc w:val="both"/>
        <w:ind w:firstLine="384"/>
        <w:spacing w:after="0" w:line="294" w:lineRule="auto"/>
        <w:rPr>
          <w:sz w:val="20"/>
          <w:szCs w:val="20"/>
          <w:color w:val="auto"/>
        </w:rPr>
      </w:pPr>
      <w:r>
        <w:rPr>
          <w:rFonts w:ascii="Arial" w:cs="Arial" w:eastAsia="Arial" w:hAnsi="Arial"/>
          <w:sz w:val="16"/>
          <w:szCs w:val="16"/>
          <w:color w:val="auto"/>
        </w:rPr>
        <w:t>The fair value of commercial loans and certain consumer loans included in other investments is calculated by discounting scheduled cash flows through the estimated maturity date using market interest rates that reflect the credit and interest rate risk inherent in the loans. The estimate of term to maturity is based on historical experience, adjusted as required, for current economic and lending conditions. The effect of nonperforming loans is considered in assessing the credit risk inherent in the fair value estimate. These are reflected in Level 3. The carrying value of the remaining investments reported in this line item approximate their fair value and are of a short-term nature. These are reflected in Level 2.</w:t>
      </w:r>
    </w:p>
    <w:p>
      <w:pPr>
        <w:sectPr>
          <w:pgSz w:w="11900" w:h="16838" w:orient="portrait"/>
          <w:cols w:equalWidth="0" w:num="1">
            <w:col w:w="11420"/>
          </w:cols>
          <w:pgMar w:left="240" w:top="131" w:right="239" w:bottom="1440" w:gutter="0" w:footer="0" w:header="0"/>
        </w:sectPr>
      </w:pP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81" w:name="page182"/>
    <w:bookmarkEnd w:id="18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Fair Value Measurements —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225" w:lineRule="exact"/>
        <w:rPr>
          <w:sz w:val="20"/>
          <w:szCs w:val="20"/>
          <w:color w:val="auto"/>
        </w:rPr>
      </w:pPr>
    </w:p>
    <w:p>
      <w:pPr>
        <w:jc w:val="both"/>
        <w:ind w:firstLine="405"/>
        <w:spacing w:after="0" w:line="256" w:lineRule="auto"/>
        <w:rPr>
          <w:sz w:val="20"/>
          <w:szCs w:val="20"/>
          <w:color w:val="auto"/>
        </w:rPr>
      </w:pPr>
      <w:r>
        <w:rPr>
          <w:rFonts w:ascii="Arial" w:cs="Arial" w:eastAsia="Arial" w:hAnsi="Arial"/>
          <w:sz w:val="18"/>
          <w:szCs w:val="18"/>
          <w:color w:val="auto"/>
        </w:rPr>
        <w:t>Certain cash equivalents not reported at fair value include short-term investments with maturities of less than three months for which public quotations are not available to use in determining fair value. Because of the highly liquid nature of these assets, carrying amounts are used to approximate fair value, which are reflected in Level 2. The carrying amounts of the remaining cash and cash equivalents that are not reported at fair value on a recurring basis approximate their fair value, which are reflected in Level 1 given the nature of cash.</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Investment-Type Insurance Contracts</w:t>
      </w:r>
    </w:p>
    <w:p>
      <w:pPr>
        <w:spacing w:after="0" w:line="225" w:lineRule="exact"/>
        <w:rPr>
          <w:sz w:val="20"/>
          <w:szCs w:val="20"/>
          <w:color w:val="auto"/>
        </w:rPr>
      </w:pPr>
    </w:p>
    <w:p>
      <w:pPr>
        <w:jc w:val="both"/>
        <w:ind w:firstLine="348"/>
        <w:spacing w:after="0" w:line="288" w:lineRule="auto"/>
        <w:rPr>
          <w:sz w:val="20"/>
          <w:szCs w:val="20"/>
          <w:color w:val="auto"/>
        </w:rPr>
      </w:pPr>
      <w:r>
        <w:rPr>
          <w:rFonts w:ascii="Arial" w:cs="Arial" w:eastAsia="Arial" w:hAnsi="Arial"/>
          <w:sz w:val="16"/>
          <w:szCs w:val="16"/>
          <w:color w:val="auto"/>
        </w:rPr>
        <w:t>The fair values of our reserves and liabilities for investment-type insurance contracts are determined via a third party pricing vendor or using discounted cash flow analyses when we are unable to find a price from third party pricing vendors. Third party pricing on various outstanding medium-term notes and funding agreements is based on observable inputs such as benchmark yields and spreads based on reported trades for our medium-term notes and funding agreement issuances. These are reflected in Level 2. The discounted cash flow analyses for the remaining contracts is based on current interest rates, including non-performance risk, being offered for similar contracts with maturities consistent with those remaining for the investment-type contracts being valued. These are reflected in Level 3. Investment-type insurance contracts include insurance, annuity and other policy contracts that do not involve significant mortality or morbidity risk and are only a portion of the policyholder liabilities appearing in the consolidated statements of financial position. Insurance contracts include insurance, annuity and other policy contracts that do involve significant mortality or morbidity risk. The fair values for our insurance contracts, other than investment-type contracts, are not required to be disclosed.</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Short-Term Debt</w:t>
      </w:r>
    </w:p>
    <w:p>
      <w:pPr>
        <w:spacing w:after="0" w:line="225" w:lineRule="exact"/>
        <w:rPr>
          <w:sz w:val="20"/>
          <w:szCs w:val="20"/>
          <w:color w:val="auto"/>
        </w:rPr>
      </w:pPr>
    </w:p>
    <w:p>
      <w:pPr>
        <w:jc w:val="both"/>
        <w:ind w:right="20" w:firstLine="428"/>
        <w:spacing w:after="0" w:line="268" w:lineRule="auto"/>
        <w:rPr>
          <w:sz w:val="20"/>
          <w:szCs w:val="20"/>
          <w:color w:val="auto"/>
        </w:rPr>
      </w:pPr>
      <w:r>
        <w:rPr>
          <w:rFonts w:ascii="Arial" w:cs="Arial" w:eastAsia="Arial" w:hAnsi="Arial"/>
          <w:sz w:val="18"/>
          <w:szCs w:val="18"/>
          <w:color w:val="auto"/>
        </w:rPr>
        <w:t>The carrying amount of short-term debt approximates its fair value because of the relatively short time between origination of the debt instrument and its maturity, which is reflected in Level 2.</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Long-Term Debt</w:t>
      </w:r>
    </w:p>
    <w:p>
      <w:pPr>
        <w:spacing w:after="0" w:line="225" w:lineRule="exact"/>
        <w:rPr>
          <w:sz w:val="20"/>
          <w:szCs w:val="20"/>
          <w:color w:val="auto"/>
        </w:rPr>
      </w:pPr>
    </w:p>
    <w:p>
      <w:pPr>
        <w:jc w:val="both"/>
        <w:ind w:firstLine="358"/>
        <w:spacing w:after="0" w:line="298" w:lineRule="auto"/>
        <w:rPr>
          <w:sz w:val="20"/>
          <w:szCs w:val="20"/>
          <w:color w:val="auto"/>
        </w:rPr>
      </w:pPr>
      <w:r>
        <w:rPr>
          <w:rFonts w:ascii="Arial" w:cs="Arial" w:eastAsia="Arial" w:hAnsi="Arial"/>
          <w:sz w:val="16"/>
          <w:szCs w:val="16"/>
          <w:color w:val="auto"/>
        </w:rPr>
        <w:t>Long-term debt primarily includes senior note issuances for which the fair values are determined using inputs that are observable in the market or that can be derived from or corroborated with observable market data. These are reflected in Level 2. Additionally, our long-term debt includes non-recourse mortgages and notes payable that are primarily financings for real estate developments for which the fair values are estimated using discounted cash flow analysis based on our incremental borrowing rate for similar borrowing arrangements. These are reflected in Level 3.</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Separate Account Liabilities</w:t>
      </w:r>
    </w:p>
    <w:p>
      <w:pPr>
        <w:spacing w:after="0" w:line="225" w:lineRule="exact"/>
        <w:rPr>
          <w:sz w:val="20"/>
          <w:szCs w:val="20"/>
          <w:color w:val="auto"/>
        </w:rPr>
      </w:pPr>
    </w:p>
    <w:p>
      <w:pPr>
        <w:jc w:val="both"/>
        <w:ind w:firstLine="363"/>
        <w:spacing w:after="0" w:line="290" w:lineRule="auto"/>
        <w:rPr>
          <w:sz w:val="20"/>
          <w:szCs w:val="20"/>
          <w:color w:val="auto"/>
        </w:rPr>
      </w:pPr>
      <w:r>
        <w:rPr>
          <w:rFonts w:ascii="Arial" w:cs="Arial" w:eastAsia="Arial" w:hAnsi="Arial"/>
          <w:sz w:val="16"/>
          <w:szCs w:val="16"/>
          <w:color w:val="auto"/>
        </w:rPr>
        <w:t>Fair values of separate account liabilities, excluding insurance-related elements, are estimated based on market assumptions around what a potential acquirer would pay for the associated block of business, including both the separate account assets and liabilities. As the applicable separate account assets are already reflected at fair value, any adjustment to the fair value of the block is an assumed adjustment to the separate account liabilities. To compute fair value, the separate account liabilities are originally set to equal separate account assets because these are pass-through contracts. The separate account liabilities are reduced by the amount of future fees expected to be collected that are intended to offset upfront acquisition costs already incurred that a potential acquirer would not have to pay. The estimated future fees are adjusted by an adverse deviation discount and the amount is then discounted at a risk-free rate as measured by the yield on Treasury securities at maturities aligned with the estimated timing of fee collection. These are reflected in Level 3.</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Bank Deposits</w:t>
      </w:r>
    </w:p>
    <w:p>
      <w:pPr>
        <w:spacing w:after="0" w:line="225" w:lineRule="exact"/>
        <w:rPr>
          <w:sz w:val="20"/>
          <w:szCs w:val="20"/>
          <w:color w:val="auto"/>
        </w:rPr>
      </w:pPr>
    </w:p>
    <w:p>
      <w:pPr>
        <w:jc w:val="both"/>
        <w:ind w:firstLine="391"/>
        <w:spacing w:after="0" w:line="259" w:lineRule="auto"/>
        <w:rPr>
          <w:sz w:val="20"/>
          <w:szCs w:val="20"/>
          <w:color w:val="auto"/>
        </w:rPr>
      </w:pPr>
      <w:r>
        <w:rPr>
          <w:rFonts w:ascii="Arial" w:cs="Arial" w:eastAsia="Arial" w:hAnsi="Arial"/>
          <w:sz w:val="18"/>
          <w:szCs w:val="18"/>
          <w:color w:val="auto"/>
        </w:rPr>
        <w:t>The fair value of deposits of our Principal Bank subsidiary with no stated maturity is equal to the amount payable on demand (i.e., their carrying amounts). These are reflected in Level 1. The fair value of certificates of deposit is based on the discounted value of contractual cash flows. The discount is estimated using the rates currently offered for deposits of similar remaining maturities. These are reflected in Level 2.</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Collateral Payable</w:t>
      </w:r>
    </w:p>
    <w:p>
      <w:pPr>
        <w:spacing w:after="0" w:line="225" w:lineRule="exact"/>
        <w:rPr>
          <w:sz w:val="20"/>
          <w:szCs w:val="20"/>
          <w:color w:val="auto"/>
        </w:rPr>
      </w:pPr>
    </w:p>
    <w:p>
      <w:pPr>
        <w:jc w:val="both"/>
        <w:ind w:firstLine="437"/>
        <w:spacing w:after="0" w:line="268" w:lineRule="auto"/>
        <w:rPr>
          <w:sz w:val="20"/>
          <w:szCs w:val="20"/>
          <w:color w:val="auto"/>
        </w:rPr>
      </w:pPr>
      <w:r>
        <w:rPr>
          <w:rFonts w:ascii="Arial" w:cs="Arial" w:eastAsia="Arial" w:hAnsi="Arial"/>
          <w:sz w:val="18"/>
          <w:szCs w:val="18"/>
          <w:color w:val="auto"/>
        </w:rPr>
        <w:t>The carrying amount of the payable associated with our obligation to return the cash collateral received under derivative credit support annex (collateral) agreements approximates its fair value, which is reflected in Level 1.</w:t>
      </w:r>
    </w:p>
    <w:p>
      <w:pPr>
        <w:sectPr>
          <w:pgSz w:w="11900" w:h="16838" w:orient="portrait"/>
          <w:cols w:equalWidth="0" w:num="1">
            <w:col w:w="11420"/>
          </w:cols>
          <w:pgMar w:left="240" w:top="131" w:right="239" w:bottom="1440" w:gutter="0" w:footer="0" w:header="0"/>
        </w:sectPr>
      </w:pP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82" w:name="page183"/>
    <w:bookmarkEnd w:id="18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Statutory Insurance Financial Information</w:t>
      </w:r>
    </w:p>
    <w:p>
      <w:pPr>
        <w:spacing w:after="0" w:line="231" w:lineRule="exact"/>
        <w:rPr>
          <w:sz w:val="20"/>
          <w:szCs w:val="20"/>
          <w:color w:val="auto"/>
        </w:rPr>
      </w:pPr>
    </w:p>
    <w:p>
      <w:pPr>
        <w:jc w:val="both"/>
        <w:ind w:firstLine="503"/>
        <w:spacing w:after="0" w:line="287" w:lineRule="auto"/>
        <w:rPr>
          <w:sz w:val="20"/>
          <w:szCs w:val="20"/>
          <w:color w:val="auto"/>
        </w:rPr>
      </w:pPr>
      <w:r>
        <w:rPr>
          <w:rFonts w:ascii="Arial" w:cs="Arial" w:eastAsia="Arial" w:hAnsi="Arial"/>
          <w:sz w:val="16"/>
          <w:szCs w:val="16"/>
          <w:color w:val="auto"/>
        </w:rPr>
        <w:t>Principal Life, the largest indirect subsidiary of PFG, prepares statutory financial statements in accordance with the accounting practices prescribed or permitted by the Insurance Division of the Department of Commerce of the State of Iowa (the "State of Iowa"). The State of Iowa recognizes only statutory accounting practices prescribed or permitted by the State of Iowa for determining and reporting the financial condition and results of operations of an insurance company to determine its solvency under the Iowa Insurance Law. The National Association of Insurance Commissioners' ("NAIC") Accounting Practices and Procedures Manual has been adopted as a component of prescribed practices by the State of Iowa. The Commissioner has the right to permit other specific practices that deviate from prescribed practices. As of December 31, 2013, our use of prescribed and permitted statutory accounting practices has resulted in higher statutory net income of $9.0 million relative to the accounting practices and procedures of the NAIC due to our accounting for derivatives that hedge some of our equity indexed products. Statutory accounting practices differ from U.S. GAAP primarily due to charging policy acquisition costs to expense as incurred, establishing reserves using different actuarial assumptions, valuing investments on a different basis and not admitting certain assets, including certain net deferred income tax assets.</w:t>
      </w:r>
    </w:p>
    <w:p>
      <w:pPr>
        <w:spacing w:after="0" w:line="177" w:lineRule="exact"/>
        <w:rPr>
          <w:sz w:val="20"/>
          <w:szCs w:val="20"/>
          <w:color w:val="auto"/>
        </w:rPr>
      </w:pPr>
    </w:p>
    <w:p>
      <w:pPr>
        <w:jc w:val="both"/>
        <w:ind w:firstLine="448"/>
        <w:spacing w:after="0" w:line="255" w:lineRule="auto"/>
        <w:rPr>
          <w:sz w:val="20"/>
          <w:szCs w:val="20"/>
          <w:color w:val="auto"/>
        </w:rPr>
      </w:pPr>
      <w:r>
        <w:rPr>
          <w:rFonts w:ascii="Arial" w:cs="Arial" w:eastAsia="Arial" w:hAnsi="Arial"/>
          <w:sz w:val="18"/>
          <w:szCs w:val="18"/>
          <w:color w:val="auto"/>
        </w:rPr>
        <w:t>Principal Life cedes certain term and universal life insurance statutory reserves to our affiliated reinsurance subsidiaries on a funds withheld coinsurance basis. The reserves are secured by cash, invested assets and financing provided by highly rated third parties. As of December 31, 2013, our affiliated reinsurance subsidiaries assumed statutory reserves of $2,765.7 million from Principal Life. In the states of Vermont and Delaware, the affiliated reinsurers had permitted and prescribed practices allowing for the admissibility of certain assets backing these reserves. As of December 31, 2013, assets admitted under these practices totaled $1,059.0 million.</w:t>
      </w:r>
    </w:p>
    <w:p>
      <w:pPr>
        <w:spacing w:after="0" w:line="197" w:lineRule="exact"/>
        <w:rPr>
          <w:sz w:val="20"/>
          <w:szCs w:val="20"/>
          <w:color w:val="auto"/>
        </w:rPr>
      </w:pPr>
    </w:p>
    <w:p>
      <w:pPr>
        <w:jc w:val="both"/>
        <w:ind w:firstLine="370"/>
        <w:spacing w:after="0" w:line="259" w:lineRule="auto"/>
        <w:rPr>
          <w:sz w:val="20"/>
          <w:szCs w:val="20"/>
          <w:color w:val="auto"/>
        </w:rPr>
      </w:pPr>
      <w:r>
        <w:rPr>
          <w:rFonts w:ascii="Arial" w:cs="Arial" w:eastAsia="Arial" w:hAnsi="Arial"/>
          <w:sz w:val="18"/>
          <w:szCs w:val="18"/>
          <w:color w:val="auto"/>
        </w:rPr>
        <w:t>Life and health insurance companies are subject to certain risk-based capital ("RBC") requirements as specified by the NAIC. Under those requirements, the amount of capital and surplus maintained by a life and health insurance company is to be determined based on the various risk factors related to it. At December 31, 2013, Principal Life meets the minimum RBC requirements.</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Statutory net income and statutory capital and surplus of Principal Life were as follows:</w:t>
      </w:r>
    </w:p>
    <w:p>
      <w:pPr>
        <w:spacing w:after="0" w:line="20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140" w:type="dxa"/>
            <w:vAlign w:val="bottom"/>
          </w:tcPr>
          <w:p>
            <w:pPr>
              <w:spacing w:after="0"/>
              <w:rPr>
                <w:sz w:val="14"/>
                <w:szCs w:val="14"/>
                <w:color w:val="auto"/>
              </w:rPr>
            </w:pPr>
          </w:p>
        </w:tc>
        <w:tc>
          <w:tcPr>
            <w:tcW w:w="26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20" w:type="dxa"/>
            <w:vAlign w:val="bottom"/>
            <w:gridSpan w:val="9"/>
          </w:tcPr>
          <w:p>
            <w:pPr>
              <w:jc w:val="center"/>
              <w:ind w:right="280"/>
              <w:spacing w:after="0"/>
              <w:rPr>
                <w:sz w:val="20"/>
                <w:szCs w:val="20"/>
                <w:color w:val="auto"/>
              </w:rPr>
            </w:pPr>
            <w:r>
              <w:rPr>
                <w:rFonts w:ascii="Arial" w:cs="Arial" w:eastAsia="Arial" w:hAnsi="Arial"/>
                <w:sz w:val="14"/>
                <w:szCs w:val="14"/>
                <w:b w:val="1"/>
                <w:bCs w:val="1"/>
                <w:color w:val="auto"/>
                <w:w w:val="86"/>
              </w:rPr>
              <w:t>As of or for the year ended</w:t>
            </w:r>
          </w:p>
        </w:tc>
      </w:tr>
      <w:tr>
        <w:trPr>
          <w:trHeight w:val="161"/>
        </w:trPr>
        <w:tc>
          <w:tcPr>
            <w:tcW w:w="20" w:type="dxa"/>
            <w:vAlign w:val="bottom"/>
          </w:tcPr>
          <w:p>
            <w:pPr>
              <w:spacing w:after="0"/>
              <w:rPr>
                <w:sz w:val="14"/>
                <w:szCs w:val="14"/>
                <w:color w:val="auto"/>
              </w:rPr>
            </w:pPr>
          </w:p>
        </w:tc>
        <w:tc>
          <w:tcPr>
            <w:tcW w:w="4140" w:type="dxa"/>
            <w:vAlign w:val="bottom"/>
          </w:tcPr>
          <w:p>
            <w:pPr>
              <w:spacing w:after="0"/>
              <w:rPr>
                <w:sz w:val="14"/>
                <w:szCs w:val="14"/>
                <w:color w:val="auto"/>
              </w:rPr>
            </w:pPr>
          </w:p>
        </w:tc>
        <w:tc>
          <w:tcPr>
            <w:tcW w:w="26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85"/>
              </w:rPr>
              <w:t>December 31,</w:t>
            </w:r>
          </w:p>
        </w:tc>
        <w:tc>
          <w:tcPr>
            <w:tcW w:w="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4140" w:type="dxa"/>
            <w:vAlign w:val="bottom"/>
          </w:tcPr>
          <w:p>
            <w:pPr>
              <w:spacing w:after="0"/>
              <w:rPr>
                <w:sz w:val="12"/>
                <w:szCs w:val="12"/>
                <w:color w:val="auto"/>
              </w:rPr>
            </w:pPr>
          </w:p>
        </w:tc>
        <w:tc>
          <w:tcPr>
            <w:tcW w:w="26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w w:val="96"/>
              </w:rPr>
              <w:t>2013</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center"/>
              <w:ind w:right="72"/>
              <w:spacing w:after="0" w:line="142" w:lineRule="exact"/>
              <w:rPr>
                <w:sz w:val="20"/>
                <w:szCs w:val="20"/>
                <w:color w:val="auto"/>
              </w:rPr>
            </w:pPr>
            <w:r>
              <w:rPr>
                <w:rFonts w:ascii="Arial" w:cs="Arial" w:eastAsia="Arial" w:hAnsi="Arial"/>
                <w:sz w:val="14"/>
                <w:szCs w:val="14"/>
                <w:b w:val="1"/>
                <w:bCs w:val="1"/>
                <w:color w:val="auto"/>
                <w:w w:val="89"/>
              </w:rPr>
              <w:t>2012</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w w:val="96"/>
              </w:rPr>
              <w:t>2011</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4140" w:type="dxa"/>
            <w:vAlign w:val="bottom"/>
          </w:tcPr>
          <w:p>
            <w:pPr>
              <w:spacing w:after="0"/>
              <w:rPr>
                <w:sz w:val="12"/>
                <w:szCs w:val="12"/>
                <w:color w:val="auto"/>
              </w:rPr>
            </w:pPr>
          </w:p>
        </w:tc>
        <w:tc>
          <w:tcPr>
            <w:tcW w:w="2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780" w:type="dxa"/>
            <w:vAlign w:val="bottom"/>
            <w:gridSpan w:val="3"/>
          </w:tcPr>
          <w:p>
            <w:pPr>
              <w:jc w:val="center"/>
              <w:ind w:left="52"/>
              <w:spacing w:after="0" w:line="142" w:lineRule="exact"/>
              <w:rPr>
                <w:sz w:val="20"/>
                <w:szCs w:val="20"/>
                <w:color w:val="auto"/>
              </w:rPr>
            </w:pPr>
            <w:r>
              <w:rPr>
                <w:rFonts w:ascii="Arial" w:cs="Arial" w:eastAsia="Arial" w:hAnsi="Arial"/>
                <w:sz w:val="14"/>
                <w:szCs w:val="14"/>
                <w:b w:val="1"/>
                <w:bCs w:val="1"/>
                <w:i w:val="1"/>
                <w:iCs w:val="1"/>
                <w:color w:val="auto"/>
                <w:w w:val="83"/>
              </w:rPr>
              <w:t>(in millions)</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1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Statutory net income</w:t>
            </w:r>
          </w:p>
        </w:tc>
        <w:tc>
          <w:tcPr>
            <w:tcW w:w="27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607.9</w:t>
            </w:r>
          </w:p>
        </w:tc>
        <w:tc>
          <w:tcPr>
            <w:tcW w:w="2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576.1</w:t>
            </w:r>
          </w:p>
        </w:tc>
        <w:tc>
          <w:tcPr>
            <w:tcW w:w="12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326.8</w:t>
            </w:r>
          </w:p>
        </w:tc>
        <w:tc>
          <w:tcPr>
            <w:tcW w:w="160" w:type="dxa"/>
            <w:vAlign w:val="bottom"/>
            <w:shd w:val="clear" w:color="auto" w:fill="CCEEFF"/>
          </w:tcPr>
          <w:p>
            <w:pPr>
              <w:spacing w:after="0"/>
              <w:rPr>
                <w:sz w:val="12"/>
                <w:szCs w:val="12"/>
                <w:color w:val="auto"/>
              </w:rPr>
            </w:pPr>
          </w:p>
        </w:tc>
      </w:tr>
      <w:tr>
        <w:trPr>
          <w:trHeight w:val="174"/>
        </w:trPr>
        <w:tc>
          <w:tcPr>
            <w:tcW w:w="20" w:type="dxa"/>
            <w:vAlign w:val="bottom"/>
          </w:tcPr>
          <w:p>
            <w:pPr>
              <w:spacing w:after="0"/>
              <w:rPr>
                <w:sz w:val="15"/>
                <w:szCs w:val="15"/>
                <w:color w:val="auto"/>
              </w:rPr>
            </w:pPr>
          </w:p>
        </w:tc>
        <w:tc>
          <w:tcPr>
            <w:tcW w:w="4140" w:type="dxa"/>
            <w:vAlign w:val="bottom"/>
          </w:tcPr>
          <w:p>
            <w:pPr>
              <w:spacing w:after="0"/>
              <w:rPr>
                <w:sz w:val="20"/>
                <w:szCs w:val="20"/>
                <w:color w:val="auto"/>
              </w:rPr>
            </w:pPr>
            <w:r>
              <w:rPr>
                <w:rFonts w:ascii="Arial" w:cs="Arial" w:eastAsia="Arial" w:hAnsi="Arial"/>
                <w:sz w:val="14"/>
                <w:szCs w:val="14"/>
                <w:color w:val="auto"/>
              </w:rPr>
              <w:t>Statutory capital and surplus</w:t>
            </w:r>
          </w:p>
        </w:tc>
        <w:tc>
          <w:tcPr>
            <w:tcW w:w="26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00" w:type="dxa"/>
            <w:vAlign w:val="bottom"/>
          </w:tcPr>
          <w:p>
            <w:pPr>
              <w:jc w:val="right"/>
              <w:spacing w:after="0"/>
              <w:rPr>
                <w:sz w:val="20"/>
                <w:szCs w:val="20"/>
                <w:color w:val="auto"/>
              </w:rPr>
            </w:pPr>
            <w:r>
              <w:rPr>
                <w:rFonts w:ascii="Arial" w:cs="Arial" w:eastAsia="Arial" w:hAnsi="Arial"/>
                <w:sz w:val="14"/>
                <w:szCs w:val="14"/>
                <w:b w:val="1"/>
                <w:bCs w:val="1"/>
                <w:color w:val="auto"/>
              </w:rPr>
              <w:t>4,142.2</w:t>
            </w: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3,944.3</w:t>
            </w:r>
          </w:p>
        </w:tc>
        <w:tc>
          <w:tcPr>
            <w:tcW w:w="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4,218.2</w:t>
            </w:r>
          </w:p>
        </w:tc>
        <w:tc>
          <w:tcPr>
            <w:tcW w:w="160" w:type="dxa"/>
            <w:vAlign w:val="bottom"/>
          </w:tcPr>
          <w:p>
            <w:pPr>
              <w:spacing w:after="0"/>
              <w:rPr>
                <w:sz w:val="15"/>
                <w:szCs w:val="15"/>
                <w:color w:val="auto"/>
              </w:rPr>
            </w:pPr>
          </w:p>
        </w:tc>
      </w:tr>
    </w:tbl>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Segment Information</w:t>
      </w:r>
    </w:p>
    <w:p>
      <w:pPr>
        <w:spacing w:after="0" w:line="231" w:lineRule="exact"/>
        <w:rPr>
          <w:sz w:val="20"/>
          <w:szCs w:val="20"/>
          <w:color w:val="auto"/>
        </w:rPr>
      </w:pPr>
    </w:p>
    <w:p>
      <w:pPr>
        <w:jc w:val="both"/>
        <w:ind w:firstLine="564"/>
        <w:spacing w:after="0" w:line="306" w:lineRule="auto"/>
        <w:rPr>
          <w:sz w:val="20"/>
          <w:szCs w:val="20"/>
          <w:color w:val="auto"/>
        </w:rPr>
      </w:pPr>
      <w:r>
        <w:rPr>
          <w:rFonts w:ascii="Arial" w:cs="Arial" w:eastAsia="Arial" w:hAnsi="Arial"/>
          <w:sz w:val="16"/>
          <w:szCs w:val="16"/>
          <w:color w:val="auto"/>
        </w:rPr>
        <w:t>We provide financial products and services through the following segments: Retirement and Investor Services, Principal Global Investors, Principal International and U.S. Insurance Solutions. In addition, there is a Corporate segment. The segments are managed and reported separately because they provide different products and services, have different strategies or have different markets and distribution channels.</w:t>
      </w:r>
    </w:p>
    <w:p>
      <w:pPr>
        <w:spacing w:after="0" w:line="161" w:lineRule="exact"/>
        <w:rPr>
          <w:sz w:val="20"/>
          <w:szCs w:val="20"/>
          <w:color w:val="auto"/>
        </w:rPr>
      </w:pPr>
    </w:p>
    <w:p>
      <w:pPr>
        <w:jc w:val="both"/>
        <w:ind w:right="20" w:firstLine="396"/>
        <w:spacing w:after="0" w:line="268" w:lineRule="auto"/>
        <w:rPr>
          <w:sz w:val="20"/>
          <w:szCs w:val="20"/>
          <w:color w:val="auto"/>
        </w:rPr>
      </w:pPr>
      <w:r>
        <w:rPr>
          <w:rFonts w:ascii="Arial" w:cs="Arial" w:eastAsia="Arial" w:hAnsi="Arial"/>
          <w:sz w:val="18"/>
          <w:szCs w:val="18"/>
          <w:color w:val="auto"/>
        </w:rPr>
        <w:t>The Retirement and Investor Services segment provides retirement and related financial products and services primarily to businesses, their employees and other individuals.</w:t>
      </w:r>
    </w:p>
    <w:p>
      <w:pPr>
        <w:spacing w:after="0" w:line="186" w:lineRule="exact"/>
        <w:rPr>
          <w:sz w:val="20"/>
          <w:szCs w:val="20"/>
          <w:color w:val="auto"/>
        </w:rPr>
      </w:pPr>
    </w:p>
    <w:p>
      <w:pPr>
        <w:jc w:val="both"/>
        <w:ind w:firstLine="456"/>
        <w:spacing w:after="0" w:line="268" w:lineRule="auto"/>
        <w:rPr>
          <w:sz w:val="20"/>
          <w:szCs w:val="20"/>
          <w:color w:val="auto"/>
        </w:rPr>
      </w:pPr>
      <w:r>
        <w:rPr>
          <w:rFonts w:ascii="Arial" w:cs="Arial" w:eastAsia="Arial" w:hAnsi="Arial"/>
          <w:sz w:val="18"/>
          <w:szCs w:val="18"/>
          <w:color w:val="auto"/>
        </w:rPr>
        <w:t>The Principal Global Investors segment provides asset management services to our asset accumulation business, our insurance operations, the Corporate segment and third-party clients.</w:t>
      </w:r>
    </w:p>
    <w:p>
      <w:pPr>
        <w:spacing w:after="0" w:line="186" w:lineRule="exact"/>
        <w:rPr>
          <w:sz w:val="20"/>
          <w:szCs w:val="20"/>
          <w:color w:val="auto"/>
        </w:rPr>
      </w:pPr>
    </w:p>
    <w:p>
      <w:pPr>
        <w:jc w:val="both"/>
        <w:ind w:firstLine="416"/>
        <w:spacing w:after="0" w:line="259" w:lineRule="auto"/>
        <w:rPr>
          <w:sz w:val="20"/>
          <w:szCs w:val="20"/>
          <w:color w:val="auto"/>
        </w:rPr>
      </w:pPr>
      <w:r>
        <w:rPr>
          <w:rFonts w:ascii="Arial" w:cs="Arial" w:eastAsia="Arial" w:hAnsi="Arial"/>
          <w:sz w:val="18"/>
          <w:szCs w:val="18"/>
          <w:color w:val="auto"/>
        </w:rPr>
        <w:t>The Principal International segment has operations in Brazil, Chile, China, Hong Kong Special Administrative Region, India, Mexico and Southeast Asia. We focus on countries with large middle classes, favorable demographics and growing long-term savings, ideally with defined contribution markets. We entered these countries through acquisitions, start-up operations and joint ventures.</w:t>
      </w:r>
    </w:p>
    <w:p>
      <w:pPr>
        <w:spacing w:after="0" w:line="194" w:lineRule="exact"/>
        <w:rPr>
          <w:sz w:val="20"/>
          <w:szCs w:val="20"/>
          <w:color w:val="auto"/>
        </w:rPr>
      </w:pPr>
    </w:p>
    <w:p>
      <w:pPr>
        <w:jc w:val="both"/>
        <w:ind w:firstLine="536"/>
        <w:spacing w:after="0" w:line="332" w:lineRule="auto"/>
        <w:rPr>
          <w:sz w:val="20"/>
          <w:szCs w:val="20"/>
          <w:color w:val="auto"/>
        </w:rPr>
      </w:pPr>
      <w:r>
        <w:rPr>
          <w:rFonts w:ascii="Arial" w:cs="Arial" w:eastAsia="Arial" w:hAnsi="Arial"/>
          <w:sz w:val="16"/>
          <w:szCs w:val="16"/>
          <w:color w:val="auto"/>
        </w:rPr>
        <w:t>The U.S. Insurance Solutions segment provides individual life insurance and specialty benefits, which consists of group dental and vision insurance, individual and group disability insurance, group life insurance and non-medical fee-for-service claims administration, throughout the United States.</w:t>
      </w:r>
    </w:p>
    <w:p>
      <w:pPr>
        <w:spacing w:after="0" w:line="139" w:lineRule="exact"/>
        <w:rPr>
          <w:sz w:val="20"/>
          <w:szCs w:val="20"/>
          <w:color w:val="auto"/>
        </w:rPr>
      </w:pPr>
    </w:p>
    <w:p>
      <w:pPr>
        <w:jc w:val="both"/>
        <w:ind w:firstLine="384"/>
        <w:spacing w:after="0" w:line="298" w:lineRule="auto"/>
        <w:rPr>
          <w:sz w:val="20"/>
          <w:szCs w:val="20"/>
          <w:color w:val="auto"/>
        </w:rPr>
      </w:pPr>
      <w:r>
        <w:rPr>
          <w:rFonts w:ascii="Arial" w:cs="Arial" w:eastAsia="Arial" w:hAnsi="Arial"/>
          <w:sz w:val="16"/>
          <w:szCs w:val="16"/>
          <w:color w:val="auto"/>
        </w:rPr>
        <w:t>The Corporate segment manages the assets representing capital that has not been allocated to any other segment. Financial results of the Corporate segment primarily reflect our financing activities (including interest expense and preferred stock dividends), income on capital not allocated to other segments, inter-segment eliminations, U.S. income tax risks and certain income, expenses and other after-tax adjustments not allocated to the segments based on the nature of such items. Results of our exited group medical insurance business are reported in this segment.</w:t>
      </w:r>
    </w:p>
    <w:p>
      <w:pPr>
        <w:sectPr>
          <w:pgSz w:w="11900" w:h="16838" w:orient="portrait"/>
          <w:cols w:equalWidth="0" w:num="1">
            <w:col w:w="11420"/>
          </w:cols>
          <w:pgMar w:left="240" w:top="131" w:right="239" w:bottom="1440" w:gutter="0" w:footer="0" w:header="0"/>
        </w:sectPr>
      </w:pP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83" w:name="page184"/>
    <w:bookmarkEnd w:id="18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Segment Information — (continued)</w:t>
      </w:r>
    </w:p>
    <w:p>
      <w:pPr>
        <w:spacing w:after="0" w:line="231" w:lineRule="exact"/>
        <w:rPr>
          <w:sz w:val="20"/>
          <w:szCs w:val="20"/>
          <w:color w:val="auto"/>
        </w:rPr>
      </w:pPr>
    </w:p>
    <w:p>
      <w:pPr>
        <w:jc w:val="both"/>
        <w:ind w:firstLine="411"/>
        <w:spacing w:after="0" w:line="285" w:lineRule="auto"/>
        <w:rPr>
          <w:sz w:val="20"/>
          <w:szCs w:val="20"/>
          <w:color w:val="auto"/>
        </w:rPr>
      </w:pPr>
      <w:r>
        <w:rPr>
          <w:rFonts w:ascii="Arial" w:cs="Arial" w:eastAsia="Arial" w:hAnsi="Arial"/>
          <w:sz w:val="16"/>
          <w:szCs w:val="16"/>
          <w:color w:val="auto"/>
        </w:rPr>
        <w:t>Management uses segment operating earnings in goal setting, as a basis for determining employee compensation and in evaluating performance on a basis comparable to that used by securities analysts. We determine segment operating earnings by adjusting U.S. GAAP net income for net realized capital gains (losses), as adjusted, and other after-tax adjustments which management believes are not indicative of overall operating trends. Net realized capital gains (losses), as adjusted, are net of income taxes, related changes in the amortization pattern of DAC and other actuarial balances, recognition of deferred front-end fee revenues for sales charges on retirement and life insurance products and services, amortization of hedge accounting book value adjustments for certain discontinued hedges, net realized capital gains and losses distributed, noncontrolling interest capital gains and losses and certain market value adjustments to fee revenues. Net realized capital gains (losses), as adjusted, exclude periodic settlements and accruals on derivative instruments not designated as hedging instruments and exclude certain market value adjustments of embedded derivatives and realized capital gains (losses) associated with our exited group medical insurance business. Segment operating revenues exclude net realized capital gains (losses) (except periodic settlements and accruals on derivatives not designated as hedging instruments), including their impact on recognition of front-end fee revenues, certain market value adjustments to fee revenues and amortization of hedge accounting book value adjustments for certain discontinued hedges, and revenue from our exited group medical insurance business. Segment operating revenues include operating revenues from real estate properties that qualify for discontinued operations. While these items may be significant components in understanding and assessing the consolidated financial performance, management believes the presentation of segment operating earnings enhances the understanding of our results of operations by highlighting earnings attributable to the normal, ongoing operations of the business.</w:t>
      </w:r>
    </w:p>
    <w:p>
      <w:pPr>
        <w:spacing w:after="0" w:line="182" w:lineRule="exact"/>
        <w:rPr>
          <w:sz w:val="20"/>
          <w:szCs w:val="20"/>
          <w:color w:val="auto"/>
        </w:rPr>
      </w:pPr>
    </w:p>
    <w:p>
      <w:pPr>
        <w:jc w:val="both"/>
        <w:ind w:firstLine="400"/>
        <w:spacing w:after="0" w:line="256" w:lineRule="auto"/>
        <w:rPr>
          <w:sz w:val="20"/>
          <w:szCs w:val="20"/>
          <w:color w:val="auto"/>
        </w:rPr>
      </w:pPr>
      <w:r>
        <w:rPr>
          <w:rFonts w:ascii="Arial" w:cs="Arial" w:eastAsia="Arial" w:hAnsi="Arial"/>
          <w:sz w:val="18"/>
          <w:szCs w:val="18"/>
          <w:color w:val="auto"/>
        </w:rPr>
        <w:t>The accounting policies of the segments are consistent with the accounting policies for the consolidated financial statements, with the exception of income tax allocation. The Corporate segment functions to absorb the risk inherent in interpreting and applying tax law. The segments are allocated tax adjustments consistent with the positions we took on tax returns. The Corporate segment results reflect any differences between the U.S. tax returns and the estimated resolution of any disputes.</w:t>
      </w:r>
    </w:p>
    <w:p>
      <w:pPr>
        <w:spacing w:after="0" w:line="197" w:lineRule="exact"/>
        <w:rPr>
          <w:sz w:val="20"/>
          <w:szCs w:val="20"/>
          <w:color w:val="auto"/>
        </w:rPr>
      </w:pPr>
    </w:p>
    <w:p>
      <w:pPr>
        <w:jc w:val="both"/>
        <w:ind w:firstLine="548"/>
        <w:spacing w:after="0" w:line="268" w:lineRule="auto"/>
        <w:rPr>
          <w:sz w:val="20"/>
          <w:szCs w:val="20"/>
          <w:color w:val="auto"/>
        </w:rPr>
      </w:pPr>
      <w:r>
        <w:rPr>
          <w:rFonts w:ascii="Arial" w:cs="Arial" w:eastAsia="Arial" w:hAnsi="Arial"/>
          <w:sz w:val="18"/>
          <w:szCs w:val="18"/>
          <w:color w:val="auto"/>
        </w:rPr>
        <w:t>The following tables summarize select financial information by segment and reconcile segment totals to those reported in the consolidated financial statements:</w:t>
      </w:r>
    </w:p>
    <w:p>
      <w:pPr>
        <w:spacing w:after="0" w:line="18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020" w:type="dxa"/>
            <w:vAlign w:val="bottom"/>
          </w:tcPr>
          <w:p>
            <w:pPr>
              <w:spacing w:after="0"/>
              <w:rPr>
                <w:sz w:val="14"/>
                <w:szCs w:val="14"/>
                <w:color w:val="auto"/>
              </w:rPr>
            </w:pPr>
          </w:p>
        </w:tc>
        <w:tc>
          <w:tcPr>
            <w:tcW w:w="22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2013</w:t>
            </w: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5"/>
              </w:rPr>
              <w:t>December 31, 2012</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402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ind w:right="5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1420" w:type="dxa"/>
            <w:vAlign w:val="bottom"/>
            <w:gridSpan w:val="3"/>
          </w:tcPr>
          <w:p>
            <w:pPr>
              <w:jc w:val="right"/>
              <w:ind w:right="952"/>
              <w:spacing w:after="0"/>
              <w:rPr>
                <w:sz w:val="20"/>
                <w:szCs w:val="20"/>
                <w:color w:val="auto"/>
              </w:rPr>
            </w:pPr>
            <w:r>
              <w:rPr>
                <w:rFonts w:ascii="Arial" w:cs="Arial" w:eastAsia="Arial" w:hAnsi="Arial"/>
                <w:sz w:val="12"/>
                <w:szCs w:val="12"/>
                <w:b w:val="1"/>
                <w:bCs w:val="1"/>
                <w:i w:val="1"/>
                <w:iCs w:val="1"/>
                <w:color w:val="auto"/>
                <w:w w:val="76"/>
              </w:rPr>
              <w:t>millions)</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0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2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020" w:type="dxa"/>
            <w:vAlign w:val="bottom"/>
          </w:tcPr>
          <w:p>
            <w:pPr>
              <w:spacing w:after="0" w:line="149" w:lineRule="exact"/>
              <w:rPr>
                <w:sz w:val="20"/>
                <w:szCs w:val="20"/>
                <w:color w:val="auto"/>
              </w:rPr>
            </w:pPr>
            <w:r>
              <w:rPr>
                <w:rFonts w:ascii="Arial" w:cs="Arial" w:eastAsia="Arial" w:hAnsi="Arial"/>
                <w:sz w:val="14"/>
                <w:szCs w:val="14"/>
                <w:color w:val="auto"/>
              </w:rPr>
              <w:t>Retirement and Investor Services</w:t>
            </w:r>
          </w:p>
        </w:tc>
        <w:tc>
          <w:tcPr>
            <w:tcW w:w="232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128,736.7</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117,399.5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0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Principal Global Investors</w:t>
            </w:r>
          </w:p>
        </w:tc>
        <w:tc>
          <w:tcPr>
            <w:tcW w:w="2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1,312.1</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1,282.2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020" w:type="dxa"/>
            <w:vAlign w:val="bottom"/>
          </w:tcPr>
          <w:p>
            <w:pPr>
              <w:spacing w:after="0" w:line="149" w:lineRule="exact"/>
              <w:rPr>
                <w:sz w:val="20"/>
                <w:szCs w:val="20"/>
                <w:color w:val="auto"/>
              </w:rPr>
            </w:pPr>
            <w:r>
              <w:rPr>
                <w:rFonts w:ascii="Arial" w:cs="Arial" w:eastAsia="Arial" w:hAnsi="Arial"/>
                <w:sz w:val="14"/>
                <w:szCs w:val="14"/>
                <w:color w:val="auto"/>
              </w:rPr>
              <w:t>Principal International</w:t>
            </w:r>
          </w:p>
        </w:tc>
        <w:tc>
          <w:tcPr>
            <w:tcW w:w="2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54,243.6</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19,170.9</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0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U.S. Insurance Solutions</w:t>
            </w:r>
          </w:p>
        </w:tc>
        <w:tc>
          <w:tcPr>
            <w:tcW w:w="2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20,033.6</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19,017.2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020" w:type="dxa"/>
            <w:vAlign w:val="bottom"/>
          </w:tcPr>
          <w:p>
            <w:pPr>
              <w:spacing w:after="0" w:line="149" w:lineRule="exact"/>
              <w:rPr>
                <w:sz w:val="20"/>
                <w:szCs w:val="20"/>
                <w:color w:val="auto"/>
              </w:rPr>
            </w:pPr>
            <w:r>
              <w:rPr>
                <w:rFonts w:ascii="Arial" w:cs="Arial" w:eastAsia="Arial" w:hAnsi="Arial"/>
                <w:sz w:val="14"/>
                <w:szCs w:val="14"/>
                <w:color w:val="auto"/>
              </w:rPr>
              <w:t>Corporate</w:t>
            </w:r>
          </w:p>
        </w:tc>
        <w:tc>
          <w:tcPr>
            <w:tcW w:w="224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3,865.4</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4,960.4</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402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consolidated assets</w:t>
            </w:r>
          </w:p>
        </w:tc>
        <w:tc>
          <w:tcPr>
            <w:tcW w:w="232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208,191.4</w:t>
            </w:r>
          </w:p>
        </w:tc>
        <w:tc>
          <w:tcPr>
            <w:tcW w:w="2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161,830.2</w:t>
            </w:r>
          </w:p>
        </w:tc>
        <w:tc>
          <w:tcPr>
            <w:tcW w:w="160" w:type="dxa"/>
            <w:vAlign w:val="bottom"/>
            <w:shd w:val="clear" w:color="auto" w:fill="CCEEFF"/>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40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84" w:name="page185"/>
    <w:bookmarkEnd w:id="18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Segment Information — (continued)</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5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20" w:type="dxa"/>
            <w:vAlign w:val="bottom"/>
            <w:gridSpan w:val="9"/>
          </w:tcPr>
          <w:p>
            <w:pPr>
              <w:jc w:val="center"/>
              <w:ind w:right="40"/>
              <w:spacing w:after="0"/>
              <w:rPr>
                <w:sz w:val="20"/>
                <w:szCs w:val="20"/>
                <w:color w:val="auto"/>
              </w:rPr>
            </w:pPr>
            <w:r>
              <w:rPr>
                <w:rFonts w:ascii="Arial" w:cs="Arial" w:eastAsia="Arial" w:hAnsi="Arial"/>
                <w:sz w:val="14"/>
                <w:szCs w:val="14"/>
                <w:b w:val="1"/>
                <w:bCs w:val="1"/>
                <w:color w:val="auto"/>
                <w:w w:val="86"/>
              </w:rPr>
              <w:t>For the year ended</w:t>
            </w:r>
          </w:p>
        </w:tc>
        <w:tc>
          <w:tcPr>
            <w:tcW w:w="4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5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gridSpan w:val="6"/>
          </w:tcPr>
          <w:p>
            <w:pPr>
              <w:jc w:val="center"/>
              <w:spacing w:after="0"/>
              <w:rPr>
                <w:sz w:val="20"/>
                <w:szCs w:val="20"/>
                <w:color w:val="auto"/>
              </w:rPr>
            </w:pPr>
            <w:r>
              <w:rPr>
                <w:rFonts w:ascii="Arial" w:cs="Arial" w:eastAsia="Arial" w:hAnsi="Arial"/>
                <w:sz w:val="14"/>
                <w:szCs w:val="14"/>
                <w:b w:val="1"/>
                <w:bCs w:val="1"/>
                <w:color w:val="auto"/>
                <w:w w:val="85"/>
              </w:rPr>
              <w:t>December 31,</w:t>
            </w:r>
          </w:p>
        </w:tc>
        <w:tc>
          <w:tcPr>
            <w:tcW w:w="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40" w:type="dxa"/>
            <w:vAlign w:val="bottom"/>
            <w:tcBorders>
              <w:bottom w:val="single" w:sz="8" w:color="auto"/>
            </w:tcBorders>
            <w:gridSpan w:val="4"/>
          </w:tcPr>
          <w:p>
            <w:pPr>
              <w:jc w:val="right"/>
              <w:spacing w:after="0" w:line="142" w:lineRule="exact"/>
              <w:rPr>
                <w:sz w:val="20"/>
                <w:szCs w:val="20"/>
                <w:color w:val="auto"/>
              </w:rPr>
            </w:pPr>
            <w:r>
              <w:rPr>
                <w:rFonts w:ascii="Arial" w:cs="Arial" w:eastAsia="Arial" w:hAnsi="Arial"/>
                <w:sz w:val="14"/>
                <w:szCs w:val="14"/>
                <w:b w:val="1"/>
                <w:bCs w:val="1"/>
                <w:color w:val="auto"/>
              </w:rPr>
              <w:t>2013</w:t>
            </w:r>
          </w:p>
        </w:tc>
        <w:tc>
          <w:tcPr>
            <w:tcW w:w="18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gridSpan w:val="2"/>
          </w:tcPr>
          <w:p>
            <w:pPr>
              <w:jc w:val="center"/>
              <w:ind w:right="112"/>
              <w:spacing w:after="0" w:line="142" w:lineRule="exact"/>
              <w:rPr>
                <w:sz w:val="20"/>
                <w:szCs w:val="20"/>
                <w:color w:val="auto"/>
              </w:rPr>
            </w:pPr>
            <w:r>
              <w:rPr>
                <w:rFonts w:ascii="Arial" w:cs="Arial" w:eastAsia="Arial" w:hAnsi="Arial"/>
                <w:sz w:val="14"/>
                <w:szCs w:val="14"/>
                <w:b w:val="1"/>
                <w:bCs w:val="1"/>
                <w:color w:val="auto"/>
                <w:w w:val="89"/>
              </w:rPr>
              <w:t>2012</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w w:val="70"/>
              </w:rPr>
              <w:t>2011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80" w:type="dxa"/>
            <w:vAlign w:val="bottom"/>
            <w:gridSpan w:val="5"/>
          </w:tcPr>
          <w:p>
            <w:pPr>
              <w:jc w:val="center"/>
              <w:ind w:left="52"/>
              <w:spacing w:after="0" w:line="142" w:lineRule="exact"/>
              <w:rPr>
                <w:sz w:val="20"/>
                <w:szCs w:val="20"/>
                <w:color w:val="auto"/>
              </w:rPr>
            </w:pPr>
            <w:r>
              <w:rPr>
                <w:rFonts w:ascii="Arial" w:cs="Arial" w:eastAsia="Arial" w:hAnsi="Arial"/>
                <w:sz w:val="14"/>
                <w:szCs w:val="14"/>
                <w:b w:val="1"/>
                <w:bCs w:val="1"/>
                <w:i w:val="1"/>
                <w:iCs w:val="1"/>
                <w:color w:val="auto"/>
                <w:w w:val="83"/>
              </w:rPr>
              <w:t>(in millions)</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420" w:type="dxa"/>
            <w:vAlign w:val="bottom"/>
            <w:gridSpan w:val="4"/>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Operating revenues by segment:</w:t>
            </w: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tcBorders>
              <w:right w:val="single" w:sz="8" w:color="CCEEFF"/>
            </w:tcBorders>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420" w:type="dxa"/>
            <w:vAlign w:val="bottom"/>
            <w:gridSpan w:val="4"/>
          </w:tcPr>
          <w:p>
            <w:pPr>
              <w:spacing w:after="0" w:line="149" w:lineRule="exact"/>
              <w:rPr>
                <w:sz w:val="20"/>
                <w:szCs w:val="20"/>
                <w:color w:val="auto"/>
              </w:rPr>
            </w:pPr>
            <w:r>
              <w:rPr>
                <w:rFonts w:ascii="Arial" w:cs="Arial" w:eastAsia="Arial" w:hAnsi="Arial"/>
                <w:sz w:val="14"/>
                <w:szCs w:val="14"/>
                <w:color w:val="auto"/>
              </w:rPr>
              <w:t>Retirement and Investor Services</w:t>
            </w:r>
          </w:p>
        </w:tc>
        <w:tc>
          <w:tcPr>
            <w:tcW w:w="100" w:type="dxa"/>
            <w:vAlign w:val="bottom"/>
          </w:tcPr>
          <w:p>
            <w:pPr>
              <w:spacing w:after="0"/>
              <w:rPr>
                <w:sz w:val="12"/>
                <w:szCs w:val="12"/>
                <w:color w:val="auto"/>
              </w:rPr>
            </w:pPr>
          </w:p>
        </w:tc>
        <w:tc>
          <w:tcPr>
            <w:tcW w:w="460" w:type="dxa"/>
            <w:vAlign w:val="bottom"/>
            <w:gridSpan w:val="2"/>
          </w:tcPr>
          <w:p>
            <w:pPr>
              <w:jc w:val="right"/>
              <w:ind w:right="72"/>
              <w:spacing w:after="0" w:line="149" w:lineRule="exact"/>
              <w:rPr>
                <w:sz w:val="20"/>
                <w:szCs w:val="20"/>
                <w:color w:val="auto"/>
              </w:rPr>
            </w:pPr>
            <w:r>
              <w:rPr>
                <w:rFonts w:ascii="Arial" w:cs="Arial" w:eastAsia="Arial" w:hAnsi="Arial"/>
                <w:sz w:val="14"/>
                <w:szCs w:val="14"/>
                <w:b w:val="1"/>
                <w:bCs w:val="1"/>
                <w:color w:val="auto"/>
              </w:rPr>
              <w:t>$</w:t>
            </w:r>
          </w:p>
        </w:tc>
        <w:tc>
          <w:tcPr>
            <w:tcW w:w="420" w:type="dxa"/>
            <w:vAlign w:val="bottom"/>
            <w:gridSpan w:val="4"/>
          </w:tcPr>
          <w:p>
            <w:pPr>
              <w:jc w:val="right"/>
              <w:spacing w:after="0" w:line="149" w:lineRule="exact"/>
              <w:rPr>
                <w:sz w:val="20"/>
                <w:szCs w:val="20"/>
                <w:color w:val="auto"/>
              </w:rPr>
            </w:pPr>
            <w:r>
              <w:rPr>
                <w:rFonts w:ascii="Arial" w:cs="Arial" w:eastAsia="Arial" w:hAnsi="Arial"/>
                <w:sz w:val="14"/>
                <w:szCs w:val="14"/>
                <w:b w:val="1"/>
                <w:bCs w:val="1"/>
                <w:color w:val="auto"/>
                <w:w w:val="85"/>
              </w:rPr>
              <w:t>4,847.6</w:t>
            </w:r>
          </w:p>
        </w:tc>
        <w:tc>
          <w:tcPr>
            <w:tcW w:w="26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460" w:type="dxa"/>
            <w:vAlign w:val="bottom"/>
            <w:gridSpan w:val="2"/>
          </w:tcPr>
          <w:p>
            <w:pPr>
              <w:jc w:val="right"/>
              <w:spacing w:after="0" w:line="149" w:lineRule="exact"/>
              <w:rPr>
                <w:sz w:val="20"/>
                <w:szCs w:val="20"/>
                <w:color w:val="auto"/>
              </w:rPr>
            </w:pPr>
            <w:r>
              <w:rPr>
                <w:rFonts w:ascii="Arial" w:cs="Arial" w:eastAsia="Arial" w:hAnsi="Arial"/>
                <w:sz w:val="14"/>
                <w:szCs w:val="14"/>
                <w:color w:val="auto"/>
                <w:w w:val="94"/>
              </w:rPr>
              <w:t>4,834.9</w:t>
            </w:r>
          </w:p>
        </w:tc>
        <w:tc>
          <w:tcPr>
            <w:tcW w:w="120" w:type="dxa"/>
            <w:vAlign w:val="bottom"/>
          </w:tcPr>
          <w:p>
            <w:pPr>
              <w:spacing w:after="0"/>
              <w:rPr>
                <w:sz w:val="12"/>
                <w:szCs w:val="12"/>
                <w:color w:val="auto"/>
              </w:rPr>
            </w:pPr>
          </w:p>
        </w:tc>
        <w:tc>
          <w:tcPr>
            <w:tcW w:w="2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w w:val="85"/>
              </w:rPr>
              <w:t>4,075.0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420" w:type="dxa"/>
            <w:vAlign w:val="bottom"/>
            <w:gridSpan w:val="4"/>
            <w:shd w:val="clear" w:color="auto" w:fill="CCEEFF"/>
          </w:tcPr>
          <w:p>
            <w:pPr>
              <w:spacing w:after="0" w:line="149" w:lineRule="exact"/>
              <w:rPr>
                <w:sz w:val="20"/>
                <w:szCs w:val="20"/>
                <w:color w:val="auto"/>
              </w:rPr>
            </w:pPr>
            <w:r>
              <w:rPr>
                <w:rFonts w:ascii="Arial" w:cs="Arial" w:eastAsia="Arial" w:hAnsi="Arial"/>
                <w:sz w:val="14"/>
                <w:szCs w:val="14"/>
                <w:color w:val="auto"/>
              </w:rPr>
              <w:t>Principal Global Investors</w:t>
            </w: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60" w:type="dxa"/>
            <w:vAlign w:val="bottom"/>
            <w:gridSpan w:val="3"/>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96"/>
              </w:rPr>
              <w:t>719.2</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591.2</w:t>
            </w:r>
          </w:p>
        </w:tc>
        <w:tc>
          <w:tcPr>
            <w:tcW w:w="120" w:type="dxa"/>
            <w:vAlign w:val="bottom"/>
            <w:shd w:val="clear" w:color="auto" w:fill="CCEEFF"/>
          </w:tcPr>
          <w:p>
            <w:pPr>
              <w:spacing w:after="0"/>
              <w:rPr>
                <w:sz w:val="12"/>
                <w:szCs w:val="12"/>
                <w:color w:val="auto"/>
              </w:rPr>
            </w:pPr>
          </w:p>
        </w:tc>
        <w:tc>
          <w:tcPr>
            <w:tcW w:w="80" w:type="dxa"/>
            <w:vAlign w:val="bottom"/>
            <w:tcBorders>
              <w:right w:val="single" w:sz="8" w:color="CCEEFF"/>
            </w:tcBorders>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546.3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420" w:type="dxa"/>
            <w:vAlign w:val="bottom"/>
            <w:gridSpan w:val="4"/>
          </w:tcPr>
          <w:p>
            <w:pPr>
              <w:spacing w:after="0" w:line="149" w:lineRule="exact"/>
              <w:rPr>
                <w:sz w:val="20"/>
                <w:szCs w:val="20"/>
                <w:color w:val="auto"/>
              </w:rPr>
            </w:pPr>
            <w:r>
              <w:rPr>
                <w:rFonts w:ascii="Arial" w:cs="Arial" w:eastAsia="Arial" w:hAnsi="Arial"/>
                <w:sz w:val="14"/>
                <w:szCs w:val="14"/>
                <w:color w:val="auto"/>
              </w:rPr>
              <w:t>Principal International</w:t>
            </w: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20" w:type="dxa"/>
            <w:vAlign w:val="bottom"/>
            <w:gridSpan w:val="4"/>
          </w:tcPr>
          <w:p>
            <w:pPr>
              <w:jc w:val="right"/>
              <w:spacing w:after="0" w:line="149" w:lineRule="exact"/>
              <w:rPr>
                <w:sz w:val="20"/>
                <w:szCs w:val="20"/>
                <w:color w:val="auto"/>
              </w:rPr>
            </w:pPr>
            <w:r>
              <w:rPr>
                <w:rFonts w:ascii="Arial" w:cs="Arial" w:eastAsia="Arial" w:hAnsi="Arial"/>
                <w:sz w:val="14"/>
                <w:szCs w:val="14"/>
                <w:b w:val="1"/>
                <w:bCs w:val="1"/>
                <w:color w:val="auto"/>
                <w:w w:val="85"/>
              </w:rPr>
              <w:t>1,150.0</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942.7</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909.0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420" w:type="dxa"/>
            <w:vAlign w:val="bottom"/>
            <w:gridSpan w:val="4"/>
            <w:shd w:val="clear" w:color="auto" w:fill="CCEEFF"/>
          </w:tcPr>
          <w:p>
            <w:pPr>
              <w:spacing w:after="0" w:line="149" w:lineRule="exact"/>
              <w:rPr>
                <w:sz w:val="20"/>
                <w:szCs w:val="20"/>
                <w:color w:val="auto"/>
              </w:rPr>
            </w:pPr>
            <w:r>
              <w:rPr>
                <w:rFonts w:ascii="Arial" w:cs="Arial" w:eastAsia="Arial" w:hAnsi="Arial"/>
                <w:sz w:val="14"/>
                <w:szCs w:val="14"/>
                <w:color w:val="auto"/>
              </w:rPr>
              <w:t>U.S. Insurance Solutions</w:t>
            </w: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420" w:type="dxa"/>
            <w:vAlign w:val="bottom"/>
            <w:gridSpan w:val="4"/>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85"/>
              </w:rPr>
              <w:t>3,106.4</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w w:val="94"/>
              </w:rPr>
              <w:t>2,994.7</w:t>
            </w:r>
          </w:p>
        </w:tc>
        <w:tc>
          <w:tcPr>
            <w:tcW w:w="120" w:type="dxa"/>
            <w:vAlign w:val="bottom"/>
            <w:shd w:val="clear" w:color="auto" w:fill="CCEEFF"/>
          </w:tcPr>
          <w:p>
            <w:pPr>
              <w:spacing w:after="0"/>
              <w:rPr>
                <w:sz w:val="12"/>
                <w:szCs w:val="12"/>
                <w:color w:val="auto"/>
              </w:rPr>
            </w:pPr>
          </w:p>
        </w:tc>
        <w:tc>
          <w:tcPr>
            <w:tcW w:w="80" w:type="dxa"/>
            <w:vAlign w:val="bottom"/>
            <w:tcBorders>
              <w:right w:val="single" w:sz="8" w:color="CCEEFF"/>
            </w:tcBorders>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85"/>
              </w:rPr>
              <w:t>2,939.9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tcPr>
          <w:p>
            <w:pPr>
              <w:spacing w:after="0" w:line="149" w:lineRule="exact"/>
              <w:rPr>
                <w:sz w:val="20"/>
                <w:szCs w:val="20"/>
                <w:color w:val="auto"/>
              </w:rPr>
            </w:pPr>
            <w:r>
              <w:rPr>
                <w:rFonts w:ascii="Arial" w:cs="Arial" w:eastAsia="Arial" w:hAnsi="Arial"/>
                <w:sz w:val="14"/>
                <w:szCs w:val="14"/>
                <w:color w:val="auto"/>
                <w:w w:val="80"/>
              </w:rPr>
              <w:t>Corporate</w:t>
            </w:r>
          </w:p>
        </w:tc>
        <w:tc>
          <w:tcPr>
            <w:tcW w:w="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4"/>
          </w:tcPr>
          <w:p>
            <w:pPr>
              <w:jc w:val="right"/>
              <w:ind w:right="52"/>
              <w:spacing w:after="0" w:line="149" w:lineRule="exact"/>
              <w:rPr>
                <w:sz w:val="20"/>
                <w:szCs w:val="20"/>
                <w:color w:val="auto"/>
              </w:rPr>
            </w:pPr>
            <w:r>
              <w:rPr>
                <w:rFonts w:ascii="Arial" w:cs="Arial" w:eastAsia="Arial" w:hAnsi="Arial"/>
                <w:sz w:val="14"/>
                <w:szCs w:val="14"/>
                <w:b w:val="1"/>
                <w:bCs w:val="1"/>
                <w:color w:val="auto"/>
                <w:w w:val="85"/>
              </w:rPr>
              <w:t>(215.8)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gridSpan w:val="3"/>
          </w:tcPr>
          <w:p>
            <w:pPr>
              <w:jc w:val="right"/>
              <w:ind w:right="80"/>
              <w:spacing w:after="0" w:line="149" w:lineRule="exact"/>
              <w:rPr>
                <w:sz w:val="20"/>
                <w:szCs w:val="20"/>
                <w:color w:val="auto"/>
              </w:rPr>
            </w:pPr>
            <w:r>
              <w:rPr>
                <w:rFonts w:ascii="Arial" w:cs="Arial" w:eastAsia="Arial" w:hAnsi="Arial"/>
                <w:sz w:val="14"/>
                <w:szCs w:val="14"/>
                <w:color w:val="auto"/>
              </w:rPr>
              <w:t>(188.1)</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w w:val="99"/>
              </w:rPr>
              <w:t>(189.2)</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420" w:type="dxa"/>
            <w:vAlign w:val="bottom"/>
            <w:gridSpan w:val="4"/>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segment operating revenues</w:t>
            </w: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00" w:type="dxa"/>
            <w:vAlign w:val="bottom"/>
            <w:tcBorders>
              <w:top w:val="single" w:sz="8" w:color="auto"/>
            </w:tcBorders>
            <w:shd w:val="clear" w:color="auto" w:fill="CCEEFF"/>
          </w:tcPr>
          <w:p>
            <w:pPr>
              <w:spacing w:after="0"/>
              <w:rPr>
                <w:sz w:val="12"/>
                <w:szCs w:val="12"/>
                <w:color w:val="auto"/>
              </w:rPr>
            </w:pPr>
          </w:p>
        </w:tc>
        <w:tc>
          <w:tcPr>
            <w:tcW w:w="420" w:type="dxa"/>
            <w:vAlign w:val="bottom"/>
            <w:tcBorders>
              <w:top w:val="single" w:sz="8" w:color="auto"/>
            </w:tcBorders>
            <w:gridSpan w:val="4"/>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85"/>
              </w:rPr>
              <w:t>9,607.4</w:t>
            </w:r>
          </w:p>
        </w:tc>
        <w:tc>
          <w:tcPr>
            <w:tcW w:w="160" w:type="dxa"/>
            <w:vAlign w:val="bottom"/>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60" w:type="dxa"/>
            <w:vAlign w:val="bottom"/>
            <w:tcBorders>
              <w:top w:val="single" w:sz="8" w:color="auto"/>
            </w:tcBorders>
            <w:shd w:val="clear" w:color="auto" w:fill="CCEEFF"/>
          </w:tcPr>
          <w:p>
            <w:pPr>
              <w:spacing w:after="0"/>
              <w:rPr>
                <w:sz w:val="12"/>
                <w:szCs w:val="12"/>
                <w:color w:val="auto"/>
              </w:rPr>
            </w:pPr>
          </w:p>
        </w:tc>
        <w:tc>
          <w:tcPr>
            <w:tcW w:w="460" w:type="dxa"/>
            <w:vAlign w:val="bottom"/>
            <w:tcBorders>
              <w:top w:val="single" w:sz="8" w:color="auto"/>
            </w:tcBorders>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w w:val="94"/>
              </w:rPr>
              <w:t>9,175.4</w:t>
            </w:r>
          </w:p>
        </w:tc>
        <w:tc>
          <w:tcPr>
            <w:tcW w:w="120" w:type="dxa"/>
            <w:vAlign w:val="bottom"/>
            <w:shd w:val="clear" w:color="auto" w:fill="CCEEFF"/>
          </w:tcPr>
          <w:p>
            <w:pPr>
              <w:spacing w:after="0"/>
              <w:rPr>
                <w:sz w:val="12"/>
                <w:szCs w:val="12"/>
                <w:color w:val="auto"/>
              </w:rPr>
            </w:pPr>
          </w:p>
        </w:tc>
        <w:tc>
          <w:tcPr>
            <w:tcW w:w="80" w:type="dxa"/>
            <w:vAlign w:val="bottom"/>
            <w:tcBorders>
              <w:right w:val="single" w:sz="8" w:color="CCEEFF"/>
            </w:tcBorders>
            <w:shd w:val="clear" w:color="auto" w:fill="CCEEFF"/>
          </w:tcPr>
          <w:p>
            <w:pPr>
              <w:spacing w:after="0"/>
              <w:rPr>
                <w:sz w:val="12"/>
                <w:szCs w:val="12"/>
                <w:color w:val="auto"/>
              </w:rPr>
            </w:pPr>
          </w:p>
        </w:tc>
        <w:tc>
          <w:tcPr>
            <w:tcW w:w="160" w:type="dxa"/>
            <w:vAlign w:val="bottom"/>
            <w:tcBorders>
              <w:top w:val="single" w:sz="8" w:color="auto"/>
              <w:right w:val="single" w:sz="8" w:color="CCEEFF"/>
            </w:tcBorders>
            <w:shd w:val="clear" w:color="auto" w:fill="CCEEFF"/>
          </w:tcPr>
          <w:p>
            <w:pPr>
              <w:spacing w:after="0"/>
              <w:rPr>
                <w:sz w:val="12"/>
                <w:szCs w:val="12"/>
                <w:color w:val="auto"/>
              </w:rPr>
            </w:pPr>
          </w:p>
        </w:tc>
        <w:tc>
          <w:tcPr>
            <w:tcW w:w="42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85"/>
              </w:rPr>
              <w:t>8,281.0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420" w:type="dxa"/>
            <w:vAlign w:val="bottom"/>
            <w:gridSpan w:val="4"/>
          </w:tcPr>
          <w:p>
            <w:pPr>
              <w:spacing w:after="0" w:line="149" w:lineRule="exact"/>
              <w:rPr>
                <w:sz w:val="20"/>
                <w:szCs w:val="20"/>
                <w:color w:val="auto"/>
              </w:rPr>
            </w:pPr>
            <w:r>
              <w:rPr>
                <w:rFonts w:ascii="Arial" w:cs="Arial" w:eastAsia="Arial" w:hAnsi="Arial"/>
                <w:sz w:val="14"/>
                <w:szCs w:val="14"/>
                <w:color w:val="auto"/>
              </w:rPr>
              <w:t>Net realized capital gains (losses), net of related revenue adjustments</w:t>
            </w: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4"/>
          </w:tcPr>
          <w:p>
            <w:pPr>
              <w:jc w:val="right"/>
              <w:ind w:right="52"/>
              <w:spacing w:after="0" w:line="149" w:lineRule="exact"/>
              <w:rPr>
                <w:sz w:val="20"/>
                <w:szCs w:val="20"/>
                <w:color w:val="auto"/>
              </w:rPr>
            </w:pPr>
            <w:r>
              <w:rPr>
                <w:rFonts w:ascii="Arial" w:cs="Arial" w:eastAsia="Arial" w:hAnsi="Arial"/>
                <w:sz w:val="14"/>
                <w:szCs w:val="14"/>
                <w:b w:val="1"/>
                <w:bCs w:val="1"/>
                <w:color w:val="auto"/>
                <w:w w:val="85"/>
              </w:rPr>
              <w:t>(320.0)</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00" w:type="dxa"/>
            <w:vAlign w:val="bottom"/>
          </w:tcPr>
          <w:p>
            <w:pPr>
              <w:jc w:val="right"/>
              <w:spacing w:after="0" w:line="149" w:lineRule="exact"/>
              <w:rPr>
                <w:sz w:val="20"/>
                <w:szCs w:val="20"/>
                <w:color w:val="auto"/>
              </w:rPr>
            </w:pPr>
            <w:r>
              <w:rPr>
                <w:rFonts w:ascii="Arial" w:cs="Arial" w:eastAsia="Arial" w:hAnsi="Arial"/>
                <w:sz w:val="14"/>
                <w:szCs w:val="14"/>
                <w:color w:val="auto"/>
              </w:rPr>
              <w:t>14.7</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w w:val="99"/>
              </w:rPr>
              <w:t>(221.5)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420" w:type="dxa"/>
            <w:vAlign w:val="bottom"/>
            <w:gridSpan w:val="4"/>
            <w:shd w:val="clear" w:color="auto" w:fill="CCEEFF"/>
          </w:tcPr>
          <w:p>
            <w:pPr>
              <w:spacing w:after="0" w:line="149" w:lineRule="exact"/>
              <w:rPr>
                <w:sz w:val="20"/>
                <w:szCs w:val="20"/>
                <w:color w:val="auto"/>
              </w:rPr>
            </w:pPr>
            <w:r>
              <w:rPr>
                <w:rFonts w:ascii="Arial" w:cs="Arial" w:eastAsia="Arial" w:hAnsi="Arial"/>
                <w:sz w:val="14"/>
                <w:szCs w:val="14"/>
                <w:color w:val="auto"/>
              </w:rPr>
              <w:t>Exited group medical insurance business</w:t>
            </w: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81"/>
              </w:rPr>
              <w:t>2.1</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spacing w:after="0"/>
              <w:rPr>
                <w:sz w:val="12"/>
                <w:szCs w:val="12"/>
                <w:color w:val="auto"/>
              </w:rPr>
            </w:pPr>
          </w:p>
        </w:tc>
        <w:tc>
          <w:tcPr>
            <w:tcW w:w="3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25.0</w:t>
            </w:r>
          </w:p>
        </w:tc>
        <w:tc>
          <w:tcPr>
            <w:tcW w:w="120" w:type="dxa"/>
            <w:vAlign w:val="bottom"/>
            <w:shd w:val="clear" w:color="auto" w:fill="CCEEFF"/>
          </w:tcPr>
          <w:p>
            <w:pPr>
              <w:spacing w:after="0"/>
              <w:rPr>
                <w:sz w:val="12"/>
                <w:szCs w:val="12"/>
                <w:color w:val="auto"/>
              </w:rPr>
            </w:pPr>
          </w:p>
        </w:tc>
        <w:tc>
          <w:tcPr>
            <w:tcW w:w="80" w:type="dxa"/>
            <w:vAlign w:val="bottom"/>
            <w:tcBorders>
              <w:right w:val="single" w:sz="8" w:color="CCEEFF"/>
            </w:tcBorders>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606.3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420" w:type="dxa"/>
            <w:vAlign w:val="bottom"/>
            <w:gridSpan w:val="4"/>
          </w:tcPr>
          <w:p>
            <w:pPr>
              <w:spacing w:after="0" w:line="149" w:lineRule="exact"/>
              <w:rPr>
                <w:sz w:val="20"/>
                <w:szCs w:val="20"/>
                <w:color w:val="auto"/>
              </w:rPr>
            </w:pPr>
            <w:r>
              <w:rPr>
                <w:rFonts w:ascii="Arial" w:cs="Arial" w:eastAsia="Arial" w:hAnsi="Arial"/>
                <w:sz w:val="14"/>
                <w:szCs w:val="14"/>
                <w:color w:val="auto"/>
              </w:rPr>
              <w:t>Assumption change within our Individual Life business</w:t>
            </w: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4.9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420" w:type="dxa"/>
            <w:vAlign w:val="bottom"/>
            <w:gridSpan w:val="4"/>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revenues per consolidated statements of operations</w:t>
            </w:r>
          </w:p>
        </w:tc>
        <w:tc>
          <w:tcPr>
            <w:tcW w:w="100" w:type="dxa"/>
            <w:vAlign w:val="bottom"/>
            <w:shd w:val="clear" w:color="auto" w:fill="CCEEFF"/>
          </w:tcPr>
          <w:p>
            <w:pPr>
              <w:spacing w:after="0"/>
              <w:rPr>
                <w:sz w:val="12"/>
                <w:szCs w:val="12"/>
                <w:color w:val="auto"/>
              </w:rPr>
            </w:pPr>
          </w:p>
        </w:tc>
        <w:tc>
          <w:tcPr>
            <w:tcW w:w="460" w:type="dxa"/>
            <w:vAlign w:val="bottom"/>
            <w:gridSpan w:val="2"/>
            <w:shd w:val="clear" w:color="auto" w:fill="CCEEFF"/>
          </w:tcPr>
          <w:p>
            <w:pPr>
              <w:jc w:val="right"/>
              <w:ind w:right="72"/>
              <w:spacing w:after="0" w:line="142" w:lineRule="exact"/>
              <w:rPr>
                <w:sz w:val="20"/>
                <w:szCs w:val="20"/>
                <w:color w:val="auto"/>
              </w:rPr>
            </w:pPr>
            <w:r>
              <w:rPr>
                <w:rFonts w:ascii="Arial" w:cs="Arial" w:eastAsia="Arial" w:hAnsi="Arial"/>
                <w:sz w:val="14"/>
                <w:szCs w:val="14"/>
                <w:b w:val="1"/>
                <w:bCs w:val="1"/>
                <w:color w:val="auto"/>
              </w:rPr>
              <w:t>$</w:t>
            </w:r>
          </w:p>
        </w:tc>
        <w:tc>
          <w:tcPr>
            <w:tcW w:w="420" w:type="dxa"/>
            <w:vAlign w:val="bottom"/>
            <w:gridSpan w:val="4"/>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85"/>
              </w:rPr>
              <w:t>9,289.5</w:t>
            </w:r>
          </w:p>
        </w:tc>
        <w:tc>
          <w:tcPr>
            <w:tcW w:w="26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4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w w:val="94"/>
              </w:rPr>
              <w:t>9,215.1</w:t>
            </w:r>
          </w:p>
        </w:tc>
        <w:tc>
          <w:tcPr>
            <w:tcW w:w="120" w:type="dxa"/>
            <w:vAlign w:val="bottom"/>
            <w:shd w:val="clear" w:color="auto" w:fill="CCEEFF"/>
          </w:tcPr>
          <w:p>
            <w:pPr>
              <w:spacing w:after="0"/>
              <w:rPr>
                <w:sz w:val="12"/>
                <w:szCs w:val="12"/>
                <w:color w:val="auto"/>
              </w:rPr>
            </w:pPr>
          </w:p>
        </w:tc>
        <w:tc>
          <w:tcPr>
            <w:tcW w:w="240" w:type="dxa"/>
            <w:vAlign w:val="bottom"/>
            <w:tcBorders>
              <w:right w:val="single" w:sz="8" w:color="CCEEFF"/>
            </w:tcBorders>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85"/>
              </w:rPr>
              <w:t>8,670.</w:t>
            </w:r>
            <w:r>
              <w:rPr>
                <w:rFonts w:ascii="Arial" w:cs="Arial" w:eastAsia="Arial" w:hAnsi="Arial"/>
                <w:sz w:val="14"/>
                <w:szCs w:val="14"/>
                <w:u w:val="single" w:color="auto"/>
                <w:color w:val="auto"/>
                <w:w w:val="85"/>
              </w:rPr>
              <w:t>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6440" w:type="dxa"/>
            <w:vAlign w:val="bottom"/>
            <w:gridSpan w:val="5"/>
            <w:vMerge w:val="restart"/>
          </w:tcPr>
          <w:p>
            <w:pPr>
              <w:spacing w:after="0"/>
              <w:rPr>
                <w:sz w:val="20"/>
                <w:szCs w:val="20"/>
                <w:color w:val="auto"/>
              </w:rPr>
            </w:pPr>
            <w:r>
              <w:rPr>
                <w:rFonts w:ascii="Arial" w:cs="Arial" w:eastAsia="Arial" w:hAnsi="Arial"/>
                <w:sz w:val="14"/>
                <w:szCs w:val="14"/>
                <w:b w:val="1"/>
                <w:bCs w:val="1"/>
                <w:color w:val="auto"/>
              </w:rPr>
              <w:t>Operating earnings (loss) by segment, net of related income taxes:</w:t>
            </w:r>
          </w:p>
        </w:tc>
        <w:tc>
          <w:tcPr>
            <w:tcW w:w="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6440" w:type="dxa"/>
            <w:vAlign w:val="bottom"/>
            <w:gridSpan w:val="5"/>
            <w:vMerge w:val="continue"/>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420" w:type="dxa"/>
            <w:vAlign w:val="bottom"/>
            <w:gridSpan w:val="4"/>
            <w:shd w:val="clear" w:color="auto" w:fill="CCEEFF"/>
          </w:tcPr>
          <w:p>
            <w:pPr>
              <w:spacing w:after="0" w:line="149" w:lineRule="exact"/>
              <w:rPr>
                <w:sz w:val="20"/>
                <w:szCs w:val="20"/>
                <w:color w:val="auto"/>
              </w:rPr>
            </w:pPr>
            <w:r>
              <w:rPr>
                <w:rFonts w:ascii="Arial" w:cs="Arial" w:eastAsia="Arial" w:hAnsi="Arial"/>
                <w:sz w:val="14"/>
                <w:szCs w:val="14"/>
                <w:color w:val="auto"/>
              </w:rPr>
              <w:t>Retirement and Investor Services</w:t>
            </w:r>
          </w:p>
        </w:tc>
        <w:tc>
          <w:tcPr>
            <w:tcW w:w="100" w:type="dxa"/>
            <w:vAlign w:val="bottom"/>
            <w:shd w:val="clear" w:color="auto" w:fill="CCEEFF"/>
          </w:tcPr>
          <w:p>
            <w:pPr>
              <w:spacing w:after="0"/>
              <w:rPr>
                <w:sz w:val="12"/>
                <w:szCs w:val="12"/>
                <w:color w:val="auto"/>
              </w:rPr>
            </w:pPr>
          </w:p>
        </w:tc>
        <w:tc>
          <w:tcPr>
            <w:tcW w:w="460" w:type="dxa"/>
            <w:vAlign w:val="bottom"/>
            <w:gridSpan w:val="2"/>
            <w:shd w:val="clear" w:color="auto" w:fill="CCEEFF"/>
          </w:tcPr>
          <w:p>
            <w:pPr>
              <w:jc w:val="right"/>
              <w:ind w:right="72"/>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360" w:type="dxa"/>
            <w:vAlign w:val="bottom"/>
            <w:gridSpan w:val="3"/>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96"/>
              </w:rPr>
              <w:t>694.4</w:t>
            </w:r>
          </w:p>
        </w:tc>
        <w:tc>
          <w:tcPr>
            <w:tcW w:w="2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4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575.1</w:t>
            </w:r>
          </w:p>
        </w:tc>
        <w:tc>
          <w:tcPr>
            <w:tcW w:w="120" w:type="dxa"/>
            <w:vAlign w:val="bottom"/>
            <w:shd w:val="clear" w:color="auto" w:fill="CCEEFF"/>
          </w:tcPr>
          <w:p>
            <w:pPr>
              <w:spacing w:after="0"/>
              <w:rPr>
                <w:sz w:val="12"/>
                <w:szCs w:val="12"/>
                <w:color w:val="auto"/>
              </w:rPr>
            </w:pPr>
          </w:p>
        </w:tc>
        <w:tc>
          <w:tcPr>
            <w:tcW w:w="240" w:type="dxa"/>
            <w:vAlign w:val="bottom"/>
            <w:tcBorders>
              <w:right w:val="single" w:sz="8" w:color="CCEEFF"/>
            </w:tcBorders>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562.9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420" w:type="dxa"/>
            <w:vAlign w:val="bottom"/>
            <w:gridSpan w:val="4"/>
          </w:tcPr>
          <w:p>
            <w:pPr>
              <w:spacing w:after="0" w:line="149" w:lineRule="exact"/>
              <w:rPr>
                <w:sz w:val="20"/>
                <w:szCs w:val="20"/>
                <w:color w:val="auto"/>
              </w:rPr>
            </w:pPr>
            <w:r>
              <w:rPr>
                <w:rFonts w:ascii="Arial" w:cs="Arial" w:eastAsia="Arial" w:hAnsi="Arial"/>
                <w:sz w:val="14"/>
                <w:szCs w:val="14"/>
                <w:color w:val="auto"/>
              </w:rPr>
              <w:t>Principal Global Investors</w:t>
            </w: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gridSpan w:val="3"/>
          </w:tcPr>
          <w:p>
            <w:pPr>
              <w:jc w:val="right"/>
              <w:spacing w:after="0" w:line="149" w:lineRule="exact"/>
              <w:rPr>
                <w:sz w:val="20"/>
                <w:szCs w:val="20"/>
                <w:color w:val="auto"/>
              </w:rPr>
            </w:pPr>
            <w:r>
              <w:rPr>
                <w:rFonts w:ascii="Arial" w:cs="Arial" w:eastAsia="Arial" w:hAnsi="Arial"/>
                <w:sz w:val="14"/>
                <w:szCs w:val="14"/>
                <w:b w:val="1"/>
                <w:bCs w:val="1"/>
                <w:color w:val="auto"/>
                <w:w w:val="96"/>
              </w:rPr>
              <w:t>102.6</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00" w:type="dxa"/>
            <w:vAlign w:val="bottom"/>
          </w:tcPr>
          <w:p>
            <w:pPr>
              <w:jc w:val="right"/>
              <w:spacing w:after="0" w:line="149" w:lineRule="exact"/>
              <w:rPr>
                <w:sz w:val="20"/>
                <w:szCs w:val="20"/>
                <w:color w:val="auto"/>
              </w:rPr>
            </w:pPr>
            <w:r>
              <w:rPr>
                <w:rFonts w:ascii="Arial" w:cs="Arial" w:eastAsia="Arial" w:hAnsi="Arial"/>
                <w:sz w:val="14"/>
                <w:szCs w:val="14"/>
                <w:color w:val="auto"/>
              </w:rPr>
              <w:t>81.2</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74.0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420" w:type="dxa"/>
            <w:vAlign w:val="bottom"/>
            <w:gridSpan w:val="4"/>
            <w:shd w:val="clear" w:color="auto" w:fill="CCEEFF"/>
          </w:tcPr>
          <w:p>
            <w:pPr>
              <w:spacing w:after="0" w:line="149" w:lineRule="exact"/>
              <w:rPr>
                <w:sz w:val="20"/>
                <w:szCs w:val="20"/>
                <w:color w:val="auto"/>
              </w:rPr>
            </w:pPr>
            <w:r>
              <w:rPr>
                <w:rFonts w:ascii="Arial" w:cs="Arial" w:eastAsia="Arial" w:hAnsi="Arial"/>
                <w:sz w:val="14"/>
                <w:szCs w:val="14"/>
                <w:color w:val="auto"/>
              </w:rPr>
              <w:t>Principal International</w:t>
            </w: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60" w:type="dxa"/>
            <w:vAlign w:val="bottom"/>
            <w:gridSpan w:val="3"/>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96"/>
              </w:rPr>
              <w:t>215.2</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154.1</w:t>
            </w:r>
          </w:p>
        </w:tc>
        <w:tc>
          <w:tcPr>
            <w:tcW w:w="120" w:type="dxa"/>
            <w:vAlign w:val="bottom"/>
            <w:shd w:val="clear" w:color="auto" w:fill="CCEEFF"/>
          </w:tcPr>
          <w:p>
            <w:pPr>
              <w:spacing w:after="0"/>
              <w:rPr>
                <w:sz w:val="12"/>
                <w:szCs w:val="12"/>
                <w:color w:val="auto"/>
              </w:rPr>
            </w:pPr>
          </w:p>
        </w:tc>
        <w:tc>
          <w:tcPr>
            <w:tcW w:w="80" w:type="dxa"/>
            <w:vAlign w:val="bottom"/>
            <w:tcBorders>
              <w:right w:val="single" w:sz="8" w:color="CCEEFF"/>
            </w:tcBorders>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135.0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420" w:type="dxa"/>
            <w:vAlign w:val="bottom"/>
            <w:gridSpan w:val="4"/>
          </w:tcPr>
          <w:p>
            <w:pPr>
              <w:spacing w:after="0" w:line="149" w:lineRule="exact"/>
              <w:rPr>
                <w:sz w:val="20"/>
                <w:szCs w:val="20"/>
                <w:color w:val="auto"/>
              </w:rPr>
            </w:pPr>
            <w:r>
              <w:rPr>
                <w:rFonts w:ascii="Arial" w:cs="Arial" w:eastAsia="Arial" w:hAnsi="Arial"/>
                <w:sz w:val="14"/>
                <w:szCs w:val="14"/>
                <w:color w:val="auto"/>
              </w:rPr>
              <w:t>U.S. Insurance Solutions</w:t>
            </w: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gridSpan w:val="3"/>
          </w:tcPr>
          <w:p>
            <w:pPr>
              <w:jc w:val="right"/>
              <w:spacing w:after="0" w:line="149" w:lineRule="exact"/>
              <w:rPr>
                <w:sz w:val="20"/>
                <w:szCs w:val="20"/>
                <w:color w:val="auto"/>
              </w:rPr>
            </w:pPr>
            <w:r>
              <w:rPr>
                <w:rFonts w:ascii="Arial" w:cs="Arial" w:eastAsia="Arial" w:hAnsi="Arial"/>
                <w:sz w:val="14"/>
                <w:szCs w:val="14"/>
                <w:b w:val="1"/>
                <w:bCs w:val="1"/>
                <w:color w:val="auto"/>
                <w:w w:val="96"/>
              </w:rPr>
              <w:t>196.6</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138.2</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204.3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80"/>
              </w:rPr>
              <w:t>Corporate</w:t>
            </w:r>
          </w:p>
        </w:tc>
        <w:tc>
          <w:tcPr>
            <w:tcW w:w="4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5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4"/>
            <w:shd w:val="clear" w:color="auto" w:fill="CCEEFF"/>
          </w:tcPr>
          <w:p>
            <w:pPr>
              <w:jc w:val="right"/>
              <w:ind w:right="52"/>
              <w:spacing w:after="0" w:line="149" w:lineRule="exact"/>
              <w:rPr>
                <w:sz w:val="20"/>
                <w:szCs w:val="20"/>
                <w:color w:val="auto"/>
              </w:rPr>
            </w:pPr>
            <w:r>
              <w:rPr>
                <w:rFonts w:ascii="Arial" w:cs="Arial" w:eastAsia="Arial" w:hAnsi="Arial"/>
                <w:sz w:val="14"/>
                <w:szCs w:val="14"/>
                <w:b w:val="1"/>
                <w:bCs w:val="1"/>
                <w:color w:val="auto"/>
                <w:w w:val="85"/>
              </w:rPr>
              <w:t>(148.9)</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gridSpan w:val="3"/>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(139.8)</w:t>
            </w:r>
          </w:p>
        </w:tc>
        <w:tc>
          <w:tcPr>
            <w:tcW w:w="80" w:type="dxa"/>
            <w:vAlign w:val="bottom"/>
            <w:tcBorders>
              <w:right w:val="single" w:sz="8" w:color="CCEEFF"/>
            </w:tcBorders>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spacing w:after="0"/>
              <w:rPr>
                <w:sz w:val="12"/>
                <w:szCs w:val="12"/>
                <w:color w:val="auto"/>
              </w:rPr>
            </w:pPr>
          </w:p>
        </w:tc>
        <w:tc>
          <w:tcPr>
            <w:tcW w:w="5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w w:val="99"/>
              </w:rPr>
              <w:t>(146.9)</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420" w:type="dxa"/>
            <w:vAlign w:val="bottom"/>
            <w:gridSpan w:val="4"/>
          </w:tcPr>
          <w:p>
            <w:pPr>
              <w:ind w:left="140"/>
              <w:spacing w:after="0" w:line="142" w:lineRule="exact"/>
              <w:rPr>
                <w:sz w:val="20"/>
                <w:szCs w:val="20"/>
                <w:color w:val="auto"/>
              </w:rPr>
            </w:pPr>
            <w:r>
              <w:rPr>
                <w:rFonts w:ascii="Arial" w:cs="Arial" w:eastAsia="Arial" w:hAnsi="Arial"/>
                <w:sz w:val="14"/>
                <w:szCs w:val="14"/>
                <w:color w:val="auto"/>
              </w:rPr>
              <w:t>Total segment operating earnings, net of related income taxes</w:t>
            </w: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420" w:type="dxa"/>
            <w:vAlign w:val="bottom"/>
            <w:tcBorders>
              <w:top w:val="single" w:sz="8" w:color="auto"/>
            </w:tcBorders>
            <w:gridSpan w:val="4"/>
          </w:tcPr>
          <w:p>
            <w:pPr>
              <w:jc w:val="right"/>
              <w:spacing w:after="0" w:line="142" w:lineRule="exact"/>
              <w:rPr>
                <w:sz w:val="20"/>
                <w:szCs w:val="20"/>
                <w:color w:val="auto"/>
              </w:rPr>
            </w:pPr>
            <w:r>
              <w:rPr>
                <w:rFonts w:ascii="Arial" w:cs="Arial" w:eastAsia="Arial" w:hAnsi="Arial"/>
                <w:sz w:val="14"/>
                <w:szCs w:val="14"/>
                <w:b w:val="1"/>
                <w:bCs w:val="1"/>
                <w:color w:val="auto"/>
                <w:w w:val="85"/>
              </w:rPr>
              <w:t>1,059.9</w:t>
            </w: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46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4"/>
                <w:szCs w:val="14"/>
                <w:color w:val="auto"/>
              </w:rPr>
              <w:t>808.8</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4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829.3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420" w:type="dxa"/>
            <w:vAlign w:val="bottom"/>
            <w:gridSpan w:val="4"/>
            <w:shd w:val="clear" w:color="auto" w:fill="CCEEFF"/>
          </w:tcPr>
          <w:p>
            <w:pPr>
              <w:spacing w:after="0" w:line="149" w:lineRule="exact"/>
              <w:rPr>
                <w:sz w:val="20"/>
                <w:szCs w:val="20"/>
                <w:color w:val="auto"/>
              </w:rPr>
            </w:pPr>
            <w:r>
              <w:rPr>
                <w:rFonts w:ascii="Arial" w:cs="Arial" w:eastAsia="Arial" w:hAnsi="Arial"/>
                <w:sz w:val="14"/>
                <w:szCs w:val="14"/>
                <w:color w:val="auto"/>
              </w:rPr>
              <w:t>Net realized capital gains (losses), as adjusted (1)</w:t>
            </w: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4"/>
            <w:shd w:val="clear" w:color="auto" w:fill="CCEEFF"/>
          </w:tcPr>
          <w:p>
            <w:pPr>
              <w:jc w:val="right"/>
              <w:ind w:right="52"/>
              <w:spacing w:after="0" w:line="149" w:lineRule="exact"/>
              <w:rPr>
                <w:sz w:val="20"/>
                <w:szCs w:val="20"/>
                <w:color w:val="auto"/>
              </w:rPr>
            </w:pPr>
            <w:r>
              <w:rPr>
                <w:rFonts w:ascii="Arial" w:cs="Arial" w:eastAsia="Arial" w:hAnsi="Arial"/>
                <w:sz w:val="14"/>
                <w:szCs w:val="14"/>
                <w:b w:val="1"/>
                <w:bCs w:val="1"/>
                <w:color w:val="auto"/>
                <w:w w:val="85"/>
              </w:rPr>
              <w:t>(179.1)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spacing w:after="0"/>
              <w:rPr>
                <w:sz w:val="12"/>
                <w:szCs w:val="12"/>
                <w:color w:val="auto"/>
              </w:rPr>
            </w:pPr>
          </w:p>
        </w:tc>
        <w:tc>
          <w:tcPr>
            <w:tcW w:w="3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39.0</w:t>
            </w:r>
          </w:p>
        </w:tc>
        <w:tc>
          <w:tcPr>
            <w:tcW w:w="120" w:type="dxa"/>
            <w:vAlign w:val="bottom"/>
            <w:shd w:val="clear" w:color="auto" w:fill="CCEEFF"/>
          </w:tcPr>
          <w:p>
            <w:pPr>
              <w:spacing w:after="0"/>
              <w:rPr>
                <w:sz w:val="12"/>
                <w:szCs w:val="12"/>
                <w:color w:val="auto"/>
              </w:rPr>
            </w:pPr>
          </w:p>
        </w:tc>
        <w:tc>
          <w:tcPr>
            <w:tcW w:w="80" w:type="dxa"/>
            <w:vAlign w:val="bottom"/>
            <w:tcBorders>
              <w:right w:val="single" w:sz="8" w:color="CCEEFF"/>
            </w:tcBorders>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spacing w:after="0"/>
              <w:rPr>
                <w:sz w:val="12"/>
                <w:szCs w:val="12"/>
                <w:color w:val="auto"/>
              </w:rPr>
            </w:pPr>
          </w:p>
        </w:tc>
        <w:tc>
          <w:tcPr>
            <w:tcW w:w="5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w w:val="99"/>
              </w:rPr>
              <w:t>(141.7)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420" w:type="dxa"/>
            <w:vAlign w:val="bottom"/>
            <w:gridSpan w:val="4"/>
          </w:tcPr>
          <w:p>
            <w:pPr>
              <w:spacing w:after="0" w:line="149" w:lineRule="exact"/>
              <w:rPr>
                <w:sz w:val="20"/>
                <w:szCs w:val="20"/>
                <w:color w:val="auto"/>
              </w:rPr>
            </w:pPr>
            <w:r>
              <w:rPr>
                <w:rFonts w:ascii="Arial" w:cs="Arial" w:eastAsia="Arial" w:hAnsi="Arial"/>
                <w:sz w:val="14"/>
                <w:szCs w:val="14"/>
                <w:color w:val="auto"/>
              </w:rPr>
              <w:t>Other after-tax adjustments (2)</w:t>
            </w: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4"/>
          </w:tcPr>
          <w:p>
            <w:pPr>
              <w:jc w:val="right"/>
              <w:ind w:right="52"/>
              <w:spacing w:after="0" w:line="149" w:lineRule="exact"/>
              <w:rPr>
                <w:sz w:val="20"/>
                <w:szCs w:val="20"/>
                <w:color w:val="auto"/>
              </w:rPr>
            </w:pPr>
            <w:r>
              <w:rPr>
                <w:rFonts w:ascii="Arial" w:cs="Arial" w:eastAsia="Arial" w:hAnsi="Arial"/>
                <w:sz w:val="14"/>
                <w:szCs w:val="14"/>
                <w:b w:val="1"/>
                <w:bCs w:val="1"/>
                <w:color w:val="auto"/>
              </w:rPr>
              <w:t>(1.1)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w w:val="87"/>
              </w:rPr>
              <w:t>(74.2)</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(82.3)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5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60" w:type="dxa"/>
            <w:vAlign w:val="bottom"/>
            <w:tcBorders>
              <w:right w:val="single" w:sz="8" w:color="auto"/>
            </w:tcBorders>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160" w:type="dxa"/>
            <w:vAlign w:val="bottom"/>
            <w:tcBorders>
              <w:right w:val="single" w:sz="8" w:color="auto"/>
            </w:tcBorders>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6420" w:type="dxa"/>
            <w:vAlign w:val="bottom"/>
            <w:gridSpan w:val="4"/>
            <w:shd w:val="clear" w:color="auto" w:fill="CCEEFF"/>
          </w:tcPr>
          <w:p>
            <w:pPr>
              <w:ind w:left="140"/>
              <w:spacing w:after="0" w:line="142" w:lineRule="exact"/>
              <w:rPr>
                <w:sz w:val="20"/>
                <w:szCs w:val="20"/>
                <w:color w:val="auto"/>
              </w:rPr>
            </w:pPr>
            <w:r>
              <w:rPr>
                <w:rFonts w:ascii="Arial" w:cs="Arial" w:eastAsia="Arial" w:hAnsi="Arial"/>
                <w:sz w:val="14"/>
                <w:szCs w:val="14"/>
                <w:color w:val="auto"/>
              </w:rPr>
              <w:t>Net income available to common stockholders per consolidated statements of operations</w:t>
            </w:r>
          </w:p>
        </w:tc>
        <w:tc>
          <w:tcPr>
            <w:tcW w:w="100" w:type="dxa"/>
            <w:vAlign w:val="bottom"/>
            <w:shd w:val="clear" w:color="auto" w:fill="CCEEFF"/>
          </w:tcPr>
          <w:p>
            <w:pPr>
              <w:spacing w:after="0"/>
              <w:rPr>
                <w:sz w:val="12"/>
                <w:szCs w:val="12"/>
                <w:color w:val="auto"/>
              </w:rPr>
            </w:pPr>
          </w:p>
        </w:tc>
        <w:tc>
          <w:tcPr>
            <w:tcW w:w="460" w:type="dxa"/>
            <w:vAlign w:val="bottom"/>
            <w:gridSpan w:val="2"/>
            <w:shd w:val="clear" w:color="auto" w:fill="CCEEFF"/>
          </w:tcPr>
          <w:p>
            <w:pPr>
              <w:jc w:val="right"/>
              <w:ind w:right="72"/>
              <w:spacing w:after="0" w:line="142"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360" w:type="dxa"/>
            <w:vAlign w:val="bottom"/>
            <w:gridSpan w:val="3"/>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96"/>
              </w:rPr>
              <w:t>879.</w:t>
            </w:r>
            <w:r>
              <w:rPr>
                <w:rFonts w:ascii="Arial" w:cs="Arial" w:eastAsia="Arial" w:hAnsi="Arial"/>
                <w:sz w:val="14"/>
                <w:szCs w:val="14"/>
                <w:b w:val="1"/>
                <w:bCs w:val="1"/>
                <w:u w:val="single" w:color="auto"/>
                <w:color w:val="auto"/>
                <w:w w:val="96"/>
              </w:rPr>
              <w:t>7</w:t>
            </w:r>
          </w:p>
        </w:tc>
        <w:tc>
          <w:tcPr>
            <w:tcW w:w="26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4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773.6</w:t>
            </w:r>
          </w:p>
        </w:tc>
        <w:tc>
          <w:tcPr>
            <w:tcW w:w="120" w:type="dxa"/>
            <w:vAlign w:val="bottom"/>
            <w:shd w:val="clear" w:color="auto" w:fill="CCEEFF"/>
          </w:tcPr>
          <w:p>
            <w:pPr>
              <w:spacing w:after="0"/>
              <w:rPr>
                <w:sz w:val="12"/>
                <w:szCs w:val="12"/>
                <w:color w:val="auto"/>
              </w:rPr>
            </w:pPr>
          </w:p>
        </w:tc>
        <w:tc>
          <w:tcPr>
            <w:tcW w:w="240" w:type="dxa"/>
            <w:vAlign w:val="bottom"/>
            <w:tcBorders>
              <w:right w:val="single" w:sz="8" w:color="CCEEFF"/>
            </w:tcBorders>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605.3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5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5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560" w:type="dxa"/>
            <w:vAlign w:val="bottom"/>
            <w:tcBorders>
              <w:bottom w:val="single" w:sz="8" w:color="auto"/>
            </w:tcBorders>
          </w:tcPr>
          <w:p>
            <w:pPr>
              <w:spacing w:after="0"/>
              <w:rPr>
                <w:sz w:val="7"/>
                <w:szCs w:val="7"/>
                <w:color w:val="auto"/>
              </w:rPr>
            </w:pPr>
          </w:p>
        </w:tc>
        <w:tc>
          <w:tcPr>
            <w:tcW w:w="530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160" w:type="dxa"/>
            <w:vAlign w:val="bottom"/>
          </w:tcPr>
          <w:p>
            <w:pPr>
              <w:spacing w:after="0"/>
              <w:rPr>
                <w:sz w:val="7"/>
                <w:szCs w:val="7"/>
                <w:color w:val="auto"/>
              </w:rPr>
            </w:pPr>
          </w:p>
        </w:tc>
        <w:tc>
          <w:tcPr>
            <w:tcW w:w="300" w:type="dxa"/>
            <w:vAlign w:val="bottom"/>
          </w:tcPr>
          <w:p>
            <w:pPr>
              <w:spacing w:after="0"/>
              <w:rPr>
                <w:sz w:val="7"/>
                <w:szCs w:val="7"/>
                <w:color w:val="auto"/>
              </w:rPr>
            </w:pPr>
          </w:p>
        </w:tc>
        <w:tc>
          <w:tcPr>
            <w:tcW w:w="120" w:type="dxa"/>
            <w:vAlign w:val="bottom"/>
          </w:tcPr>
          <w:p>
            <w:pPr>
              <w:spacing w:after="0"/>
              <w:rPr>
                <w:sz w:val="7"/>
                <w:szCs w:val="7"/>
                <w:color w:val="auto"/>
              </w:rPr>
            </w:pPr>
          </w:p>
        </w:tc>
        <w:tc>
          <w:tcPr>
            <w:tcW w:w="80" w:type="dxa"/>
            <w:vAlign w:val="bottom"/>
          </w:tcPr>
          <w:p>
            <w:pPr>
              <w:spacing w:after="0"/>
              <w:rPr>
                <w:sz w:val="7"/>
                <w:szCs w:val="7"/>
                <w:color w:val="auto"/>
              </w:rPr>
            </w:pPr>
          </w:p>
        </w:tc>
        <w:tc>
          <w:tcPr>
            <w:tcW w:w="160" w:type="dxa"/>
            <w:vAlign w:val="bottom"/>
          </w:tcPr>
          <w:p>
            <w:pPr>
              <w:spacing w:after="0"/>
              <w:rPr>
                <w:sz w:val="7"/>
                <w:szCs w:val="7"/>
                <w:color w:val="auto"/>
              </w:rPr>
            </w:pPr>
          </w:p>
        </w:tc>
        <w:tc>
          <w:tcPr>
            <w:tcW w:w="42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71"/>
        </w:trPr>
        <w:tc>
          <w:tcPr>
            <w:tcW w:w="540" w:type="dxa"/>
            <w:vAlign w:val="bottom"/>
            <w:gridSpan w:val="2"/>
          </w:tcPr>
          <w:p>
            <w:pPr>
              <w:spacing w:after="0"/>
              <w:rPr>
                <w:sz w:val="20"/>
                <w:szCs w:val="20"/>
                <w:color w:val="auto"/>
              </w:rPr>
            </w:pPr>
            <w:r>
              <w:rPr>
                <w:rFonts w:ascii="Arial" w:cs="Arial" w:eastAsia="Arial" w:hAnsi="Arial"/>
                <w:sz w:val="14"/>
                <w:szCs w:val="14"/>
                <w:color w:val="auto"/>
              </w:rPr>
              <w:t>(1)</w:t>
            </w:r>
          </w:p>
        </w:tc>
        <w:tc>
          <w:tcPr>
            <w:tcW w:w="5900" w:type="dxa"/>
            <w:vAlign w:val="bottom"/>
            <w:gridSpan w:val="3"/>
          </w:tcPr>
          <w:p>
            <w:pPr>
              <w:spacing w:after="0"/>
              <w:rPr>
                <w:sz w:val="20"/>
                <w:szCs w:val="20"/>
                <w:color w:val="auto"/>
              </w:rPr>
            </w:pPr>
            <w:r>
              <w:rPr>
                <w:rFonts w:ascii="Arial" w:cs="Arial" w:eastAsia="Arial" w:hAnsi="Arial"/>
                <w:sz w:val="14"/>
                <w:szCs w:val="14"/>
                <w:color w:val="auto"/>
              </w:rPr>
              <w:t>Net realized capital gains (losses), as adjusted, is derived as follows:</w:t>
            </w: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5"/>
        </w:trPr>
        <w:tc>
          <w:tcPr>
            <w:tcW w:w="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520" w:type="dxa"/>
            <w:vAlign w:val="bottom"/>
            <w:gridSpan w:val="11"/>
          </w:tcPr>
          <w:p>
            <w:pPr>
              <w:jc w:val="center"/>
              <w:ind w:right="280"/>
              <w:spacing w:after="0"/>
              <w:rPr>
                <w:sz w:val="20"/>
                <w:szCs w:val="20"/>
                <w:color w:val="auto"/>
              </w:rPr>
            </w:pPr>
            <w:r>
              <w:rPr>
                <w:rFonts w:ascii="Arial" w:cs="Arial" w:eastAsia="Arial" w:hAnsi="Arial"/>
                <w:sz w:val="14"/>
                <w:szCs w:val="14"/>
                <w:b w:val="1"/>
                <w:bCs w:val="1"/>
                <w:color w:val="auto"/>
                <w:w w:val="86"/>
              </w:rPr>
              <w:t>For the year ended</w:t>
            </w: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53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gridSpan w:val="8"/>
          </w:tcPr>
          <w:p>
            <w:pPr>
              <w:jc w:val="center"/>
              <w:ind w:right="12"/>
              <w:spacing w:after="0"/>
              <w:rPr>
                <w:sz w:val="20"/>
                <w:szCs w:val="20"/>
                <w:color w:val="auto"/>
              </w:rPr>
            </w:pPr>
            <w:r>
              <w:rPr>
                <w:rFonts w:ascii="Arial" w:cs="Arial" w:eastAsia="Arial" w:hAnsi="Arial"/>
                <w:sz w:val="14"/>
                <w:szCs w:val="14"/>
                <w:b w:val="1"/>
                <w:bCs w:val="1"/>
                <w:color w:val="auto"/>
                <w:w w:val="85"/>
              </w:rPr>
              <w:t>December 31,</w:t>
            </w:r>
          </w:p>
        </w:tc>
        <w:tc>
          <w:tcPr>
            <w:tcW w:w="3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30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gridSpan w:val="2"/>
          </w:tcPr>
          <w:p>
            <w:pPr>
              <w:jc w:val="right"/>
              <w:ind w:right="92"/>
              <w:spacing w:after="0" w:line="142" w:lineRule="exact"/>
              <w:rPr>
                <w:sz w:val="20"/>
                <w:szCs w:val="20"/>
                <w:color w:val="auto"/>
              </w:rPr>
            </w:pPr>
            <w:r>
              <w:rPr>
                <w:rFonts w:ascii="Arial" w:cs="Arial" w:eastAsia="Arial" w:hAnsi="Arial"/>
                <w:sz w:val="14"/>
                <w:szCs w:val="14"/>
                <w:b w:val="1"/>
                <w:bCs w:val="1"/>
                <w:color w:val="auto"/>
                <w:w w:val="89"/>
              </w:rPr>
              <w:t>2013</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gridSpan w:val="2"/>
          </w:tcPr>
          <w:p>
            <w:pPr>
              <w:jc w:val="center"/>
              <w:spacing w:after="0" w:line="142" w:lineRule="exact"/>
              <w:rPr>
                <w:sz w:val="20"/>
                <w:szCs w:val="20"/>
                <w:color w:val="auto"/>
              </w:rPr>
            </w:pPr>
            <w:r>
              <w:rPr>
                <w:rFonts w:ascii="Arial" w:cs="Arial" w:eastAsia="Arial" w:hAnsi="Arial"/>
                <w:sz w:val="14"/>
                <w:szCs w:val="14"/>
                <w:b w:val="1"/>
                <w:bCs w:val="1"/>
                <w:color w:val="auto"/>
                <w:w w:val="89"/>
              </w:rPr>
              <w:t>2012</w:t>
            </w:r>
          </w:p>
        </w:tc>
        <w:tc>
          <w:tcPr>
            <w:tcW w:w="100" w:type="dxa"/>
            <w:vAlign w:val="bottom"/>
            <w:tcBorders>
              <w:bottom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tcBorders>
              <w:bottom w:val="single" w:sz="8" w:color="auto"/>
            </w:tcBorders>
            <w:gridSpan w:val="2"/>
          </w:tcPr>
          <w:p>
            <w:pPr>
              <w:jc w:val="right"/>
              <w:ind w:right="60"/>
              <w:spacing w:after="0" w:line="142" w:lineRule="exact"/>
              <w:rPr>
                <w:sz w:val="20"/>
                <w:szCs w:val="20"/>
                <w:color w:val="auto"/>
              </w:rPr>
            </w:pPr>
            <w:r>
              <w:rPr>
                <w:rFonts w:ascii="Arial" w:cs="Arial" w:eastAsia="Arial" w:hAnsi="Arial"/>
                <w:sz w:val="14"/>
                <w:szCs w:val="14"/>
                <w:b w:val="1"/>
                <w:bCs w:val="1"/>
                <w:color w:val="auto"/>
              </w:rPr>
              <w:t>2011</w:t>
            </w:r>
          </w:p>
        </w:tc>
        <w:tc>
          <w:tcPr>
            <w:tcW w:w="8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gridSpan w:val="5"/>
          </w:tcPr>
          <w:p>
            <w:pPr>
              <w:jc w:val="right"/>
              <w:spacing w:after="0" w:line="142" w:lineRule="exact"/>
              <w:rPr>
                <w:sz w:val="20"/>
                <w:szCs w:val="20"/>
                <w:color w:val="auto"/>
              </w:rPr>
            </w:pPr>
            <w:r>
              <w:rPr>
                <w:rFonts w:ascii="Arial" w:cs="Arial" w:eastAsia="Arial" w:hAnsi="Arial"/>
                <w:sz w:val="14"/>
                <w:szCs w:val="14"/>
                <w:b w:val="1"/>
                <w:bCs w:val="1"/>
                <w:i w:val="1"/>
                <w:iCs w:val="1"/>
                <w:color w:val="auto"/>
                <w:w w:val="76"/>
              </w:rPr>
              <w:t>(in millions)</w:t>
            </w:r>
          </w:p>
        </w:tc>
        <w:tc>
          <w:tcPr>
            <w:tcW w:w="220" w:type="dxa"/>
            <w:vAlign w:val="bottom"/>
            <w:gridSpan w:val="2"/>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8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Net realized capital gains (losses):</w:t>
            </w: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tcBorders>
              <w:right w:val="single" w:sz="8" w:color="CCEEFF"/>
            </w:tcBorders>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860" w:type="dxa"/>
            <w:vAlign w:val="bottom"/>
            <w:gridSpan w:val="2"/>
          </w:tcPr>
          <w:p>
            <w:pPr>
              <w:spacing w:after="0" w:line="149" w:lineRule="exact"/>
              <w:rPr>
                <w:sz w:val="20"/>
                <w:szCs w:val="20"/>
                <w:color w:val="auto"/>
              </w:rPr>
            </w:pPr>
            <w:r>
              <w:rPr>
                <w:rFonts w:ascii="Arial" w:cs="Arial" w:eastAsia="Arial" w:hAnsi="Arial"/>
                <w:sz w:val="14"/>
                <w:szCs w:val="14"/>
                <w:color w:val="auto"/>
              </w:rPr>
              <w:t>Net realized capital gains (losses)</w:t>
            </w:r>
          </w:p>
        </w:tc>
        <w:tc>
          <w:tcPr>
            <w:tcW w:w="100" w:type="dxa"/>
            <w:vAlign w:val="bottom"/>
          </w:tcPr>
          <w:p>
            <w:pPr>
              <w:jc w:val="right"/>
              <w:spacing w:after="0"/>
              <w:rPr>
                <w:sz w:val="20"/>
                <w:szCs w:val="20"/>
                <w:color w:val="auto"/>
              </w:rPr>
            </w:pPr>
            <w:r>
              <w:rPr>
                <w:rFonts w:ascii="Arial" w:cs="Arial" w:eastAsia="Arial" w:hAnsi="Arial"/>
                <w:sz w:val="10"/>
                <w:szCs w:val="10"/>
                <w:b w:val="1"/>
                <w:bCs w:val="1"/>
                <w:color w:val="auto"/>
                <w:w w:val="71"/>
              </w:rPr>
              <w:t>$</w:t>
            </w:r>
          </w:p>
        </w:tc>
        <w:tc>
          <w:tcPr>
            <w:tcW w:w="520" w:type="dxa"/>
            <w:vAlign w:val="bottom"/>
            <w:gridSpan w:val="3"/>
          </w:tcPr>
          <w:p>
            <w:pPr>
              <w:jc w:val="right"/>
              <w:spacing w:after="0" w:line="149" w:lineRule="exact"/>
              <w:rPr>
                <w:sz w:val="20"/>
                <w:szCs w:val="20"/>
                <w:color w:val="auto"/>
              </w:rPr>
            </w:pPr>
            <w:r>
              <w:rPr>
                <w:rFonts w:ascii="Arial" w:cs="Arial" w:eastAsia="Arial" w:hAnsi="Arial"/>
                <w:sz w:val="14"/>
                <w:szCs w:val="14"/>
                <w:b w:val="1"/>
                <w:bCs w:val="1"/>
                <w:color w:val="auto"/>
              </w:rPr>
              <w:t>(225.2)</w:t>
            </w:r>
          </w:p>
        </w:tc>
        <w:tc>
          <w:tcPr>
            <w:tcW w:w="18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500" w:type="dxa"/>
            <w:vAlign w:val="bottom"/>
            <w:gridSpan w:val="4"/>
          </w:tcPr>
          <w:p>
            <w:pPr>
              <w:jc w:val="right"/>
              <w:ind w:right="60"/>
              <w:spacing w:after="0" w:line="149" w:lineRule="exact"/>
              <w:rPr>
                <w:sz w:val="20"/>
                <w:szCs w:val="20"/>
                <w:color w:val="auto"/>
              </w:rPr>
            </w:pPr>
            <w:r>
              <w:rPr>
                <w:rFonts w:ascii="Arial" w:cs="Arial" w:eastAsia="Arial" w:hAnsi="Arial"/>
                <w:sz w:val="14"/>
                <w:szCs w:val="14"/>
                <w:color w:val="auto"/>
              </w:rPr>
              <w:t>114.1</w:t>
            </w:r>
          </w:p>
        </w:tc>
        <w:tc>
          <w:tcPr>
            <w:tcW w:w="160" w:type="dxa"/>
            <w:vAlign w:val="bottom"/>
          </w:tcPr>
          <w:p>
            <w:pPr>
              <w:jc w:val="center"/>
              <w:ind w:left="32"/>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gridSpan w:val="4"/>
          </w:tcPr>
          <w:p>
            <w:pPr>
              <w:jc w:val="right"/>
              <w:ind w:right="120"/>
              <w:spacing w:after="0" w:line="149" w:lineRule="exact"/>
              <w:rPr>
                <w:sz w:val="20"/>
                <w:szCs w:val="20"/>
                <w:color w:val="auto"/>
              </w:rPr>
            </w:pPr>
            <w:r>
              <w:rPr>
                <w:rFonts w:ascii="Arial" w:cs="Arial" w:eastAsia="Arial" w:hAnsi="Arial"/>
                <w:sz w:val="14"/>
                <w:szCs w:val="14"/>
                <w:color w:val="auto"/>
              </w:rPr>
              <w:t>(122.3)</w:t>
            </w: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8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Certain derivative and hedging-related adjustments</w:t>
            </w:r>
          </w:p>
        </w:tc>
        <w:tc>
          <w:tcPr>
            <w:tcW w:w="100" w:type="dxa"/>
            <w:vAlign w:val="bottom"/>
            <w:shd w:val="clear" w:color="auto" w:fill="CCEEFF"/>
          </w:tcPr>
          <w:p>
            <w:pPr>
              <w:spacing w:after="0"/>
              <w:rPr>
                <w:sz w:val="12"/>
                <w:szCs w:val="12"/>
                <w:color w:val="auto"/>
              </w:rPr>
            </w:pPr>
          </w:p>
        </w:tc>
        <w:tc>
          <w:tcPr>
            <w:tcW w:w="520" w:type="dxa"/>
            <w:vAlign w:val="bottom"/>
            <w:gridSpan w:val="3"/>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(93.9)</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4"/>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(98.9)</w:t>
            </w:r>
          </w:p>
        </w:tc>
        <w:tc>
          <w:tcPr>
            <w:tcW w:w="160" w:type="dxa"/>
            <w:vAlign w:val="bottom"/>
            <w:tcBorders>
              <w:right w:val="single" w:sz="8" w:color="CCEEFF"/>
            </w:tcBorders>
            <w:shd w:val="clear" w:color="auto" w:fill="CCEEFF"/>
          </w:tcPr>
          <w:p>
            <w:pPr>
              <w:spacing w:after="0"/>
              <w:rPr>
                <w:sz w:val="12"/>
                <w:szCs w:val="12"/>
                <w:color w:val="auto"/>
              </w:rPr>
            </w:pPr>
          </w:p>
        </w:tc>
        <w:tc>
          <w:tcPr>
            <w:tcW w:w="660" w:type="dxa"/>
            <w:vAlign w:val="bottom"/>
            <w:tcBorders>
              <w:right w:val="single" w:sz="8" w:color="CCEEFF"/>
            </w:tcBorders>
            <w:gridSpan w:val="4"/>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(98.8)</w:t>
            </w: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860" w:type="dxa"/>
            <w:vAlign w:val="bottom"/>
            <w:gridSpan w:val="2"/>
          </w:tcPr>
          <w:p>
            <w:pPr>
              <w:spacing w:after="0" w:line="149" w:lineRule="exact"/>
              <w:rPr>
                <w:sz w:val="20"/>
                <w:szCs w:val="20"/>
                <w:color w:val="auto"/>
              </w:rPr>
            </w:pPr>
            <w:r>
              <w:rPr>
                <w:rFonts w:ascii="Arial" w:cs="Arial" w:eastAsia="Arial" w:hAnsi="Arial"/>
                <w:sz w:val="14"/>
                <w:szCs w:val="14"/>
                <w:color w:val="auto"/>
              </w:rPr>
              <w:t>Certain market value adjustments to fee revenues</w:t>
            </w: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20" w:type="dxa"/>
            <w:vAlign w:val="bottom"/>
            <w:gridSpan w:val="3"/>
          </w:tcPr>
          <w:p>
            <w:pPr>
              <w:jc w:val="right"/>
              <w:ind w:right="20"/>
              <w:spacing w:after="0" w:line="149" w:lineRule="exact"/>
              <w:rPr>
                <w:sz w:val="20"/>
                <w:szCs w:val="20"/>
                <w:color w:val="auto"/>
              </w:rPr>
            </w:pPr>
            <w:r>
              <w:rPr>
                <w:rFonts w:ascii="Arial" w:cs="Arial" w:eastAsia="Arial" w:hAnsi="Arial"/>
                <w:sz w:val="14"/>
                <w:szCs w:val="14"/>
                <w:color w:val="auto"/>
                <w:w w:val="97"/>
              </w:rPr>
              <w:t>(0.3)</w:t>
            </w:r>
          </w:p>
        </w:tc>
        <w:tc>
          <w:tcPr>
            <w:tcW w:w="160" w:type="dxa"/>
            <w:vAlign w:val="bottom"/>
          </w:tcPr>
          <w:p>
            <w:pPr>
              <w:spacing w:after="0"/>
              <w:rPr>
                <w:sz w:val="12"/>
                <w:szCs w:val="12"/>
                <w:color w:val="auto"/>
              </w:rPr>
            </w:pPr>
          </w:p>
        </w:tc>
        <w:tc>
          <w:tcPr>
            <w:tcW w:w="660" w:type="dxa"/>
            <w:vAlign w:val="bottom"/>
            <w:gridSpan w:val="4"/>
          </w:tcPr>
          <w:p>
            <w:pPr>
              <w:jc w:val="right"/>
              <w:ind w:right="120"/>
              <w:spacing w:after="0" w:line="149" w:lineRule="exact"/>
              <w:rPr>
                <w:sz w:val="20"/>
                <w:szCs w:val="20"/>
                <w:color w:val="auto"/>
              </w:rPr>
            </w:pPr>
            <w:r>
              <w:rPr>
                <w:rFonts w:ascii="Arial" w:cs="Arial" w:eastAsia="Arial" w:hAnsi="Arial"/>
                <w:sz w:val="14"/>
                <w:szCs w:val="14"/>
                <w:color w:val="auto"/>
              </w:rPr>
              <w:t>(0.1)</w:t>
            </w: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8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Recognition of front-end fee revenue</w:t>
            </w:r>
          </w:p>
        </w:tc>
        <w:tc>
          <w:tcPr>
            <w:tcW w:w="100" w:type="dxa"/>
            <w:vAlign w:val="bottom"/>
            <w:shd w:val="clear" w:color="auto" w:fill="CCEEFF"/>
          </w:tcPr>
          <w:p>
            <w:pPr>
              <w:spacing w:after="0"/>
              <w:rPr>
                <w:sz w:val="12"/>
                <w:szCs w:val="12"/>
                <w:color w:val="auto"/>
              </w:rPr>
            </w:pPr>
          </w:p>
        </w:tc>
        <w:tc>
          <w:tcPr>
            <w:tcW w:w="520" w:type="dxa"/>
            <w:vAlign w:val="bottom"/>
            <w:gridSpan w:val="3"/>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(0.9)</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320" w:type="dxa"/>
            <w:vAlign w:val="bottom"/>
            <w:gridSpan w:val="3"/>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w w:val="97"/>
              </w:rPr>
              <w:t>(0.2)</w:t>
            </w:r>
          </w:p>
        </w:tc>
        <w:tc>
          <w:tcPr>
            <w:tcW w:w="160" w:type="dxa"/>
            <w:vAlign w:val="bottom"/>
            <w:tcBorders>
              <w:right w:val="single" w:sz="8" w:color="CCEEFF"/>
            </w:tcBorders>
            <w:shd w:val="clear" w:color="auto" w:fill="CCEEFF"/>
          </w:tcPr>
          <w:p>
            <w:pPr>
              <w:spacing w:after="0"/>
              <w:rPr>
                <w:sz w:val="12"/>
                <w:szCs w:val="12"/>
                <w:color w:val="auto"/>
              </w:rPr>
            </w:pPr>
          </w:p>
        </w:tc>
        <w:tc>
          <w:tcPr>
            <w:tcW w:w="660" w:type="dxa"/>
            <w:vAlign w:val="bottom"/>
            <w:tcBorders>
              <w:right w:val="single" w:sz="8" w:color="CCEEFF"/>
            </w:tcBorders>
            <w:gridSpan w:val="4"/>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(0.3)</w:t>
            </w: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860" w:type="dxa"/>
            <w:vAlign w:val="bottom"/>
            <w:gridSpan w:val="2"/>
            <w:vMerge w:val="restart"/>
          </w:tcPr>
          <w:p>
            <w:pPr>
              <w:ind w:left="140"/>
              <w:spacing w:after="0"/>
              <w:rPr>
                <w:sz w:val="20"/>
                <w:szCs w:val="20"/>
                <w:color w:val="auto"/>
              </w:rPr>
            </w:pPr>
            <w:r>
              <w:rPr>
                <w:rFonts w:ascii="Arial" w:cs="Arial" w:eastAsia="Arial" w:hAnsi="Arial"/>
                <w:sz w:val="14"/>
                <w:szCs w:val="14"/>
                <w:color w:val="auto"/>
              </w:rPr>
              <w:t>Net realized capital gains (losses), net of related revenue adjustments</w:t>
            </w:r>
          </w:p>
        </w:tc>
        <w:tc>
          <w:tcPr>
            <w:tcW w:w="100" w:type="dxa"/>
            <w:vAlign w:val="bottom"/>
            <w:shd w:val="clear" w:color="auto" w:fill="000000"/>
          </w:tcPr>
          <w:p>
            <w:pPr>
              <w:spacing w:after="0" w:line="20" w:lineRule="exact"/>
              <w:rPr>
                <w:sz w:val="1"/>
                <w:szCs w:val="1"/>
                <w:color w:val="auto"/>
              </w:rPr>
            </w:pPr>
          </w:p>
        </w:tc>
        <w:tc>
          <w:tcPr>
            <w:tcW w:w="460" w:type="dxa"/>
            <w:vAlign w:val="bottom"/>
            <w:gridSpan w:val="2"/>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60" w:type="dxa"/>
            <w:vAlign w:val="bottom"/>
            <w:gridSpan w:val="2"/>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500" w:type="dxa"/>
            <w:vAlign w:val="bottom"/>
            <w:tcBorders>
              <w:right w:val="single" w:sz="8" w:color="auto"/>
            </w:tcBorders>
            <w:gridSpan w:val="3"/>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86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gridSpan w:val="3"/>
          </w:tcPr>
          <w:p>
            <w:pPr>
              <w:jc w:val="right"/>
              <w:spacing w:after="0" w:line="142" w:lineRule="exact"/>
              <w:rPr>
                <w:sz w:val="20"/>
                <w:szCs w:val="20"/>
                <w:color w:val="auto"/>
              </w:rPr>
            </w:pPr>
            <w:r>
              <w:rPr>
                <w:rFonts w:ascii="Arial" w:cs="Arial" w:eastAsia="Arial" w:hAnsi="Arial"/>
                <w:sz w:val="14"/>
                <w:szCs w:val="14"/>
                <w:b w:val="1"/>
                <w:bCs w:val="1"/>
                <w:color w:val="auto"/>
              </w:rPr>
              <w:t>(320.0)</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60" w:type="dxa"/>
            <w:vAlign w:val="bottom"/>
            <w:gridSpan w:val="2"/>
          </w:tcPr>
          <w:p>
            <w:pPr>
              <w:jc w:val="right"/>
              <w:spacing w:after="0" w:line="142" w:lineRule="exact"/>
              <w:rPr>
                <w:sz w:val="20"/>
                <w:szCs w:val="20"/>
                <w:color w:val="auto"/>
              </w:rPr>
            </w:pPr>
            <w:r>
              <w:rPr>
                <w:rFonts w:ascii="Arial" w:cs="Arial" w:eastAsia="Arial" w:hAnsi="Arial"/>
                <w:sz w:val="14"/>
                <w:szCs w:val="14"/>
                <w:color w:val="auto"/>
                <w:w w:val="87"/>
              </w:rPr>
              <w:t>14.7</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60" w:type="dxa"/>
            <w:vAlign w:val="bottom"/>
            <w:gridSpan w:val="4"/>
          </w:tcPr>
          <w:p>
            <w:pPr>
              <w:jc w:val="right"/>
              <w:ind w:right="120"/>
              <w:spacing w:after="0" w:line="142" w:lineRule="exact"/>
              <w:rPr>
                <w:sz w:val="20"/>
                <w:szCs w:val="20"/>
                <w:color w:val="auto"/>
              </w:rPr>
            </w:pPr>
            <w:r>
              <w:rPr>
                <w:rFonts w:ascii="Arial" w:cs="Arial" w:eastAsia="Arial" w:hAnsi="Arial"/>
                <w:sz w:val="14"/>
                <w:szCs w:val="14"/>
                <w:color w:val="auto"/>
              </w:rPr>
              <w:t>(221.5)</w:t>
            </w: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8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Amortization of deferred acquisition costs and other actuarial balances</w:t>
            </w:r>
          </w:p>
        </w:tc>
        <w:tc>
          <w:tcPr>
            <w:tcW w:w="100" w:type="dxa"/>
            <w:vAlign w:val="bottom"/>
            <w:shd w:val="clear" w:color="auto" w:fill="CCEEFF"/>
          </w:tcPr>
          <w:p>
            <w:pPr>
              <w:spacing w:after="0"/>
              <w:rPr>
                <w:sz w:val="12"/>
                <w:szCs w:val="12"/>
                <w:color w:val="auto"/>
              </w:rPr>
            </w:pPr>
          </w:p>
        </w:tc>
        <w:tc>
          <w:tcPr>
            <w:tcW w:w="4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47.1</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w w:val="87"/>
              </w:rPr>
              <w:t>36.6</w:t>
            </w:r>
          </w:p>
        </w:tc>
        <w:tc>
          <w:tcPr>
            <w:tcW w:w="60" w:type="dxa"/>
            <w:vAlign w:val="bottom"/>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spacing w:after="0"/>
              <w:rPr>
                <w:sz w:val="12"/>
                <w:szCs w:val="12"/>
                <w:color w:val="auto"/>
              </w:rPr>
            </w:pPr>
          </w:p>
        </w:tc>
        <w:tc>
          <w:tcPr>
            <w:tcW w:w="660" w:type="dxa"/>
            <w:vAlign w:val="bottom"/>
            <w:tcBorders>
              <w:right w:val="single" w:sz="8" w:color="CCEEFF"/>
            </w:tcBorders>
            <w:gridSpan w:val="4"/>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(21.5)</w:t>
            </w: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860" w:type="dxa"/>
            <w:vAlign w:val="bottom"/>
            <w:gridSpan w:val="2"/>
          </w:tcPr>
          <w:p>
            <w:pPr>
              <w:spacing w:after="0" w:line="149" w:lineRule="exact"/>
              <w:rPr>
                <w:sz w:val="20"/>
                <w:szCs w:val="20"/>
                <w:color w:val="auto"/>
              </w:rPr>
            </w:pPr>
            <w:r>
              <w:rPr>
                <w:rFonts w:ascii="Arial" w:cs="Arial" w:eastAsia="Arial" w:hAnsi="Arial"/>
                <w:sz w:val="14"/>
                <w:szCs w:val="14"/>
                <w:color w:val="auto"/>
              </w:rPr>
              <w:t>Capital gains distributed</w:t>
            </w:r>
          </w:p>
        </w:tc>
        <w:tc>
          <w:tcPr>
            <w:tcW w:w="100" w:type="dxa"/>
            <w:vAlign w:val="bottom"/>
          </w:tcPr>
          <w:p>
            <w:pPr>
              <w:spacing w:after="0"/>
              <w:rPr>
                <w:sz w:val="12"/>
                <w:szCs w:val="12"/>
                <w:color w:val="auto"/>
              </w:rPr>
            </w:pPr>
          </w:p>
        </w:tc>
        <w:tc>
          <w:tcPr>
            <w:tcW w:w="520" w:type="dxa"/>
            <w:vAlign w:val="bottom"/>
            <w:gridSpan w:val="3"/>
          </w:tcPr>
          <w:p>
            <w:pPr>
              <w:jc w:val="right"/>
              <w:spacing w:after="0" w:line="149" w:lineRule="exact"/>
              <w:rPr>
                <w:sz w:val="20"/>
                <w:szCs w:val="20"/>
                <w:color w:val="auto"/>
              </w:rPr>
            </w:pPr>
            <w:r>
              <w:rPr>
                <w:rFonts w:ascii="Arial" w:cs="Arial" w:eastAsia="Arial" w:hAnsi="Arial"/>
                <w:sz w:val="14"/>
                <w:szCs w:val="14"/>
                <w:b w:val="1"/>
                <w:bCs w:val="1"/>
                <w:color w:val="auto"/>
              </w:rPr>
              <w:t>(25.8)</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4"/>
          </w:tcPr>
          <w:p>
            <w:pPr>
              <w:jc w:val="right"/>
              <w:ind w:right="20"/>
              <w:spacing w:after="0" w:line="149" w:lineRule="exact"/>
              <w:rPr>
                <w:sz w:val="20"/>
                <w:szCs w:val="20"/>
                <w:color w:val="auto"/>
              </w:rPr>
            </w:pPr>
            <w:r>
              <w:rPr>
                <w:rFonts w:ascii="Arial" w:cs="Arial" w:eastAsia="Arial" w:hAnsi="Arial"/>
                <w:sz w:val="14"/>
                <w:szCs w:val="14"/>
                <w:color w:val="auto"/>
              </w:rPr>
              <w:t>(12.2)</w:t>
            </w:r>
          </w:p>
        </w:tc>
        <w:tc>
          <w:tcPr>
            <w:tcW w:w="160" w:type="dxa"/>
            <w:vAlign w:val="bottom"/>
          </w:tcPr>
          <w:p>
            <w:pPr>
              <w:spacing w:after="0"/>
              <w:rPr>
                <w:sz w:val="12"/>
                <w:szCs w:val="12"/>
                <w:color w:val="auto"/>
              </w:rPr>
            </w:pPr>
          </w:p>
        </w:tc>
        <w:tc>
          <w:tcPr>
            <w:tcW w:w="660" w:type="dxa"/>
            <w:vAlign w:val="bottom"/>
            <w:gridSpan w:val="4"/>
          </w:tcPr>
          <w:p>
            <w:pPr>
              <w:jc w:val="right"/>
              <w:ind w:right="120"/>
              <w:spacing w:after="0" w:line="149" w:lineRule="exact"/>
              <w:rPr>
                <w:sz w:val="20"/>
                <w:szCs w:val="20"/>
                <w:color w:val="auto"/>
              </w:rPr>
            </w:pPr>
            <w:r>
              <w:rPr>
                <w:rFonts w:ascii="Arial" w:cs="Arial" w:eastAsia="Arial" w:hAnsi="Arial"/>
                <w:sz w:val="14"/>
                <w:szCs w:val="14"/>
                <w:color w:val="auto"/>
              </w:rPr>
              <w:t>(3.1)</w:t>
            </w: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8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Certain market value adjustments of embedded derivatives</w:t>
            </w:r>
          </w:p>
        </w:tc>
        <w:tc>
          <w:tcPr>
            <w:tcW w:w="100" w:type="dxa"/>
            <w:vAlign w:val="bottom"/>
            <w:shd w:val="clear" w:color="auto" w:fill="CCEEFF"/>
          </w:tcPr>
          <w:p>
            <w:pPr>
              <w:spacing w:after="0"/>
              <w:rPr>
                <w:sz w:val="12"/>
                <w:szCs w:val="12"/>
                <w:color w:val="auto"/>
              </w:rPr>
            </w:pPr>
          </w:p>
        </w:tc>
        <w:tc>
          <w:tcPr>
            <w:tcW w:w="4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18.4</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320" w:type="dxa"/>
            <w:vAlign w:val="bottom"/>
            <w:gridSpan w:val="3"/>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w w:val="97"/>
              </w:rPr>
              <w:t>(0.6)</w:t>
            </w:r>
          </w:p>
        </w:tc>
        <w:tc>
          <w:tcPr>
            <w:tcW w:w="160" w:type="dxa"/>
            <w:vAlign w:val="bottom"/>
            <w:tcBorders>
              <w:right w:val="single" w:sz="8" w:color="CCEEFF"/>
            </w:tcBorders>
            <w:shd w:val="clear" w:color="auto" w:fill="CCEEFF"/>
          </w:tcPr>
          <w:p>
            <w:pPr>
              <w:spacing w:after="0"/>
              <w:rPr>
                <w:sz w:val="12"/>
                <w:szCs w:val="12"/>
                <w:color w:val="auto"/>
              </w:rPr>
            </w:pPr>
          </w:p>
        </w:tc>
        <w:tc>
          <w:tcPr>
            <w:tcW w:w="660" w:type="dxa"/>
            <w:vAlign w:val="bottom"/>
            <w:tcBorders>
              <w:right w:val="single" w:sz="8" w:color="CCEEFF"/>
            </w:tcBorders>
            <w:gridSpan w:val="4"/>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65.6</w:t>
            </w: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860" w:type="dxa"/>
            <w:vAlign w:val="bottom"/>
            <w:gridSpan w:val="2"/>
          </w:tcPr>
          <w:p>
            <w:pPr>
              <w:spacing w:after="0" w:line="149" w:lineRule="exact"/>
              <w:rPr>
                <w:sz w:val="20"/>
                <w:szCs w:val="20"/>
                <w:color w:val="auto"/>
              </w:rPr>
            </w:pPr>
            <w:r>
              <w:rPr>
                <w:rFonts w:ascii="Arial" w:cs="Arial" w:eastAsia="Arial" w:hAnsi="Arial"/>
                <w:sz w:val="14"/>
                <w:szCs w:val="14"/>
                <w:color w:val="auto"/>
              </w:rPr>
              <w:t>Net realized capital (gains) losses associated with exited group medical insurance business</w:t>
            </w: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0.2</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60" w:type="dxa"/>
            <w:vAlign w:val="bottom"/>
            <w:gridSpan w:val="4"/>
          </w:tcPr>
          <w:p>
            <w:pPr>
              <w:jc w:val="right"/>
              <w:ind w:right="120"/>
              <w:spacing w:after="0" w:line="149" w:lineRule="exact"/>
              <w:rPr>
                <w:sz w:val="20"/>
                <w:szCs w:val="20"/>
                <w:color w:val="auto"/>
              </w:rPr>
            </w:pPr>
            <w:r>
              <w:rPr>
                <w:rFonts w:ascii="Arial" w:cs="Arial" w:eastAsia="Arial" w:hAnsi="Arial"/>
                <w:sz w:val="14"/>
                <w:szCs w:val="14"/>
                <w:color w:val="auto"/>
              </w:rPr>
              <w:t>(0.2)</w:t>
            </w: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8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Noncontrolling interest capital gains</w:t>
            </w:r>
          </w:p>
        </w:tc>
        <w:tc>
          <w:tcPr>
            <w:tcW w:w="100" w:type="dxa"/>
            <w:vAlign w:val="bottom"/>
            <w:shd w:val="clear" w:color="auto" w:fill="CCEEFF"/>
          </w:tcPr>
          <w:p>
            <w:pPr>
              <w:spacing w:after="0"/>
              <w:rPr>
                <w:sz w:val="12"/>
                <w:szCs w:val="12"/>
                <w:color w:val="auto"/>
              </w:rPr>
            </w:pPr>
          </w:p>
        </w:tc>
        <w:tc>
          <w:tcPr>
            <w:tcW w:w="520" w:type="dxa"/>
            <w:vAlign w:val="bottom"/>
            <w:gridSpan w:val="3"/>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(0.2)</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320" w:type="dxa"/>
            <w:vAlign w:val="bottom"/>
            <w:gridSpan w:val="3"/>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w w:val="97"/>
              </w:rPr>
              <w:t>(8.3)</w:t>
            </w:r>
          </w:p>
        </w:tc>
        <w:tc>
          <w:tcPr>
            <w:tcW w:w="160" w:type="dxa"/>
            <w:vAlign w:val="bottom"/>
            <w:tcBorders>
              <w:right w:val="single" w:sz="8" w:color="CCEEFF"/>
            </w:tcBorders>
            <w:shd w:val="clear" w:color="auto" w:fill="CCEEFF"/>
          </w:tcPr>
          <w:p>
            <w:pPr>
              <w:spacing w:after="0"/>
              <w:rPr>
                <w:sz w:val="12"/>
                <w:szCs w:val="12"/>
                <w:color w:val="auto"/>
              </w:rPr>
            </w:pPr>
          </w:p>
        </w:tc>
        <w:tc>
          <w:tcPr>
            <w:tcW w:w="660" w:type="dxa"/>
            <w:vAlign w:val="bottom"/>
            <w:tcBorders>
              <w:right w:val="single" w:sz="8" w:color="CCEEFF"/>
            </w:tcBorders>
            <w:gridSpan w:val="4"/>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(31.6)</w:t>
            </w: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860" w:type="dxa"/>
            <w:vAlign w:val="bottom"/>
            <w:gridSpan w:val="2"/>
          </w:tcPr>
          <w:p>
            <w:pPr>
              <w:spacing w:after="0" w:line="149" w:lineRule="exact"/>
              <w:rPr>
                <w:sz w:val="20"/>
                <w:szCs w:val="20"/>
                <w:color w:val="auto"/>
              </w:rPr>
            </w:pPr>
            <w:r>
              <w:rPr>
                <w:rFonts w:ascii="Arial" w:cs="Arial" w:eastAsia="Arial" w:hAnsi="Arial"/>
                <w:sz w:val="14"/>
                <w:szCs w:val="14"/>
                <w:color w:val="auto"/>
              </w:rPr>
              <w:t>Income tax effect</w:t>
            </w:r>
          </w:p>
        </w:tc>
        <w:tc>
          <w:tcPr>
            <w:tcW w:w="100" w:type="dxa"/>
            <w:vAlign w:val="bottom"/>
          </w:tcPr>
          <w:p>
            <w:pPr>
              <w:spacing w:after="0"/>
              <w:rPr>
                <w:sz w:val="12"/>
                <w:szCs w:val="12"/>
                <w:color w:val="auto"/>
              </w:rPr>
            </w:pPr>
          </w:p>
        </w:tc>
        <w:tc>
          <w:tcPr>
            <w:tcW w:w="4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101.4</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8.6</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60" w:type="dxa"/>
            <w:vAlign w:val="bottom"/>
            <w:gridSpan w:val="4"/>
          </w:tcPr>
          <w:p>
            <w:pPr>
              <w:jc w:val="right"/>
              <w:ind w:right="160"/>
              <w:spacing w:after="0" w:line="149" w:lineRule="exact"/>
              <w:rPr>
                <w:sz w:val="20"/>
                <w:szCs w:val="20"/>
                <w:color w:val="auto"/>
              </w:rPr>
            </w:pPr>
            <w:r>
              <w:rPr>
                <w:rFonts w:ascii="Arial" w:cs="Arial" w:eastAsia="Arial" w:hAnsi="Arial"/>
                <w:sz w:val="14"/>
                <w:szCs w:val="14"/>
                <w:color w:val="auto"/>
              </w:rPr>
              <w:t>70.6</w:t>
            </w: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53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 w:type="dxa"/>
            <w:vAlign w:val="bottom"/>
            <w:tcBorders>
              <w:right w:val="single" w:sz="8" w:color="auto"/>
            </w:tcBorders>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860" w:type="dxa"/>
            <w:vAlign w:val="bottom"/>
            <w:gridSpan w:val="2"/>
            <w:shd w:val="clear" w:color="auto" w:fill="CCEEFF"/>
          </w:tcPr>
          <w:p>
            <w:pPr>
              <w:ind w:left="140"/>
              <w:spacing w:after="0" w:line="142" w:lineRule="exact"/>
              <w:rPr>
                <w:sz w:val="20"/>
                <w:szCs w:val="20"/>
                <w:color w:val="auto"/>
              </w:rPr>
            </w:pPr>
            <w:r>
              <w:rPr>
                <w:rFonts w:ascii="Arial" w:cs="Arial" w:eastAsia="Arial" w:hAnsi="Arial"/>
                <w:sz w:val="14"/>
                <w:szCs w:val="14"/>
                <w:color w:val="auto"/>
              </w:rPr>
              <w:t>Net realized capital gains (losses), as adjusted</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b w:val="1"/>
                <w:bCs w:val="1"/>
                <w:color w:val="auto"/>
                <w:w w:val="71"/>
              </w:rPr>
              <w:t>$</w:t>
            </w:r>
          </w:p>
        </w:tc>
        <w:tc>
          <w:tcPr>
            <w:tcW w:w="520" w:type="dxa"/>
            <w:vAlign w:val="bottom"/>
            <w:gridSpan w:val="3"/>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(179.1)</w:t>
            </w:r>
          </w:p>
        </w:tc>
        <w:tc>
          <w:tcPr>
            <w:tcW w:w="18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2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w w:val="87"/>
              </w:rPr>
              <w:t>39.</w:t>
            </w:r>
            <w:r>
              <w:rPr>
                <w:rFonts w:ascii="Arial" w:cs="Arial" w:eastAsia="Arial" w:hAnsi="Arial"/>
                <w:sz w:val="14"/>
                <w:szCs w:val="14"/>
                <w:u w:val="single" w:color="auto"/>
                <w:color w:val="auto"/>
                <w:w w:val="87"/>
              </w:rPr>
              <w:t>0</w:t>
            </w:r>
          </w:p>
        </w:tc>
        <w:tc>
          <w:tcPr>
            <w:tcW w:w="60" w:type="dxa"/>
            <w:vAlign w:val="bottom"/>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jc w:val="center"/>
              <w:ind w:left="32"/>
              <w:spacing w:after="0" w:line="142" w:lineRule="exact"/>
              <w:rPr>
                <w:sz w:val="20"/>
                <w:szCs w:val="20"/>
                <w:color w:val="auto"/>
              </w:rPr>
            </w:pPr>
            <w:r>
              <w:rPr>
                <w:rFonts w:ascii="Arial" w:cs="Arial" w:eastAsia="Arial" w:hAnsi="Arial"/>
                <w:sz w:val="14"/>
                <w:szCs w:val="14"/>
                <w:color w:val="auto"/>
                <w:w w:val="76"/>
              </w:rPr>
              <w:t>$</w:t>
            </w:r>
          </w:p>
        </w:tc>
        <w:tc>
          <w:tcPr>
            <w:tcW w:w="660" w:type="dxa"/>
            <w:vAlign w:val="bottom"/>
            <w:tcBorders>
              <w:right w:val="single" w:sz="8" w:color="CCEEFF"/>
            </w:tcBorders>
            <w:gridSpan w:val="4"/>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(141.7)</w:t>
            </w: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5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2" w:lineRule="exact"/>
        <w:rPr>
          <w:sz w:val="20"/>
          <w:szCs w:val="20"/>
          <w:color w:val="auto"/>
        </w:rPr>
      </w:pPr>
    </w:p>
    <w:p>
      <w:pPr>
        <w:ind w:left="1680" w:hanging="531"/>
        <w:spacing w:after="0" w:line="239" w:lineRule="auto"/>
        <w:tabs>
          <w:tab w:leader="none" w:pos="1680" w:val="left"/>
        </w:tabs>
        <w:numPr>
          <w:ilvl w:val="0"/>
          <w:numId w:val="81"/>
        </w:numPr>
        <w:rPr>
          <w:rFonts w:ascii="Arial" w:cs="Arial" w:eastAsia="Arial" w:hAnsi="Arial"/>
          <w:sz w:val="14"/>
          <w:szCs w:val="14"/>
          <w:color w:val="auto"/>
        </w:rPr>
      </w:pPr>
      <w:r>
        <w:rPr>
          <w:rFonts w:ascii="Arial" w:cs="Arial" w:eastAsia="Arial" w:hAnsi="Arial"/>
          <w:sz w:val="14"/>
          <w:szCs w:val="14"/>
          <w:color w:val="auto"/>
        </w:rPr>
        <w:t>For the year ended December 31, 2013, other after-tax adjustments included the negative effect of losses associated with our exited group medical insurance business that does not qualify for discontinued operations accounting treatment under U.S. GAAP.</w:t>
      </w:r>
    </w:p>
    <w:p>
      <w:pPr>
        <w:spacing w:after="0" w:line="192" w:lineRule="exact"/>
        <w:rPr>
          <w:rFonts w:ascii="Arial" w:cs="Arial" w:eastAsia="Arial" w:hAnsi="Arial"/>
          <w:sz w:val="14"/>
          <w:szCs w:val="14"/>
          <w:color w:val="auto"/>
        </w:rPr>
      </w:pPr>
    </w:p>
    <w:p>
      <w:pPr>
        <w:jc w:val="both"/>
        <w:ind w:left="1680"/>
        <w:spacing w:after="0" w:line="288" w:lineRule="auto"/>
        <w:rPr>
          <w:rFonts w:ascii="Arial" w:cs="Arial" w:eastAsia="Arial" w:hAnsi="Arial"/>
          <w:sz w:val="14"/>
          <w:szCs w:val="14"/>
          <w:color w:val="auto"/>
        </w:rPr>
      </w:pPr>
      <w:r>
        <w:rPr>
          <w:rFonts w:ascii="Arial" w:cs="Arial" w:eastAsia="Arial" w:hAnsi="Arial"/>
          <w:sz w:val="12"/>
          <w:szCs w:val="12"/>
          <w:color w:val="auto"/>
        </w:rPr>
        <w:t>For the year ended December 31, 2012, other after-tax adjustments included the negative effect of (a) a contribution made to The Principal Financial Group Foundation, Inc. ($39.8 million), (b) one-time costs incurred to extinguish long-term debt that was scheduled to mature in 2014 ($24.8 million) and (c) losses associated with our exited group medical insurance business that does not qualify for discontinued operations accounting treatment under U.S. GAAP ($9.6 million).</w:t>
      </w:r>
    </w:p>
    <w:p>
      <w:pPr>
        <w:spacing w:after="0" w:line="164" w:lineRule="exact"/>
        <w:rPr>
          <w:rFonts w:ascii="Arial" w:cs="Arial" w:eastAsia="Arial" w:hAnsi="Arial"/>
          <w:sz w:val="14"/>
          <w:szCs w:val="14"/>
          <w:color w:val="auto"/>
        </w:rPr>
      </w:pPr>
    </w:p>
    <w:p>
      <w:pPr>
        <w:jc w:val="both"/>
        <w:ind w:left="1680"/>
        <w:spacing w:after="0" w:line="278" w:lineRule="auto"/>
        <w:rPr>
          <w:rFonts w:ascii="Arial" w:cs="Arial" w:eastAsia="Arial" w:hAnsi="Arial"/>
          <w:sz w:val="14"/>
          <w:szCs w:val="14"/>
          <w:color w:val="auto"/>
        </w:rPr>
      </w:pPr>
      <w:r>
        <w:rPr>
          <w:rFonts w:ascii="Arial" w:cs="Arial" w:eastAsia="Arial" w:hAnsi="Arial"/>
          <w:sz w:val="12"/>
          <w:szCs w:val="12"/>
          <w:color w:val="auto"/>
        </w:rPr>
        <w:t>For the year ended December 31, 2011, other after-tax adjustments included (1) the negative effect resulting from (a) the impact of a court ruling on some uncertain tax positions ($68.9 million), (b) an assumption change in our Individual Life business ($34.5 million), (c) a contribution made to The Principal Financial Group Foundation, Inc. ($19.5 million) and (d) our estimated obligation associated with Executive Life of New York's liquidation petition ($10.3 million) and (2) the positive effect of gains associated with our exited group medical insurance business that does not qualify for discontinued operations accounting treatment under U.S. GAAP ($50.9 million).</w:t>
      </w:r>
    </w:p>
    <w:p>
      <w:pPr>
        <w:spacing w:after="0" w:line="1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85" w:name="page186"/>
    <w:bookmarkEnd w:id="18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Segment Information — (continued)</w:t>
      </w:r>
    </w:p>
    <w:p>
      <w:pPr>
        <w:spacing w:after="0" w:line="231" w:lineRule="exact"/>
        <w:rPr>
          <w:sz w:val="20"/>
          <w:szCs w:val="20"/>
          <w:color w:val="auto"/>
        </w:rPr>
      </w:pPr>
    </w:p>
    <w:p>
      <w:pPr>
        <w:ind w:right="20" w:firstLine="449"/>
        <w:spacing w:after="0" w:line="268" w:lineRule="auto"/>
        <w:rPr>
          <w:sz w:val="20"/>
          <w:szCs w:val="20"/>
          <w:color w:val="auto"/>
        </w:rPr>
      </w:pPr>
      <w:r>
        <w:rPr>
          <w:rFonts w:ascii="Arial" w:cs="Arial" w:eastAsia="Arial" w:hAnsi="Arial"/>
          <w:sz w:val="18"/>
          <w:szCs w:val="18"/>
          <w:color w:val="auto"/>
        </w:rPr>
        <w:t>The following is a summary of income tax expense (benefit) allocated to our segments for purposes of determining operating earnings. Segment income taxes are reconciled to income taxes reported on our consolidated statements of operations.</w:t>
      </w:r>
    </w:p>
    <w:p>
      <w:pPr>
        <w:spacing w:after="0" w:line="169"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0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20" w:type="dxa"/>
            <w:vAlign w:val="bottom"/>
            <w:gridSpan w:val="8"/>
          </w:tcPr>
          <w:p>
            <w:pPr>
              <w:jc w:val="right"/>
              <w:spacing w:after="0"/>
              <w:rPr>
                <w:sz w:val="20"/>
                <w:szCs w:val="20"/>
                <w:color w:val="auto"/>
              </w:rPr>
            </w:pPr>
            <w:r>
              <w:rPr>
                <w:rFonts w:ascii="Arial" w:cs="Arial" w:eastAsia="Arial" w:hAnsi="Arial"/>
                <w:sz w:val="14"/>
                <w:szCs w:val="14"/>
                <w:b w:val="1"/>
                <w:bCs w:val="1"/>
                <w:color w:val="auto"/>
              </w:rPr>
              <w:t>For the year ended</w:t>
            </w:r>
          </w:p>
        </w:tc>
        <w:tc>
          <w:tcPr>
            <w:tcW w:w="4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70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gridSpan w:val="6"/>
          </w:tcPr>
          <w:p>
            <w:pPr>
              <w:jc w:val="right"/>
              <w:ind w:right="20"/>
              <w:spacing w:after="0"/>
              <w:rPr>
                <w:sz w:val="20"/>
                <w:szCs w:val="20"/>
                <w:color w:val="auto"/>
              </w:rPr>
            </w:pPr>
            <w:r>
              <w:rPr>
                <w:rFonts w:ascii="Arial" w:cs="Arial" w:eastAsia="Arial" w:hAnsi="Arial"/>
                <w:sz w:val="14"/>
                <w:szCs w:val="14"/>
                <w:b w:val="1"/>
                <w:bCs w:val="1"/>
                <w:color w:val="auto"/>
              </w:rPr>
              <w:t>December 31,</w:t>
            </w:r>
          </w:p>
        </w:tc>
        <w:tc>
          <w:tcPr>
            <w:tcW w:w="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0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96"/>
              </w:rPr>
              <w:t>2013</w:t>
            </w:r>
          </w:p>
        </w:tc>
        <w:tc>
          <w:tcPr>
            <w:tcW w:w="40" w:type="dxa"/>
            <w:vAlign w:val="bottom"/>
          </w:tcPr>
          <w:p>
            <w:pPr>
              <w:spacing w:after="0"/>
              <w:rPr>
                <w:sz w:val="12"/>
                <w:szCs w:val="12"/>
                <w:color w:val="auto"/>
              </w:rPr>
            </w:pPr>
          </w:p>
        </w:tc>
        <w:tc>
          <w:tcPr>
            <w:tcW w:w="120" w:type="dxa"/>
            <w:vAlign w:val="bottom"/>
            <w:vMerge w:val="restart"/>
          </w:tcPr>
          <w:p>
            <w:pPr>
              <w:spacing w:after="0"/>
              <w:rPr>
                <w:sz w:val="20"/>
                <w:szCs w:val="20"/>
                <w:color w:val="auto"/>
              </w:rPr>
            </w:pPr>
            <w:r>
              <w:rPr>
                <w:rFonts w:ascii="Arial" w:cs="Arial" w:eastAsia="Arial" w:hAnsi="Arial"/>
                <w:sz w:val="11"/>
                <w:szCs w:val="11"/>
                <w:b w:val="1"/>
                <w:bCs w:val="1"/>
                <w:i w:val="1"/>
                <w:iCs w:val="1"/>
                <w:color w:val="auto"/>
                <w:w w:val="74"/>
              </w:rPr>
              <w:t>(in</w:t>
            </w:r>
          </w:p>
        </w:tc>
        <w:tc>
          <w:tcPr>
            <w:tcW w:w="8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9"/>
              </w:rPr>
              <w:t>2012</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0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vMerge w:val="continue"/>
          </w:tcPr>
          <w:p>
            <w:pPr>
              <w:spacing w:after="0"/>
              <w:rPr>
                <w:sz w:val="12"/>
                <w:szCs w:val="12"/>
                <w:color w:val="auto"/>
              </w:rPr>
            </w:pPr>
          </w:p>
        </w:tc>
        <w:tc>
          <w:tcPr>
            <w:tcW w:w="500" w:type="dxa"/>
            <w:vAlign w:val="bottom"/>
            <w:gridSpan w:val="2"/>
          </w:tcPr>
          <w:p>
            <w:pPr>
              <w:jc w:val="right"/>
              <w:spacing w:after="0" w:line="142" w:lineRule="exact"/>
              <w:rPr>
                <w:sz w:val="20"/>
                <w:szCs w:val="20"/>
                <w:color w:val="auto"/>
              </w:rPr>
            </w:pPr>
            <w:r>
              <w:rPr>
                <w:rFonts w:ascii="Arial" w:cs="Arial" w:eastAsia="Arial" w:hAnsi="Arial"/>
                <w:sz w:val="14"/>
                <w:szCs w:val="14"/>
                <w:b w:val="1"/>
                <w:bCs w:val="1"/>
                <w:i w:val="1"/>
                <w:iCs w:val="1"/>
                <w:color w:val="auto"/>
                <w:w w:val="83"/>
              </w:rPr>
              <w:t>millions)</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04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Income tax expense by segment:</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040" w:type="dxa"/>
            <w:vAlign w:val="bottom"/>
          </w:tcPr>
          <w:p>
            <w:pPr>
              <w:spacing w:after="0" w:line="149" w:lineRule="exact"/>
              <w:rPr>
                <w:sz w:val="20"/>
                <w:szCs w:val="20"/>
                <w:color w:val="auto"/>
              </w:rPr>
            </w:pPr>
            <w:r>
              <w:rPr>
                <w:rFonts w:ascii="Arial" w:cs="Arial" w:eastAsia="Arial" w:hAnsi="Arial"/>
                <w:sz w:val="14"/>
                <w:szCs w:val="14"/>
                <w:color w:val="auto"/>
              </w:rPr>
              <w:t>Retirement and Investor Services</w:t>
            </w:r>
          </w:p>
        </w:tc>
        <w:tc>
          <w:tcPr>
            <w:tcW w:w="100" w:type="dxa"/>
            <w:vAlign w:val="bottom"/>
            <w:gridSpan w:val="2"/>
          </w:tcPr>
          <w:p>
            <w:pPr>
              <w:jc w:val="right"/>
              <w:ind w:right="17"/>
              <w:spacing w:after="0"/>
              <w:rPr>
                <w:sz w:val="20"/>
                <w:szCs w:val="20"/>
                <w:color w:val="auto"/>
              </w:rPr>
            </w:pPr>
            <w:r>
              <w:rPr>
                <w:rFonts w:ascii="Arial" w:cs="Arial" w:eastAsia="Arial" w:hAnsi="Arial"/>
                <w:sz w:val="10"/>
                <w:szCs w:val="10"/>
                <w:b w:val="1"/>
                <w:bCs w:val="1"/>
                <w:color w:val="auto"/>
                <w:w w:val="71"/>
              </w:rPr>
              <w:t>$</w:t>
            </w:r>
          </w:p>
        </w:tc>
        <w:tc>
          <w:tcPr>
            <w:tcW w:w="4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195.6</w:t>
            </w:r>
          </w:p>
        </w:tc>
        <w:tc>
          <w:tcPr>
            <w:tcW w:w="40" w:type="dxa"/>
            <w:vAlign w:val="bottom"/>
          </w:tcPr>
          <w:p>
            <w:pPr>
              <w:spacing w:after="0"/>
              <w:rPr>
                <w:sz w:val="12"/>
                <w:szCs w:val="12"/>
                <w:color w:val="auto"/>
              </w:rPr>
            </w:pPr>
          </w:p>
        </w:tc>
        <w:tc>
          <w:tcPr>
            <w:tcW w:w="20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150.0</w:t>
            </w:r>
          </w:p>
        </w:tc>
        <w:tc>
          <w:tcPr>
            <w:tcW w:w="140" w:type="dxa"/>
            <w:vAlign w:val="bottom"/>
          </w:tcPr>
          <w:p>
            <w:pPr>
              <w:spacing w:after="0"/>
              <w:rPr>
                <w:sz w:val="12"/>
                <w:szCs w:val="12"/>
                <w:color w:val="auto"/>
              </w:rPr>
            </w:pP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400" w:type="dxa"/>
            <w:vAlign w:val="bottom"/>
          </w:tcPr>
          <w:p>
            <w:pPr>
              <w:jc w:val="right"/>
              <w:spacing w:after="0" w:line="149" w:lineRule="exact"/>
              <w:rPr>
                <w:sz w:val="20"/>
                <w:szCs w:val="20"/>
                <w:color w:val="auto"/>
              </w:rPr>
            </w:pPr>
            <w:r>
              <w:rPr>
                <w:rFonts w:ascii="Arial" w:cs="Arial" w:eastAsia="Arial" w:hAnsi="Arial"/>
                <w:sz w:val="14"/>
                <w:szCs w:val="14"/>
                <w:color w:val="auto"/>
              </w:rPr>
              <w:t>163.9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0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Principal Global Investors</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55.5</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43.5</w:t>
            </w:r>
          </w:p>
        </w:tc>
        <w:tc>
          <w:tcPr>
            <w:tcW w:w="1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41.0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040" w:type="dxa"/>
            <w:vAlign w:val="bottom"/>
          </w:tcPr>
          <w:p>
            <w:pPr>
              <w:spacing w:after="0" w:line="149" w:lineRule="exact"/>
              <w:rPr>
                <w:sz w:val="20"/>
                <w:szCs w:val="20"/>
                <w:color w:val="auto"/>
              </w:rPr>
            </w:pPr>
            <w:r>
              <w:rPr>
                <w:rFonts w:ascii="Arial" w:cs="Arial" w:eastAsia="Arial" w:hAnsi="Arial"/>
                <w:sz w:val="14"/>
                <w:szCs w:val="14"/>
                <w:color w:val="auto"/>
              </w:rPr>
              <w:t>Principal International</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28.0</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0.6</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0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U.S. Insurance Solutions</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94.0</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61.3</w:t>
            </w:r>
          </w:p>
        </w:tc>
        <w:tc>
          <w:tcPr>
            <w:tcW w:w="1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95.3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040" w:type="dxa"/>
            <w:vAlign w:val="bottom"/>
          </w:tcPr>
          <w:p>
            <w:pPr>
              <w:spacing w:after="0" w:line="149" w:lineRule="exact"/>
              <w:rPr>
                <w:sz w:val="20"/>
                <w:szCs w:val="20"/>
                <w:color w:val="auto"/>
              </w:rPr>
            </w:pPr>
            <w:r>
              <w:rPr>
                <w:rFonts w:ascii="Arial" w:cs="Arial" w:eastAsia="Arial" w:hAnsi="Arial"/>
                <w:sz w:val="14"/>
                <w:szCs w:val="14"/>
                <w:color w:val="auto"/>
              </w:rPr>
              <w:t>Corporate</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(83.2)</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(69.6)</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(72.9)</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04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 segment income taxes from operating earnings</w:t>
            </w:r>
          </w:p>
        </w:tc>
        <w:tc>
          <w:tcPr>
            <w:tcW w:w="2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48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289.9</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42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185.8</w:t>
            </w:r>
          </w:p>
        </w:tc>
        <w:tc>
          <w:tcPr>
            <w:tcW w:w="1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40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224.2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040" w:type="dxa"/>
            <w:vAlign w:val="bottom"/>
          </w:tcPr>
          <w:p>
            <w:pPr>
              <w:ind w:left="140"/>
              <w:spacing w:after="0" w:line="149" w:lineRule="exact"/>
              <w:rPr>
                <w:sz w:val="20"/>
                <w:szCs w:val="20"/>
                <w:color w:val="auto"/>
              </w:rPr>
            </w:pPr>
            <w:r>
              <w:rPr>
                <w:rFonts w:ascii="Arial" w:cs="Arial" w:eastAsia="Arial" w:hAnsi="Arial"/>
                <w:sz w:val="14"/>
                <w:szCs w:val="14"/>
                <w:color w:val="auto"/>
              </w:rPr>
              <w:t>Tax benefit related to net realized capital losses, as adjusted</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(101.4)</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(8.6)</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(70.6)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0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Tax expense (benefit) related to other after-tax adjustments</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(0.6)</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(42.6)</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44.7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7060" w:type="dxa"/>
            <w:vAlign w:val="bottom"/>
            <w:gridSpan w:val="2"/>
          </w:tcPr>
          <w:p>
            <w:pPr>
              <w:spacing w:after="0" w:line="142" w:lineRule="exact"/>
              <w:rPr>
                <w:sz w:val="20"/>
                <w:szCs w:val="20"/>
                <w:color w:val="auto"/>
              </w:rPr>
            </w:pPr>
            <w:r>
              <w:rPr>
                <w:rFonts w:ascii="Arial" w:cs="Arial" w:eastAsia="Arial" w:hAnsi="Arial"/>
                <w:sz w:val="14"/>
                <w:szCs w:val="14"/>
                <w:color w:val="auto"/>
              </w:rPr>
              <w:t>Total income taxes expense per consolidated statements of operations</w:t>
            </w:r>
          </w:p>
        </w:tc>
        <w:tc>
          <w:tcPr>
            <w:tcW w:w="20" w:type="dxa"/>
            <w:vAlign w:val="bottom"/>
            <w:tcBorders>
              <w:bottom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jc w:val="right"/>
              <w:ind w:right="17"/>
              <w:spacing w:after="0"/>
              <w:rPr>
                <w:sz w:val="20"/>
                <w:szCs w:val="20"/>
                <w:color w:val="auto"/>
              </w:rPr>
            </w:pPr>
            <w:r>
              <w:rPr>
                <w:rFonts w:ascii="Arial" w:cs="Arial" w:eastAsia="Arial" w:hAnsi="Arial"/>
                <w:sz w:val="5"/>
                <w:szCs w:val="5"/>
                <w:b w:val="1"/>
                <w:bCs w:val="1"/>
                <w:color w:val="auto"/>
                <w:w w:val="70"/>
              </w:rPr>
              <w:t>$</w:t>
            </w:r>
          </w:p>
        </w:tc>
        <w:tc>
          <w:tcPr>
            <w:tcW w:w="4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187.9</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134.6</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198.3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0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firstLine="421"/>
        <w:spacing w:after="0" w:line="332" w:lineRule="auto"/>
        <w:rPr>
          <w:sz w:val="20"/>
          <w:szCs w:val="20"/>
          <w:color w:val="auto"/>
        </w:rPr>
      </w:pPr>
      <w:r>
        <w:rPr>
          <w:rFonts w:ascii="Arial" w:cs="Arial" w:eastAsia="Arial" w:hAnsi="Arial"/>
          <w:sz w:val="16"/>
          <w:szCs w:val="16"/>
          <w:color w:val="auto"/>
        </w:rPr>
        <w:t>The following is a summary of depreciation and amortization expense allocated to our segments for purposes of determining operating earnings. Segment depreciation and amortization equates to depreciation and amortization included in our consolidated statements of operations.</w:t>
      </w:r>
    </w:p>
    <w:p>
      <w:pPr>
        <w:spacing w:after="0" w:line="12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2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0" w:type="dxa"/>
            <w:vAlign w:val="bottom"/>
            <w:gridSpan w:val="9"/>
          </w:tcPr>
          <w:p>
            <w:pPr>
              <w:jc w:val="center"/>
              <w:ind w:right="260"/>
              <w:spacing w:after="0"/>
              <w:rPr>
                <w:sz w:val="20"/>
                <w:szCs w:val="20"/>
                <w:color w:val="auto"/>
              </w:rPr>
            </w:pPr>
            <w:r>
              <w:rPr>
                <w:rFonts w:ascii="Arial" w:cs="Arial" w:eastAsia="Arial" w:hAnsi="Arial"/>
                <w:sz w:val="14"/>
                <w:szCs w:val="14"/>
                <w:b w:val="1"/>
                <w:bCs w:val="1"/>
                <w:color w:val="auto"/>
                <w:w w:val="87"/>
              </w:rPr>
              <w:t>For the year ended</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62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gridSpan w:val="5"/>
          </w:tcPr>
          <w:p>
            <w:pPr>
              <w:jc w:val="center"/>
              <w:ind w:left="292"/>
              <w:spacing w:after="0"/>
              <w:rPr>
                <w:sz w:val="20"/>
                <w:szCs w:val="20"/>
                <w:color w:val="auto"/>
              </w:rPr>
            </w:pPr>
            <w:r>
              <w:rPr>
                <w:rFonts w:ascii="Arial" w:cs="Arial" w:eastAsia="Arial" w:hAnsi="Arial"/>
                <w:sz w:val="14"/>
                <w:szCs w:val="14"/>
                <w:b w:val="1"/>
                <w:bCs w:val="1"/>
                <w:color w:val="auto"/>
                <w:w w:val="85"/>
              </w:rPr>
              <w:t>December 31,</w:t>
            </w:r>
          </w:p>
        </w:tc>
        <w:tc>
          <w:tcPr>
            <w:tcW w:w="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26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9"/>
              </w:rPr>
              <w:t>2013</w:t>
            </w:r>
          </w:p>
        </w:tc>
        <w:tc>
          <w:tcPr>
            <w:tcW w:w="180" w:type="dxa"/>
            <w:vAlign w:val="bottom"/>
            <w:vMerge w:val="restart"/>
          </w:tcPr>
          <w:p>
            <w:pPr>
              <w:spacing w:after="0"/>
              <w:rPr>
                <w:sz w:val="20"/>
                <w:szCs w:val="20"/>
                <w:color w:val="auto"/>
              </w:rPr>
            </w:pPr>
            <w:r>
              <w:rPr>
                <w:rFonts w:ascii="Arial" w:cs="Arial" w:eastAsia="Arial" w:hAnsi="Arial"/>
                <w:sz w:val="14"/>
                <w:szCs w:val="14"/>
                <w:b w:val="1"/>
                <w:bCs w:val="1"/>
                <w:i w:val="1"/>
                <w:iCs w:val="1"/>
                <w:color w:val="auto"/>
                <w:w w:val="93"/>
              </w:rPr>
              <w:t>(in</w:t>
            </w:r>
          </w:p>
        </w:tc>
        <w:tc>
          <w:tcPr>
            <w:tcW w:w="6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w w:val="83"/>
              </w:rPr>
              <w:t>2012</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w w:val="76"/>
              </w:rPr>
              <w:t>2011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26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80" w:type="dxa"/>
            <w:vAlign w:val="bottom"/>
            <w:vMerge w:val="continue"/>
          </w:tcPr>
          <w:p>
            <w:pPr>
              <w:spacing w:after="0"/>
              <w:rPr>
                <w:sz w:val="12"/>
                <w:szCs w:val="12"/>
                <w:color w:val="auto"/>
              </w:rPr>
            </w:pPr>
          </w:p>
        </w:tc>
        <w:tc>
          <w:tcPr>
            <w:tcW w:w="440" w:type="dxa"/>
            <w:vAlign w:val="bottom"/>
            <w:gridSpan w:val="2"/>
          </w:tcPr>
          <w:p>
            <w:pPr>
              <w:jc w:val="right"/>
              <w:spacing w:after="0" w:line="142" w:lineRule="exact"/>
              <w:rPr>
                <w:sz w:val="20"/>
                <w:szCs w:val="20"/>
                <w:color w:val="auto"/>
              </w:rPr>
            </w:pPr>
            <w:r>
              <w:rPr>
                <w:rFonts w:ascii="Arial" w:cs="Arial" w:eastAsia="Arial" w:hAnsi="Arial"/>
                <w:sz w:val="14"/>
                <w:szCs w:val="14"/>
                <w:b w:val="1"/>
                <w:bCs w:val="1"/>
                <w:i w:val="1"/>
                <w:iCs w:val="1"/>
                <w:color w:val="auto"/>
                <w:w w:val="72"/>
              </w:rPr>
              <w:t>millions)</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Depreciation and amortization expense by segment:</w:t>
            </w:r>
          </w:p>
        </w:tc>
        <w:tc>
          <w:tcPr>
            <w:tcW w:w="9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line="149" w:lineRule="exact"/>
              <w:rPr>
                <w:sz w:val="20"/>
                <w:szCs w:val="20"/>
                <w:color w:val="auto"/>
              </w:rPr>
            </w:pPr>
            <w:r>
              <w:rPr>
                <w:rFonts w:ascii="Arial" w:cs="Arial" w:eastAsia="Arial" w:hAnsi="Arial"/>
                <w:sz w:val="14"/>
                <w:szCs w:val="14"/>
                <w:color w:val="auto"/>
              </w:rPr>
              <w:t>Retirement and Investor Services</w:t>
            </w:r>
          </w:p>
        </w:tc>
        <w:tc>
          <w:tcPr>
            <w:tcW w:w="106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4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26.7</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380" w:type="dxa"/>
            <w:vAlign w:val="bottom"/>
          </w:tcPr>
          <w:p>
            <w:pPr>
              <w:jc w:val="right"/>
              <w:spacing w:after="0" w:line="149" w:lineRule="exact"/>
              <w:rPr>
                <w:sz w:val="20"/>
                <w:szCs w:val="20"/>
                <w:color w:val="auto"/>
              </w:rPr>
            </w:pPr>
            <w:r>
              <w:rPr>
                <w:rFonts w:ascii="Arial" w:cs="Arial" w:eastAsia="Arial" w:hAnsi="Arial"/>
                <w:sz w:val="14"/>
                <w:szCs w:val="14"/>
                <w:color w:val="auto"/>
              </w:rPr>
              <w:t>26.3</w:t>
            </w:r>
          </w:p>
        </w:tc>
        <w:tc>
          <w:tcPr>
            <w:tcW w:w="140" w:type="dxa"/>
            <w:vAlign w:val="bottom"/>
          </w:tcPr>
          <w:p>
            <w:pPr>
              <w:spacing w:after="0"/>
              <w:rPr>
                <w:sz w:val="12"/>
                <w:szCs w:val="12"/>
                <w:color w:val="auto"/>
              </w:rPr>
            </w:pPr>
          </w:p>
        </w:tc>
        <w:tc>
          <w:tcPr>
            <w:tcW w:w="10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w w:val="76"/>
              </w:rPr>
              <w:t>$</w:t>
            </w:r>
          </w:p>
        </w:tc>
        <w:tc>
          <w:tcPr>
            <w:tcW w:w="360" w:type="dxa"/>
            <w:vAlign w:val="bottom"/>
          </w:tcPr>
          <w:p>
            <w:pPr>
              <w:jc w:val="right"/>
              <w:spacing w:after="0" w:line="149" w:lineRule="exact"/>
              <w:rPr>
                <w:sz w:val="20"/>
                <w:szCs w:val="20"/>
                <w:color w:val="auto"/>
              </w:rPr>
            </w:pPr>
            <w:r>
              <w:rPr>
                <w:rFonts w:ascii="Arial" w:cs="Arial" w:eastAsia="Arial" w:hAnsi="Arial"/>
                <w:sz w:val="14"/>
                <w:szCs w:val="14"/>
                <w:color w:val="auto"/>
              </w:rPr>
              <w:t>24.7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Principal Global Investors</w:t>
            </w:r>
          </w:p>
        </w:tc>
        <w:tc>
          <w:tcPr>
            <w:tcW w:w="9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11.8</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13.3</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line="149" w:lineRule="exact"/>
              <w:rPr>
                <w:sz w:val="20"/>
                <w:szCs w:val="20"/>
                <w:color w:val="auto"/>
              </w:rPr>
            </w:pPr>
            <w:r>
              <w:rPr>
                <w:rFonts w:ascii="Arial" w:cs="Arial" w:eastAsia="Arial" w:hAnsi="Arial"/>
                <w:sz w:val="14"/>
                <w:szCs w:val="14"/>
                <w:color w:val="auto"/>
              </w:rPr>
              <w:t>Principal International</w:t>
            </w:r>
          </w:p>
        </w:tc>
        <w:tc>
          <w:tcPr>
            <w:tcW w:w="9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47.8</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80" w:type="dxa"/>
            <w:vAlign w:val="bottom"/>
          </w:tcPr>
          <w:p>
            <w:pPr>
              <w:jc w:val="right"/>
              <w:spacing w:after="0" w:line="149" w:lineRule="exact"/>
              <w:rPr>
                <w:sz w:val="20"/>
                <w:szCs w:val="20"/>
                <w:color w:val="auto"/>
              </w:rPr>
            </w:pPr>
            <w:r>
              <w:rPr>
                <w:rFonts w:ascii="Arial" w:cs="Arial" w:eastAsia="Arial" w:hAnsi="Arial"/>
                <w:sz w:val="14"/>
                <w:szCs w:val="14"/>
                <w:color w:val="auto"/>
              </w:rPr>
              <w:t>18.9</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jc w:val="right"/>
              <w:spacing w:after="0" w:line="149" w:lineRule="exact"/>
              <w:rPr>
                <w:sz w:val="20"/>
                <w:szCs w:val="20"/>
                <w:color w:val="auto"/>
              </w:rPr>
            </w:pPr>
            <w:r>
              <w:rPr>
                <w:rFonts w:ascii="Arial" w:cs="Arial" w:eastAsia="Arial" w:hAnsi="Arial"/>
                <w:sz w:val="14"/>
                <w:szCs w:val="14"/>
                <w:color w:val="auto"/>
              </w:rPr>
              <w:t>14.8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U.S. Insurance Solutions</w:t>
            </w:r>
          </w:p>
        </w:tc>
        <w:tc>
          <w:tcPr>
            <w:tcW w:w="9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17.2</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17.0</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line="149" w:lineRule="exact"/>
              <w:rPr>
                <w:sz w:val="20"/>
                <w:szCs w:val="20"/>
                <w:color w:val="auto"/>
              </w:rPr>
            </w:pPr>
            <w:r>
              <w:rPr>
                <w:rFonts w:ascii="Arial" w:cs="Arial" w:eastAsia="Arial" w:hAnsi="Arial"/>
                <w:sz w:val="14"/>
                <w:szCs w:val="14"/>
                <w:color w:val="auto"/>
              </w:rPr>
              <w:t>Corporate</w:t>
            </w:r>
          </w:p>
        </w:tc>
        <w:tc>
          <w:tcPr>
            <w:tcW w:w="98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4.6</w:t>
            </w:r>
          </w:p>
        </w:tc>
        <w:tc>
          <w:tcPr>
            <w:tcW w:w="1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5.4</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5.0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26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 segment depreciation and amortization expense included in operating earnings</w:t>
            </w:r>
          </w:p>
        </w:tc>
        <w:tc>
          <w:tcPr>
            <w:tcW w:w="9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108.1</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80.9</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72.4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ind w:left="140"/>
              <w:spacing w:after="0" w:line="149" w:lineRule="exact"/>
              <w:rPr>
                <w:sz w:val="20"/>
                <w:szCs w:val="20"/>
                <w:color w:val="auto"/>
              </w:rPr>
            </w:pPr>
            <w:r>
              <w:rPr>
                <w:rFonts w:ascii="Arial" w:cs="Arial" w:eastAsia="Arial" w:hAnsi="Arial"/>
                <w:sz w:val="14"/>
                <w:szCs w:val="14"/>
                <w:color w:val="auto"/>
              </w:rPr>
              <w:t>Depreciation and amortization expense related to other after-tax adjustments</w:t>
            </w:r>
          </w:p>
        </w:tc>
        <w:tc>
          <w:tcPr>
            <w:tcW w:w="98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1.4</w:t>
            </w:r>
          </w:p>
        </w:tc>
        <w:tc>
          <w:tcPr>
            <w:tcW w:w="1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6.1</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6.1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26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 depreciation and amortization expense included in our consolidated statements of operations</w:t>
            </w:r>
          </w:p>
        </w:tc>
        <w:tc>
          <w:tcPr>
            <w:tcW w:w="106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4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109.5</w:t>
            </w:r>
          </w:p>
        </w:tc>
        <w:tc>
          <w:tcPr>
            <w:tcW w:w="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87.0</w:t>
            </w:r>
          </w:p>
        </w:tc>
        <w:tc>
          <w:tcPr>
            <w:tcW w:w="140" w:type="dxa"/>
            <w:vAlign w:val="bottom"/>
            <w:shd w:val="clear" w:color="auto" w:fill="CCEEFF"/>
          </w:tcPr>
          <w:p>
            <w:pPr>
              <w:spacing w:after="0"/>
              <w:rPr>
                <w:sz w:val="12"/>
                <w:szCs w:val="12"/>
                <w:color w:val="auto"/>
              </w:rPr>
            </w:pPr>
          </w:p>
        </w:tc>
        <w:tc>
          <w:tcPr>
            <w:tcW w:w="10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color w:val="auto"/>
                <w:w w:val="76"/>
              </w:rPr>
              <w:t>$</w:t>
            </w:r>
          </w:p>
        </w:tc>
        <w:tc>
          <w:tcPr>
            <w:tcW w:w="3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78.5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86" w:name="page187"/>
    <w:bookmarkEnd w:id="18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Segment Information — (continued)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summarizes operating revenues for our products and services:</w:t>
      </w:r>
    </w:p>
    <w:p>
      <w:pPr>
        <w:spacing w:after="0" w:line="20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60" w:type="dxa"/>
            <w:vAlign w:val="bottom"/>
            <w:gridSpan w:val="8"/>
          </w:tcPr>
          <w:p>
            <w:pPr>
              <w:jc w:val="right"/>
              <w:ind w:right="9"/>
              <w:spacing w:after="0"/>
              <w:rPr>
                <w:sz w:val="20"/>
                <w:szCs w:val="20"/>
                <w:color w:val="auto"/>
              </w:rPr>
            </w:pPr>
            <w:r>
              <w:rPr>
                <w:rFonts w:ascii="Arial" w:cs="Arial" w:eastAsia="Arial" w:hAnsi="Arial"/>
                <w:sz w:val="14"/>
                <w:szCs w:val="14"/>
                <w:b w:val="1"/>
                <w:bCs w:val="1"/>
                <w:color w:val="auto"/>
              </w:rPr>
              <w:t>For the year ended</w:t>
            </w:r>
          </w:p>
        </w:tc>
        <w:tc>
          <w:tcPr>
            <w:tcW w:w="50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gridSpan w:val="4"/>
          </w:tcPr>
          <w:p>
            <w:pPr>
              <w:jc w:val="center"/>
              <w:ind w:right="20"/>
              <w:spacing w:after="0"/>
              <w:rPr>
                <w:sz w:val="20"/>
                <w:szCs w:val="20"/>
                <w:color w:val="auto"/>
              </w:rPr>
            </w:pPr>
            <w:r>
              <w:rPr>
                <w:rFonts w:ascii="Arial" w:cs="Arial" w:eastAsia="Arial" w:hAnsi="Arial"/>
                <w:sz w:val="14"/>
                <w:szCs w:val="14"/>
                <w:b w:val="1"/>
                <w:bCs w:val="1"/>
                <w:color w:val="auto"/>
                <w:w w:val="85"/>
              </w:rPr>
              <w:t>December 31,</w:t>
            </w:r>
          </w:p>
        </w:tc>
        <w:tc>
          <w:tcPr>
            <w:tcW w:w="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4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w w:val="96"/>
              </w:rPr>
              <w:t>2013</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center"/>
              <w:ind w:right="72"/>
              <w:spacing w:after="0" w:line="142" w:lineRule="exact"/>
              <w:rPr>
                <w:sz w:val="20"/>
                <w:szCs w:val="20"/>
                <w:color w:val="auto"/>
              </w:rPr>
            </w:pPr>
            <w:r>
              <w:rPr>
                <w:rFonts w:ascii="Arial" w:cs="Arial" w:eastAsia="Arial" w:hAnsi="Arial"/>
                <w:sz w:val="14"/>
                <w:szCs w:val="14"/>
                <w:b w:val="1"/>
                <w:bCs w:val="1"/>
                <w:color w:val="auto"/>
                <w:w w:val="89"/>
              </w:rPr>
              <w:t>2012</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w w:val="96"/>
              </w:rPr>
              <w:t>2011</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4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20" w:type="dxa"/>
            <w:vAlign w:val="bottom"/>
            <w:gridSpan w:val="3"/>
          </w:tcPr>
          <w:p>
            <w:pPr>
              <w:jc w:val="center"/>
              <w:spacing w:after="0" w:line="142" w:lineRule="exact"/>
              <w:rPr>
                <w:sz w:val="20"/>
                <w:szCs w:val="20"/>
                <w:color w:val="auto"/>
              </w:rPr>
            </w:pPr>
            <w:r>
              <w:rPr>
                <w:rFonts w:ascii="Arial" w:cs="Arial" w:eastAsia="Arial" w:hAnsi="Arial"/>
                <w:sz w:val="14"/>
                <w:szCs w:val="14"/>
                <w:b w:val="1"/>
                <w:bCs w:val="1"/>
                <w:i w:val="1"/>
                <w:iCs w:val="1"/>
                <w:color w:val="auto"/>
                <w:w w:val="83"/>
              </w:rPr>
              <w:t>(in millions)</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Retirement and Investor Services:</w:t>
            </w:r>
          </w:p>
        </w:tc>
        <w:tc>
          <w:tcPr>
            <w:tcW w:w="14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2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Full service accumulation</w:t>
            </w:r>
          </w:p>
        </w:tc>
        <w:tc>
          <w:tcPr>
            <w:tcW w:w="1580" w:type="dxa"/>
            <w:vAlign w:val="bottom"/>
            <w:gridSpan w:val="2"/>
          </w:tcPr>
          <w:p>
            <w:pPr>
              <w:jc w:val="right"/>
              <w:ind w:right="9"/>
              <w:spacing w:after="0" w:line="149" w:lineRule="exact"/>
              <w:rPr>
                <w:sz w:val="20"/>
                <w:szCs w:val="20"/>
                <w:color w:val="auto"/>
              </w:rPr>
            </w:pPr>
            <w:r>
              <w:rPr>
                <w:rFonts w:ascii="Arial" w:cs="Arial" w:eastAsia="Arial" w:hAnsi="Arial"/>
                <w:sz w:val="14"/>
                <w:szCs w:val="14"/>
                <w:b w:val="1"/>
                <w:bCs w:val="1"/>
                <w:color w:val="auto"/>
              </w:rPr>
              <w:t>$</w:t>
            </w: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1,470.7</w:t>
            </w:r>
          </w:p>
        </w:tc>
        <w:tc>
          <w:tcPr>
            <w:tcW w:w="60" w:type="dxa"/>
            <w:vAlign w:val="bottom"/>
          </w:tcPr>
          <w:p>
            <w:pPr>
              <w:spacing w:after="0"/>
              <w:rPr>
                <w:sz w:val="12"/>
                <w:szCs w:val="12"/>
                <w:color w:val="auto"/>
              </w:rPr>
            </w:pPr>
          </w:p>
        </w:tc>
        <w:tc>
          <w:tcPr>
            <w:tcW w:w="22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1,357.0</w:t>
            </w:r>
          </w:p>
        </w:tc>
        <w:tc>
          <w:tcPr>
            <w:tcW w:w="120" w:type="dxa"/>
            <w:vAlign w:val="bottom"/>
          </w:tcPr>
          <w:p>
            <w:pPr>
              <w:spacing w:after="0"/>
              <w:rPr>
                <w:sz w:val="12"/>
                <w:szCs w:val="12"/>
                <w:color w:val="auto"/>
              </w:rPr>
            </w:pPr>
          </w:p>
        </w:tc>
        <w:tc>
          <w:tcPr>
            <w:tcW w:w="16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1,338.0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2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Principal Funds</w:t>
            </w:r>
          </w:p>
        </w:tc>
        <w:tc>
          <w:tcPr>
            <w:tcW w:w="14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765.8</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619.6</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560.4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2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Individual annuities</w:t>
            </w:r>
          </w:p>
        </w:tc>
        <w:tc>
          <w:tcPr>
            <w:tcW w:w="14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1,366.5</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1,162.4</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1,119.2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2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Bank and trust services</w:t>
            </w:r>
          </w:p>
        </w:tc>
        <w:tc>
          <w:tcPr>
            <w:tcW w:w="14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95.2</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101.6</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100.5</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2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Eliminations</w:t>
            </w:r>
          </w:p>
        </w:tc>
        <w:tc>
          <w:tcPr>
            <w:tcW w:w="14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(146.8)</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(120.3)</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(111.8)</w:t>
            </w:r>
          </w:p>
        </w:tc>
      </w:tr>
      <w:tr>
        <w:trPr>
          <w:trHeight w:val="142"/>
        </w:trPr>
        <w:tc>
          <w:tcPr>
            <w:tcW w:w="20" w:type="dxa"/>
            <w:vAlign w:val="bottom"/>
          </w:tcPr>
          <w:p>
            <w:pPr>
              <w:spacing w:after="0"/>
              <w:rPr>
                <w:sz w:val="12"/>
                <w:szCs w:val="12"/>
                <w:color w:val="auto"/>
              </w:rPr>
            </w:pPr>
          </w:p>
        </w:tc>
        <w:tc>
          <w:tcPr>
            <w:tcW w:w="5320" w:type="dxa"/>
            <w:vAlign w:val="bottom"/>
            <w:gridSpan w:val="2"/>
            <w:shd w:val="clear" w:color="auto" w:fill="CCEEFF"/>
          </w:tcPr>
          <w:p>
            <w:pPr>
              <w:ind w:left="280"/>
              <w:spacing w:after="0" w:line="142" w:lineRule="exact"/>
              <w:rPr>
                <w:sz w:val="20"/>
                <w:szCs w:val="20"/>
                <w:color w:val="auto"/>
              </w:rPr>
            </w:pPr>
            <w:r>
              <w:rPr>
                <w:rFonts w:ascii="Arial" w:cs="Arial" w:eastAsia="Arial" w:hAnsi="Arial"/>
                <w:sz w:val="14"/>
                <w:szCs w:val="14"/>
                <w:color w:val="auto"/>
              </w:rPr>
              <w:t>Total Accumulation</w:t>
            </w:r>
          </w:p>
        </w:tc>
        <w:tc>
          <w:tcPr>
            <w:tcW w:w="1460" w:type="dxa"/>
            <w:vAlign w:val="bottom"/>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50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3,551.4</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50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3,120.3</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50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3,006.3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2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Investment only</w:t>
            </w:r>
          </w:p>
        </w:tc>
        <w:tc>
          <w:tcPr>
            <w:tcW w:w="14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341.0</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431.6</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508.0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2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Full service payout</w:t>
            </w:r>
          </w:p>
        </w:tc>
        <w:tc>
          <w:tcPr>
            <w:tcW w:w="14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955.2</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1,283.0</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560.7</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5320" w:type="dxa"/>
            <w:vAlign w:val="bottom"/>
            <w:gridSpan w:val="2"/>
          </w:tcPr>
          <w:p>
            <w:pPr>
              <w:ind w:left="280"/>
              <w:spacing w:after="0" w:line="142" w:lineRule="exact"/>
              <w:rPr>
                <w:sz w:val="20"/>
                <w:szCs w:val="20"/>
                <w:color w:val="auto"/>
              </w:rPr>
            </w:pPr>
            <w:r>
              <w:rPr>
                <w:rFonts w:ascii="Arial" w:cs="Arial" w:eastAsia="Arial" w:hAnsi="Arial"/>
                <w:sz w:val="14"/>
                <w:szCs w:val="14"/>
                <w:color w:val="auto"/>
              </w:rPr>
              <w:t>Total Guaranteed</w:t>
            </w:r>
          </w:p>
        </w:tc>
        <w:tc>
          <w:tcPr>
            <w:tcW w:w="14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1,296.2</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1,714.6</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1,068.7</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5320" w:type="dxa"/>
            <w:vAlign w:val="bottom"/>
            <w:gridSpan w:val="2"/>
            <w:shd w:val="clear" w:color="auto" w:fill="CCEEFF"/>
          </w:tcPr>
          <w:p>
            <w:pPr>
              <w:ind w:left="420"/>
              <w:spacing w:after="0" w:line="142" w:lineRule="exact"/>
              <w:rPr>
                <w:sz w:val="20"/>
                <w:szCs w:val="20"/>
                <w:color w:val="auto"/>
              </w:rPr>
            </w:pPr>
            <w:r>
              <w:rPr>
                <w:rFonts w:ascii="Arial" w:cs="Arial" w:eastAsia="Arial" w:hAnsi="Arial"/>
                <w:sz w:val="14"/>
                <w:szCs w:val="14"/>
                <w:color w:val="auto"/>
              </w:rPr>
              <w:t>Total Retirement and Investor Services</w:t>
            </w:r>
          </w:p>
        </w:tc>
        <w:tc>
          <w:tcPr>
            <w:tcW w:w="14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4,847.6</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4,834.9</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4,075.0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20" w:type="dxa"/>
            <w:vAlign w:val="bottom"/>
            <w:gridSpan w:val="2"/>
          </w:tcPr>
          <w:p>
            <w:pPr>
              <w:spacing w:after="0" w:line="149" w:lineRule="exact"/>
              <w:rPr>
                <w:sz w:val="20"/>
                <w:szCs w:val="20"/>
                <w:color w:val="auto"/>
              </w:rPr>
            </w:pPr>
            <w:r>
              <w:rPr>
                <w:rFonts w:ascii="Arial" w:cs="Arial" w:eastAsia="Arial" w:hAnsi="Arial"/>
                <w:sz w:val="14"/>
                <w:szCs w:val="14"/>
                <w:color w:val="auto"/>
              </w:rPr>
              <w:t>Principal Global Investors (1)</w:t>
            </w:r>
          </w:p>
        </w:tc>
        <w:tc>
          <w:tcPr>
            <w:tcW w:w="14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719.2</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591.2</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546.3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Principal International</w:t>
            </w:r>
          </w:p>
        </w:tc>
        <w:tc>
          <w:tcPr>
            <w:tcW w:w="14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1,150.0</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942.7</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909.0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20" w:type="dxa"/>
            <w:vAlign w:val="bottom"/>
            <w:gridSpan w:val="2"/>
          </w:tcPr>
          <w:p>
            <w:pPr>
              <w:spacing w:after="0" w:line="149" w:lineRule="exact"/>
              <w:rPr>
                <w:sz w:val="20"/>
                <w:szCs w:val="20"/>
                <w:color w:val="auto"/>
              </w:rPr>
            </w:pPr>
            <w:r>
              <w:rPr>
                <w:rFonts w:ascii="Arial" w:cs="Arial" w:eastAsia="Arial" w:hAnsi="Arial"/>
                <w:sz w:val="14"/>
                <w:szCs w:val="14"/>
                <w:color w:val="auto"/>
              </w:rPr>
              <w:t>U.S. Insurance Solutions:</w:t>
            </w:r>
          </w:p>
        </w:tc>
        <w:tc>
          <w:tcPr>
            <w:tcW w:w="14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2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Individual life insurance</w:t>
            </w:r>
          </w:p>
        </w:tc>
        <w:tc>
          <w:tcPr>
            <w:tcW w:w="14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1,483.0</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1,423.3</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1,432.0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2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Specialty benefits insurance</w:t>
            </w:r>
          </w:p>
        </w:tc>
        <w:tc>
          <w:tcPr>
            <w:tcW w:w="14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1,623.6</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1,571.4</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1,507.9</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2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Eliminations</w:t>
            </w:r>
          </w:p>
        </w:tc>
        <w:tc>
          <w:tcPr>
            <w:tcW w:w="14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(0.2)</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r>
      <w:tr>
        <w:trPr>
          <w:trHeight w:val="142"/>
        </w:trPr>
        <w:tc>
          <w:tcPr>
            <w:tcW w:w="20" w:type="dxa"/>
            <w:vAlign w:val="bottom"/>
          </w:tcPr>
          <w:p>
            <w:pPr>
              <w:spacing w:after="0"/>
              <w:rPr>
                <w:sz w:val="12"/>
                <w:szCs w:val="12"/>
                <w:color w:val="auto"/>
              </w:rPr>
            </w:pPr>
          </w:p>
        </w:tc>
        <w:tc>
          <w:tcPr>
            <w:tcW w:w="5320" w:type="dxa"/>
            <w:vAlign w:val="bottom"/>
            <w:gridSpan w:val="2"/>
          </w:tcPr>
          <w:p>
            <w:pPr>
              <w:ind w:left="280"/>
              <w:spacing w:after="0" w:line="142" w:lineRule="exact"/>
              <w:rPr>
                <w:sz w:val="20"/>
                <w:szCs w:val="20"/>
                <w:color w:val="auto"/>
              </w:rPr>
            </w:pPr>
            <w:r>
              <w:rPr>
                <w:rFonts w:ascii="Arial" w:cs="Arial" w:eastAsia="Arial" w:hAnsi="Arial"/>
                <w:sz w:val="14"/>
                <w:szCs w:val="14"/>
                <w:color w:val="auto"/>
              </w:rPr>
              <w:t>Total U.S. Insurance Solutions</w:t>
            </w:r>
          </w:p>
        </w:tc>
        <w:tc>
          <w:tcPr>
            <w:tcW w:w="14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3,106.4</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2,994.7</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2,939.9</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Corporate</w:t>
            </w:r>
          </w:p>
        </w:tc>
        <w:tc>
          <w:tcPr>
            <w:tcW w:w="14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(215.8)</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(188.1)</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(189.2)</w:t>
            </w:r>
          </w:p>
        </w:tc>
      </w:tr>
      <w:tr>
        <w:trPr>
          <w:trHeight w:val="142"/>
        </w:trPr>
        <w:tc>
          <w:tcPr>
            <w:tcW w:w="5340" w:type="dxa"/>
            <w:vAlign w:val="bottom"/>
            <w:gridSpan w:val="3"/>
          </w:tcPr>
          <w:p>
            <w:pPr>
              <w:spacing w:after="0" w:line="142" w:lineRule="exact"/>
              <w:rPr>
                <w:sz w:val="20"/>
                <w:szCs w:val="20"/>
                <w:color w:val="auto"/>
              </w:rPr>
            </w:pPr>
            <w:r>
              <w:rPr>
                <w:rFonts w:ascii="Arial" w:cs="Arial" w:eastAsia="Arial" w:hAnsi="Arial"/>
                <w:sz w:val="14"/>
                <w:szCs w:val="14"/>
                <w:color w:val="auto"/>
              </w:rPr>
              <w:t>Total operating revenues</w:t>
            </w:r>
          </w:p>
        </w:tc>
        <w:tc>
          <w:tcPr>
            <w:tcW w:w="146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5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9,607.4</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5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9,175.4</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5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8,281.0</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42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5320" w:type="dxa"/>
            <w:vAlign w:val="bottom"/>
            <w:gridSpan w:val="2"/>
            <w:shd w:val="clear" w:color="auto" w:fill="CCEEFF"/>
          </w:tcPr>
          <w:p>
            <w:pPr>
              <w:spacing w:after="0" w:line="129" w:lineRule="exact"/>
              <w:rPr>
                <w:sz w:val="20"/>
                <w:szCs w:val="20"/>
                <w:color w:val="auto"/>
              </w:rPr>
            </w:pPr>
            <w:r>
              <w:rPr>
                <w:rFonts w:ascii="Arial" w:cs="Arial" w:eastAsia="Arial" w:hAnsi="Arial"/>
                <w:sz w:val="14"/>
                <w:szCs w:val="14"/>
                <w:color w:val="auto"/>
              </w:rPr>
              <w:t>Total operating revenues</w:t>
            </w:r>
          </w:p>
        </w:tc>
        <w:tc>
          <w:tcPr>
            <w:tcW w:w="1580" w:type="dxa"/>
            <w:vAlign w:val="bottom"/>
            <w:gridSpan w:val="2"/>
            <w:shd w:val="clear" w:color="auto" w:fill="CCEEFF"/>
          </w:tcPr>
          <w:p>
            <w:pPr>
              <w:jc w:val="right"/>
              <w:ind w:right="9"/>
              <w:spacing w:after="0" w:line="129" w:lineRule="exact"/>
              <w:rPr>
                <w:sz w:val="20"/>
                <w:szCs w:val="20"/>
                <w:color w:val="auto"/>
              </w:rPr>
            </w:pPr>
            <w:r>
              <w:rPr>
                <w:rFonts w:ascii="Arial" w:cs="Arial" w:eastAsia="Arial" w:hAnsi="Arial"/>
                <w:sz w:val="14"/>
                <w:szCs w:val="14"/>
                <w:b w:val="1"/>
                <w:bCs w:val="1"/>
                <w:color w:val="auto"/>
              </w:rPr>
              <w:t>$</w:t>
            </w:r>
          </w:p>
        </w:tc>
        <w:tc>
          <w:tcPr>
            <w:tcW w:w="50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9,607.4</w:t>
            </w:r>
          </w:p>
        </w:tc>
        <w:tc>
          <w:tcPr>
            <w:tcW w:w="60" w:type="dxa"/>
            <w:vAlign w:val="bottom"/>
            <w:shd w:val="clear" w:color="auto" w:fill="CCEEFF"/>
          </w:tcPr>
          <w:p>
            <w:pPr>
              <w:spacing w:after="0"/>
              <w:rPr>
                <w:sz w:val="11"/>
                <w:szCs w:val="11"/>
                <w:color w:val="auto"/>
              </w:rPr>
            </w:pPr>
          </w:p>
        </w:tc>
        <w:tc>
          <w:tcPr>
            <w:tcW w:w="220" w:type="dxa"/>
            <w:vAlign w:val="bottom"/>
            <w:gridSpan w:val="2"/>
            <w:shd w:val="clear" w:color="auto" w:fill="CCEEFF"/>
          </w:tcPr>
          <w:p>
            <w:pPr>
              <w:jc w:val="right"/>
              <w:ind w:right="9"/>
              <w:spacing w:after="0" w:line="129"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rPr>
              <w:t>9,175.4</w:t>
            </w:r>
          </w:p>
        </w:tc>
        <w:tc>
          <w:tcPr>
            <w:tcW w:w="120" w:type="dxa"/>
            <w:vAlign w:val="bottom"/>
            <w:shd w:val="clear" w:color="auto" w:fill="CCEEFF"/>
          </w:tcPr>
          <w:p>
            <w:pPr>
              <w:spacing w:after="0"/>
              <w:rPr>
                <w:sz w:val="11"/>
                <w:szCs w:val="11"/>
                <w:color w:val="auto"/>
              </w:rPr>
            </w:pPr>
          </w:p>
        </w:tc>
        <w:tc>
          <w:tcPr>
            <w:tcW w:w="160" w:type="dxa"/>
            <w:vAlign w:val="bottom"/>
            <w:gridSpan w:val="2"/>
            <w:shd w:val="clear" w:color="auto" w:fill="CCEEFF"/>
          </w:tcPr>
          <w:p>
            <w:pPr>
              <w:jc w:val="right"/>
              <w:ind w:right="9"/>
              <w:spacing w:after="0" w:line="129"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rPr>
              <w:t>8,281.0</w:t>
            </w:r>
          </w:p>
        </w:tc>
        <w:tc>
          <w:tcPr>
            <w:tcW w:w="160" w:type="dxa"/>
            <w:vAlign w:val="bottom"/>
            <w:shd w:val="clear" w:color="auto" w:fill="CCEEFF"/>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532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Net realized capital gains (losses), net of related revenue adjustments</w:t>
            </w:r>
          </w:p>
        </w:tc>
        <w:tc>
          <w:tcPr>
            <w:tcW w:w="14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(320.0)</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14.7</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(221.5)</w:t>
            </w:r>
          </w:p>
        </w:tc>
      </w:tr>
      <w:tr>
        <w:trPr>
          <w:trHeight w:val="149"/>
        </w:trPr>
        <w:tc>
          <w:tcPr>
            <w:tcW w:w="20" w:type="dxa"/>
            <w:vAlign w:val="bottom"/>
          </w:tcPr>
          <w:p>
            <w:pPr>
              <w:spacing w:after="0"/>
              <w:rPr>
                <w:sz w:val="12"/>
                <w:szCs w:val="12"/>
                <w:color w:val="auto"/>
              </w:rPr>
            </w:pPr>
          </w:p>
        </w:tc>
        <w:tc>
          <w:tcPr>
            <w:tcW w:w="532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Exited group medical insurance business</w:t>
            </w:r>
          </w:p>
        </w:tc>
        <w:tc>
          <w:tcPr>
            <w:tcW w:w="14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2.1</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25.0</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606.3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532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Assumption change within our Individual Life business</w:t>
            </w:r>
          </w:p>
        </w:tc>
        <w:tc>
          <w:tcPr>
            <w:tcW w:w="14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4.9</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532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Total revenues per consolidated statements of operations</w:t>
            </w:r>
          </w:p>
        </w:tc>
        <w:tc>
          <w:tcPr>
            <w:tcW w:w="1580" w:type="dxa"/>
            <w:vAlign w:val="bottom"/>
            <w:gridSpan w:val="2"/>
            <w:shd w:val="clear" w:color="auto" w:fill="CCEEFF"/>
          </w:tcPr>
          <w:p>
            <w:pPr>
              <w:jc w:val="right"/>
              <w:ind w:right="9"/>
              <w:spacing w:after="0" w:line="142" w:lineRule="exact"/>
              <w:rPr>
                <w:sz w:val="20"/>
                <w:szCs w:val="20"/>
                <w:color w:val="auto"/>
              </w:rPr>
            </w:pPr>
            <w:r>
              <w:rPr>
                <w:rFonts w:ascii="Arial" w:cs="Arial" w:eastAsia="Arial" w:hAnsi="Arial"/>
                <w:sz w:val="14"/>
                <w:szCs w:val="14"/>
                <w:b w:val="1"/>
                <w:bCs w:val="1"/>
                <w:color w:val="auto"/>
              </w:rPr>
              <w:t>$</w:t>
            </w: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9,289.5</w:t>
            </w:r>
          </w:p>
        </w:tc>
        <w:tc>
          <w:tcPr>
            <w:tcW w:w="60" w:type="dxa"/>
            <w:vAlign w:val="bottom"/>
            <w:shd w:val="clear" w:color="auto" w:fill="CCEEFF"/>
          </w:tcPr>
          <w:p>
            <w:pPr>
              <w:spacing w:after="0"/>
              <w:rPr>
                <w:sz w:val="12"/>
                <w:szCs w:val="12"/>
                <w:color w:val="auto"/>
              </w:rPr>
            </w:pPr>
          </w:p>
        </w:tc>
        <w:tc>
          <w:tcPr>
            <w:tcW w:w="220" w:type="dxa"/>
            <w:vAlign w:val="bottom"/>
            <w:gridSpan w:val="2"/>
            <w:shd w:val="clear" w:color="auto" w:fill="CCEEFF"/>
          </w:tcPr>
          <w:p>
            <w:pPr>
              <w:jc w:val="right"/>
              <w:ind w:right="9"/>
              <w:spacing w:after="0" w:line="142"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9,215.1</w:t>
            </w:r>
          </w:p>
        </w:tc>
        <w:tc>
          <w:tcPr>
            <w:tcW w:w="12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ind w:right="9"/>
              <w:spacing w:after="0" w:line="142"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8,670.7</w:t>
            </w:r>
          </w:p>
        </w:tc>
        <w:tc>
          <w:tcPr>
            <w:tcW w:w="160" w:type="dxa"/>
            <w:vAlign w:val="bottom"/>
            <w:shd w:val="clear" w:color="auto" w:fill="CCEEFF"/>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42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4200" w:type="dxa"/>
            <w:vAlign w:val="bottom"/>
          </w:tcPr>
          <w:p>
            <w:pPr>
              <w:spacing w:after="0"/>
              <w:rPr>
                <w:sz w:val="7"/>
                <w:szCs w:val="7"/>
                <w:color w:val="auto"/>
              </w:rPr>
            </w:pPr>
          </w:p>
        </w:tc>
        <w:tc>
          <w:tcPr>
            <w:tcW w:w="1460" w:type="dxa"/>
            <w:vAlign w:val="bottom"/>
          </w:tcPr>
          <w:p>
            <w:pPr>
              <w:spacing w:after="0"/>
              <w:rPr>
                <w:sz w:val="7"/>
                <w:szCs w:val="7"/>
                <w:color w:val="auto"/>
              </w:rPr>
            </w:pPr>
          </w:p>
        </w:tc>
        <w:tc>
          <w:tcPr>
            <w:tcW w:w="120" w:type="dxa"/>
            <w:vAlign w:val="bottom"/>
          </w:tcPr>
          <w:p>
            <w:pPr>
              <w:spacing w:after="0"/>
              <w:rPr>
                <w:sz w:val="7"/>
                <w:szCs w:val="7"/>
                <w:color w:val="auto"/>
              </w:rPr>
            </w:pPr>
          </w:p>
        </w:tc>
        <w:tc>
          <w:tcPr>
            <w:tcW w:w="50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50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500" w:type="dxa"/>
            <w:vAlign w:val="bottom"/>
          </w:tcPr>
          <w:p>
            <w:pPr>
              <w:spacing w:after="0"/>
              <w:rPr>
                <w:sz w:val="7"/>
                <w:szCs w:val="7"/>
                <w:color w:val="auto"/>
              </w:rPr>
            </w:pPr>
          </w:p>
        </w:tc>
        <w:tc>
          <w:tcPr>
            <w:tcW w:w="160" w:type="dxa"/>
            <w:vAlign w:val="bottom"/>
          </w:tcPr>
          <w:p>
            <w:pPr>
              <w:spacing w:after="0"/>
              <w:rPr>
                <w:sz w:val="7"/>
                <w:szCs w:val="7"/>
                <w:color w:val="auto"/>
              </w:rPr>
            </w:pPr>
          </w:p>
        </w:tc>
      </w:tr>
    </w:tbl>
    <w:p>
      <w:pPr>
        <w:spacing w:after="0" w:line="192" w:lineRule="exact"/>
        <w:rPr>
          <w:sz w:val="20"/>
          <w:szCs w:val="20"/>
          <w:color w:val="auto"/>
        </w:rPr>
      </w:pPr>
    </w:p>
    <w:p>
      <w:pPr>
        <w:ind w:left="1680" w:hanging="531"/>
        <w:spacing w:after="0"/>
        <w:tabs>
          <w:tab w:leader="none" w:pos="1680" w:val="left"/>
        </w:tabs>
        <w:numPr>
          <w:ilvl w:val="1"/>
          <w:numId w:val="82"/>
        </w:numPr>
        <w:rPr>
          <w:rFonts w:ascii="Arial" w:cs="Arial" w:eastAsia="Arial" w:hAnsi="Arial"/>
          <w:sz w:val="14"/>
          <w:szCs w:val="14"/>
          <w:color w:val="auto"/>
        </w:rPr>
      </w:pPr>
      <w:r>
        <w:rPr>
          <w:rFonts w:ascii="Arial" w:cs="Arial" w:eastAsia="Arial" w:hAnsi="Arial"/>
          <w:sz w:val="14"/>
          <w:szCs w:val="14"/>
          <w:color w:val="auto"/>
        </w:rPr>
        <w:t>Reflects inter-segment revenues of $243.7 million, $217.6 million and $212.2 million for the years ended December 31, 2013, 2012 and 2011, respectively.</w:t>
      </w:r>
    </w:p>
    <w:p>
      <w:pPr>
        <w:spacing w:after="0" w:line="200" w:lineRule="exact"/>
        <w:rPr>
          <w:rFonts w:ascii="Arial" w:cs="Arial" w:eastAsia="Arial" w:hAnsi="Arial"/>
          <w:sz w:val="14"/>
          <w:szCs w:val="14"/>
          <w:color w:val="auto"/>
        </w:rPr>
      </w:pPr>
    </w:p>
    <w:p>
      <w:pPr>
        <w:ind w:left="280" w:hanging="272"/>
        <w:spacing w:after="0"/>
        <w:tabs>
          <w:tab w:leader="none" w:pos="280" w:val="left"/>
        </w:tabs>
        <w:numPr>
          <w:ilvl w:val="0"/>
          <w:numId w:val="83"/>
        </w:numPr>
        <w:rPr>
          <w:rFonts w:ascii="Arial" w:cs="Arial" w:eastAsia="Arial" w:hAnsi="Arial"/>
          <w:sz w:val="18"/>
          <w:szCs w:val="18"/>
          <w:b w:val="1"/>
          <w:bCs w:val="1"/>
          <w:color w:val="auto"/>
        </w:rPr>
      </w:pPr>
      <w:r>
        <w:rPr>
          <w:rFonts w:ascii="Arial" w:cs="Arial" w:eastAsia="Arial" w:hAnsi="Arial"/>
          <w:sz w:val="18"/>
          <w:szCs w:val="18"/>
          <w:b w:val="1"/>
          <w:bCs w:val="1"/>
          <w:color w:val="auto"/>
        </w:rPr>
        <w:t>Stock-Based Compensation Plans</w:t>
      </w:r>
    </w:p>
    <w:p>
      <w:pPr>
        <w:spacing w:after="0" w:line="231" w:lineRule="exact"/>
        <w:rPr>
          <w:sz w:val="20"/>
          <w:szCs w:val="20"/>
          <w:color w:val="auto"/>
        </w:rPr>
      </w:pPr>
    </w:p>
    <w:p>
      <w:pPr>
        <w:jc w:val="both"/>
        <w:ind w:firstLine="443"/>
        <w:spacing w:after="0" w:line="290" w:lineRule="auto"/>
        <w:rPr>
          <w:sz w:val="20"/>
          <w:szCs w:val="20"/>
          <w:color w:val="auto"/>
        </w:rPr>
      </w:pPr>
      <w:r>
        <w:rPr>
          <w:rFonts w:ascii="Arial" w:cs="Arial" w:eastAsia="Arial" w:hAnsi="Arial"/>
          <w:sz w:val="16"/>
          <w:szCs w:val="16"/>
          <w:color w:val="auto"/>
        </w:rPr>
        <w:t>As of December 31, 2013, we have the Amended and Restated 2010 Stock Incentive Plan, the Employee Stock Purchase Plan, the 2005 Directors Stock Plan, the Stock Incentive Plan, the Directors Stock Plan and the Long-Term Performance Plan ("Stock-Based Compensation Plans"). As of May 17, 2005, no new grants will be made under the Stock Incentive Plan, the Directors Stock Plan or the Long-Term Performance Plan. Under the terms of the Amended and Restated 2010 Stock Incentive Plan, grants may be nonqualified stock options, incentive stock options qualifying under Section 422 of the Internal Revenue Code, restricted stock, restricted stock units, stock appreciation rights, performance shares, performance units or other stock-based awards. The 2005 Directors Stock Plan provides for the grant of nonqualified stock options, restricted stock, restricted stock units or other stock-based awards to our nonemployee directors. To date, we have not granted any incentive stock options, restricted stock or performance units.</w:t>
      </w:r>
    </w:p>
    <w:p>
      <w:pPr>
        <w:spacing w:after="0" w:line="172" w:lineRule="exact"/>
        <w:rPr>
          <w:sz w:val="20"/>
          <w:szCs w:val="20"/>
          <w:color w:val="auto"/>
        </w:rPr>
      </w:pPr>
    </w:p>
    <w:p>
      <w:pPr>
        <w:jc w:val="both"/>
        <w:ind w:firstLine="368"/>
        <w:spacing w:after="0" w:line="268" w:lineRule="auto"/>
        <w:rPr>
          <w:sz w:val="20"/>
          <w:szCs w:val="20"/>
          <w:color w:val="auto"/>
        </w:rPr>
      </w:pPr>
      <w:r>
        <w:rPr>
          <w:rFonts w:ascii="Arial" w:cs="Arial" w:eastAsia="Arial" w:hAnsi="Arial"/>
          <w:sz w:val="18"/>
          <w:szCs w:val="18"/>
          <w:color w:val="auto"/>
        </w:rPr>
        <w:t>As of December 31, 2013, the maximum number of new shares of common stock that were available for grant under the Amended and Restated 2010 Stock Incentive Plan and the 2005 Directors Stock Plan was 6.5 million.</w:t>
      </w:r>
    </w:p>
    <w:p>
      <w:pPr>
        <w:spacing w:after="0" w:line="186" w:lineRule="exact"/>
        <w:rPr>
          <w:sz w:val="20"/>
          <w:szCs w:val="20"/>
          <w:color w:val="auto"/>
        </w:rPr>
      </w:pPr>
    </w:p>
    <w:p>
      <w:pPr>
        <w:jc w:val="both"/>
        <w:ind w:firstLine="385"/>
        <w:spacing w:after="0" w:line="268" w:lineRule="auto"/>
        <w:rPr>
          <w:sz w:val="20"/>
          <w:szCs w:val="20"/>
          <w:color w:val="auto"/>
        </w:rPr>
      </w:pPr>
      <w:r>
        <w:rPr>
          <w:rFonts w:ascii="Arial" w:cs="Arial" w:eastAsia="Arial" w:hAnsi="Arial"/>
          <w:sz w:val="18"/>
          <w:szCs w:val="18"/>
          <w:color w:val="auto"/>
        </w:rPr>
        <w:t>For awards with graded vesting, we use an accelerated expense attribution method. The compensation cost that was charged against income for stock-based awards granted under the Stock-Based Compensation Plans was as follows:</w:t>
      </w:r>
    </w:p>
    <w:p>
      <w:pPr>
        <w:spacing w:after="0" w:line="169"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4440" w:type="dxa"/>
            <w:vAlign w:val="bottom"/>
          </w:tcPr>
          <w:p>
            <w:pPr>
              <w:spacing w:after="0"/>
              <w:rPr>
                <w:sz w:val="13"/>
                <w:szCs w:val="13"/>
                <w:color w:val="auto"/>
              </w:rPr>
            </w:pPr>
          </w:p>
        </w:tc>
        <w:tc>
          <w:tcPr>
            <w:tcW w:w="2860" w:type="dxa"/>
            <w:vAlign w:val="bottom"/>
          </w:tcPr>
          <w:p>
            <w:pPr>
              <w:spacing w:after="0"/>
              <w:rPr>
                <w:sz w:val="13"/>
                <w:szCs w:val="13"/>
                <w:color w:val="auto"/>
              </w:rPr>
            </w:pPr>
          </w:p>
        </w:tc>
        <w:tc>
          <w:tcPr>
            <w:tcW w:w="1820" w:type="dxa"/>
            <w:vAlign w:val="bottom"/>
            <w:gridSpan w:val="8"/>
          </w:tcPr>
          <w:p>
            <w:pPr>
              <w:jc w:val="center"/>
              <w:ind w:right="160"/>
              <w:spacing w:after="0"/>
              <w:rPr>
                <w:sz w:val="20"/>
                <w:szCs w:val="20"/>
                <w:color w:val="auto"/>
              </w:rPr>
            </w:pPr>
            <w:r>
              <w:rPr>
                <w:rFonts w:ascii="Arial" w:cs="Arial" w:eastAsia="Arial" w:hAnsi="Arial"/>
                <w:sz w:val="14"/>
                <w:szCs w:val="14"/>
                <w:b w:val="1"/>
                <w:bCs w:val="1"/>
                <w:color w:val="auto"/>
                <w:w w:val="87"/>
              </w:rPr>
              <w:t>For the year ended</w:t>
            </w:r>
          </w:p>
        </w:tc>
      </w:tr>
      <w:tr>
        <w:trPr>
          <w:trHeight w:val="161"/>
        </w:trPr>
        <w:tc>
          <w:tcPr>
            <w:tcW w:w="20" w:type="dxa"/>
            <w:vAlign w:val="bottom"/>
          </w:tcPr>
          <w:p>
            <w:pPr>
              <w:spacing w:after="0"/>
              <w:rPr>
                <w:sz w:val="14"/>
                <w:szCs w:val="14"/>
                <w:color w:val="auto"/>
              </w:rPr>
            </w:pPr>
          </w:p>
        </w:tc>
        <w:tc>
          <w:tcPr>
            <w:tcW w:w="4440" w:type="dxa"/>
            <w:vAlign w:val="bottom"/>
          </w:tcPr>
          <w:p>
            <w:pPr>
              <w:spacing w:after="0"/>
              <w:rPr>
                <w:sz w:val="14"/>
                <w:szCs w:val="14"/>
                <w:color w:val="auto"/>
              </w:rPr>
            </w:pPr>
          </w:p>
        </w:tc>
        <w:tc>
          <w:tcPr>
            <w:tcW w:w="2860" w:type="dxa"/>
            <w:vAlign w:val="bottom"/>
          </w:tcPr>
          <w:p>
            <w:pPr>
              <w:spacing w:after="0"/>
              <w:rPr>
                <w:sz w:val="14"/>
                <w:szCs w:val="14"/>
                <w:color w:val="auto"/>
              </w:rPr>
            </w:pPr>
          </w:p>
        </w:tc>
        <w:tc>
          <w:tcPr>
            <w:tcW w:w="1300" w:type="dxa"/>
            <w:vAlign w:val="bottom"/>
            <w:tcBorders>
              <w:bottom w:val="single" w:sz="8" w:color="auto"/>
            </w:tcBorders>
            <w:gridSpan w:val="6"/>
          </w:tcPr>
          <w:p>
            <w:pPr>
              <w:jc w:val="center"/>
              <w:ind w:left="292"/>
              <w:spacing w:after="0"/>
              <w:rPr>
                <w:sz w:val="20"/>
                <w:szCs w:val="20"/>
                <w:color w:val="auto"/>
              </w:rPr>
            </w:pPr>
            <w:r>
              <w:rPr>
                <w:rFonts w:ascii="Arial" w:cs="Arial" w:eastAsia="Arial" w:hAnsi="Arial"/>
                <w:sz w:val="14"/>
                <w:szCs w:val="14"/>
                <w:b w:val="1"/>
                <w:bCs w:val="1"/>
                <w:color w:val="auto"/>
                <w:w w:val="85"/>
              </w:rPr>
              <w:t>December 31,</w:t>
            </w:r>
          </w:p>
        </w:tc>
        <w:tc>
          <w:tcPr>
            <w:tcW w:w="3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4440" w:type="dxa"/>
            <w:vAlign w:val="bottom"/>
          </w:tcPr>
          <w:p>
            <w:pPr>
              <w:spacing w:after="0"/>
              <w:rPr>
                <w:sz w:val="12"/>
                <w:szCs w:val="12"/>
                <w:color w:val="auto"/>
              </w:rPr>
            </w:pPr>
          </w:p>
        </w:tc>
        <w:tc>
          <w:tcPr>
            <w:tcW w:w="2860" w:type="dxa"/>
            <w:vAlign w:val="bottom"/>
          </w:tcPr>
          <w:p>
            <w:pPr>
              <w:spacing w:after="0"/>
              <w:rPr>
                <w:sz w:val="12"/>
                <w:szCs w:val="12"/>
                <w:color w:val="auto"/>
              </w:rPr>
            </w:pPr>
          </w:p>
        </w:tc>
        <w:tc>
          <w:tcPr>
            <w:tcW w:w="440" w:type="dxa"/>
            <w:vAlign w:val="bottom"/>
          </w:tcPr>
          <w:p>
            <w:pPr>
              <w:jc w:val="right"/>
              <w:ind w:right="12"/>
              <w:spacing w:after="0" w:line="142" w:lineRule="exact"/>
              <w:rPr>
                <w:sz w:val="20"/>
                <w:szCs w:val="20"/>
                <w:color w:val="auto"/>
              </w:rPr>
            </w:pPr>
            <w:r>
              <w:rPr>
                <w:rFonts w:ascii="Arial" w:cs="Arial" w:eastAsia="Arial" w:hAnsi="Arial"/>
                <w:sz w:val="14"/>
                <w:szCs w:val="14"/>
                <w:b w:val="1"/>
                <w:bCs w:val="1"/>
                <w:color w:val="auto"/>
              </w:rPr>
              <w:t>2013</w:t>
            </w:r>
          </w:p>
        </w:tc>
        <w:tc>
          <w:tcPr>
            <w:tcW w:w="620" w:type="dxa"/>
            <w:vAlign w:val="bottom"/>
            <w:gridSpan w:val="2"/>
          </w:tcPr>
          <w:p>
            <w:pPr>
              <w:jc w:val="center"/>
              <w:ind w:left="94"/>
              <w:spacing w:after="0" w:line="142" w:lineRule="exact"/>
              <w:rPr>
                <w:sz w:val="20"/>
                <w:szCs w:val="20"/>
                <w:color w:val="auto"/>
              </w:rPr>
            </w:pPr>
            <w:r>
              <w:rPr>
                <w:rFonts w:ascii="Arial" w:cs="Arial" w:eastAsia="Arial" w:hAnsi="Arial"/>
                <w:sz w:val="14"/>
                <w:szCs w:val="14"/>
                <w:b w:val="1"/>
                <w:bCs w:val="1"/>
                <w:color w:val="auto"/>
                <w:w w:val="83"/>
              </w:rPr>
              <w:t>2012</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jc w:val="right"/>
              <w:ind w:right="32"/>
              <w:spacing w:after="0" w:line="142" w:lineRule="exact"/>
              <w:rPr>
                <w:sz w:val="20"/>
                <w:szCs w:val="20"/>
                <w:color w:val="auto"/>
              </w:rPr>
            </w:pPr>
            <w:r>
              <w:rPr>
                <w:rFonts w:ascii="Arial" w:cs="Arial" w:eastAsia="Arial" w:hAnsi="Arial"/>
                <w:sz w:val="14"/>
                <w:szCs w:val="14"/>
                <w:b w:val="1"/>
                <w:bCs w:val="1"/>
                <w:color w:val="auto"/>
                <w:w w:val="76"/>
              </w:rPr>
              <w:t>2011</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4440" w:type="dxa"/>
            <w:vAlign w:val="bottom"/>
          </w:tcPr>
          <w:p>
            <w:pPr>
              <w:spacing w:after="0"/>
              <w:rPr>
                <w:sz w:val="12"/>
                <w:szCs w:val="12"/>
                <w:color w:val="auto"/>
              </w:rPr>
            </w:pPr>
          </w:p>
        </w:tc>
        <w:tc>
          <w:tcPr>
            <w:tcW w:w="2860" w:type="dxa"/>
            <w:vAlign w:val="bottom"/>
          </w:tcPr>
          <w:p>
            <w:pPr>
              <w:spacing w:after="0"/>
              <w:rPr>
                <w:sz w:val="12"/>
                <w:szCs w:val="12"/>
                <w:color w:val="auto"/>
              </w:rPr>
            </w:pPr>
          </w:p>
        </w:tc>
        <w:tc>
          <w:tcPr>
            <w:tcW w:w="440" w:type="dxa"/>
            <w:vAlign w:val="bottom"/>
            <w:tcBorders>
              <w:top w:val="single" w:sz="8" w:color="auto"/>
            </w:tcBorders>
          </w:tcPr>
          <w:p>
            <w:pPr>
              <w:spacing w:after="0"/>
              <w:rPr>
                <w:sz w:val="12"/>
                <w:szCs w:val="12"/>
                <w:color w:val="auto"/>
              </w:rPr>
            </w:pPr>
          </w:p>
        </w:tc>
        <w:tc>
          <w:tcPr>
            <w:tcW w:w="180" w:type="dxa"/>
            <w:vAlign w:val="bottom"/>
          </w:tcPr>
          <w:p>
            <w:pPr>
              <w:ind w:left="40"/>
              <w:spacing w:after="0"/>
              <w:rPr>
                <w:sz w:val="20"/>
                <w:szCs w:val="20"/>
                <w:color w:val="auto"/>
              </w:rPr>
            </w:pPr>
            <w:r>
              <w:rPr>
                <w:rFonts w:ascii="Arial" w:cs="Arial" w:eastAsia="Arial" w:hAnsi="Arial"/>
                <w:sz w:val="12"/>
                <w:szCs w:val="12"/>
                <w:b w:val="1"/>
                <w:bCs w:val="1"/>
                <w:i w:val="1"/>
                <w:iCs w:val="1"/>
                <w:color w:val="auto"/>
                <w:w w:val="81"/>
              </w:rPr>
              <w:t>(in</w:t>
            </w:r>
          </w:p>
        </w:tc>
        <w:tc>
          <w:tcPr>
            <w:tcW w:w="4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i w:val="1"/>
                <w:iCs w:val="1"/>
                <w:color w:val="auto"/>
                <w:w w:val="72"/>
              </w:rPr>
              <w:t>millions)</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3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Compensation cost</w:t>
            </w:r>
          </w:p>
        </w:tc>
        <w:tc>
          <w:tcPr>
            <w:tcW w:w="33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  65.2</w:t>
            </w:r>
          </w:p>
        </w:tc>
        <w:tc>
          <w:tcPr>
            <w:tcW w:w="6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  53.7</w:t>
            </w:r>
          </w:p>
        </w:tc>
        <w:tc>
          <w:tcPr>
            <w:tcW w:w="140" w:type="dxa"/>
            <w:vAlign w:val="bottom"/>
            <w:shd w:val="clear" w:color="auto" w:fill="CCEEFF"/>
          </w:tcPr>
          <w:p>
            <w:pPr>
              <w:spacing w:after="0"/>
              <w:rPr>
                <w:sz w:val="12"/>
                <w:szCs w:val="12"/>
                <w:color w:val="auto"/>
              </w:rPr>
            </w:pPr>
          </w:p>
        </w:tc>
        <w:tc>
          <w:tcPr>
            <w:tcW w:w="10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w w:val="76"/>
              </w:rPr>
              <w:t>$</w:t>
            </w:r>
          </w:p>
        </w:tc>
        <w:tc>
          <w:tcPr>
            <w:tcW w:w="3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46.3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40" w:type="dxa"/>
            <w:vAlign w:val="bottom"/>
          </w:tcPr>
          <w:p>
            <w:pPr>
              <w:spacing w:after="0" w:line="149" w:lineRule="exact"/>
              <w:rPr>
                <w:sz w:val="20"/>
                <w:szCs w:val="20"/>
                <w:color w:val="auto"/>
              </w:rPr>
            </w:pPr>
            <w:r>
              <w:rPr>
                <w:rFonts w:ascii="Arial" w:cs="Arial" w:eastAsia="Arial" w:hAnsi="Arial"/>
                <w:sz w:val="14"/>
                <w:szCs w:val="14"/>
                <w:color w:val="auto"/>
              </w:rPr>
              <w:t>Related income tax benefit</w:t>
            </w:r>
          </w:p>
        </w:tc>
        <w:tc>
          <w:tcPr>
            <w:tcW w:w="33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20.0</w:t>
            </w:r>
          </w:p>
        </w:tc>
        <w:tc>
          <w:tcPr>
            <w:tcW w:w="6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17.7</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jc w:val="right"/>
              <w:spacing w:after="0" w:line="149" w:lineRule="exact"/>
              <w:rPr>
                <w:sz w:val="20"/>
                <w:szCs w:val="20"/>
                <w:color w:val="auto"/>
              </w:rPr>
            </w:pPr>
            <w:r>
              <w:rPr>
                <w:rFonts w:ascii="Arial" w:cs="Arial" w:eastAsia="Arial" w:hAnsi="Arial"/>
                <w:sz w:val="14"/>
                <w:szCs w:val="14"/>
                <w:color w:val="auto"/>
              </w:rPr>
              <w:t>15.8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4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Capitalized as part of an asset</w:t>
            </w:r>
          </w:p>
        </w:tc>
        <w:tc>
          <w:tcPr>
            <w:tcW w:w="33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2.6</w:t>
            </w:r>
          </w:p>
        </w:tc>
        <w:tc>
          <w:tcPr>
            <w:tcW w:w="6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2.3</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w:t>
            </w:r>
          </w:p>
        </w:tc>
        <w:tc>
          <w:tcPr>
            <w:tcW w:w="160" w:type="dxa"/>
            <w:vAlign w:val="bottom"/>
            <w:shd w:val="clear" w:color="auto" w:fill="CCEEFF"/>
          </w:tcPr>
          <w:p>
            <w:pPr>
              <w:spacing w:after="0"/>
              <w:rPr>
                <w:sz w:val="12"/>
                <w:szCs w:val="12"/>
                <w:color w:val="auto"/>
              </w:rPr>
            </w:pPr>
          </w:p>
        </w:tc>
      </w:tr>
    </w:tbl>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87" w:name="page188"/>
    <w:bookmarkEnd w:id="18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18. Stock-Based Compensation Plans — (continued)</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Nonqualified Stock Options</w:t>
      </w:r>
    </w:p>
    <w:p>
      <w:pPr>
        <w:spacing w:after="0" w:line="231" w:lineRule="exact"/>
        <w:rPr>
          <w:sz w:val="20"/>
          <w:szCs w:val="20"/>
          <w:color w:val="auto"/>
        </w:rPr>
      </w:pPr>
    </w:p>
    <w:p>
      <w:pPr>
        <w:jc w:val="both"/>
        <w:ind w:firstLine="444"/>
        <w:spacing w:after="0" w:line="294" w:lineRule="auto"/>
        <w:rPr>
          <w:sz w:val="20"/>
          <w:szCs w:val="20"/>
          <w:color w:val="auto"/>
        </w:rPr>
      </w:pPr>
      <w:r>
        <w:rPr>
          <w:rFonts w:ascii="Arial" w:cs="Arial" w:eastAsia="Arial" w:hAnsi="Arial"/>
          <w:sz w:val="16"/>
          <w:szCs w:val="16"/>
          <w:color w:val="auto"/>
        </w:rPr>
        <w:t>Nonqualified stock options were granted to certain employees under the Amended and Restated 2010 Stock Incentive Plan and the Stock Incentive Plan. Options outstanding under the Amended and Restated 2010 Stock Incentive Plan and the Stock Incentive Plan were granted at an exercise price equal to the fair market value of our common stock on the date of grant, and expire ten years after the grant date. These options have graded vesting over a three-year period, except in the case of approved retirement. Total options granted under the Amended and Restated 2010 Stock Incentive Plan were 0.8 million, 0.8 million and 0.5 million for the years ended December 31, 2013, 2012 and 2011, respectively.</w:t>
      </w:r>
    </w:p>
    <w:p>
      <w:pPr>
        <w:spacing w:after="0" w:line="170" w:lineRule="exact"/>
        <w:rPr>
          <w:sz w:val="20"/>
          <w:szCs w:val="20"/>
          <w:color w:val="auto"/>
        </w:rPr>
      </w:pPr>
    </w:p>
    <w:p>
      <w:pPr>
        <w:jc w:val="both"/>
        <w:ind w:firstLine="383"/>
        <w:spacing w:after="0" w:line="255" w:lineRule="auto"/>
        <w:rPr>
          <w:sz w:val="20"/>
          <w:szCs w:val="20"/>
          <w:color w:val="auto"/>
        </w:rPr>
      </w:pPr>
      <w:r>
        <w:rPr>
          <w:rFonts w:ascii="Arial" w:cs="Arial" w:eastAsia="Arial" w:hAnsi="Arial"/>
          <w:sz w:val="18"/>
          <w:szCs w:val="18"/>
          <w:color w:val="auto"/>
        </w:rPr>
        <w:t>Nonqualified stock options granted under the Directors Stock Plan have an exercise price equal to the fair market value of our common stock on the date of the grant and a contractual term equal to the earlier of five years from the date the participant ceases to provide service or the tenth anniversary of the date the option was granted. Beginning with the 2003 grant, options become exercisable in four approximately equal installments on the three, six and nine month anniversaries of the grant date, and on the date that the Director's full term of office expires. There were no options granted during the years ended December 31, 2013, 2012 and 2011.</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is a summary of the status of all of our stock option plans:</w:t>
      </w:r>
    </w:p>
    <w:p>
      <w:pPr>
        <w:spacing w:after="0" w:line="20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44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80" w:type="dxa"/>
            <w:vAlign w:val="bottom"/>
          </w:tcPr>
          <w:p>
            <w:pPr>
              <w:jc w:val="center"/>
              <w:ind w:right="12"/>
              <w:spacing w:after="0"/>
              <w:rPr>
                <w:sz w:val="20"/>
                <w:szCs w:val="20"/>
                <w:color w:val="auto"/>
              </w:rPr>
            </w:pPr>
            <w:r>
              <w:rPr>
                <w:rFonts w:ascii="Arial" w:cs="Arial" w:eastAsia="Arial" w:hAnsi="Arial"/>
                <w:sz w:val="14"/>
                <w:szCs w:val="14"/>
                <w:b w:val="1"/>
                <w:bCs w:val="1"/>
                <w:color w:val="auto"/>
                <w:w w:val="88"/>
              </w:rPr>
              <w:t>Weighted-</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4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3"/>
              </w:rPr>
              <w:t>average</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5440" w:type="dxa"/>
            <w:vAlign w:val="bottom"/>
          </w:tcPr>
          <w:p>
            <w:pPr>
              <w:spacing w:after="0"/>
              <w:rPr>
                <w:sz w:val="14"/>
                <w:szCs w:val="14"/>
                <w:color w:val="auto"/>
              </w:rPr>
            </w:pPr>
          </w:p>
        </w:tc>
        <w:tc>
          <w:tcPr>
            <w:tcW w:w="1260" w:type="dxa"/>
            <w:vAlign w:val="bottom"/>
          </w:tcPr>
          <w:p>
            <w:pPr>
              <w:jc w:val="right"/>
              <w:ind w:right="32"/>
              <w:spacing w:after="0"/>
              <w:rPr>
                <w:sz w:val="20"/>
                <w:szCs w:val="20"/>
                <w:color w:val="auto"/>
              </w:rPr>
            </w:pPr>
            <w:r>
              <w:rPr>
                <w:rFonts w:ascii="Arial" w:cs="Arial" w:eastAsia="Arial" w:hAnsi="Arial"/>
                <w:sz w:val="14"/>
                <w:szCs w:val="14"/>
                <w:b w:val="1"/>
                <w:bCs w:val="1"/>
                <w:color w:val="auto"/>
                <w:w w:val="91"/>
              </w:rPr>
              <w:t>Number of options</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w w:val="83"/>
              </w:rPr>
              <w:t>exercise price</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80" w:type="dxa"/>
            <w:vAlign w:val="bottom"/>
            <w:gridSpan w:val="2"/>
          </w:tcPr>
          <w:p>
            <w:pPr>
              <w:spacing w:after="0"/>
              <w:rPr>
                <w:sz w:val="20"/>
                <w:szCs w:val="20"/>
                <w:color w:val="auto"/>
              </w:rPr>
            </w:pPr>
            <w:r>
              <w:rPr>
                <w:rFonts w:ascii="Arial" w:cs="Arial" w:eastAsia="Arial" w:hAnsi="Arial"/>
                <w:sz w:val="14"/>
                <w:szCs w:val="14"/>
                <w:b w:val="1"/>
                <w:bCs w:val="1"/>
                <w:color w:val="auto"/>
              </w:rPr>
              <w:t>Intrinsic value</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440" w:type="dxa"/>
            <w:vAlign w:val="bottom"/>
          </w:tcPr>
          <w:p>
            <w:pPr>
              <w:spacing w:after="0"/>
              <w:rPr>
                <w:sz w:val="12"/>
                <w:szCs w:val="12"/>
                <w:color w:val="auto"/>
              </w:rPr>
            </w:pPr>
          </w:p>
        </w:tc>
        <w:tc>
          <w:tcPr>
            <w:tcW w:w="1260" w:type="dxa"/>
            <w:vAlign w:val="bottom"/>
            <w:tcBorders>
              <w:top w:val="single" w:sz="8" w:color="auto"/>
            </w:tcBorders>
          </w:tcPr>
          <w:p>
            <w:pPr>
              <w:jc w:val="right"/>
              <w:ind w:right="232"/>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1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i w:val="1"/>
                <w:iCs w:val="1"/>
                <w:color w:val="auto"/>
                <w:w w:val="94"/>
              </w:rPr>
              <w:t>(in millions)</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4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Options outstanding at January 1, 2013</w:t>
            </w: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12.2</w:t>
            </w:r>
          </w:p>
        </w:tc>
        <w:tc>
          <w:tcPr>
            <w:tcW w:w="2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39.61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440" w:type="dxa"/>
            <w:vAlign w:val="bottom"/>
          </w:tcPr>
          <w:p>
            <w:pPr>
              <w:ind w:left="140"/>
              <w:spacing w:after="0" w:line="149" w:lineRule="exact"/>
              <w:rPr>
                <w:sz w:val="20"/>
                <w:szCs w:val="20"/>
                <w:color w:val="auto"/>
              </w:rPr>
            </w:pPr>
            <w:r>
              <w:rPr>
                <w:rFonts w:ascii="Arial" w:cs="Arial" w:eastAsia="Arial" w:hAnsi="Arial"/>
                <w:sz w:val="14"/>
                <w:szCs w:val="14"/>
                <w:color w:val="auto"/>
              </w:rPr>
              <w:t>Granted</w:t>
            </w:r>
          </w:p>
        </w:tc>
        <w:tc>
          <w:tcPr>
            <w:tcW w:w="12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0.8</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30.70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4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Exercised</w:t>
            </w: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3.3</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32.03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440" w:type="dxa"/>
            <w:vAlign w:val="bottom"/>
          </w:tcPr>
          <w:p>
            <w:pPr>
              <w:ind w:left="140"/>
              <w:spacing w:after="0" w:line="149" w:lineRule="exact"/>
              <w:rPr>
                <w:sz w:val="20"/>
                <w:szCs w:val="20"/>
                <w:color w:val="auto"/>
              </w:rPr>
            </w:pPr>
            <w:r>
              <w:rPr>
                <w:rFonts w:ascii="Arial" w:cs="Arial" w:eastAsia="Arial" w:hAnsi="Arial"/>
                <w:sz w:val="14"/>
                <w:szCs w:val="14"/>
                <w:color w:val="auto"/>
              </w:rPr>
              <w:t>Expired</w:t>
            </w:r>
          </w:p>
        </w:tc>
        <w:tc>
          <w:tcPr>
            <w:tcW w:w="12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44.75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44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Options outstanding at December 31, 2013</w:t>
            </w:r>
          </w:p>
        </w:tc>
        <w:tc>
          <w:tcPr>
            <w:tcW w:w="126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9.6</w:t>
            </w:r>
          </w:p>
        </w:tc>
        <w:tc>
          <w:tcPr>
            <w:tcW w:w="2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41.37</w:t>
            </w:r>
          </w:p>
        </w:tc>
        <w:tc>
          <w:tcPr>
            <w:tcW w:w="24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9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112.2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5460" w:type="dxa"/>
            <w:vAlign w:val="bottom"/>
            <w:gridSpan w:val="2"/>
            <w:vMerge w:val="restart"/>
          </w:tcPr>
          <w:p>
            <w:pPr>
              <w:spacing w:after="0"/>
              <w:rPr>
                <w:sz w:val="20"/>
                <w:szCs w:val="20"/>
                <w:color w:val="auto"/>
              </w:rPr>
            </w:pPr>
            <w:r>
              <w:rPr>
                <w:rFonts w:ascii="Arial" w:cs="Arial" w:eastAsia="Arial" w:hAnsi="Arial"/>
                <w:sz w:val="14"/>
                <w:szCs w:val="14"/>
                <w:color w:val="auto"/>
              </w:rPr>
              <w:t>Options vested or expected to vest at December 31, 2013</w:t>
            </w:r>
          </w:p>
        </w:tc>
        <w:tc>
          <w:tcPr>
            <w:tcW w:w="1260" w:type="dxa"/>
            <w:vAlign w:val="bottom"/>
            <w:tcBorders>
              <w:bottom w:val="single" w:sz="8" w:color="auto"/>
            </w:tcBorders>
          </w:tcPr>
          <w:p>
            <w:pPr>
              <w:spacing w:after="0" w:line="20" w:lineRule="exact"/>
              <w:rPr>
                <w:sz w:val="1"/>
                <w:szCs w:val="1"/>
                <w:color w:val="auto"/>
              </w:rPr>
            </w:pPr>
          </w:p>
        </w:tc>
        <w:tc>
          <w:tcPr>
            <w:tcW w:w="22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8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41.39</w:t>
            </w:r>
          </w:p>
        </w:tc>
        <w:tc>
          <w:tcPr>
            <w:tcW w:w="240" w:type="dxa"/>
            <w:vAlign w:val="bottom"/>
            <w:gridSpan w:val="2"/>
            <w:vMerge w:val="restart"/>
          </w:tcPr>
          <w:p>
            <w:pPr>
              <w:jc w:val="right"/>
              <w:ind w:right="20"/>
              <w:spacing w:after="0"/>
              <w:rPr>
                <w:sz w:val="20"/>
                <w:szCs w:val="20"/>
                <w:color w:val="auto"/>
              </w:rPr>
            </w:pPr>
            <w:r>
              <w:rPr>
                <w:rFonts w:ascii="Arial" w:cs="Arial" w:eastAsia="Arial" w:hAnsi="Arial"/>
                <w:sz w:val="14"/>
                <w:szCs w:val="14"/>
                <w:b w:val="1"/>
                <w:bCs w:val="1"/>
                <w:color w:val="auto"/>
              </w:rPr>
              <w:t>$</w:t>
            </w:r>
          </w:p>
        </w:tc>
        <w:tc>
          <w:tcPr>
            <w:tcW w:w="9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112.0</w:t>
            </w: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5460" w:type="dxa"/>
            <w:vAlign w:val="bottom"/>
            <w:gridSpan w:val="2"/>
            <w:vMerge w:val="continue"/>
          </w:tcPr>
          <w:p>
            <w:pPr>
              <w:spacing w:after="0"/>
              <w:rPr>
                <w:sz w:val="11"/>
                <w:szCs w:val="11"/>
                <w:color w:val="auto"/>
              </w:rPr>
            </w:pPr>
          </w:p>
        </w:tc>
        <w:tc>
          <w:tcPr>
            <w:tcW w:w="126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rPr>
              <w:t>9.6</w:t>
            </w:r>
          </w:p>
        </w:tc>
        <w:tc>
          <w:tcPr>
            <w:tcW w:w="220" w:type="dxa"/>
            <w:vAlign w:val="bottom"/>
            <w:gridSpan w:val="2"/>
            <w:vMerge w:val="continue"/>
          </w:tcPr>
          <w:p>
            <w:pPr>
              <w:spacing w:after="0"/>
              <w:rPr>
                <w:sz w:val="11"/>
                <w:szCs w:val="11"/>
                <w:color w:val="auto"/>
              </w:rPr>
            </w:pPr>
          </w:p>
        </w:tc>
        <w:tc>
          <w:tcPr>
            <w:tcW w:w="880" w:type="dxa"/>
            <w:vAlign w:val="bottom"/>
            <w:vMerge w:val="continue"/>
          </w:tcPr>
          <w:p>
            <w:pPr>
              <w:spacing w:after="0"/>
              <w:rPr>
                <w:sz w:val="11"/>
                <w:szCs w:val="11"/>
                <w:color w:val="auto"/>
              </w:rPr>
            </w:pPr>
          </w:p>
        </w:tc>
        <w:tc>
          <w:tcPr>
            <w:tcW w:w="240" w:type="dxa"/>
            <w:vAlign w:val="bottom"/>
            <w:gridSpan w:val="2"/>
            <w:vMerge w:val="continue"/>
          </w:tcPr>
          <w:p>
            <w:pPr>
              <w:spacing w:after="0"/>
              <w:rPr>
                <w:sz w:val="11"/>
                <w:szCs w:val="11"/>
                <w:color w:val="auto"/>
              </w:rPr>
            </w:pPr>
          </w:p>
        </w:tc>
        <w:tc>
          <w:tcPr>
            <w:tcW w:w="920" w:type="dxa"/>
            <w:vAlign w:val="bottom"/>
            <w:vMerge w:val="continue"/>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44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5440" w:type="dxa"/>
            <w:vAlign w:val="bottom"/>
            <w:shd w:val="clear" w:color="auto" w:fill="CCEEFF"/>
          </w:tcPr>
          <w:p>
            <w:pPr>
              <w:spacing w:after="0" w:line="129" w:lineRule="exact"/>
              <w:rPr>
                <w:sz w:val="20"/>
                <w:szCs w:val="20"/>
                <w:color w:val="auto"/>
              </w:rPr>
            </w:pPr>
            <w:r>
              <w:rPr>
                <w:rFonts w:ascii="Arial" w:cs="Arial" w:eastAsia="Arial" w:hAnsi="Arial"/>
                <w:sz w:val="14"/>
                <w:szCs w:val="14"/>
                <w:color w:val="auto"/>
              </w:rPr>
              <w:t>Options exercisable at December 31, 2013</w:t>
            </w:r>
          </w:p>
        </w:tc>
        <w:tc>
          <w:tcPr>
            <w:tcW w:w="1260" w:type="dxa"/>
            <w:vAlign w:val="bottom"/>
            <w:tcBorders>
              <w:bottom w:val="single" w:sz="8" w:color="auto"/>
            </w:tcBorders>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8.1</w:t>
            </w:r>
          </w:p>
        </w:tc>
        <w:tc>
          <w:tcPr>
            <w:tcW w:w="220" w:type="dxa"/>
            <w:vAlign w:val="bottom"/>
            <w:gridSpan w:val="2"/>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w:t>
            </w:r>
          </w:p>
        </w:tc>
        <w:tc>
          <w:tcPr>
            <w:tcW w:w="88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43.47</w:t>
            </w:r>
          </w:p>
        </w:tc>
        <w:tc>
          <w:tcPr>
            <w:tcW w:w="240" w:type="dxa"/>
            <w:vAlign w:val="bottom"/>
            <w:gridSpan w:val="2"/>
            <w:shd w:val="clear" w:color="auto" w:fill="CCEEFF"/>
          </w:tcPr>
          <w:p>
            <w:pPr>
              <w:jc w:val="right"/>
              <w:ind w:right="20"/>
              <w:spacing w:after="0" w:line="129" w:lineRule="exact"/>
              <w:rPr>
                <w:sz w:val="20"/>
                <w:szCs w:val="20"/>
                <w:color w:val="auto"/>
              </w:rPr>
            </w:pPr>
            <w:r>
              <w:rPr>
                <w:rFonts w:ascii="Arial" w:cs="Arial" w:eastAsia="Arial" w:hAnsi="Arial"/>
                <w:sz w:val="14"/>
                <w:szCs w:val="14"/>
                <w:b w:val="1"/>
                <w:bCs w:val="1"/>
                <w:color w:val="auto"/>
              </w:rPr>
              <w:t>$</w:t>
            </w:r>
          </w:p>
        </w:tc>
        <w:tc>
          <w:tcPr>
            <w:tcW w:w="92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b w:val="1"/>
                <w:bCs w:val="1"/>
                <w:color w:val="auto"/>
              </w:rPr>
              <w:t>83.3</w:t>
            </w: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44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total intrinsic value of stock options exercised was $30.7 million, $5.7 million and $4.0 million during 2013, 2012, and 2011, respectively.</w:t>
      </w:r>
    </w:p>
    <w:p>
      <w:pPr>
        <w:spacing w:after="0" w:line="248"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The following is a summary of weighted-average remaining contractual lives for stock options outstanding and the range of exercise prices on the stock options as of December 31, 2013:</w:t>
      </w:r>
    </w:p>
    <w:p>
      <w:pPr>
        <w:spacing w:after="0" w:line="169"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8"/>
              </w:rPr>
              <w:t>Weighted-</w:t>
            </w:r>
          </w:p>
        </w:tc>
      </w:tr>
      <w:tr>
        <w:trPr>
          <w:trHeight w:val="149"/>
        </w:trPr>
        <w:tc>
          <w:tcPr>
            <w:tcW w:w="20" w:type="dxa"/>
            <w:vAlign w:val="bottom"/>
          </w:tcPr>
          <w:p>
            <w:pPr>
              <w:spacing w:after="0"/>
              <w:rPr>
                <w:sz w:val="12"/>
                <w:szCs w:val="12"/>
                <w:color w:val="auto"/>
              </w:rPr>
            </w:pPr>
          </w:p>
        </w:tc>
        <w:tc>
          <w:tcPr>
            <w:tcW w:w="6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60" w:type="dxa"/>
            <w:vAlign w:val="bottom"/>
          </w:tcPr>
          <w:p>
            <w:pPr>
              <w:jc w:val="right"/>
              <w:ind w:right="32"/>
              <w:spacing w:after="0" w:line="149" w:lineRule="exact"/>
              <w:rPr>
                <w:sz w:val="20"/>
                <w:szCs w:val="20"/>
                <w:color w:val="auto"/>
              </w:rPr>
            </w:pPr>
            <w:r>
              <w:rPr>
                <w:rFonts w:ascii="Arial" w:cs="Arial" w:eastAsia="Arial" w:hAnsi="Arial"/>
                <w:sz w:val="14"/>
                <w:szCs w:val="14"/>
                <w:b w:val="1"/>
                <w:bCs w:val="1"/>
                <w:color w:val="auto"/>
                <w:w w:val="91"/>
              </w:rPr>
              <w:t>Number of options</w:t>
            </w:r>
          </w:p>
        </w:tc>
        <w:tc>
          <w:tcPr>
            <w:tcW w:w="160" w:type="dxa"/>
            <w:vAlign w:val="bottom"/>
          </w:tcPr>
          <w:p>
            <w:pPr>
              <w:spacing w:after="0"/>
              <w:rPr>
                <w:sz w:val="12"/>
                <w:szCs w:val="12"/>
                <w:color w:val="auto"/>
              </w:rPr>
            </w:pPr>
          </w:p>
        </w:tc>
        <w:tc>
          <w:tcPr>
            <w:tcW w:w="140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7"/>
              </w:rPr>
              <w:t>average remaining</w:t>
            </w:r>
          </w:p>
        </w:tc>
      </w:tr>
      <w:tr>
        <w:trPr>
          <w:trHeight w:val="161"/>
        </w:trPr>
        <w:tc>
          <w:tcPr>
            <w:tcW w:w="6160" w:type="dxa"/>
            <w:vAlign w:val="bottom"/>
            <w:gridSpan w:val="2"/>
          </w:tcPr>
          <w:p>
            <w:pPr>
              <w:jc w:val="right"/>
              <w:ind w:right="4692"/>
              <w:spacing w:after="0"/>
              <w:rPr>
                <w:sz w:val="20"/>
                <w:szCs w:val="20"/>
                <w:color w:val="auto"/>
              </w:rPr>
            </w:pPr>
            <w:r>
              <w:rPr>
                <w:rFonts w:ascii="Arial" w:cs="Arial" w:eastAsia="Arial" w:hAnsi="Arial"/>
                <w:sz w:val="14"/>
                <w:szCs w:val="14"/>
                <w:b w:val="1"/>
                <w:bCs w:val="1"/>
                <w:color w:val="auto"/>
                <w:w w:val="83"/>
              </w:rPr>
              <w:t>Range of exercise prices</w:t>
            </w:r>
          </w:p>
        </w:tc>
        <w:tc>
          <w:tcPr>
            <w:tcW w:w="160" w:type="dxa"/>
            <w:vAlign w:val="bottom"/>
          </w:tcPr>
          <w:p>
            <w:pPr>
              <w:spacing w:after="0"/>
              <w:rPr>
                <w:sz w:val="14"/>
                <w:szCs w:val="14"/>
                <w:color w:val="auto"/>
              </w:rPr>
            </w:pPr>
          </w:p>
        </w:tc>
        <w:tc>
          <w:tcPr>
            <w:tcW w:w="1260" w:type="dxa"/>
            <w:vAlign w:val="bottom"/>
          </w:tcPr>
          <w:p>
            <w:pPr>
              <w:jc w:val="right"/>
              <w:ind w:right="232"/>
              <w:spacing w:after="0"/>
              <w:rPr>
                <w:sz w:val="20"/>
                <w:szCs w:val="20"/>
                <w:color w:val="auto"/>
              </w:rPr>
            </w:pPr>
            <w:r>
              <w:rPr>
                <w:rFonts w:ascii="Arial" w:cs="Arial" w:eastAsia="Arial" w:hAnsi="Arial"/>
                <w:sz w:val="14"/>
                <w:szCs w:val="14"/>
                <w:b w:val="1"/>
                <w:bCs w:val="1"/>
                <w:color w:val="auto"/>
              </w:rPr>
              <w:t>outstanding</w:t>
            </w:r>
          </w:p>
        </w:tc>
        <w:tc>
          <w:tcPr>
            <w:tcW w:w="160" w:type="dxa"/>
            <w:vAlign w:val="bottom"/>
          </w:tcPr>
          <w:p>
            <w:pPr>
              <w:spacing w:after="0"/>
              <w:rPr>
                <w:sz w:val="14"/>
                <w:szCs w:val="14"/>
                <w:color w:val="auto"/>
              </w:rPr>
            </w:pPr>
          </w:p>
        </w:tc>
        <w:tc>
          <w:tcPr>
            <w:tcW w:w="14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8"/>
              </w:rPr>
              <w:t>contractual life</w:t>
            </w:r>
          </w:p>
        </w:tc>
      </w:tr>
      <w:tr>
        <w:trPr>
          <w:trHeight w:val="142"/>
        </w:trPr>
        <w:tc>
          <w:tcPr>
            <w:tcW w:w="20" w:type="dxa"/>
            <w:vAlign w:val="bottom"/>
          </w:tcPr>
          <w:p>
            <w:pPr>
              <w:spacing w:after="0"/>
              <w:rPr>
                <w:sz w:val="12"/>
                <w:szCs w:val="12"/>
                <w:color w:val="auto"/>
              </w:rPr>
            </w:pPr>
          </w:p>
        </w:tc>
        <w:tc>
          <w:tcPr>
            <w:tcW w:w="61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260" w:type="dxa"/>
            <w:vAlign w:val="bottom"/>
            <w:tcBorders>
              <w:top w:val="single" w:sz="8" w:color="auto"/>
            </w:tcBorders>
          </w:tcPr>
          <w:p>
            <w:pPr>
              <w:jc w:val="right"/>
              <w:ind w:right="232"/>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160" w:type="dxa"/>
            <w:vAlign w:val="bottom"/>
          </w:tcPr>
          <w:p>
            <w:pPr>
              <w:spacing w:after="0"/>
              <w:rPr>
                <w:sz w:val="12"/>
                <w:szCs w:val="12"/>
                <w:color w:val="auto"/>
              </w:rPr>
            </w:pPr>
          </w:p>
        </w:tc>
        <w:tc>
          <w:tcPr>
            <w:tcW w:w="12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140" w:type="dxa"/>
            <w:vAlign w:val="bottom"/>
            <w:shd w:val="clear" w:color="auto" w:fill="CCEEFF"/>
          </w:tcPr>
          <w:p>
            <w:pPr>
              <w:jc w:val="right"/>
              <w:ind w:right="5232"/>
              <w:spacing w:after="0" w:line="149" w:lineRule="exact"/>
              <w:rPr>
                <w:sz w:val="20"/>
                <w:szCs w:val="20"/>
                <w:color w:val="auto"/>
              </w:rPr>
            </w:pPr>
            <w:r>
              <w:rPr>
                <w:rFonts w:ascii="Arial" w:cs="Arial" w:eastAsia="Arial" w:hAnsi="Arial"/>
                <w:sz w:val="14"/>
                <w:szCs w:val="14"/>
                <w:color w:val="auto"/>
                <w:w w:val="83"/>
              </w:rPr>
              <w:t>$11.07 - $21.69</w:t>
            </w:r>
          </w:p>
        </w:tc>
        <w:tc>
          <w:tcPr>
            <w:tcW w:w="14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w:t>
            </w:r>
          </w:p>
        </w:tc>
        <w:tc>
          <w:tcPr>
            <w:tcW w:w="14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140" w:type="dxa"/>
            <w:vAlign w:val="bottom"/>
          </w:tcPr>
          <w:p>
            <w:pPr>
              <w:jc w:val="right"/>
              <w:ind w:right="5232"/>
              <w:spacing w:after="0" w:line="149" w:lineRule="exact"/>
              <w:rPr>
                <w:sz w:val="20"/>
                <w:szCs w:val="20"/>
                <w:color w:val="auto"/>
              </w:rPr>
            </w:pPr>
            <w:r>
              <w:rPr>
                <w:rFonts w:ascii="Arial" w:cs="Arial" w:eastAsia="Arial" w:hAnsi="Arial"/>
                <w:sz w:val="14"/>
                <w:szCs w:val="14"/>
                <w:color w:val="auto"/>
                <w:w w:val="83"/>
              </w:rPr>
              <w:t>$21.70 - $32.32</w:t>
            </w:r>
          </w:p>
        </w:tc>
        <w:tc>
          <w:tcPr>
            <w:tcW w:w="14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2.3</w:t>
            </w:r>
          </w:p>
        </w:tc>
        <w:tc>
          <w:tcPr>
            <w:tcW w:w="14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8.0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140" w:type="dxa"/>
            <w:vAlign w:val="bottom"/>
            <w:shd w:val="clear" w:color="auto" w:fill="CCEEFF"/>
          </w:tcPr>
          <w:p>
            <w:pPr>
              <w:jc w:val="right"/>
              <w:ind w:right="5232"/>
              <w:spacing w:after="0" w:line="149" w:lineRule="exact"/>
              <w:rPr>
                <w:sz w:val="20"/>
                <w:szCs w:val="20"/>
                <w:color w:val="auto"/>
              </w:rPr>
            </w:pPr>
            <w:r>
              <w:rPr>
                <w:rFonts w:ascii="Arial" w:cs="Arial" w:eastAsia="Arial" w:hAnsi="Arial"/>
                <w:sz w:val="14"/>
                <w:szCs w:val="14"/>
                <w:color w:val="auto"/>
                <w:w w:val="83"/>
              </w:rPr>
              <w:t>$32.33 - $42.95</w:t>
            </w:r>
          </w:p>
        </w:tc>
        <w:tc>
          <w:tcPr>
            <w:tcW w:w="14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w:t>
            </w:r>
          </w:p>
        </w:tc>
        <w:tc>
          <w:tcPr>
            <w:tcW w:w="14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140" w:type="dxa"/>
            <w:vAlign w:val="bottom"/>
          </w:tcPr>
          <w:p>
            <w:pPr>
              <w:jc w:val="right"/>
              <w:ind w:right="5232"/>
              <w:spacing w:after="0" w:line="149" w:lineRule="exact"/>
              <w:rPr>
                <w:sz w:val="20"/>
                <w:szCs w:val="20"/>
                <w:color w:val="auto"/>
              </w:rPr>
            </w:pPr>
            <w:r>
              <w:rPr>
                <w:rFonts w:ascii="Arial" w:cs="Arial" w:eastAsia="Arial" w:hAnsi="Arial"/>
                <w:sz w:val="14"/>
                <w:szCs w:val="14"/>
                <w:color w:val="auto"/>
                <w:w w:val="83"/>
              </w:rPr>
              <w:t>$42.96 - $53.58</w:t>
            </w:r>
          </w:p>
        </w:tc>
        <w:tc>
          <w:tcPr>
            <w:tcW w:w="14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1.7</w:t>
            </w:r>
          </w:p>
        </w:tc>
        <w:tc>
          <w:tcPr>
            <w:tcW w:w="14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2.2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140" w:type="dxa"/>
            <w:vAlign w:val="bottom"/>
            <w:shd w:val="clear" w:color="auto" w:fill="CCEEFF"/>
          </w:tcPr>
          <w:p>
            <w:pPr>
              <w:jc w:val="right"/>
              <w:ind w:right="5232"/>
              <w:spacing w:after="0" w:line="149" w:lineRule="exact"/>
              <w:rPr>
                <w:sz w:val="20"/>
                <w:szCs w:val="20"/>
                <w:color w:val="auto"/>
              </w:rPr>
            </w:pPr>
            <w:r>
              <w:rPr>
                <w:rFonts w:ascii="Arial" w:cs="Arial" w:eastAsia="Arial" w:hAnsi="Arial"/>
                <w:sz w:val="14"/>
                <w:szCs w:val="14"/>
                <w:color w:val="auto"/>
                <w:w w:val="83"/>
              </w:rPr>
              <w:t>$53.59 - $64.22</w:t>
            </w:r>
          </w:p>
        </w:tc>
        <w:tc>
          <w:tcPr>
            <w:tcW w:w="14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3.0</w:t>
            </w:r>
          </w:p>
        </w:tc>
        <w:tc>
          <w:tcPr>
            <w:tcW w:w="14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3.7</w:t>
            </w:r>
          </w:p>
        </w:tc>
        <w:tc>
          <w:tcPr>
            <w:tcW w:w="160" w:type="dxa"/>
            <w:vAlign w:val="bottom"/>
            <w:shd w:val="clear" w:color="auto" w:fill="CCEEFF"/>
          </w:tcPr>
          <w:p>
            <w:pPr>
              <w:spacing w:after="0"/>
              <w:rPr>
                <w:sz w:val="12"/>
                <w:szCs w:val="12"/>
                <w:color w:val="auto"/>
              </w:rPr>
            </w:pPr>
          </w:p>
        </w:tc>
      </w:tr>
      <w:tr>
        <w:trPr>
          <w:trHeight w:val="142"/>
        </w:trPr>
        <w:tc>
          <w:tcPr>
            <w:tcW w:w="6160" w:type="dxa"/>
            <w:vAlign w:val="bottom"/>
            <w:gridSpan w:val="2"/>
          </w:tcPr>
          <w:p>
            <w:pPr>
              <w:jc w:val="right"/>
              <w:ind w:right="5232"/>
              <w:spacing w:after="0" w:line="142" w:lineRule="exact"/>
              <w:rPr>
                <w:sz w:val="20"/>
                <w:szCs w:val="20"/>
                <w:color w:val="auto"/>
              </w:rPr>
            </w:pPr>
            <w:r>
              <w:rPr>
                <w:rFonts w:ascii="Arial" w:cs="Arial" w:eastAsia="Arial" w:hAnsi="Arial"/>
                <w:sz w:val="14"/>
                <w:szCs w:val="14"/>
                <w:color w:val="auto"/>
                <w:w w:val="85"/>
              </w:rPr>
              <w:t>$11.07 - $64.22</w:t>
            </w:r>
          </w:p>
        </w:tc>
        <w:tc>
          <w:tcPr>
            <w:tcW w:w="160" w:type="dxa"/>
            <w:vAlign w:val="bottom"/>
          </w:tcPr>
          <w:p>
            <w:pPr>
              <w:spacing w:after="0"/>
              <w:rPr>
                <w:sz w:val="12"/>
                <w:szCs w:val="12"/>
                <w:color w:val="auto"/>
              </w:rPr>
            </w:pPr>
          </w:p>
        </w:tc>
        <w:tc>
          <w:tcPr>
            <w:tcW w:w="12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9.6</w:t>
            </w:r>
          </w:p>
        </w:tc>
        <w:tc>
          <w:tcPr>
            <w:tcW w:w="140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rPr>
              <w:t>4.5</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6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weighted-average remaining contractual lives for stock options exercisable is approximately 3.7 years as of December 31, 2013.</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88" w:name="page189"/>
    <w:bookmarkEnd w:id="18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18. Stock-Based Compensation Plans — (continued)</w:t>
      </w:r>
    </w:p>
    <w:p>
      <w:pPr>
        <w:spacing w:after="0" w:line="231" w:lineRule="exact"/>
        <w:rPr>
          <w:sz w:val="20"/>
          <w:szCs w:val="20"/>
          <w:color w:val="auto"/>
        </w:rPr>
      </w:pPr>
    </w:p>
    <w:p>
      <w:pPr>
        <w:jc w:val="both"/>
        <w:ind w:right="20" w:firstLine="351"/>
        <w:spacing w:after="0" w:line="268" w:lineRule="auto"/>
        <w:rPr>
          <w:sz w:val="20"/>
          <w:szCs w:val="20"/>
          <w:color w:val="auto"/>
        </w:rPr>
      </w:pPr>
      <w:r>
        <w:rPr>
          <w:rFonts w:ascii="Arial" w:cs="Arial" w:eastAsia="Arial" w:hAnsi="Arial"/>
          <w:sz w:val="18"/>
          <w:szCs w:val="18"/>
          <w:color w:val="auto"/>
        </w:rPr>
        <w:t>The fair value of stock options is estimated using the Black-Scholes option pricing model. The following is a summary of the assumptions used in this model for the stock options granted during the period:</w:t>
      </w:r>
    </w:p>
    <w:p>
      <w:pPr>
        <w:spacing w:after="0" w:line="169"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9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60" w:type="dxa"/>
            <w:vAlign w:val="bottom"/>
            <w:gridSpan w:val="7"/>
          </w:tcPr>
          <w:p>
            <w:pPr>
              <w:jc w:val="center"/>
              <w:ind w:left="312"/>
              <w:spacing w:after="0"/>
              <w:rPr>
                <w:sz w:val="20"/>
                <w:szCs w:val="20"/>
                <w:color w:val="auto"/>
              </w:rPr>
            </w:pPr>
            <w:r>
              <w:rPr>
                <w:rFonts w:ascii="Arial" w:cs="Arial" w:eastAsia="Arial" w:hAnsi="Arial"/>
                <w:sz w:val="14"/>
                <w:szCs w:val="14"/>
                <w:b w:val="1"/>
                <w:bCs w:val="1"/>
                <w:color w:val="auto"/>
                <w:w w:val="86"/>
              </w:rPr>
              <w:t>For the year ended</w:t>
            </w:r>
          </w:p>
        </w:tc>
        <w:tc>
          <w:tcPr>
            <w:tcW w:w="4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696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Options</w:t>
            </w:r>
          </w:p>
        </w:tc>
        <w:tc>
          <w:tcPr>
            <w:tcW w:w="160" w:type="dxa"/>
            <w:vAlign w:val="bottom"/>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85"/>
              </w:rPr>
              <w:t>December 31,</w:t>
            </w: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96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jc w:val="right"/>
              <w:ind w:right="72"/>
              <w:spacing w:after="0" w:line="142" w:lineRule="exact"/>
              <w:rPr>
                <w:sz w:val="20"/>
                <w:szCs w:val="20"/>
                <w:color w:val="auto"/>
              </w:rPr>
            </w:pPr>
            <w:r>
              <w:rPr>
                <w:rFonts w:ascii="Arial" w:cs="Arial" w:eastAsia="Arial" w:hAnsi="Arial"/>
                <w:sz w:val="14"/>
                <w:szCs w:val="14"/>
                <w:b w:val="1"/>
                <w:bCs w:val="1"/>
                <w:color w:val="auto"/>
              </w:rPr>
              <w:t>2013</w:t>
            </w:r>
          </w:p>
        </w:tc>
        <w:tc>
          <w:tcPr>
            <w:tcW w:w="140" w:type="dxa"/>
            <w:vAlign w:val="bottom"/>
          </w:tcPr>
          <w:p>
            <w:pPr>
              <w:spacing w:after="0"/>
              <w:rPr>
                <w:sz w:val="12"/>
                <w:szCs w:val="12"/>
                <w:color w:val="auto"/>
              </w:rPr>
            </w:pPr>
          </w:p>
        </w:tc>
        <w:tc>
          <w:tcPr>
            <w:tcW w:w="520" w:type="dxa"/>
            <w:vAlign w:val="bottom"/>
            <w:gridSpan w:val="2"/>
          </w:tcPr>
          <w:p>
            <w:pPr>
              <w:jc w:val="center"/>
              <w:spacing w:after="0" w:line="142" w:lineRule="exact"/>
              <w:rPr>
                <w:sz w:val="20"/>
                <w:szCs w:val="20"/>
                <w:color w:val="auto"/>
              </w:rPr>
            </w:pPr>
            <w:r>
              <w:rPr>
                <w:rFonts w:ascii="Arial" w:cs="Arial" w:eastAsia="Arial" w:hAnsi="Arial"/>
                <w:sz w:val="14"/>
                <w:szCs w:val="14"/>
                <w:b w:val="1"/>
                <w:bCs w:val="1"/>
                <w:color w:val="auto"/>
                <w:w w:val="89"/>
              </w:rPr>
              <w:t>2012</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jc w:val="right"/>
              <w:ind w:right="52"/>
              <w:spacing w:after="0" w:line="142" w:lineRule="exact"/>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69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694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Expected volatility</w:t>
            </w:r>
          </w:p>
        </w:tc>
        <w:tc>
          <w:tcPr>
            <w:tcW w:w="16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53.3%</w:t>
            </w:r>
          </w:p>
        </w:tc>
        <w:tc>
          <w:tcPr>
            <w:tcW w:w="680" w:type="dxa"/>
            <w:vAlign w:val="bottom"/>
            <w:gridSpan w:val="3"/>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70.0%</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67.9%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40" w:type="dxa"/>
            <w:vAlign w:val="bottom"/>
          </w:tcPr>
          <w:p>
            <w:pPr>
              <w:spacing w:after="0" w:line="149" w:lineRule="exact"/>
              <w:rPr>
                <w:sz w:val="20"/>
                <w:szCs w:val="20"/>
                <w:color w:val="auto"/>
              </w:rPr>
            </w:pPr>
            <w:r>
              <w:rPr>
                <w:rFonts w:ascii="Arial" w:cs="Arial" w:eastAsia="Arial" w:hAnsi="Arial"/>
                <w:sz w:val="14"/>
                <w:szCs w:val="14"/>
                <w:color w:val="auto"/>
              </w:rPr>
              <w:t>Expected term (in years)</w:t>
            </w:r>
          </w:p>
        </w:tc>
        <w:tc>
          <w:tcPr>
            <w:tcW w:w="6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6.5</w:t>
            </w:r>
          </w:p>
        </w:tc>
        <w:tc>
          <w:tcPr>
            <w:tcW w:w="140" w:type="dxa"/>
            <w:vAlign w:val="bottom"/>
          </w:tcPr>
          <w:p>
            <w:pPr>
              <w:spacing w:after="0"/>
              <w:rPr>
                <w:sz w:val="12"/>
                <w:szCs w:val="12"/>
                <w:color w:val="auto"/>
              </w:rPr>
            </w:pPr>
          </w:p>
        </w:tc>
        <w:tc>
          <w:tcPr>
            <w:tcW w:w="5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6.0</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jc w:val="right"/>
              <w:spacing w:after="0" w:line="149" w:lineRule="exact"/>
              <w:rPr>
                <w:sz w:val="20"/>
                <w:szCs w:val="20"/>
                <w:color w:val="auto"/>
              </w:rPr>
            </w:pPr>
            <w:r>
              <w:rPr>
                <w:rFonts w:ascii="Arial" w:cs="Arial" w:eastAsia="Arial" w:hAnsi="Arial"/>
                <w:sz w:val="14"/>
                <w:szCs w:val="14"/>
                <w:color w:val="auto"/>
              </w:rPr>
              <w:t>6.0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Risk-free interest rate</w:t>
            </w:r>
          </w:p>
        </w:tc>
        <w:tc>
          <w:tcPr>
            <w:tcW w:w="820" w:type="dxa"/>
            <w:vAlign w:val="bottom"/>
            <w:gridSpan w:val="3"/>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w:t>
            </w:r>
          </w:p>
        </w:tc>
        <w:tc>
          <w:tcPr>
            <w:tcW w:w="680" w:type="dxa"/>
            <w:vAlign w:val="bottom"/>
            <w:gridSpan w:val="3"/>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1.1%</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40" w:type="dxa"/>
            <w:vAlign w:val="bottom"/>
          </w:tcPr>
          <w:p>
            <w:pPr>
              <w:spacing w:after="0" w:line="149" w:lineRule="exact"/>
              <w:rPr>
                <w:sz w:val="20"/>
                <w:szCs w:val="20"/>
                <w:color w:val="auto"/>
              </w:rPr>
            </w:pPr>
            <w:r>
              <w:rPr>
                <w:rFonts w:ascii="Arial" w:cs="Arial" w:eastAsia="Arial" w:hAnsi="Arial"/>
                <w:sz w:val="14"/>
                <w:szCs w:val="14"/>
                <w:color w:val="auto"/>
              </w:rPr>
              <w:t>Expected dividend yield</w:t>
            </w:r>
          </w:p>
        </w:tc>
        <w:tc>
          <w:tcPr>
            <w:tcW w:w="820" w:type="dxa"/>
            <w:vAlign w:val="bottom"/>
            <w:gridSpan w:val="3"/>
          </w:tcPr>
          <w:p>
            <w:pPr>
              <w:jc w:val="right"/>
              <w:spacing w:after="0" w:line="149" w:lineRule="exact"/>
              <w:rPr>
                <w:sz w:val="20"/>
                <w:szCs w:val="20"/>
                <w:color w:val="auto"/>
              </w:rPr>
            </w:pPr>
            <w:r>
              <w:rPr>
                <w:rFonts w:ascii="Arial" w:cs="Arial" w:eastAsia="Arial" w:hAnsi="Arial"/>
                <w:sz w:val="14"/>
                <w:szCs w:val="14"/>
                <w:b w:val="1"/>
                <w:bCs w:val="1"/>
                <w:color w:val="auto"/>
              </w:rPr>
              <w:t>3.00%</w:t>
            </w:r>
          </w:p>
        </w:tc>
        <w:tc>
          <w:tcPr>
            <w:tcW w:w="680" w:type="dxa"/>
            <w:vAlign w:val="bottom"/>
            <w:gridSpan w:val="3"/>
          </w:tcPr>
          <w:p>
            <w:pPr>
              <w:jc w:val="right"/>
              <w:ind w:right="40"/>
              <w:spacing w:after="0" w:line="149" w:lineRule="exact"/>
              <w:rPr>
                <w:sz w:val="20"/>
                <w:szCs w:val="20"/>
                <w:color w:val="auto"/>
              </w:rPr>
            </w:pPr>
            <w:r>
              <w:rPr>
                <w:rFonts w:ascii="Arial" w:cs="Arial" w:eastAsia="Arial" w:hAnsi="Arial"/>
                <w:sz w:val="14"/>
                <w:szCs w:val="14"/>
                <w:color w:val="auto"/>
              </w:rPr>
              <w:t>2.55%</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1.60%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Weighted average estimated fair value</w:t>
            </w:r>
          </w:p>
        </w:tc>
        <w:tc>
          <w:tcPr>
            <w:tcW w:w="6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  11.95</w:t>
            </w:r>
          </w:p>
        </w:tc>
        <w:tc>
          <w:tcPr>
            <w:tcW w:w="14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w w:val="98"/>
              </w:rPr>
              <w:t>$  13.95</w:t>
            </w:r>
          </w:p>
        </w:tc>
        <w:tc>
          <w:tcPr>
            <w:tcW w:w="160" w:type="dxa"/>
            <w:vAlign w:val="bottom"/>
            <w:shd w:val="clear" w:color="auto" w:fill="CCEEFF"/>
          </w:tcPr>
          <w:p>
            <w:pPr>
              <w:spacing w:after="0"/>
              <w:rPr>
                <w:sz w:val="12"/>
                <w:szCs w:val="12"/>
                <w:color w:val="auto"/>
              </w:rPr>
            </w:pPr>
          </w:p>
        </w:tc>
        <w:tc>
          <w:tcPr>
            <w:tcW w:w="12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w w:val="76"/>
              </w:rPr>
              <w:t>$</w:t>
            </w: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18.82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bl>
    <w:p>
      <w:pPr>
        <w:spacing w:after="0" w:line="208" w:lineRule="exact"/>
        <w:rPr>
          <w:sz w:val="20"/>
          <w:szCs w:val="20"/>
          <w:color w:val="auto"/>
        </w:rPr>
      </w:pPr>
    </w:p>
    <w:p>
      <w:pPr>
        <w:jc w:val="both"/>
        <w:ind w:firstLine="360"/>
        <w:spacing w:after="0" w:line="253" w:lineRule="auto"/>
        <w:rPr>
          <w:sz w:val="20"/>
          <w:szCs w:val="20"/>
          <w:color w:val="auto"/>
        </w:rPr>
      </w:pPr>
      <w:r>
        <w:rPr>
          <w:rFonts w:ascii="Arial" w:cs="Arial" w:eastAsia="Arial" w:hAnsi="Arial"/>
          <w:sz w:val="18"/>
          <w:szCs w:val="18"/>
          <w:color w:val="auto"/>
        </w:rPr>
        <w:t>We previously determined expected volatility based on, among other factors, historical volatility using daily price observations. Beginning with nonqualified stock options granted in 2013, we determine expected volatility based on a combination of historical volatility using daily price observations and implied volatility from traded options on our common stock. We believe that incorporating both historical and implied volatility into our expected volatility assumption calculation better reflects market expectations. The expected term represents the period of time that options granted are expected to be outstanding. We determine expected term using historical exercise and employee termination data. The risk-free rate for periods within the expected term of the option is based on the U.S. Treasury risk-free interest rate in effect at the time of grant. The dividend yield is based on historical dividend distributions compared to the closing price of our common shares on the grant date.</w:t>
      </w:r>
    </w:p>
    <w:p>
      <w:pPr>
        <w:spacing w:after="0" w:line="201" w:lineRule="exact"/>
        <w:rPr>
          <w:sz w:val="20"/>
          <w:szCs w:val="20"/>
          <w:color w:val="auto"/>
        </w:rPr>
      </w:pPr>
    </w:p>
    <w:p>
      <w:pPr>
        <w:jc w:val="both"/>
        <w:ind w:firstLine="419"/>
        <w:spacing w:after="0" w:line="268" w:lineRule="auto"/>
        <w:rPr>
          <w:sz w:val="20"/>
          <w:szCs w:val="20"/>
          <w:color w:val="auto"/>
        </w:rPr>
      </w:pPr>
      <w:r>
        <w:rPr>
          <w:rFonts w:ascii="Arial" w:cs="Arial" w:eastAsia="Arial" w:hAnsi="Arial"/>
          <w:sz w:val="18"/>
          <w:szCs w:val="18"/>
          <w:color w:val="auto"/>
        </w:rPr>
        <w:t>As of December 31, 2013, there was $2.7 million of total unrecognized compensation costs related to nonvested stock options. The cost is expected to be recognized over a weighted-average service period of approximately 1.6 years.</w:t>
      </w:r>
    </w:p>
    <w:p>
      <w:pPr>
        <w:spacing w:after="0" w:line="186"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Cash received from stock options exercised under these share-based payment arrangements during 2013, 2012 and 2011 was $105.6 million, $11.3 million and $7.3 million, respectively. The actual tax benefits realized for the tax deductions for options exercised under these share-based payment arrangements during 2013, 2012 and 2011 was $10.6 million, $1.6 million and $1.4 million, respectively.</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Share Awards</w:t>
      </w:r>
    </w:p>
    <w:p>
      <w:pPr>
        <w:spacing w:after="0" w:line="231" w:lineRule="exact"/>
        <w:rPr>
          <w:sz w:val="20"/>
          <w:szCs w:val="20"/>
          <w:color w:val="auto"/>
        </w:rPr>
      </w:pPr>
    </w:p>
    <w:p>
      <w:pPr>
        <w:jc w:val="both"/>
        <w:ind w:firstLine="378"/>
        <w:spacing w:after="0" w:line="289" w:lineRule="auto"/>
        <w:rPr>
          <w:sz w:val="20"/>
          <w:szCs w:val="20"/>
          <w:color w:val="auto"/>
        </w:rPr>
      </w:pPr>
      <w:r>
        <w:rPr>
          <w:rFonts w:ascii="Arial" w:cs="Arial" w:eastAsia="Arial" w:hAnsi="Arial"/>
          <w:sz w:val="16"/>
          <w:szCs w:val="16"/>
          <w:color w:val="auto"/>
        </w:rPr>
        <w:t>We granted performance share awards to certain employees under the Amended and Restated 2010 Stock Incentive Plan. The performance share awards are treated as an equity award and are paid in shares. Whether the performance shares are earned depends upon the participant's continued employment through the performance period (except in the case of an approved retirement) and our performance against three-year goals set at the beginning of the performance period. Performance goals based on various factors, including return on equity, operating income and book value per share, must be achieved for any of the performance shares to be earned. If the performance requirements are not met, the performance shares will be forfeited, no compensation cost is recognized and any previously recognized compensation cost is reversed. There is no maximum contractual term on these awards. Dividend equivalents are credited on performance shares outstanding as of the record date. These dividend equivalents are only paid on the shares released. Total performance share awards granted were 0.3 million, 0.4 million and 0.3 million in 2013, 2012 and 2011, respectively.</w:t>
      </w:r>
    </w:p>
    <w:p>
      <w:pPr>
        <w:spacing w:after="0" w:line="17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is a summary of activity for the nonvested performance share awards:</w:t>
      </w:r>
    </w:p>
    <w:p>
      <w:pPr>
        <w:spacing w:after="0" w:line="20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620" w:type="dxa"/>
            <w:vAlign w:val="bottom"/>
          </w:tcPr>
          <w:p>
            <w:pPr>
              <w:spacing w:after="0"/>
              <w:rPr>
                <w:sz w:val="14"/>
                <w:szCs w:val="14"/>
                <w:color w:val="auto"/>
              </w:rPr>
            </w:pP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88"/>
              </w:rPr>
              <w:t>Number of</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5"/>
              </w:rPr>
              <w:t>Weighted-</w:t>
            </w:r>
          </w:p>
        </w:tc>
      </w:tr>
      <w:tr>
        <w:trPr>
          <w:trHeight w:val="149"/>
        </w:trPr>
        <w:tc>
          <w:tcPr>
            <w:tcW w:w="20" w:type="dxa"/>
            <w:vAlign w:val="bottom"/>
          </w:tcPr>
          <w:p>
            <w:pPr>
              <w:spacing w:after="0"/>
              <w:rPr>
                <w:sz w:val="12"/>
                <w:szCs w:val="12"/>
                <w:color w:val="auto"/>
              </w:rPr>
            </w:pPr>
          </w:p>
        </w:tc>
        <w:tc>
          <w:tcPr>
            <w:tcW w:w="6620" w:type="dxa"/>
            <w:vAlign w:val="bottom"/>
          </w:tcPr>
          <w:p>
            <w:pPr>
              <w:spacing w:after="0"/>
              <w:rPr>
                <w:sz w:val="12"/>
                <w:szCs w:val="12"/>
                <w:color w:val="auto"/>
              </w:rPr>
            </w:pPr>
          </w:p>
        </w:tc>
        <w:tc>
          <w:tcPr>
            <w:tcW w:w="9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performance</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average grant-date</w:t>
            </w:r>
          </w:p>
        </w:tc>
      </w:tr>
      <w:tr>
        <w:trPr>
          <w:trHeight w:val="161"/>
        </w:trPr>
        <w:tc>
          <w:tcPr>
            <w:tcW w:w="20" w:type="dxa"/>
            <w:vAlign w:val="bottom"/>
          </w:tcPr>
          <w:p>
            <w:pPr>
              <w:spacing w:after="0"/>
              <w:rPr>
                <w:sz w:val="14"/>
                <w:szCs w:val="14"/>
                <w:color w:val="auto"/>
              </w:rPr>
            </w:pPr>
          </w:p>
        </w:tc>
        <w:tc>
          <w:tcPr>
            <w:tcW w:w="6620" w:type="dxa"/>
            <w:vAlign w:val="bottom"/>
          </w:tcPr>
          <w:p>
            <w:pPr>
              <w:spacing w:after="0"/>
              <w:rPr>
                <w:sz w:val="14"/>
                <w:szCs w:val="14"/>
                <w:color w:val="auto"/>
              </w:rPr>
            </w:pP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87"/>
              </w:rPr>
              <w:t>share awards</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7"/>
              </w:rPr>
              <w:t>fair value</w:t>
            </w:r>
          </w:p>
        </w:tc>
      </w:tr>
      <w:tr>
        <w:trPr>
          <w:trHeight w:val="142"/>
        </w:trPr>
        <w:tc>
          <w:tcPr>
            <w:tcW w:w="20" w:type="dxa"/>
            <w:vAlign w:val="bottom"/>
          </w:tcPr>
          <w:p>
            <w:pPr>
              <w:spacing w:after="0"/>
              <w:rPr>
                <w:sz w:val="12"/>
                <w:szCs w:val="12"/>
                <w:color w:val="auto"/>
              </w:rPr>
            </w:pPr>
          </w:p>
        </w:tc>
        <w:tc>
          <w:tcPr>
            <w:tcW w:w="6620" w:type="dxa"/>
            <w:vAlign w:val="bottom"/>
          </w:tcPr>
          <w:p>
            <w:pPr>
              <w:spacing w:after="0"/>
              <w:rPr>
                <w:sz w:val="12"/>
                <w:szCs w:val="12"/>
                <w:color w:val="auto"/>
              </w:rPr>
            </w:pPr>
          </w:p>
        </w:tc>
        <w:tc>
          <w:tcPr>
            <w:tcW w:w="92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1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6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Nonvested performance share awards at January 1, 2013</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w:t>
            </w:r>
          </w:p>
        </w:tc>
        <w:tc>
          <w:tcPr>
            <w:tcW w:w="24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27.28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620" w:type="dxa"/>
            <w:vAlign w:val="bottom"/>
          </w:tcPr>
          <w:p>
            <w:pPr>
              <w:ind w:left="140"/>
              <w:spacing w:after="0" w:line="149" w:lineRule="exact"/>
              <w:rPr>
                <w:sz w:val="20"/>
                <w:szCs w:val="20"/>
                <w:color w:val="auto"/>
              </w:rPr>
            </w:pPr>
            <w:r>
              <w:rPr>
                <w:rFonts w:ascii="Arial" w:cs="Arial" w:eastAsia="Arial" w:hAnsi="Arial"/>
                <w:sz w:val="14"/>
                <w:szCs w:val="14"/>
                <w:color w:val="auto"/>
              </w:rPr>
              <w:t>Granted</w:t>
            </w:r>
          </w:p>
        </w:tc>
        <w:tc>
          <w:tcPr>
            <w:tcW w:w="9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30.70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6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Vested</w:t>
            </w:r>
          </w:p>
        </w:tc>
        <w:tc>
          <w:tcPr>
            <w:tcW w:w="9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22.21</w:t>
            </w:r>
          </w:p>
        </w:tc>
        <w:tc>
          <w:tcPr>
            <w:tcW w:w="160" w:type="dxa"/>
            <w:vAlign w:val="bottom"/>
            <w:shd w:val="clear" w:color="auto" w:fill="CCEEFF"/>
          </w:tcPr>
          <w:p>
            <w:pPr>
              <w:spacing w:after="0"/>
              <w:rPr>
                <w:sz w:val="12"/>
                <w:szCs w:val="12"/>
                <w:color w:val="auto"/>
              </w:rPr>
            </w:pPr>
          </w:p>
        </w:tc>
      </w:tr>
      <w:tr>
        <w:trPr>
          <w:trHeight w:val="142"/>
        </w:trPr>
        <w:tc>
          <w:tcPr>
            <w:tcW w:w="6640" w:type="dxa"/>
            <w:vAlign w:val="bottom"/>
            <w:gridSpan w:val="2"/>
          </w:tcPr>
          <w:p>
            <w:pPr>
              <w:spacing w:after="0" w:line="142" w:lineRule="exact"/>
              <w:rPr>
                <w:sz w:val="20"/>
                <w:szCs w:val="20"/>
                <w:color w:val="auto"/>
              </w:rPr>
            </w:pPr>
            <w:r>
              <w:rPr>
                <w:rFonts w:ascii="Arial" w:cs="Arial" w:eastAsia="Arial" w:hAnsi="Arial"/>
                <w:sz w:val="14"/>
                <w:szCs w:val="14"/>
                <w:color w:val="auto"/>
              </w:rPr>
              <w:t>Nonvested performance share awards at December 31, 2013</w:t>
            </w:r>
          </w:p>
        </w:tc>
        <w:tc>
          <w:tcPr>
            <w:tcW w:w="9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1.0</w:t>
            </w:r>
          </w:p>
        </w:tc>
        <w:tc>
          <w:tcPr>
            <w:tcW w:w="240" w:type="dxa"/>
            <w:vAlign w:val="bottom"/>
            <w:gridSpan w:val="2"/>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118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30.30</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66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total intrinsic value of performance share awards vested was $10.9 million, $13.0 million and zero during 2013, 2012 and 2011, respectively.</w:t>
      </w:r>
    </w:p>
    <w:p>
      <w:pPr>
        <w:spacing w:after="0" w:line="248" w:lineRule="exact"/>
        <w:rPr>
          <w:sz w:val="20"/>
          <w:szCs w:val="20"/>
          <w:color w:val="auto"/>
        </w:rPr>
      </w:pPr>
    </w:p>
    <w:p>
      <w:pPr>
        <w:jc w:val="both"/>
        <w:ind w:firstLine="490"/>
        <w:spacing w:after="0" w:line="259" w:lineRule="auto"/>
        <w:rPr>
          <w:sz w:val="20"/>
          <w:szCs w:val="20"/>
          <w:color w:val="auto"/>
        </w:rPr>
      </w:pPr>
      <w:r>
        <w:rPr>
          <w:rFonts w:ascii="Arial" w:cs="Arial" w:eastAsia="Arial" w:hAnsi="Arial"/>
          <w:sz w:val="18"/>
          <w:szCs w:val="18"/>
          <w:color w:val="auto"/>
        </w:rPr>
        <w:t>Performance share awards above represent initial target awards and do not reflect potential increases or decreases resulting from the final performance objectives to be determined at the end of the respective performance period. The actual number of shares to be awarded at the end of each performance period will range between 0% and 150% of the initial target awards.</w:t>
      </w:r>
    </w:p>
    <w:p>
      <w:pPr>
        <w:sectPr>
          <w:pgSz w:w="11900" w:h="16838" w:orient="portrait"/>
          <w:cols w:equalWidth="0" w:num="1">
            <w:col w:w="11420"/>
          </w:cols>
          <w:pgMar w:left="240" w:top="131" w:right="239" w:bottom="1440" w:gutter="0" w:footer="0" w:header="0"/>
        </w:sectPr>
      </w:pP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89" w:name="page190"/>
    <w:bookmarkEnd w:id="18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18. Stock-Based Compensation Plans — (continued)</w:t>
      </w:r>
    </w:p>
    <w:p>
      <w:pPr>
        <w:spacing w:after="0" w:line="231" w:lineRule="exact"/>
        <w:rPr>
          <w:sz w:val="20"/>
          <w:szCs w:val="20"/>
          <w:color w:val="auto"/>
        </w:rPr>
      </w:pPr>
    </w:p>
    <w:p>
      <w:pPr>
        <w:jc w:val="both"/>
        <w:ind w:firstLine="409"/>
        <w:spacing w:after="0" w:line="332" w:lineRule="auto"/>
        <w:rPr>
          <w:sz w:val="20"/>
          <w:szCs w:val="20"/>
          <w:color w:val="auto"/>
        </w:rPr>
      </w:pPr>
      <w:r>
        <w:rPr>
          <w:rFonts w:ascii="Arial" w:cs="Arial" w:eastAsia="Arial" w:hAnsi="Arial"/>
          <w:sz w:val="16"/>
          <w:szCs w:val="16"/>
          <w:color w:val="auto"/>
        </w:rPr>
        <w:t>The fair value of performance share awards is determined based on the closing stock price of our common shares on the grant date. The weighted-average grant-date fair value of performance share awards granted during 2013, 2012 and 2011 were $30.70, $27.46 and $34.26, respectively.</w:t>
      </w:r>
    </w:p>
    <w:p>
      <w:pPr>
        <w:spacing w:after="0" w:line="139" w:lineRule="exact"/>
        <w:rPr>
          <w:sz w:val="20"/>
          <w:szCs w:val="20"/>
          <w:color w:val="auto"/>
        </w:rPr>
      </w:pPr>
    </w:p>
    <w:p>
      <w:pPr>
        <w:jc w:val="both"/>
        <w:ind w:right="20" w:firstLine="370"/>
        <w:spacing w:after="0" w:line="268" w:lineRule="auto"/>
        <w:rPr>
          <w:sz w:val="20"/>
          <w:szCs w:val="20"/>
          <w:color w:val="auto"/>
        </w:rPr>
      </w:pPr>
      <w:r>
        <w:rPr>
          <w:rFonts w:ascii="Arial" w:cs="Arial" w:eastAsia="Arial" w:hAnsi="Arial"/>
          <w:sz w:val="18"/>
          <w:szCs w:val="18"/>
          <w:color w:val="auto"/>
        </w:rPr>
        <w:t>As of December 31, 2013, there was $5.2 million of total unrecognized compensation cost related to nonvested performance share awards granted. The cost is expected to be recognized over a weighted-average service period of approximately 1.5 years.</w:t>
      </w:r>
    </w:p>
    <w:p>
      <w:pPr>
        <w:spacing w:after="0" w:line="186" w:lineRule="exact"/>
        <w:rPr>
          <w:sz w:val="20"/>
          <w:szCs w:val="20"/>
          <w:color w:val="auto"/>
        </w:rPr>
      </w:pPr>
    </w:p>
    <w:p>
      <w:pPr>
        <w:ind w:firstLine="366"/>
        <w:spacing w:after="0" w:line="268" w:lineRule="auto"/>
        <w:rPr>
          <w:sz w:val="20"/>
          <w:szCs w:val="20"/>
          <w:color w:val="auto"/>
        </w:rPr>
      </w:pPr>
      <w:r>
        <w:rPr>
          <w:rFonts w:ascii="Arial" w:cs="Arial" w:eastAsia="Arial" w:hAnsi="Arial"/>
          <w:sz w:val="18"/>
          <w:szCs w:val="18"/>
          <w:color w:val="auto"/>
        </w:rPr>
        <w:t>Actual tax benefits realized for the tax deductions for performance share awards paid out under these share based payment arrangements for 2013, 2012 and 2011 was $4.7 million, $4.7 million and zero, respectively.</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Restricted Stock Units</w:t>
      </w:r>
    </w:p>
    <w:p>
      <w:pPr>
        <w:spacing w:after="0" w:line="231" w:lineRule="exact"/>
        <w:rPr>
          <w:sz w:val="20"/>
          <w:szCs w:val="20"/>
          <w:color w:val="auto"/>
        </w:rPr>
      </w:pPr>
    </w:p>
    <w:p>
      <w:pPr>
        <w:jc w:val="both"/>
        <w:ind w:firstLine="388"/>
        <w:spacing w:after="0" w:line="298" w:lineRule="auto"/>
        <w:rPr>
          <w:sz w:val="20"/>
          <w:szCs w:val="20"/>
          <w:color w:val="auto"/>
        </w:rPr>
      </w:pPr>
      <w:r>
        <w:rPr>
          <w:rFonts w:ascii="Arial" w:cs="Arial" w:eastAsia="Arial" w:hAnsi="Arial"/>
          <w:sz w:val="16"/>
          <w:szCs w:val="16"/>
          <w:color w:val="auto"/>
        </w:rPr>
        <w:t>We issue restricted stock units under the Amended and Restated 2010 Stock Incentive Plan, 2005 Directors Stock Plan, Stock Incentive Plan, and Directors Stock Plan. Restricted stock units are treated as an equity award and are paid in shares. There is no maximum contractual term on these awards. Dividend equivalents are credited on restricted stock units outstanding as of the record date. These dividend equivalents are only paid on the shares released. In 2013, 2012 and 2011, 1.3 million, 1.2 million and 0.9 million restricted stock units were granted, respectively.</w:t>
      </w:r>
    </w:p>
    <w:p>
      <w:pPr>
        <w:spacing w:after="0" w:line="167" w:lineRule="exact"/>
        <w:rPr>
          <w:sz w:val="20"/>
          <w:szCs w:val="20"/>
          <w:color w:val="auto"/>
        </w:rPr>
      </w:pPr>
    </w:p>
    <w:p>
      <w:pPr>
        <w:jc w:val="both"/>
        <w:ind w:firstLine="430"/>
        <w:spacing w:after="0" w:line="259" w:lineRule="auto"/>
        <w:rPr>
          <w:sz w:val="20"/>
          <w:szCs w:val="20"/>
          <w:color w:val="auto"/>
        </w:rPr>
      </w:pPr>
      <w:r>
        <w:rPr>
          <w:rFonts w:ascii="Arial" w:cs="Arial" w:eastAsia="Arial" w:hAnsi="Arial"/>
          <w:sz w:val="18"/>
          <w:szCs w:val="18"/>
          <w:color w:val="auto"/>
        </w:rPr>
        <w:t>Restricted stock units were issued to certain employees and agents pursuant to the Amended and Restated 2010 Stock Incentive Plan and Stock Incentive Plan. Under these plans, awards have graded or cliff vesting over a three-year service period. When service for PFG ceases (except in the case of an approved retirement), all vesting stops and unvested units are forfeited.</w:t>
      </w:r>
    </w:p>
    <w:p>
      <w:pPr>
        <w:spacing w:after="0" w:line="194" w:lineRule="exact"/>
        <w:rPr>
          <w:sz w:val="20"/>
          <w:szCs w:val="20"/>
          <w:color w:val="auto"/>
        </w:rPr>
      </w:pPr>
    </w:p>
    <w:p>
      <w:pPr>
        <w:jc w:val="both"/>
        <w:ind w:firstLine="463"/>
        <w:spacing w:after="0" w:line="298" w:lineRule="auto"/>
        <w:rPr>
          <w:sz w:val="20"/>
          <w:szCs w:val="20"/>
          <w:color w:val="auto"/>
        </w:rPr>
      </w:pPr>
      <w:r>
        <w:rPr>
          <w:rFonts w:ascii="Arial" w:cs="Arial" w:eastAsia="Arial" w:hAnsi="Arial"/>
          <w:sz w:val="16"/>
          <w:szCs w:val="16"/>
          <w:color w:val="auto"/>
        </w:rPr>
        <w:t>Pursuant to the 2005 Directors Stock Plan, restricted stock units are granted to each non-employee director in office immediately following each annual meeting of stockholders and, at the discretion of the Nominating and Governance Committee, to each person who becomes a member of the Board other than on the date of the annual meeting of stockholders. Under the 2005 Directors Stock Plan, awards are granted on an annual basis and cliff vest after a one-year service period. When service to PFG ceases, all vesting stops and unvested units are forfeited.</w:t>
      </w:r>
    </w:p>
    <w:p>
      <w:pPr>
        <w:spacing w:after="0" w:line="16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is a summary of activity for the nonvested restricted stock units:</w:t>
      </w:r>
    </w:p>
    <w:p>
      <w:pPr>
        <w:spacing w:after="0" w:line="20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660" w:type="dxa"/>
            <w:vAlign w:val="bottom"/>
          </w:tcPr>
          <w:p>
            <w:pPr>
              <w:spacing w:after="0"/>
              <w:rPr>
                <w:sz w:val="14"/>
                <w:szCs w:val="14"/>
                <w:color w:val="auto"/>
              </w:rPr>
            </w:pP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w w:val="91"/>
              </w:rPr>
              <w:t>Number of</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5"/>
              </w:rPr>
              <w:t>Weighted-</w:t>
            </w:r>
          </w:p>
        </w:tc>
      </w:tr>
      <w:tr>
        <w:trPr>
          <w:trHeight w:val="149"/>
        </w:trPr>
        <w:tc>
          <w:tcPr>
            <w:tcW w:w="20" w:type="dxa"/>
            <w:vAlign w:val="bottom"/>
          </w:tcPr>
          <w:p>
            <w:pPr>
              <w:spacing w:after="0"/>
              <w:rPr>
                <w:sz w:val="12"/>
                <w:szCs w:val="12"/>
                <w:color w:val="auto"/>
              </w:rPr>
            </w:pPr>
          </w:p>
        </w:tc>
        <w:tc>
          <w:tcPr>
            <w:tcW w:w="666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restricted</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average grant-date</w:t>
            </w:r>
          </w:p>
        </w:tc>
      </w:tr>
      <w:tr>
        <w:trPr>
          <w:trHeight w:val="161"/>
        </w:trPr>
        <w:tc>
          <w:tcPr>
            <w:tcW w:w="20" w:type="dxa"/>
            <w:vAlign w:val="bottom"/>
          </w:tcPr>
          <w:p>
            <w:pPr>
              <w:spacing w:after="0"/>
              <w:rPr>
                <w:sz w:val="14"/>
                <w:szCs w:val="14"/>
                <w:color w:val="auto"/>
              </w:rPr>
            </w:pPr>
          </w:p>
        </w:tc>
        <w:tc>
          <w:tcPr>
            <w:tcW w:w="6660" w:type="dxa"/>
            <w:vAlign w:val="bottom"/>
          </w:tcPr>
          <w:p>
            <w:pPr>
              <w:spacing w:after="0"/>
              <w:rPr>
                <w:sz w:val="14"/>
                <w:szCs w:val="14"/>
                <w:color w:val="auto"/>
              </w:rPr>
            </w:pP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w w:val="81"/>
              </w:rPr>
              <w:t>stock units</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7"/>
              </w:rPr>
              <w:t>fair value</w:t>
            </w:r>
          </w:p>
        </w:tc>
      </w:tr>
      <w:tr>
        <w:trPr>
          <w:trHeight w:val="142"/>
        </w:trPr>
        <w:tc>
          <w:tcPr>
            <w:tcW w:w="20" w:type="dxa"/>
            <w:vAlign w:val="bottom"/>
          </w:tcPr>
          <w:p>
            <w:pPr>
              <w:spacing w:after="0"/>
              <w:rPr>
                <w:sz w:val="12"/>
                <w:szCs w:val="12"/>
                <w:color w:val="auto"/>
              </w:rPr>
            </w:pPr>
          </w:p>
        </w:tc>
        <w:tc>
          <w:tcPr>
            <w:tcW w:w="6660" w:type="dxa"/>
            <w:vAlign w:val="bottom"/>
          </w:tcPr>
          <w:p>
            <w:pPr>
              <w:spacing w:after="0"/>
              <w:rPr>
                <w:sz w:val="12"/>
                <w:szCs w:val="12"/>
                <w:color w:val="auto"/>
              </w:rPr>
            </w:pPr>
          </w:p>
        </w:tc>
        <w:tc>
          <w:tcPr>
            <w:tcW w:w="88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b w:val="1"/>
                <w:bCs w:val="1"/>
                <w:i w:val="1"/>
                <w:iCs w:val="1"/>
                <w:color w:val="auto"/>
                <w:w w:val="86"/>
              </w:rPr>
              <w:t>(in millions)</w:t>
            </w: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1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6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Nonvested restricted stock units at January 1, 2013</w:t>
            </w: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3.1</w:t>
            </w:r>
          </w:p>
        </w:tc>
        <w:tc>
          <w:tcPr>
            <w:tcW w:w="24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27.30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660" w:type="dxa"/>
            <w:vAlign w:val="bottom"/>
          </w:tcPr>
          <w:p>
            <w:pPr>
              <w:ind w:left="140"/>
              <w:spacing w:after="0" w:line="149" w:lineRule="exact"/>
              <w:rPr>
                <w:sz w:val="20"/>
                <w:szCs w:val="20"/>
                <w:color w:val="auto"/>
              </w:rPr>
            </w:pPr>
            <w:r>
              <w:rPr>
                <w:rFonts w:ascii="Arial" w:cs="Arial" w:eastAsia="Arial" w:hAnsi="Arial"/>
                <w:sz w:val="14"/>
                <w:szCs w:val="14"/>
                <w:color w:val="auto"/>
              </w:rPr>
              <w:t>Granted</w:t>
            </w: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31.02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66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Vested</w:t>
            </w: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22.73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660" w:type="dxa"/>
            <w:vAlign w:val="bottom"/>
          </w:tcPr>
          <w:p>
            <w:pPr>
              <w:ind w:left="140"/>
              <w:spacing w:after="0" w:line="149" w:lineRule="exact"/>
              <w:rPr>
                <w:sz w:val="20"/>
                <w:szCs w:val="20"/>
                <w:color w:val="auto"/>
              </w:rPr>
            </w:pPr>
            <w:r>
              <w:rPr>
                <w:rFonts w:ascii="Arial" w:cs="Arial" w:eastAsia="Arial" w:hAnsi="Arial"/>
                <w:sz w:val="14"/>
                <w:szCs w:val="14"/>
                <w:color w:val="auto"/>
              </w:rPr>
              <w:t>Canceled</w:t>
            </w:r>
          </w:p>
        </w:tc>
        <w:tc>
          <w:tcPr>
            <w:tcW w:w="8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30.37</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666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Nonvested restricted stock units at December 31, 2013</w:t>
            </w:r>
          </w:p>
        </w:tc>
        <w:tc>
          <w:tcPr>
            <w:tcW w:w="8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3.1</w:t>
            </w:r>
          </w:p>
        </w:tc>
        <w:tc>
          <w:tcPr>
            <w:tcW w:w="24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11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30.46</w:t>
            </w:r>
          </w:p>
        </w:tc>
        <w:tc>
          <w:tcPr>
            <w:tcW w:w="160" w:type="dxa"/>
            <w:vAlign w:val="bottom"/>
            <w:shd w:val="clear" w:color="auto" w:fill="CCEEFF"/>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666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total intrinsic value of restricted stock units vested was $37.7 million, $31.9 million and $19.9 million during 2013, 2012 and 2011, respectively.</w:t>
      </w:r>
    </w:p>
    <w:p>
      <w:pPr>
        <w:spacing w:after="0" w:line="248" w:lineRule="exact"/>
        <w:rPr>
          <w:sz w:val="20"/>
          <w:szCs w:val="20"/>
          <w:color w:val="auto"/>
        </w:rPr>
      </w:pPr>
    </w:p>
    <w:p>
      <w:pPr>
        <w:jc w:val="both"/>
        <w:ind w:right="20" w:firstLine="387"/>
        <w:spacing w:after="0" w:line="332" w:lineRule="auto"/>
        <w:rPr>
          <w:sz w:val="20"/>
          <w:szCs w:val="20"/>
          <w:color w:val="auto"/>
        </w:rPr>
      </w:pPr>
      <w:r>
        <w:rPr>
          <w:rFonts w:ascii="Arial" w:cs="Arial" w:eastAsia="Arial" w:hAnsi="Arial"/>
          <w:sz w:val="16"/>
          <w:szCs w:val="16"/>
          <w:color w:val="auto"/>
        </w:rPr>
        <w:t>The fair value of restricted stock units is determined based on the closing stock price of our common shares on the grant date. The weighted-average grant-date fair value of restricted stock units granted during 2013, 2012 and 2011 was $31.02, $27.33 and $33.35, respectively.</w:t>
      </w:r>
    </w:p>
    <w:p>
      <w:pPr>
        <w:spacing w:after="0" w:line="139" w:lineRule="exact"/>
        <w:rPr>
          <w:sz w:val="20"/>
          <w:szCs w:val="20"/>
          <w:color w:val="auto"/>
        </w:rPr>
      </w:pPr>
    </w:p>
    <w:p>
      <w:pPr>
        <w:jc w:val="both"/>
        <w:ind w:firstLine="392"/>
        <w:spacing w:after="0" w:line="268" w:lineRule="auto"/>
        <w:rPr>
          <w:sz w:val="20"/>
          <w:szCs w:val="20"/>
          <w:color w:val="auto"/>
        </w:rPr>
      </w:pPr>
      <w:r>
        <w:rPr>
          <w:rFonts w:ascii="Arial" w:cs="Arial" w:eastAsia="Arial" w:hAnsi="Arial"/>
          <w:sz w:val="18"/>
          <w:szCs w:val="18"/>
          <w:color w:val="auto"/>
        </w:rPr>
        <w:t>As of December 31, 2013, there was $36.6 million of total unrecognized compensation cost related to nonvested restricted stock unit awards granted under these plans. The cost is expected to be recognized over a weighted-average period of approximately 1.8 years.</w:t>
      </w:r>
    </w:p>
    <w:p>
      <w:pPr>
        <w:spacing w:after="0" w:line="186" w:lineRule="exact"/>
        <w:rPr>
          <w:sz w:val="20"/>
          <w:szCs w:val="20"/>
          <w:color w:val="auto"/>
        </w:rPr>
      </w:pPr>
    </w:p>
    <w:p>
      <w:pPr>
        <w:ind w:right="20" w:firstLine="424"/>
        <w:spacing w:after="0" w:line="268" w:lineRule="auto"/>
        <w:rPr>
          <w:sz w:val="20"/>
          <w:szCs w:val="20"/>
          <w:color w:val="auto"/>
        </w:rPr>
      </w:pPr>
      <w:r>
        <w:rPr>
          <w:rFonts w:ascii="Arial" w:cs="Arial" w:eastAsia="Arial" w:hAnsi="Arial"/>
          <w:sz w:val="18"/>
          <w:szCs w:val="18"/>
          <w:color w:val="auto"/>
        </w:rPr>
        <w:t>The actual tax benefits realized for the tax deductions for restricted stock unit payouts under these share-based payment arrangements for 2013, 2012 and 2011 was $11.5 million, $11.1 million and $7.3 million, respectively.</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 Stock Purchase Plan</w:t>
      </w:r>
    </w:p>
    <w:p>
      <w:pPr>
        <w:spacing w:after="0" w:line="231" w:lineRule="exact"/>
        <w:rPr>
          <w:sz w:val="20"/>
          <w:szCs w:val="20"/>
          <w:color w:val="auto"/>
        </w:rPr>
      </w:pPr>
    </w:p>
    <w:p>
      <w:pPr>
        <w:jc w:val="both"/>
        <w:ind w:firstLine="429"/>
        <w:spacing w:after="0" w:line="298" w:lineRule="auto"/>
        <w:rPr>
          <w:sz w:val="20"/>
          <w:szCs w:val="20"/>
          <w:color w:val="auto"/>
        </w:rPr>
      </w:pPr>
      <w:r>
        <w:rPr>
          <w:rFonts w:ascii="Arial" w:cs="Arial" w:eastAsia="Arial" w:hAnsi="Arial"/>
          <w:sz w:val="16"/>
          <w:szCs w:val="16"/>
          <w:color w:val="auto"/>
        </w:rPr>
        <w:t>Under our Employee Stock Purchase Plan, participating employees have the opportunity to purchase shares of our common stock on a semi-annual basis. Employees may purchase up to $25,000 worth of company stock each year. Employees may purchase shares of our common stock at a price equal to 85% of the shares' fair market value as of the beginning or end of the purchase period, whichever is lower. Under the Employee Stock Purchase Plan, employees purchased 0.8 million, 0.9 million and 0.7 million shares during 2013, 2012 and 2011, respectively.</w:t>
      </w:r>
    </w:p>
    <w:p>
      <w:pPr>
        <w:sectPr>
          <w:pgSz w:w="11900" w:h="16838" w:orient="portrait"/>
          <w:cols w:equalWidth="0" w:num="1">
            <w:col w:w="11420"/>
          </w:cols>
          <w:pgMar w:left="240" w:top="131" w:right="239" w:bottom="1440" w:gutter="0" w:footer="0" w:header="0"/>
        </w:sectPr>
      </w:pP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90" w:name="page191"/>
    <w:bookmarkEnd w:id="19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18. Stock-Based Compensation Plans — (continued)</w:t>
      </w:r>
    </w:p>
    <w:p>
      <w:pPr>
        <w:spacing w:after="0" w:line="231" w:lineRule="exact"/>
        <w:rPr>
          <w:sz w:val="20"/>
          <w:szCs w:val="20"/>
          <w:color w:val="auto"/>
        </w:rPr>
      </w:pPr>
    </w:p>
    <w:p>
      <w:pPr>
        <w:jc w:val="both"/>
        <w:ind w:firstLine="390"/>
        <w:spacing w:after="0" w:line="256" w:lineRule="auto"/>
        <w:rPr>
          <w:sz w:val="20"/>
          <w:szCs w:val="20"/>
          <w:color w:val="auto"/>
        </w:rPr>
      </w:pPr>
      <w:r>
        <w:rPr>
          <w:rFonts w:ascii="Arial" w:cs="Arial" w:eastAsia="Arial" w:hAnsi="Arial"/>
          <w:sz w:val="18"/>
          <w:szCs w:val="18"/>
          <w:color w:val="auto"/>
        </w:rPr>
        <w:t>We recognize compensation expense for the fair value of the discount granted to employees participating in the employee stock purchase plan in the period of grant. Shares of the Employee Stock Purchase Plan are treated as an equity award. The weighted-average fair value of the discount on the stock purchased was $14.20, $5.34 and $4.20 during 2013, 2012 and 2011, respectively. The total intrinsic value of the Employee Stock Purchase Plan shares settled was $11.4 million, $4.6 million and $3.1 million during 2013, 2012 and 2011, respectively.</w:t>
      </w:r>
    </w:p>
    <w:p>
      <w:pPr>
        <w:spacing w:after="0" w:line="197" w:lineRule="exact"/>
        <w:rPr>
          <w:sz w:val="20"/>
          <w:szCs w:val="20"/>
          <w:color w:val="auto"/>
        </w:rPr>
      </w:pPr>
    </w:p>
    <w:p>
      <w:pPr>
        <w:jc w:val="both"/>
        <w:ind w:firstLine="621"/>
        <w:spacing w:after="0" w:line="259" w:lineRule="auto"/>
        <w:rPr>
          <w:sz w:val="20"/>
          <w:szCs w:val="20"/>
          <w:color w:val="auto"/>
        </w:rPr>
      </w:pPr>
      <w:r>
        <w:rPr>
          <w:rFonts w:ascii="Arial" w:cs="Arial" w:eastAsia="Arial" w:hAnsi="Arial"/>
          <w:sz w:val="18"/>
          <w:szCs w:val="18"/>
          <w:color w:val="auto"/>
        </w:rPr>
        <w:t>Cash received from shares issued under these share-based payment arrangements for 2013, 2012 and 2011 was $20.4 million, $17.8 million and $18.7 million, respectively. The actual tax benefits realized for the tax deductions for the settlement of the share-based payment arrangements for 2013, 2012 and 2011 was $1.1 million, $0.5 million and $0.7 million, respectively.</w:t>
      </w:r>
    </w:p>
    <w:p>
      <w:pPr>
        <w:spacing w:after="0" w:line="19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of December 31, 2013, a total of 5.2 million of new shares are available to be made issuable by us for this plan.</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19. Earnings Per Common Share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computations of the basic and diluted per share amounts were as follows:</w:t>
      </w:r>
    </w:p>
    <w:p>
      <w:pPr>
        <w:spacing w:after="0" w:line="20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59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380" w:type="dxa"/>
            <w:vAlign w:val="bottom"/>
            <w:gridSpan w:val="7"/>
          </w:tcPr>
          <w:p>
            <w:pPr>
              <w:jc w:val="center"/>
              <w:ind w:left="232"/>
              <w:spacing w:after="0"/>
              <w:rPr>
                <w:sz w:val="20"/>
                <w:szCs w:val="20"/>
                <w:color w:val="auto"/>
              </w:rPr>
            </w:pPr>
            <w:r>
              <w:rPr>
                <w:rFonts w:ascii="Arial" w:cs="Arial" w:eastAsia="Arial" w:hAnsi="Arial"/>
                <w:sz w:val="14"/>
                <w:szCs w:val="14"/>
                <w:b w:val="1"/>
                <w:bCs w:val="1"/>
                <w:color w:val="auto"/>
                <w:w w:val="86"/>
              </w:rPr>
              <w:t>For the year ended</w:t>
            </w:r>
          </w:p>
        </w:tc>
        <w:tc>
          <w:tcPr>
            <w:tcW w:w="4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59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85"/>
              </w:rPr>
              <w:t>December 31,</w:t>
            </w: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59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jc w:val="right"/>
              <w:ind w:right="72"/>
              <w:spacing w:after="0" w:line="142" w:lineRule="exact"/>
              <w:rPr>
                <w:sz w:val="20"/>
                <w:szCs w:val="20"/>
                <w:color w:val="auto"/>
              </w:rPr>
            </w:pPr>
            <w:r>
              <w:rPr>
                <w:rFonts w:ascii="Arial" w:cs="Arial" w:eastAsia="Arial" w:hAnsi="Arial"/>
                <w:sz w:val="14"/>
                <w:szCs w:val="14"/>
                <w:b w:val="1"/>
                <w:bCs w:val="1"/>
                <w:color w:val="auto"/>
                <w:w w:val="89"/>
              </w:rPr>
              <w:t>2013</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center"/>
              <w:ind w:right="32"/>
              <w:spacing w:after="0" w:line="142" w:lineRule="exact"/>
              <w:rPr>
                <w:sz w:val="20"/>
                <w:szCs w:val="20"/>
                <w:color w:val="auto"/>
              </w:rPr>
            </w:pPr>
            <w:r>
              <w:rPr>
                <w:rFonts w:ascii="Arial" w:cs="Arial" w:eastAsia="Arial" w:hAnsi="Arial"/>
                <w:sz w:val="14"/>
                <w:szCs w:val="14"/>
                <w:b w:val="1"/>
                <w:bCs w:val="1"/>
                <w:color w:val="auto"/>
                <w:w w:val="89"/>
              </w:rPr>
              <w:t>2012</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59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40" w:type="dxa"/>
            <w:vAlign w:val="bottom"/>
          </w:tcPr>
          <w:p>
            <w:pPr>
              <w:jc w:val="right"/>
              <w:ind w:right="12"/>
              <w:spacing w:after="0" w:line="131" w:lineRule="exact"/>
              <w:rPr>
                <w:sz w:val="20"/>
                <w:szCs w:val="20"/>
                <w:color w:val="auto"/>
              </w:rPr>
            </w:pPr>
            <w:r>
              <w:rPr>
                <w:rFonts w:ascii="Arial" w:cs="Arial" w:eastAsia="Arial" w:hAnsi="Arial"/>
                <w:sz w:val="14"/>
                <w:szCs w:val="14"/>
                <w:b w:val="1"/>
                <w:bCs w:val="1"/>
                <w:i w:val="1"/>
                <w:iCs w:val="1"/>
                <w:color w:val="auto"/>
              </w:rPr>
              <w:t>(in</w:t>
            </w:r>
          </w:p>
        </w:tc>
        <w:tc>
          <w:tcPr>
            <w:tcW w:w="1500" w:type="dxa"/>
            <w:vAlign w:val="bottom"/>
            <w:gridSpan w:val="8"/>
          </w:tcPr>
          <w:p>
            <w:pPr>
              <w:spacing w:after="0" w:line="131" w:lineRule="exact"/>
              <w:rPr>
                <w:sz w:val="20"/>
                <w:szCs w:val="20"/>
                <w:color w:val="auto"/>
              </w:rPr>
            </w:pPr>
            <w:r>
              <w:rPr>
                <w:rFonts w:ascii="Arial" w:cs="Arial" w:eastAsia="Arial" w:hAnsi="Arial"/>
                <w:sz w:val="14"/>
                <w:szCs w:val="14"/>
                <w:b w:val="1"/>
                <w:bCs w:val="1"/>
                <w:i w:val="1"/>
                <w:iCs w:val="1"/>
                <w:color w:val="auto"/>
              </w:rPr>
              <w:t>millions, except per</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59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20" w:type="dxa"/>
            <w:vAlign w:val="bottom"/>
            <w:gridSpan w:val="4"/>
          </w:tcPr>
          <w:p>
            <w:pPr>
              <w:jc w:val="center"/>
              <w:spacing w:after="0" w:line="159" w:lineRule="exact"/>
              <w:rPr>
                <w:sz w:val="20"/>
                <w:szCs w:val="20"/>
                <w:color w:val="auto"/>
              </w:rPr>
            </w:pPr>
            <w:r>
              <w:rPr>
                <w:rFonts w:ascii="Arial" w:cs="Arial" w:eastAsia="Arial" w:hAnsi="Arial"/>
                <w:sz w:val="14"/>
                <w:szCs w:val="14"/>
                <w:b w:val="1"/>
                <w:bCs w:val="1"/>
                <w:i w:val="1"/>
                <w:iCs w:val="1"/>
                <w:color w:val="auto"/>
                <w:w w:val="82"/>
              </w:rPr>
              <w:t>share data)</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1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Net income</w:t>
            </w:r>
          </w:p>
        </w:tc>
        <w:tc>
          <w:tcPr>
            <w:tcW w:w="80" w:type="dxa"/>
            <w:vAlign w:val="bottom"/>
            <w:gridSpan w:val="2"/>
            <w:shd w:val="clear" w:color="auto" w:fill="CCEEFF"/>
          </w:tcPr>
          <w:p>
            <w:pPr>
              <w:jc w:val="right"/>
              <w:spacing w:after="0"/>
              <w:rPr>
                <w:sz w:val="20"/>
                <w:szCs w:val="20"/>
                <w:color w:val="auto"/>
              </w:rPr>
            </w:pPr>
            <w:r>
              <w:rPr>
                <w:rFonts w:ascii="Arial" w:cs="Arial" w:eastAsia="Arial" w:hAnsi="Arial"/>
                <w:sz w:val="10"/>
                <w:szCs w:val="10"/>
                <w:b w:val="1"/>
                <w:bCs w:val="1"/>
                <w:color w:val="auto"/>
                <w:w w:val="71"/>
              </w:rPr>
              <w:t>$</w:t>
            </w: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936.1</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825.4</w:t>
            </w:r>
          </w:p>
        </w:tc>
        <w:tc>
          <w:tcPr>
            <w:tcW w:w="160" w:type="dxa"/>
            <w:vAlign w:val="bottom"/>
            <w:shd w:val="clear" w:color="auto" w:fill="CCEEFF"/>
          </w:tcPr>
          <w:p>
            <w:pPr>
              <w:spacing w:after="0"/>
              <w:rPr>
                <w:sz w:val="12"/>
                <w:szCs w:val="12"/>
                <w:color w:val="auto"/>
              </w:rPr>
            </w:pPr>
          </w:p>
        </w:tc>
        <w:tc>
          <w:tcPr>
            <w:tcW w:w="1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674.5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100" w:type="dxa"/>
            <w:vAlign w:val="bottom"/>
            <w:gridSpan w:val="2"/>
          </w:tcPr>
          <w:p>
            <w:pPr>
              <w:spacing w:after="0" w:line="149" w:lineRule="exact"/>
              <w:rPr>
                <w:sz w:val="20"/>
                <w:szCs w:val="20"/>
                <w:color w:val="auto"/>
              </w:rPr>
            </w:pPr>
            <w:r>
              <w:rPr>
                <w:rFonts w:ascii="Arial" w:cs="Arial" w:eastAsia="Arial" w:hAnsi="Arial"/>
                <w:sz w:val="14"/>
                <w:szCs w:val="14"/>
                <w:color w:val="auto"/>
              </w:rPr>
              <w:t>Subtract:</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10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Net income attributable to noncontrolling interest</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23.4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18.8</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36.2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10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Preferred stock dividends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33.0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33.0</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jc w:val="right"/>
              <w:spacing w:after="0" w:line="149" w:lineRule="exact"/>
              <w:rPr>
                <w:sz w:val="20"/>
                <w:szCs w:val="20"/>
                <w:color w:val="auto"/>
              </w:rPr>
            </w:pPr>
            <w:r>
              <w:rPr>
                <w:rFonts w:ascii="Arial" w:cs="Arial" w:eastAsia="Arial" w:hAnsi="Arial"/>
                <w:sz w:val="14"/>
                <w:szCs w:val="14"/>
                <w:color w:val="auto"/>
              </w:rPr>
              <w:t>33.0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10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Adjustments to redemption amounts of redeemable noncontrolling interests (1)</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2"/>
        </w:trPr>
        <w:tc>
          <w:tcPr>
            <w:tcW w:w="7120" w:type="dxa"/>
            <w:vAlign w:val="bottom"/>
            <w:gridSpan w:val="3"/>
          </w:tcPr>
          <w:p>
            <w:pPr>
              <w:spacing w:after="0" w:line="142" w:lineRule="exact"/>
              <w:rPr>
                <w:sz w:val="20"/>
                <w:szCs w:val="20"/>
                <w:color w:val="auto"/>
              </w:rPr>
            </w:pPr>
            <w:r>
              <w:rPr>
                <w:rFonts w:ascii="Arial" w:cs="Arial" w:eastAsia="Arial" w:hAnsi="Arial"/>
                <w:sz w:val="14"/>
                <w:szCs w:val="14"/>
                <w:color w:val="auto"/>
              </w:rPr>
              <w:t>Net income available to common stockholders</w:t>
            </w:r>
          </w:p>
        </w:tc>
        <w:tc>
          <w:tcPr>
            <w:tcW w:w="2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5"/>
                <w:szCs w:val="5"/>
                <w:b w:val="1"/>
                <w:bCs w:val="1"/>
                <w:color w:val="auto"/>
                <w:w w:val="70"/>
              </w:rPr>
              <w:t>$</w:t>
            </w:r>
          </w:p>
        </w:tc>
        <w:tc>
          <w:tcPr>
            <w:tcW w:w="4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879.7</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773.6</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605.3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59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7100" w:type="dxa"/>
            <w:vAlign w:val="bottom"/>
            <w:gridSpan w:val="2"/>
            <w:shd w:val="clear" w:color="auto" w:fill="CCEEFF"/>
          </w:tcPr>
          <w:p>
            <w:pPr>
              <w:spacing w:after="0" w:line="129" w:lineRule="exact"/>
              <w:rPr>
                <w:sz w:val="20"/>
                <w:szCs w:val="20"/>
                <w:color w:val="auto"/>
              </w:rPr>
            </w:pPr>
            <w:r>
              <w:rPr>
                <w:rFonts w:ascii="Arial" w:cs="Arial" w:eastAsia="Arial" w:hAnsi="Arial"/>
                <w:sz w:val="14"/>
                <w:szCs w:val="14"/>
                <w:color w:val="auto"/>
              </w:rPr>
              <w:t>Weighted-average shares outstanding:</w:t>
            </w:r>
          </w:p>
        </w:tc>
        <w:tc>
          <w:tcPr>
            <w:tcW w:w="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10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Basic</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294.6</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297.5</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jc w:val="right"/>
              <w:spacing w:after="0" w:line="149" w:lineRule="exact"/>
              <w:rPr>
                <w:sz w:val="20"/>
                <w:szCs w:val="20"/>
                <w:color w:val="auto"/>
              </w:rPr>
            </w:pPr>
            <w:r>
              <w:rPr>
                <w:rFonts w:ascii="Arial" w:cs="Arial" w:eastAsia="Arial" w:hAnsi="Arial"/>
                <w:sz w:val="14"/>
                <w:szCs w:val="14"/>
                <w:color w:val="auto"/>
              </w:rPr>
              <w:t>314.5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10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Dilutive effects: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10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Stock options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1.6</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1.0</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jc w:val="right"/>
              <w:spacing w:after="0" w:line="149" w:lineRule="exact"/>
              <w:rPr>
                <w:sz w:val="20"/>
                <w:szCs w:val="20"/>
                <w:color w:val="auto"/>
              </w:rPr>
            </w:pPr>
            <w:r>
              <w:rPr>
                <w:rFonts w:ascii="Arial" w:cs="Arial" w:eastAsia="Arial" w:hAnsi="Arial"/>
                <w:sz w:val="14"/>
                <w:szCs w:val="14"/>
                <w:color w:val="auto"/>
              </w:rPr>
              <w:t>1.2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10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Restricted stock units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10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Performance share awards</w:t>
            </w:r>
          </w:p>
        </w:tc>
        <w:tc>
          <w:tcPr>
            <w:tcW w:w="2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0.3</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0.4</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0.4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100" w:type="dxa"/>
            <w:vAlign w:val="bottom"/>
            <w:gridSpan w:val="2"/>
            <w:shd w:val="clear" w:color="auto" w:fill="CCEEFF"/>
          </w:tcPr>
          <w:p>
            <w:pPr>
              <w:ind w:left="140"/>
              <w:spacing w:after="0" w:line="142" w:lineRule="exact"/>
              <w:rPr>
                <w:sz w:val="20"/>
                <w:szCs w:val="20"/>
                <w:color w:val="auto"/>
              </w:rPr>
            </w:pPr>
            <w:r>
              <w:rPr>
                <w:rFonts w:ascii="Arial" w:cs="Arial" w:eastAsia="Arial" w:hAnsi="Arial"/>
                <w:sz w:val="14"/>
                <w:szCs w:val="14"/>
                <w:color w:val="auto"/>
              </w:rPr>
              <w:t>Diluted</w:t>
            </w:r>
          </w:p>
        </w:tc>
        <w:tc>
          <w:tcPr>
            <w:tcW w:w="2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44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298.2</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4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300.4</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4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317.6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7120" w:type="dxa"/>
            <w:vAlign w:val="bottom"/>
            <w:gridSpan w:val="3"/>
            <w:vMerge w:val="restart"/>
          </w:tcPr>
          <w:p>
            <w:pPr>
              <w:spacing w:after="0"/>
              <w:rPr>
                <w:sz w:val="20"/>
                <w:szCs w:val="20"/>
                <w:color w:val="auto"/>
              </w:rPr>
            </w:pPr>
            <w:r>
              <w:rPr>
                <w:rFonts w:ascii="Arial" w:cs="Arial" w:eastAsia="Arial" w:hAnsi="Arial"/>
                <w:sz w:val="14"/>
                <w:szCs w:val="14"/>
                <w:color w:val="auto"/>
              </w:rPr>
              <w:t>Net income per common share:</w:t>
            </w: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7120" w:type="dxa"/>
            <w:vAlign w:val="bottom"/>
            <w:gridSpan w:val="3"/>
            <w:vMerge w:val="continue"/>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10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Basic</w:t>
            </w:r>
          </w:p>
        </w:tc>
        <w:tc>
          <w:tcPr>
            <w:tcW w:w="80" w:type="dxa"/>
            <w:vAlign w:val="bottom"/>
            <w:gridSpan w:val="2"/>
            <w:shd w:val="clear" w:color="auto" w:fill="CCEEFF"/>
          </w:tcPr>
          <w:p>
            <w:pPr>
              <w:jc w:val="right"/>
              <w:spacing w:after="0"/>
              <w:rPr>
                <w:sz w:val="20"/>
                <w:szCs w:val="20"/>
                <w:color w:val="auto"/>
              </w:rPr>
            </w:pPr>
            <w:r>
              <w:rPr>
                <w:rFonts w:ascii="Arial" w:cs="Arial" w:eastAsia="Arial" w:hAnsi="Arial"/>
                <w:sz w:val="10"/>
                <w:szCs w:val="10"/>
                <w:b w:val="1"/>
                <w:bCs w:val="1"/>
                <w:color w:val="auto"/>
                <w:w w:val="71"/>
              </w:rPr>
              <w:t>$</w:t>
            </w: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2.99</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2.60</w:t>
            </w:r>
          </w:p>
        </w:tc>
        <w:tc>
          <w:tcPr>
            <w:tcW w:w="160" w:type="dxa"/>
            <w:vAlign w:val="bottom"/>
            <w:shd w:val="clear" w:color="auto" w:fill="CCEEFF"/>
          </w:tcPr>
          <w:p>
            <w:pPr>
              <w:spacing w:after="0"/>
              <w:rPr>
                <w:sz w:val="12"/>
                <w:szCs w:val="12"/>
                <w:color w:val="auto"/>
              </w:rPr>
            </w:pPr>
          </w:p>
        </w:tc>
        <w:tc>
          <w:tcPr>
            <w:tcW w:w="1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100" w:type="dxa"/>
            <w:vAlign w:val="bottom"/>
            <w:gridSpan w:val="2"/>
            <w:vMerge w:val="restart"/>
          </w:tcPr>
          <w:p>
            <w:pPr>
              <w:ind w:left="140"/>
              <w:spacing w:after="0"/>
              <w:rPr>
                <w:sz w:val="20"/>
                <w:szCs w:val="20"/>
                <w:color w:val="auto"/>
              </w:rPr>
            </w:pPr>
            <w:r>
              <w:rPr>
                <w:rFonts w:ascii="Arial" w:cs="Arial" w:eastAsia="Arial" w:hAnsi="Arial"/>
                <w:sz w:val="14"/>
                <w:szCs w:val="14"/>
                <w:color w:val="auto"/>
              </w:rPr>
              <w:t>Diluted</w:t>
            </w:r>
          </w:p>
        </w:tc>
        <w:tc>
          <w:tcPr>
            <w:tcW w:w="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7100" w:type="dxa"/>
            <w:vAlign w:val="bottom"/>
            <w:gridSpan w:val="2"/>
            <w:vMerge w:val="continue"/>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5"/>
                <w:szCs w:val="5"/>
                <w:b w:val="1"/>
                <w:bCs w:val="1"/>
                <w:color w:val="auto"/>
                <w:w w:val="70"/>
              </w:rPr>
              <w:t>$</w:t>
            </w:r>
          </w:p>
        </w:tc>
        <w:tc>
          <w:tcPr>
            <w:tcW w:w="44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rPr>
              <w:t>2.95</w:t>
            </w:r>
          </w:p>
        </w:tc>
        <w:tc>
          <w:tcPr>
            <w:tcW w:w="160" w:type="dxa"/>
            <w:vAlign w:val="bottom"/>
          </w:tcPr>
          <w:p>
            <w:pPr>
              <w:spacing w:after="0"/>
              <w:rPr>
                <w:sz w:val="11"/>
                <w:szCs w:val="11"/>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2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color w:val="auto"/>
              </w:rPr>
              <w:t>2.58</w:t>
            </w: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0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color w:val="auto"/>
              </w:rPr>
              <w:t>1.91</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59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598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44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jc w:val="both"/>
        <w:ind w:left="1680" w:hanging="531"/>
        <w:spacing w:after="0" w:line="233" w:lineRule="auto"/>
        <w:tabs>
          <w:tab w:leader="none" w:pos="1680" w:val="left"/>
        </w:tabs>
        <w:numPr>
          <w:ilvl w:val="0"/>
          <w:numId w:val="84"/>
        </w:numPr>
        <w:rPr>
          <w:rFonts w:ascii="Arial" w:cs="Arial" w:eastAsia="Arial" w:hAnsi="Arial"/>
          <w:sz w:val="14"/>
          <w:szCs w:val="14"/>
          <w:color w:val="auto"/>
        </w:rPr>
      </w:pPr>
      <w:r>
        <w:rPr>
          <w:rFonts w:ascii="Arial" w:cs="Arial" w:eastAsia="Arial" w:hAnsi="Arial"/>
          <w:sz w:val="14"/>
          <w:szCs w:val="14"/>
          <w:color w:val="auto"/>
        </w:rPr>
        <w:t>During the third quarter of 2013, we identified a classification error of certain of our noncontrolling interests, which had a related impact to earnings per share. See related discussion in Note 14, Stockholders' Equity — Noncontrolling Interest. The correction of the classification error in the third quarter of 2013 did not significantly impact earnings per share.</w:t>
      </w:r>
    </w:p>
    <w:p>
      <w:pPr>
        <w:spacing w:after="0" w:line="195" w:lineRule="exact"/>
        <w:rPr>
          <w:sz w:val="20"/>
          <w:szCs w:val="20"/>
          <w:color w:val="auto"/>
        </w:rPr>
      </w:pPr>
    </w:p>
    <w:p>
      <w:pPr>
        <w:ind w:firstLine="477"/>
        <w:spacing w:after="0" w:line="268" w:lineRule="auto"/>
        <w:rPr>
          <w:sz w:val="20"/>
          <w:szCs w:val="20"/>
          <w:color w:val="auto"/>
        </w:rPr>
      </w:pPr>
      <w:r>
        <w:rPr>
          <w:rFonts w:ascii="Arial" w:cs="Arial" w:eastAsia="Arial" w:hAnsi="Arial"/>
          <w:sz w:val="18"/>
          <w:szCs w:val="18"/>
          <w:color w:val="auto"/>
        </w:rPr>
        <w:t>The calculation of diluted earnings per share for the years ended December 31, 2013, 2012 and 2011, excludes the incremental effect related to certain outstanding stock-based compensation grants due to their anti-dilutive effect.</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91" w:name="page192"/>
    <w:bookmarkEnd w:id="19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 Quarterly Results of Operations (Unaudited)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is a summary of unaudited quarterly results of operations.</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9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900" w:type="dxa"/>
            <w:vAlign w:val="bottom"/>
            <w:tcBorders>
              <w:bottom w:val="single" w:sz="8" w:color="auto"/>
            </w:tcBorders>
            <w:gridSpan w:val="6"/>
          </w:tcPr>
          <w:p>
            <w:pPr>
              <w:jc w:val="right"/>
              <w:ind w:right="112"/>
              <w:spacing w:after="0"/>
              <w:rPr>
                <w:sz w:val="20"/>
                <w:szCs w:val="20"/>
                <w:color w:val="auto"/>
              </w:rPr>
            </w:pPr>
            <w:r>
              <w:rPr>
                <w:rFonts w:ascii="Arial" w:cs="Arial" w:eastAsia="Arial" w:hAnsi="Arial"/>
                <w:sz w:val="14"/>
                <w:szCs w:val="14"/>
                <w:b w:val="1"/>
                <w:bCs w:val="1"/>
                <w:color w:val="auto"/>
                <w:w w:val="91"/>
              </w:rPr>
              <w:t>For the three months ended</w:t>
            </w:r>
          </w:p>
        </w:tc>
        <w:tc>
          <w:tcPr>
            <w:tcW w:w="1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49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00" w:type="dxa"/>
            <w:vAlign w:val="bottom"/>
            <w:tcBorders>
              <w:bottom w:val="single" w:sz="8" w:color="auto"/>
            </w:tcBorders>
            <w:gridSpan w:val="2"/>
          </w:tcPr>
          <w:p>
            <w:pPr>
              <w:jc w:val="right"/>
              <w:ind w:right="12"/>
              <w:spacing w:after="0" w:line="142" w:lineRule="exact"/>
              <w:rPr>
                <w:sz w:val="20"/>
                <w:szCs w:val="20"/>
                <w:color w:val="auto"/>
              </w:rPr>
            </w:pPr>
            <w:r>
              <w:rPr>
                <w:rFonts w:ascii="Arial" w:cs="Arial" w:eastAsia="Arial" w:hAnsi="Arial"/>
                <w:sz w:val="14"/>
                <w:szCs w:val="14"/>
                <w:b w:val="1"/>
                <w:bCs w:val="1"/>
                <w:color w:val="auto"/>
                <w:w w:val="91"/>
              </w:rPr>
              <w:t>December 31</w:t>
            </w:r>
          </w:p>
        </w:tc>
        <w:tc>
          <w:tcPr>
            <w:tcW w:w="180" w:type="dxa"/>
            <w:vAlign w:val="bottom"/>
          </w:tcPr>
          <w:p>
            <w:pPr>
              <w:spacing w:after="0"/>
              <w:rPr>
                <w:sz w:val="12"/>
                <w:szCs w:val="12"/>
                <w:color w:val="auto"/>
              </w:rPr>
            </w:pPr>
          </w:p>
        </w:tc>
        <w:tc>
          <w:tcPr>
            <w:tcW w:w="940" w:type="dxa"/>
            <w:vAlign w:val="bottom"/>
            <w:tcBorders>
              <w:bottom w:val="single" w:sz="8" w:color="auto"/>
            </w:tcBorders>
            <w:gridSpan w:val="2"/>
          </w:tcPr>
          <w:p>
            <w:pPr>
              <w:jc w:val="right"/>
              <w:ind w:right="12"/>
              <w:spacing w:after="0" w:line="142" w:lineRule="exact"/>
              <w:rPr>
                <w:sz w:val="20"/>
                <w:szCs w:val="20"/>
                <w:color w:val="auto"/>
              </w:rPr>
            </w:pPr>
            <w:r>
              <w:rPr>
                <w:rFonts w:ascii="Arial" w:cs="Arial" w:eastAsia="Arial" w:hAnsi="Arial"/>
                <w:sz w:val="14"/>
                <w:szCs w:val="14"/>
                <w:b w:val="1"/>
                <w:bCs w:val="1"/>
                <w:color w:val="auto"/>
                <w:w w:val="91"/>
              </w:rPr>
              <w:t>September 30</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w w:val="80"/>
              </w:rPr>
              <w:t>June 30</w:t>
            </w:r>
          </w:p>
        </w:tc>
        <w:tc>
          <w:tcPr>
            <w:tcW w:w="160" w:type="dxa"/>
            <w:vAlign w:val="bottom"/>
          </w:tcPr>
          <w:p>
            <w:pPr>
              <w:spacing w:after="0"/>
              <w:rPr>
                <w:sz w:val="12"/>
                <w:szCs w:val="12"/>
                <w:color w:val="auto"/>
              </w:rPr>
            </w:pPr>
          </w:p>
        </w:tc>
        <w:tc>
          <w:tcPr>
            <w:tcW w:w="700" w:type="dxa"/>
            <w:vAlign w:val="bottom"/>
            <w:tcBorders>
              <w:bottom w:val="single" w:sz="8" w:color="auto"/>
            </w:tcBorders>
            <w:gridSpan w:val="2"/>
          </w:tcPr>
          <w:p>
            <w:pPr>
              <w:jc w:val="right"/>
              <w:ind w:right="12"/>
              <w:spacing w:after="0" w:line="142" w:lineRule="exact"/>
              <w:rPr>
                <w:sz w:val="20"/>
                <w:szCs w:val="20"/>
                <w:color w:val="auto"/>
              </w:rPr>
            </w:pPr>
            <w:r>
              <w:rPr>
                <w:rFonts w:ascii="Arial" w:cs="Arial" w:eastAsia="Arial" w:hAnsi="Arial"/>
                <w:sz w:val="14"/>
                <w:szCs w:val="14"/>
                <w:b w:val="1"/>
                <w:bCs w:val="1"/>
                <w:color w:val="auto"/>
                <w:w w:val="98"/>
              </w:rPr>
              <w:t>March 31</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49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520" w:type="dxa"/>
            <w:vAlign w:val="bottom"/>
            <w:gridSpan w:val="7"/>
          </w:tcPr>
          <w:p>
            <w:pPr>
              <w:jc w:val="right"/>
              <w:spacing w:after="0" w:line="142" w:lineRule="exact"/>
              <w:rPr>
                <w:sz w:val="20"/>
                <w:szCs w:val="20"/>
                <w:color w:val="auto"/>
              </w:rPr>
            </w:pPr>
            <w:r>
              <w:rPr>
                <w:rFonts w:ascii="Arial" w:cs="Arial" w:eastAsia="Arial" w:hAnsi="Arial"/>
                <w:sz w:val="14"/>
                <w:szCs w:val="14"/>
                <w:b w:val="1"/>
                <w:bCs w:val="1"/>
                <w:i w:val="1"/>
                <w:iCs w:val="1"/>
                <w:color w:val="auto"/>
              </w:rPr>
              <w:t>(in millions, except per share data)</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960" w:type="dxa"/>
            <w:vAlign w:val="bottom"/>
            <w:shd w:val="clear" w:color="auto" w:fill="CCEEFF"/>
          </w:tcPr>
          <w:p>
            <w:pPr>
              <w:jc w:val="right"/>
              <w:ind w:right="4632"/>
              <w:spacing w:after="0" w:line="149" w:lineRule="exact"/>
              <w:rPr>
                <w:sz w:val="20"/>
                <w:szCs w:val="20"/>
                <w:color w:val="auto"/>
              </w:rPr>
            </w:pPr>
            <w:r>
              <w:rPr>
                <w:rFonts w:ascii="Arial" w:cs="Arial" w:eastAsia="Arial" w:hAnsi="Arial"/>
                <w:sz w:val="14"/>
                <w:szCs w:val="14"/>
                <w:b w:val="1"/>
                <w:bCs w:val="1"/>
                <w:color w:val="auto"/>
                <w:w w:val="76"/>
              </w:rPr>
              <w:t>2013</w:t>
            </w:r>
          </w:p>
        </w:tc>
        <w:tc>
          <w:tcPr>
            <w:tcW w:w="34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960" w:type="dxa"/>
            <w:vAlign w:val="bottom"/>
          </w:tcPr>
          <w:p>
            <w:pPr>
              <w:spacing w:after="0" w:line="149" w:lineRule="exact"/>
              <w:rPr>
                <w:sz w:val="20"/>
                <w:szCs w:val="20"/>
                <w:color w:val="auto"/>
              </w:rPr>
            </w:pPr>
            <w:r>
              <w:rPr>
                <w:rFonts w:ascii="Arial" w:cs="Arial" w:eastAsia="Arial" w:hAnsi="Arial"/>
                <w:sz w:val="14"/>
                <w:szCs w:val="14"/>
                <w:color w:val="auto"/>
              </w:rPr>
              <w:t>Total revenues</w:t>
            </w:r>
          </w:p>
        </w:tc>
        <w:tc>
          <w:tcPr>
            <w:tcW w:w="620" w:type="dxa"/>
            <w:vAlign w:val="bottom"/>
            <w:gridSpan w:val="2"/>
          </w:tcPr>
          <w:p>
            <w:pPr>
              <w:jc w:val="right"/>
              <w:ind w:right="152"/>
              <w:spacing w:after="0" w:line="149" w:lineRule="exact"/>
              <w:rPr>
                <w:sz w:val="20"/>
                <w:szCs w:val="20"/>
                <w:color w:val="auto"/>
              </w:rPr>
            </w:pPr>
            <w:r>
              <w:rPr>
                <w:rFonts w:ascii="Arial" w:cs="Arial" w:eastAsia="Arial" w:hAnsi="Arial"/>
                <w:sz w:val="14"/>
                <w:szCs w:val="14"/>
                <w:b w:val="1"/>
                <w:bCs w:val="1"/>
                <w:color w:val="auto"/>
              </w:rPr>
              <w:t>$</w:t>
            </w: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2,672.6</w:t>
            </w:r>
          </w:p>
        </w:tc>
        <w:tc>
          <w:tcPr>
            <w:tcW w:w="480" w:type="dxa"/>
            <w:vAlign w:val="bottom"/>
            <w:gridSpan w:val="2"/>
          </w:tcPr>
          <w:p>
            <w:pPr>
              <w:jc w:val="right"/>
              <w:ind w:right="172"/>
              <w:spacing w:after="0" w:line="149" w:lineRule="exact"/>
              <w:rPr>
                <w:sz w:val="20"/>
                <w:szCs w:val="20"/>
                <w:color w:val="auto"/>
              </w:rPr>
            </w:pPr>
            <w:r>
              <w:rPr>
                <w:rFonts w:ascii="Arial" w:cs="Arial" w:eastAsia="Arial" w:hAnsi="Arial"/>
                <w:sz w:val="14"/>
                <w:szCs w:val="14"/>
                <w:b w:val="1"/>
                <w:bCs w:val="1"/>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2,239.6</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2,210.6</w:t>
            </w:r>
          </w:p>
        </w:tc>
        <w:tc>
          <w:tcPr>
            <w:tcW w:w="340" w:type="dxa"/>
            <w:vAlign w:val="bottom"/>
            <w:gridSpan w:val="2"/>
          </w:tcPr>
          <w:p>
            <w:pPr>
              <w:jc w:val="right"/>
              <w:ind w:right="32"/>
              <w:spacing w:after="0" w:line="149" w:lineRule="exact"/>
              <w:rPr>
                <w:sz w:val="20"/>
                <w:szCs w:val="20"/>
                <w:color w:val="auto"/>
              </w:rPr>
            </w:pPr>
            <w:r>
              <w:rPr>
                <w:rFonts w:ascii="Arial" w:cs="Arial" w:eastAsia="Arial" w:hAnsi="Arial"/>
                <w:sz w:val="14"/>
                <w:szCs w:val="14"/>
                <w:b w:val="1"/>
                <w:bCs w:val="1"/>
                <w:color w:val="auto"/>
              </w:rPr>
              <w:t>$</w:t>
            </w: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2,166.7</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9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Total expenses</w:t>
            </w:r>
          </w:p>
        </w:tc>
        <w:tc>
          <w:tcPr>
            <w:tcW w:w="34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2,362.7</w:t>
            </w:r>
          </w:p>
        </w:tc>
        <w:tc>
          <w:tcPr>
            <w:tcW w:w="1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1,919.3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1,945.0</w:t>
            </w: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1,938.5</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960" w:type="dxa"/>
            <w:vAlign w:val="bottom"/>
          </w:tcPr>
          <w:p>
            <w:pPr>
              <w:spacing w:after="0" w:line="149" w:lineRule="exact"/>
              <w:rPr>
                <w:sz w:val="20"/>
                <w:szCs w:val="20"/>
                <w:color w:val="auto"/>
              </w:rPr>
            </w:pPr>
            <w:r>
              <w:rPr>
                <w:rFonts w:ascii="Arial" w:cs="Arial" w:eastAsia="Arial" w:hAnsi="Arial"/>
                <w:sz w:val="14"/>
                <w:szCs w:val="14"/>
                <w:color w:val="auto"/>
              </w:rPr>
              <w:t>Net income</w:t>
            </w:r>
          </w:p>
        </w:tc>
        <w:tc>
          <w:tcPr>
            <w:tcW w:w="3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250.4</w:t>
            </w: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259.1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236.6</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190.0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9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income available to common stockholders</w:t>
            </w:r>
          </w:p>
        </w:tc>
        <w:tc>
          <w:tcPr>
            <w:tcW w:w="34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233.4</w:t>
            </w:r>
          </w:p>
        </w:tc>
        <w:tc>
          <w:tcPr>
            <w:tcW w:w="1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245.7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222.3</w:t>
            </w: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178.3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960" w:type="dxa"/>
            <w:vAlign w:val="bottom"/>
          </w:tcPr>
          <w:p>
            <w:pPr>
              <w:spacing w:after="0" w:line="149" w:lineRule="exact"/>
              <w:rPr>
                <w:sz w:val="20"/>
                <w:szCs w:val="20"/>
                <w:color w:val="auto"/>
              </w:rPr>
            </w:pPr>
            <w:r>
              <w:rPr>
                <w:rFonts w:ascii="Arial" w:cs="Arial" w:eastAsia="Arial" w:hAnsi="Arial"/>
                <w:sz w:val="14"/>
                <w:szCs w:val="14"/>
                <w:color w:val="auto"/>
                <w:w w:val="95"/>
              </w:rPr>
              <w:t>Basic earnings per common share for net income available to common stockholders</w:t>
            </w:r>
          </w:p>
        </w:tc>
        <w:tc>
          <w:tcPr>
            <w:tcW w:w="3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0.79</w:t>
            </w: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0.83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0.76</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0.61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9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93"/>
              </w:rPr>
              <w:t>Diluted earnings per common share for net income available to common stockholders</w:t>
            </w:r>
          </w:p>
        </w:tc>
        <w:tc>
          <w:tcPr>
            <w:tcW w:w="34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0.78</w:t>
            </w:r>
          </w:p>
        </w:tc>
        <w:tc>
          <w:tcPr>
            <w:tcW w:w="1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0.82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0.75</w:t>
            </w: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0.61</w:t>
            </w:r>
          </w:p>
        </w:tc>
        <w:tc>
          <w:tcPr>
            <w:tcW w:w="160" w:type="dxa"/>
            <w:vAlign w:val="bottom"/>
            <w:shd w:val="clear" w:color="auto" w:fill="CCEEFF"/>
          </w:tcPr>
          <w:p>
            <w:pPr>
              <w:spacing w:after="0"/>
              <w:rPr>
                <w:sz w:val="12"/>
                <w:szCs w:val="12"/>
                <w:color w:val="auto"/>
              </w:rPr>
            </w:pPr>
          </w:p>
        </w:tc>
      </w:tr>
      <w:tr>
        <w:trPr>
          <w:trHeight w:val="311"/>
        </w:trPr>
        <w:tc>
          <w:tcPr>
            <w:tcW w:w="4980" w:type="dxa"/>
            <w:vAlign w:val="bottom"/>
            <w:gridSpan w:val="2"/>
          </w:tcPr>
          <w:p>
            <w:pPr>
              <w:jc w:val="right"/>
              <w:ind w:right="4632"/>
              <w:spacing w:after="0"/>
              <w:rPr>
                <w:sz w:val="20"/>
                <w:szCs w:val="20"/>
                <w:color w:val="auto"/>
              </w:rPr>
            </w:pPr>
            <w:r>
              <w:rPr>
                <w:rFonts w:ascii="Arial" w:cs="Arial" w:eastAsia="Arial" w:hAnsi="Arial"/>
                <w:sz w:val="14"/>
                <w:szCs w:val="14"/>
                <w:b w:val="1"/>
                <w:bCs w:val="1"/>
                <w:color w:val="auto"/>
                <w:w w:val="83"/>
              </w:rPr>
              <w:t>2012</w:t>
            </w:r>
          </w:p>
        </w:tc>
        <w:tc>
          <w:tcPr>
            <w:tcW w:w="3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149"/>
        </w:trPr>
        <w:tc>
          <w:tcPr>
            <w:tcW w:w="20" w:type="dxa"/>
            <w:vAlign w:val="bottom"/>
          </w:tcPr>
          <w:p>
            <w:pPr>
              <w:spacing w:after="0"/>
              <w:rPr>
                <w:sz w:val="12"/>
                <w:szCs w:val="12"/>
                <w:color w:val="auto"/>
              </w:rPr>
            </w:pPr>
          </w:p>
        </w:tc>
        <w:tc>
          <w:tcPr>
            <w:tcW w:w="49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Total revenues</w:t>
            </w:r>
          </w:p>
        </w:tc>
        <w:tc>
          <w:tcPr>
            <w:tcW w:w="620" w:type="dxa"/>
            <w:vAlign w:val="bottom"/>
            <w:gridSpan w:val="2"/>
            <w:shd w:val="clear" w:color="auto" w:fill="CCEEFF"/>
          </w:tcPr>
          <w:p>
            <w:pPr>
              <w:jc w:val="right"/>
              <w:ind w:right="132"/>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2,295.9</w:t>
            </w:r>
          </w:p>
        </w:tc>
        <w:tc>
          <w:tcPr>
            <w:tcW w:w="480" w:type="dxa"/>
            <w:vAlign w:val="bottom"/>
            <w:gridSpan w:val="2"/>
            <w:shd w:val="clear" w:color="auto" w:fill="CCEEFF"/>
          </w:tcPr>
          <w:p>
            <w:pPr>
              <w:jc w:val="right"/>
              <w:ind w:right="172"/>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2,704.7</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2,118.6</w:t>
            </w:r>
          </w:p>
        </w:tc>
        <w:tc>
          <w:tcPr>
            <w:tcW w:w="340" w:type="dxa"/>
            <w:vAlign w:val="bottom"/>
            <w:gridSpan w:val="2"/>
            <w:shd w:val="clear" w:color="auto" w:fill="CCEEFF"/>
          </w:tcPr>
          <w:p>
            <w:pPr>
              <w:jc w:val="right"/>
              <w:ind w:right="32"/>
              <w:spacing w:after="0" w:line="149"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2,095.9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960" w:type="dxa"/>
            <w:vAlign w:val="bottom"/>
          </w:tcPr>
          <w:p>
            <w:pPr>
              <w:spacing w:after="0" w:line="149" w:lineRule="exact"/>
              <w:rPr>
                <w:sz w:val="20"/>
                <w:szCs w:val="20"/>
                <w:color w:val="auto"/>
              </w:rPr>
            </w:pPr>
            <w:r>
              <w:rPr>
                <w:rFonts w:ascii="Arial" w:cs="Arial" w:eastAsia="Arial" w:hAnsi="Arial"/>
                <w:sz w:val="14"/>
                <w:szCs w:val="14"/>
                <w:color w:val="auto"/>
              </w:rPr>
              <w:t>Total expenses</w:t>
            </w:r>
          </w:p>
        </w:tc>
        <w:tc>
          <w:tcPr>
            <w:tcW w:w="3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2,035.0</w:t>
            </w: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2,513.1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1,889.1</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1,817.9</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9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income</w:t>
            </w:r>
          </w:p>
        </w:tc>
        <w:tc>
          <w:tcPr>
            <w:tcW w:w="34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226.7</w:t>
            </w:r>
          </w:p>
        </w:tc>
        <w:tc>
          <w:tcPr>
            <w:tcW w:w="1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198.8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178.6</w:t>
            </w: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221.3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960" w:type="dxa"/>
            <w:vAlign w:val="bottom"/>
          </w:tcPr>
          <w:p>
            <w:pPr>
              <w:spacing w:after="0" w:line="149" w:lineRule="exact"/>
              <w:rPr>
                <w:sz w:val="20"/>
                <w:szCs w:val="20"/>
                <w:color w:val="auto"/>
              </w:rPr>
            </w:pPr>
            <w:r>
              <w:rPr>
                <w:rFonts w:ascii="Arial" w:cs="Arial" w:eastAsia="Arial" w:hAnsi="Arial"/>
                <w:sz w:val="14"/>
                <w:szCs w:val="14"/>
                <w:color w:val="auto"/>
              </w:rPr>
              <w:t>Net income available to common stockholders</w:t>
            </w:r>
          </w:p>
        </w:tc>
        <w:tc>
          <w:tcPr>
            <w:tcW w:w="3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214.9</w:t>
            </w: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187.2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167.6</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203.9</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49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95"/>
              </w:rPr>
              <w:t>Basic earnings per common share for net income available to common stockholders</w:t>
            </w:r>
          </w:p>
        </w:tc>
        <w:tc>
          <w:tcPr>
            <w:tcW w:w="34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0.72</w:t>
            </w:r>
          </w:p>
        </w:tc>
        <w:tc>
          <w:tcPr>
            <w:tcW w:w="1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0.64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0.56</w:t>
            </w: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0.68</w:t>
            </w:r>
          </w:p>
        </w:tc>
        <w:tc>
          <w:tcPr>
            <w:tcW w:w="160" w:type="dxa"/>
            <w:vAlign w:val="bottom"/>
            <w:shd w:val="clear" w:color="auto" w:fill="CCEEFF"/>
          </w:tcPr>
          <w:p>
            <w:pPr>
              <w:spacing w:after="0"/>
              <w:rPr>
                <w:sz w:val="12"/>
                <w:szCs w:val="12"/>
                <w:color w:val="auto"/>
              </w:rPr>
            </w:pPr>
          </w:p>
        </w:tc>
      </w:tr>
      <w:tr>
        <w:trPr>
          <w:trHeight w:val="172"/>
        </w:trPr>
        <w:tc>
          <w:tcPr>
            <w:tcW w:w="20" w:type="dxa"/>
            <w:vAlign w:val="bottom"/>
          </w:tcPr>
          <w:p>
            <w:pPr>
              <w:spacing w:after="0"/>
              <w:rPr>
                <w:sz w:val="14"/>
                <w:szCs w:val="14"/>
                <w:color w:val="auto"/>
              </w:rPr>
            </w:pPr>
          </w:p>
        </w:tc>
        <w:tc>
          <w:tcPr>
            <w:tcW w:w="4960" w:type="dxa"/>
            <w:vAlign w:val="bottom"/>
          </w:tcPr>
          <w:p>
            <w:pPr>
              <w:spacing w:after="0"/>
              <w:rPr>
                <w:sz w:val="20"/>
                <w:szCs w:val="20"/>
                <w:color w:val="auto"/>
              </w:rPr>
            </w:pPr>
            <w:r>
              <w:rPr>
                <w:rFonts w:ascii="Arial" w:cs="Arial" w:eastAsia="Arial" w:hAnsi="Arial"/>
                <w:sz w:val="14"/>
                <w:szCs w:val="14"/>
                <w:color w:val="auto"/>
                <w:w w:val="93"/>
              </w:rPr>
              <w:t>Diluted earnings per common share for net income available to common stockholders</w:t>
            </w:r>
          </w:p>
        </w:tc>
        <w:tc>
          <w:tcPr>
            <w:tcW w:w="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0.72</w:t>
            </w:r>
          </w:p>
        </w:tc>
        <w:tc>
          <w:tcPr>
            <w:tcW w:w="1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0.63</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0.56</w:t>
            </w: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20" w:type="dxa"/>
            <w:vAlign w:val="bottom"/>
          </w:tcPr>
          <w:p>
            <w:pPr>
              <w:jc w:val="right"/>
              <w:spacing w:after="0"/>
              <w:rPr>
                <w:sz w:val="20"/>
                <w:szCs w:val="20"/>
                <w:color w:val="auto"/>
              </w:rPr>
            </w:pPr>
            <w:r>
              <w:rPr>
                <w:rFonts w:ascii="Arial" w:cs="Arial" w:eastAsia="Arial" w:hAnsi="Arial"/>
                <w:sz w:val="14"/>
                <w:szCs w:val="14"/>
                <w:color w:val="auto"/>
              </w:rPr>
              <w:t>0.68</w:t>
            </w:r>
          </w:p>
        </w:tc>
        <w:tc>
          <w:tcPr>
            <w:tcW w:w="160" w:type="dxa"/>
            <w:vAlign w:val="bottom"/>
          </w:tcPr>
          <w:p>
            <w:pPr>
              <w:spacing w:after="0"/>
              <w:rPr>
                <w:sz w:val="14"/>
                <w:szCs w:val="14"/>
                <w:color w:val="auto"/>
              </w:rPr>
            </w:pPr>
          </w:p>
        </w:tc>
      </w:tr>
    </w:tbl>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21. Condensed Consolidating Financial Information</w:t>
      </w:r>
    </w:p>
    <w:p>
      <w:pPr>
        <w:spacing w:after="0" w:line="231" w:lineRule="exact"/>
        <w:rPr>
          <w:sz w:val="20"/>
          <w:szCs w:val="20"/>
          <w:color w:val="auto"/>
        </w:rPr>
      </w:pPr>
    </w:p>
    <w:p>
      <w:pPr>
        <w:jc w:val="both"/>
        <w:ind w:firstLine="459"/>
        <w:spacing w:after="0" w:line="256" w:lineRule="auto"/>
        <w:rPr>
          <w:sz w:val="20"/>
          <w:szCs w:val="20"/>
          <w:color w:val="auto"/>
        </w:rPr>
      </w:pPr>
      <w:r>
        <w:rPr>
          <w:rFonts w:ascii="Arial" w:cs="Arial" w:eastAsia="Arial" w:hAnsi="Arial"/>
          <w:sz w:val="18"/>
          <w:szCs w:val="18"/>
          <w:color w:val="auto"/>
        </w:rPr>
        <w:t>Principal Life has established special purpose entities to issue secured medium-term notes. Under the program, the payment obligations of principal and interest on the notes are secured by funding agreements issued by Principal Life. Principal Life's payment obligations on the funding agreements are fully and unconditionally guaranteed by PFG. All of the outstanding stock of Principal Life is indirectly owned by PFG and PFG is the only guarantor of the payment obligations of the funding agreements.</w:t>
      </w:r>
    </w:p>
    <w:p>
      <w:pPr>
        <w:spacing w:after="0" w:line="197" w:lineRule="exact"/>
        <w:rPr>
          <w:sz w:val="20"/>
          <w:szCs w:val="20"/>
          <w:color w:val="auto"/>
        </w:rPr>
      </w:pPr>
    </w:p>
    <w:p>
      <w:pPr>
        <w:jc w:val="both"/>
        <w:ind w:right="20" w:firstLine="425"/>
        <w:spacing w:after="0" w:line="306" w:lineRule="auto"/>
        <w:rPr>
          <w:sz w:val="20"/>
          <w:szCs w:val="20"/>
          <w:color w:val="auto"/>
        </w:rPr>
      </w:pPr>
      <w:r>
        <w:rPr>
          <w:rFonts w:ascii="Arial" w:cs="Arial" w:eastAsia="Arial" w:hAnsi="Arial"/>
          <w:sz w:val="16"/>
          <w:szCs w:val="16"/>
          <w:color w:val="auto"/>
        </w:rPr>
        <w:t>The following tables set forth condensed consolidating financial information of (i) PFG, (ii) Principal Life, (iii) Principal Financial Services, Inc. ("PFS") and all other direct and indirect subsidiaries of PFG on a combined basis and (iv) the eliminations necessary to arrive at the information for PFG on a consolidated basis as of December 31, 2013 and December 31, 2012, and for the years ended December 31, 2013, 2012 and 2011.</w:t>
      </w:r>
    </w:p>
    <w:p>
      <w:pPr>
        <w:spacing w:after="0" w:line="161" w:lineRule="exact"/>
        <w:rPr>
          <w:sz w:val="20"/>
          <w:szCs w:val="20"/>
          <w:color w:val="auto"/>
        </w:rPr>
      </w:pPr>
    </w:p>
    <w:p>
      <w:pPr>
        <w:jc w:val="both"/>
        <w:ind w:firstLine="398"/>
        <w:spacing w:after="0" w:line="253" w:lineRule="auto"/>
        <w:rPr>
          <w:sz w:val="20"/>
          <w:szCs w:val="20"/>
          <w:color w:val="auto"/>
        </w:rPr>
      </w:pPr>
      <w:r>
        <w:rPr>
          <w:rFonts w:ascii="Arial" w:cs="Arial" w:eastAsia="Arial" w:hAnsi="Arial"/>
          <w:sz w:val="18"/>
          <w:szCs w:val="18"/>
          <w:color w:val="auto"/>
        </w:rPr>
        <w:t>In presenting the condensed consolidating financial statements, the equity method of accounting has been applied to (i) PFG's interest in PFS, (ii) Principal Life's interest in all direct subsidiaries of Principal Life and (iii) PFS's interest in Principal Life even though all such subsidiaries meet the requirements to be consolidated under U.S. GAAP. Earnings of subsidiaries are, therefore, reflected in the parent's investment and earnings. All intercompany balances and transactions, including elimination of the parent's investment in subsidiaries, between PFG, Principal Life and PFS and all other subsidiaries have been eliminated, as shown in the column "Eliminations." These condensed consolidating financial statements should be read in conjunction with the consolidated financial statements. The financial information may not necessarily be indicative of results of operations, cash flows or financial position had the subsidiaries operated as independent entities.</w:t>
      </w: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92" w:name="page193"/>
    <w:bookmarkEnd w:id="19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21. Condensed Consolidating Financial Information — (continued)</w:t>
      </w:r>
    </w:p>
    <w:p>
      <w:pPr>
        <w:spacing w:after="0" w:line="200" w:lineRule="exact"/>
        <w:rPr>
          <w:sz w:val="20"/>
          <w:szCs w:val="20"/>
          <w:color w:val="auto"/>
        </w:rPr>
      </w:pPr>
    </w:p>
    <w:p>
      <w:pPr>
        <w:spacing w:after="0" w:line="241"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Condensed Consolidating Statements of Financial Position</w:t>
      </w:r>
    </w:p>
    <w:p>
      <w:pPr>
        <w:spacing w:after="0" w:line="21" w:lineRule="exact"/>
        <w:rPr>
          <w:sz w:val="20"/>
          <w:szCs w:val="20"/>
          <w:color w:val="auto"/>
        </w:rPr>
      </w:pPr>
    </w:p>
    <w:p>
      <w:pPr>
        <w:jc w:val="center"/>
        <w:ind w:right="-1019"/>
        <w:spacing w:after="0"/>
        <w:rPr>
          <w:sz w:val="20"/>
          <w:szCs w:val="20"/>
          <w:color w:val="auto"/>
        </w:rPr>
      </w:pPr>
      <w:r>
        <w:rPr>
          <w:rFonts w:ascii="Arial" w:cs="Arial" w:eastAsia="Arial" w:hAnsi="Arial"/>
          <w:sz w:val="18"/>
          <w:szCs w:val="18"/>
          <w:b w:val="1"/>
          <w:bCs w:val="1"/>
          <w:color w:val="auto"/>
        </w:rPr>
        <w:t>December 31, 2013</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9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1"/>
              </w:rPr>
              <w:t>Principal</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8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0"/>
              </w:rPr>
              <w:t>Principal Life</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20" w:type="dxa"/>
            <w:vAlign w:val="bottom"/>
          </w:tcPr>
          <w:p>
            <w:pPr>
              <w:jc w:val="center"/>
              <w:ind w:right="32"/>
              <w:spacing w:after="0"/>
              <w:rPr>
                <w:sz w:val="20"/>
                <w:szCs w:val="20"/>
                <w:color w:val="auto"/>
              </w:rPr>
            </w:pPr>
            <w:r>
              <w:rPr>
                <w:rFonts w:ascii="Arial" w:cs="Arial" w:eastAsia="Arial" w:hAnsi="Arial"/>
                <w:sz w:val="14"/>
                <w:szCs w:val="14"/>
                <w:b w:val="1"/>
                <w:bCs w:val="1"/>
                <w:color w:val="auto"/>
                <w:w w:val="90"/>
              </w:rPr>
              <w:t>Principal Financial</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Principal</w:t>
            </w:r>
          </w:p>
        </w:tc>
      </w:tr>
      <w:tr>
        <w:trPr>
          <w:trHeight w:val="149"/>
        </w:trPr>
        <w:tc>
          <w:tcPr>
            <w:tcW w:w="20" w:type="dxa"/>
            <w:vAlign w:val="bottom"/>
          </w:tcPr>
          <w:p>
            <w:pPr>
              <w:spacing w:after="0"/>
              <w:rPr>
                <w:sz w:val="12"/>
                <w:szCs w:val="12"/>
                <w:color w:val="auto"/>
              </w:rPr>
            </w:pPr>
          </w:p>
        </w:tc>
        <w:tc>
          <w:tcPr>
            <w:tcW w:w="3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90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8"/>
              </w:rPr>
              <w:t>Financial</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4"/>
              </w:rPr>
              <w:t>Insurance</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4"/>
              </w:rPr>
              <w:t>Services, Inc. and</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Financial</w:t>
            </w:r>
          </w:p>
        </w:tc>
      </w:tr>
      <w:tr>
        <w:trPr>
          <w:trHeight w:val="149"/>
        </w:trPr>
        <w:tc>
          <w:tcPr>
            <w:tcW w:w="20" w:type="dxa"/>
            <w:vAlign w:val="bottom"/>
          </w:tcPr>
          <w:p>
            <w:pPr>
              <w:spacing w:after="0"/>
              <w:rPr>
                <w:sz w:val="12"/>
                <w:szCs w:val="12"/>
                <w:color w:val="auto"/>
              </w:rPr>
            </w:pPr>
          </w:p>
        </w:tc>
        <w:tc>
          <w:tcPr>
            <w:tcW w:w="3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90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9"/>
              </w:rPr>
              <w:t>Group, Inc.</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7"/>
              </w:rPr>
              <w:t>Company</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6"/>
              </w:rPr>
              <w:t>Other Subsidiaries</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Group, Inc.</w:t>
            </w:r>
          </w:p>
        </w:tc>
      </w:tr>
      <w:tr>
        <w:trPr>
          <w:trHeight w:val="161"/>
        </w:trPr>
        <w:tc>
          <w:tcPr>
            <w:tcW w:w="20" w:type="dxa"/>
            <w:vAlign w:val="bottom"/>
          </w:tcPr>
          <w:p>
            <w:pPr>
              <w:spacing w:after="0"/>
              <w:rPr>
                <w:sz w:val="14"/>
                <w:szCs w:val="14"/>
                <w:color w:val="auto"/>
              </w:rPr>
            </w:pPr>
          </w:p>
        </w:tc>
        <w:tc>
          <w:tcPr>
            <w:tcW w:w="3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9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9"/>
              </w:rPr>
              <w:t>Parent Only</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8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9"/>
              </w:rPr>
              <w:t>Only</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20" w:type="dxa"/>
            <w:vAlign w:val="bottom"/>
          </w:tcPr>
          <w:p>
            <w:pPr>
              <w:jc w:val="center"/>
              <w:ind w:right="32"/>
              <w:spacing w:after="0"/>
              <w:rPr>
                <w:sz w:val="20"/>
                <w:szCs w:val="20"/>
                <w:color w:val="auto"/>
              </w:rPr>
            </w:pPr>
            <w:r>
              <w:rPr>
                <w:rFonts w:ascii="Arial" w:cs="Arial" w:eastAsia="Arial" w:hAnsi="Arial"/>
                <w:sz w:val="14"/>
                <w:szCs w:val="14"/>
                <w:b w:val="1"/>
                <w:bCs w:val="1"/>
                <w:color w:val="auto"/>
                <w:w w:val="87"/>
              </w:rPr>
              <w:t>Combined</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4"/>
                <w:szCs w:val="14"/>
                <w:b w:val="1"/>
                <w:bCs w:val="1"/>
                <w:color w:val="auto"/>
                <w:w w:val="86"/>
              </w:rPr>
              <w:t>Eliminations</w:t>
            </w: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5"/>
              </w:rPr>
              <w:t>Consolidated</w:t>
            </w:r>
          </w:p>
        </w:tc>
      </w:tr>
      <w:tr>
        <w:trPr>
          <w:trHeight w:val="142"/>
        </w:trPr>
        <w:tc>
          <w:tcPr>
            <w:tcW w:w="20" w:type="dxa"/>
            <w:vAlign w:val="bottom"/>
          </w:tcPr>
          <w:p>
            <w:pPr>
              <w:spacing w:after="0"/>
              <w:rPr>
                <w:sz w:val="12"/>
                <w:szCs w:val="12"/>
                <w:color w:val="auto"/>
              </w:rPr>
            </w:pPr>
          </w:p>
        </w:tc>
        <w:tc>
          <w:tcPr>
            <w:tcW w:w="3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20" w:type="dxa"/>
            <w:vAlign w:val="bottom"/>
            <w:tcBorders>
              <w:top w:val="single" w:sz="8" w:color="auto"/>
            </w:tcBorders>
          </w:tcPr>
          <w:p>
            <w:pPr>
              <w:jc w:val="center"/>
              <w:ind w:right="52"/>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1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60" w:type="dxa"/>
            <w:vAlign w:val="bottom"/>
            <w:gridSpan w:val="2"/>
          </w:tcPr>
          <w:p>
            <w:pPr>
              <w:jc w:val="right"/>
              <w:spacing w:after="0"/>
              <w:rPr>
                <w:sz w:val="20"/>
                <w:szCs w:val="20"/>
                <w:color w:val="auto"/>
              </w:rPr>
            </w:pPr>
            <w:r>
              <w:rPr>
                <w:rFonts w:ascii="Arial" w:cs="Arial" w:eastAsia="Arial" w:hAnsi="Arial"/>
                <w:sz w:val="10"/>
                <w:szCs w:val="10"/>
                <w:b w:val="1"/>
                <w:bCs w:val="1"/>
                <w:color w:val="auto"/>
                <w:w w:val="71"/>
              </w:rPr>
              <w:t>$</w:t>
            </w: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42,794.7</w:t>
            </w:r>
          </w:p>
        </w:tc>
        <w:tc>
          <w:tcPr>
            <w:tcW w:w="100" w:type="dxa"/>
            <w:vAlign w:val="bottom"/>
          </w:tcPr>
          <w:p>
            <w:pPr>
              <w:spacing w:after="0"/>
              <w:rPr>
                <w:sz w:val="12"/>
                <w:szCs w:val="12"/>
                <w:color w:val="auto"/>
              </w:rPr>
            </w:pP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6,357.5</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(395.1)</w:t>
            </w:r>
          </w:p>
        </w:tc>
        <w:tc>
          <w:tcPr>
            <w:tcW w:w="1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48,757.1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maturities, trading</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245.5</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317.6</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563.1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Equity securities, available-for-sale</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102.6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7.9</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110.5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Equity securities, trading</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0.3</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716.6</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716.9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Mortgage loans</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10,501.5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1,345.9</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(313.8)</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11,533.6</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Real estate</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7.9</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1,263.7</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1,271.6</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Policy loans</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830.1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29.6</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859.7</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Investment in unconsolidated entities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11,956.2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3,396.8</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4,891.6</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(19,364.6)</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880.0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Other investments</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1,892.4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1,238.8</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(1,076.1)</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2,064.4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and cash equivalents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131.5</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1,332.2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894.5</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13.6</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2,371.8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Accrued investment income</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474.5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59.0</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(1.4)</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532.1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Premiums due and other receivables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1,029.0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1,814.5</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(1,602.5)</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1,241.0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Deferred acquisition costs</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2,848.8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228.2</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3,077.0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Property and equipment</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422.1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78.6</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500.7</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Goodwill</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54.3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1,046.0</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1,100.3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intangibles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26.9</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1,432.1</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1,459.0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Separate account assets</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83,790.2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46,228.2</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130,018.4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assets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59.2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976.9</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2,115.3</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(2,017.2)</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1,134.2</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480" w:type="dxa"/>
            <w:vAlign w:val="bottom"/>
          </w:tcPr>
          <w:p>
            <w:pPr>
              <w:ind w:left="140"/>
              <w:spacing w:after="0" w:line="142" w:lineRule="exact"/>
              <w:rPr>
                <w:sz w:val="20"/>
                <w:szCs w:val="20"/>
                <w:color w:val="auto"/>
              </w:rPr>
            </w:pPr>
            <w:r>
              <w:rPr>
                <w:rFonts w:ascii="Arial" w:cs="Arial" w:eastAsia="Arial" w:hAnsi="Arial"/>
                <w:sz w:val="14"/>
                <w:szCs w:val="14"/>
                <w:color w:val="auto"/>
              </w:rPr>
              <w:t>Total assets</w:t>
            </w:r>
          </w:p>
        </w:tc>
        <w:tc>
          <w:tcPr>
            <w:tcW w:w="20" w:type="dxa"/>
            <w:vAlign w:val="bottom"/>
          </w:tcPr>
          <w:p>
            <w:pPr>
              <w:spacing w:after="0"/>
              <w:rPr>
                <w:sz w:val="12"/>
                <w:szCs w:val="12"/>
                <w:color w:val="auto"/>
              </w:rPr>
            </w:pPr>
          </w:p>
        </w:tc>
        <w:tc>
          <w:tcPr>
            <w:tcW w:w="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5"/>
                <w:szCs w:val="5"/>
                <w:b w:val="1"/>
                <w:bCs w:val="1"/>
                <w:color w:val="auto"/>
                <w:w w:val="70"/>
              </w:rPr>
              <w:t>$</w:t>
            </w:r>
          </w:p>
        </w:tc>
        <w:tc>
          <w:tcPr>
            <w:tcW w:w="8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12,156.2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150,726.7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12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70,065.6</w:t>
            </w:r>
          </w:p>
        </w:tc>
        <w:tc>
          <w:tcPr>
            <w:tcW w:w="1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(24,757.1)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208,191.4</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3480" w:type="dxa"/>
            <w:vAlign w:val="bottom"/>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Liabilities</w:t>
            </w:r>
          </w:p>
        </w:tc>
        <w:tc>
          <w:tcPr>
            <w:tcW w:w="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Contractholder funds</w:t>
            </w:r>
          </w:p>
        </w:tc>
        <w:tc>
          <w:tcPr>
            <w:tcW w:w="60" w:type="dxa"/>
            <w:vAlign w:val="bottom"/>
            <w:gridSpan w:val="2"/>
          </w:tcPr>
          <w:p>
            <w:pPr>
              <w:jc w:val="right"/>
              <w:spacing w:after="0"/>
              <w:rPr>
                <w:sz w:val="20"/>
                <w:szCs w:val="20"/>
                <w:color w:val="auto"/>
              </w:rPr>
            </w:pPr>
            <w:r>
              <w:rPr>
                <w:rFonts w:ascii="Arial" w:cs="Arial" w:eastAsia="Arial" w:hAnsi="Arial"/>
                <w:sz w:val="10"/>
                <w:szCs w:val="10"/>
                <w:b w:val="1"/>
                <w:bCs w:val="1"/>
                <w:color w:val="auto"/>
                <w:w w:val="71"/>
              </w:rPr>
              <w:t>$</w:t>
            </w: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34,918.0</w:t>
            </w:r>
          </w:p>
        </w:tc>
        <w:tc>
          <w:tcPr>
            <w:tcW w:w="100" w:type="dxa"/>
            <w:vAlign w:val="bottom"/>
          </w:tcPr>
          <w:p>
            <w:pPr>
              <w:spacing w:after="0"/>
              <w:rPr>
                <w:sz w:val="12"/>
                <w:szCs w:val="12"/>
                <w:color w:val="auto"/>
              </w:rPr>
            </w:pP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1,330.7</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(290.4)</w:t>
            </w:r>
          </w:p>
        </w:tc>
        <w:tc>
          <w:tcPr>
            <w:tcW w:w="1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35,958.3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Future policy benefits and claims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18,292.9</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4,625.0</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(291.7)</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22,626.2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Other policyholder funds</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705.1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54.2</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(0.4)</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758.9</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Short-term debt</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150.6</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150.6</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Long-term debt</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2,448.8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99.4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367.0</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(313.8)</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2,601.4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Income taxes currently payable</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67.4</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(62.2)</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Deferred income taxes</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(25.0)</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1,030.1</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(181.1)</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824.0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Separate account liabilities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83,790.2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46,228.2</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130,018.4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Other liabilities</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5,204.8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3,911.8</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(3,915.6)</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5,224.2</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48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liabilities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2,472.0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142,985.4</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57,765.0</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(5,055.2)</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198,167.2</w:t>
            </w:r>
          </w:p>
        </w:tc>
        <w:tc>
          <w:tcPr>
            <w:tcW w:w="160" w:type="dxa"/>
            <w:vAlign w:val="bottom"/>
            <w:shd w:val="clear" w:color="auto" w:fill="CCEEFF"/>
          </w:tcPr>
          <w:p>
            <w:pPr>
              <w:spacing w:after="0"/>
              <w:rPr>
                <w:sz w:val="12"/>
                <w:szCs w:val="12"/>
                <w:color w:val="auto"/>
              </w:rPr>
            </w:pPr>
          </w:p>
        </w:tc>
      </w:tr>
      <w:tr>
        <w:trPr>
          <w:trHeight w:val="311"/>
        </w:trPr>
        <w:tc>
          <w:tcPr>
            <w:tcW w:w="3500" w:type="dxa"/>
            <w:vAlign w:val="bottom"/>
            <w:gridSpan w:val="2"/>
          </w:tcPr>
          <w:p>
            <w:pPr>
              <w:spacing w:after="0"/>
              <w:rPr>
                <w:sz w:val="20"/>
                <w:szCs w:val="20"/>
                <w:color w:val="auto"/>
              </w:rPr>
            </w:pPr>
            <w:r>
              <w:rPr>
                <w:rFonts w:ascii="Arial" w:cs="Arial" w:eastAsia="Arial" w:hAnsi="Arial"/>
                <w:sz w:val="14"/>
                <w:szCs w:val="14"/>
                <w:color w:val="auto"/>
              </w:rPr>
              <w:t>Redeemable noncontrolling interest</w:t>
            </w: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Arial" w:cs="Arial" w:eastAsia="Arial" w:hAnsi="Arial"/>
                <w:sz w:val="14"/>
                <w:szCs w:val="14"/>
                <w:b w:val="1"/>
                <w:bCs w:val="1"/>
                <w:color w:val="auto"/>
              </w:rPr>
              <w:t>247.2</w:t>
            </w: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4"/>
                <w:szCs w:val="14"/>
                <w:b w:val="1"/>
                <w:bCs w:val="1"/>
                <w:color w:val="auto"/>
              </w:rPr>
              <w:t>247.2</w:t>
            </w:r>
          </w:p>
        </w:tc>
        <w:tc>
          <w:tcPr>
            <w:tcW w:w="160" w:type="dxa"/>
            <w:vAlign w:val="bottom"/>
          </w:tcPr>
          <w:p>
            <w:pPr>
              <w:spacing w:after="0"/>
              <w:rPr>
                <w:sz w:val="24"/>
                <w:szCs w:val="24"/>
                <w:color w:val="auto"/>
              </w:rPr>
            </w:pPr>
          </w:p>
        </w:tc>
      </w:tr>
      <w:tr>
        <w:trPr>
          <w:trHeight w:val="311"/>
        </w:trPr>
        <w:tc>
          <w:tcPr>
            <w:tcW w:w="20" w:type="dxa"/>
            <w:vAlign w:val="bottom"/>
          </w:tcPr>
          <w:p>
            <w:pPr>
              <w:spacing w:after="0"/>
              <w:rPr>
                <w:sz w:val="24"/>
                <w:szCs w:val="24"/>
                <w:color w:val="auto"/>
              </w:rPr>
            </w:pPr>
          </w:p>
        </w:tc>
        <w:tc>
          <w:tcPr>
            <w:tcW w:w="348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Stockholders' equity</w:t>
            </w:r>
          </w:p>
        </w:tc>
        <w:tc>
          <w:tcPr>
            <w:tcW w:w="2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2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Series A preferred stock</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gridSpan w:val="2"/>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Series B preferred stock</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Common stock</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(2.5)</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4.6</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Additional paid-in capital</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9,798.9</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5,505.0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9,163.7</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(14,668.7)</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9,798.9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Retained earnings</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5,405.4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1,738.1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2,578.2</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(4,316.3)</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5,405.4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Accumulated other comprehensive income</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183.2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495.7</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214.3</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(710.0)</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183.2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Treasury stock, at cost</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9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(5,708.0)</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(5,708.0)</w:t>
            </w:r>
          </w:p>
        </w:tc>
      </w:tr>
      <w:tr>
        <w:trPr>
          <w:trHeight w:val="20"/>
        </w:trPr>
        <w:tc>
          <w:tcPr>
            <w:tcW w:w="2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48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stockholders' equity attributable to PFG</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9,684.2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7,741.3</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11,956.2</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(19,697.5)</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9,684.2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Noncontrolling interest</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97.2</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(4.4)</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92.8</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48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stockholders' equity</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9,684.2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7,741.3</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12,053.4</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(19,701.9)</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9,777.0</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480" w:type="dxa"/>
            <w:vAlign w:val="bottom"/>
          </w:tcPr>
          <w:p>
            <w:pPr>
              <w:ind w:left="140"/>
              <w:spacing w:after="0" w:line="142" w:lineRule="exact"/>
              <w:rPr>
                <w:sz w:val="20"/>
                <w:szCs w:val="20"/>
                <w:color w:val="auto"/>
              </w:rPr>
            </w:pPr>
            <w:r>
              <w:rPr>
                <w:rFonts w:ascii="Arial" w:cs="Arial" w:eastAsia="Arial" w:hAnsi="Arial"/>
                <w:sz w:val="14"/>
                <w:szCs w:val="14"/>
                <w:color w:val="auto"/>
              </w:rPr>
              <w:t>Total liabilities and stockholders' equity</w:t>
            </w:r>
          </w:p>
        </w:tc>
        <w:tc>
          <w:tcPr>
            <w:tcW w:w="20" w:type="dxa"/>
            <w:vAlign w:val="bottom"/>
            <w:tcBorders>
              <w:bottom w:val="single" w:sz="8" w:color="auto"/>
            </w:tcBorders>
          </w:tcPr>
          <w:p>
            <w:pPr>
              <w:spacing w:after="0"/>
              <w:rPr>
                <w:sz w:val="12"/>
                <w:szCs w:val="12"/>
                <w:color w:val="auto"/>
              </w:rPr>
            </w:pPr>
          </w:p>
        </w:tc>
        <w:tc>
          <w:tcPr>
            <w:tcW w:w="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5"/>
                <w:szCs w:val="5"/>
                <w:b w:val="1"/>
                <w:bCs w:val="1"/>
                <w:color w:val="auto"/>
                <w:w w:val="70"/>
              </w:rPr>
              <w:t>$</w:t>
            </w:r>
          </w:p>
        </w:tc>
        <w:tc>
          <w:tcPr>
            <w:tcW w:w="8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12,156.2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150,726.7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12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70,065.6</w:t>
            </w:r>
          </w:p>
        </w:tc>
        <w:tc>
          <w:tcPr>
            <w:tcW w:w="1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(24,757.1)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208,191.4</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189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360"/>
          </w:cols>
          <w:pgMar w:left="240" w:top="131" w:right="1299" w:bottom="1440" w:gutter="0" w:footer="0" w:header="0"/>
        </w:sectPr>
      </w:pPr>
    </w:p>
    <w:bookmarkStart w:id="193" w:name="page194"/>
    <w:bookmarkEnd w:id="19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21. Condensed Consolidating Financial Information — (continued)</w:t>
      </w:r>
    </w:p>
    <w:p>
      <w:pPr>
        <w:spacing w:after="0" w:line="22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Condensed Consolidating Statements of Financial Position</w:t>
      </w:r>
    </w:p>
    <w:p>
      <w:pPr>
        <w:spacing w:after="0" w:line="21" w:lineRule="exact"/>
        <w:rPr>
          <w:sz w:val="20"/>
          <w:szCs w:val="20"/>
          <w:color w:val="auto"/>
        </w:rPr>
      </w:pPr>
    </w:p>
    <w:p>
      <w:pPr>
        <w:jc w:val="center"/>
        <w:ind w:right="-1019"/>
        <w:spacing w:after="0"/>
        <w:rPr>
          <w:sz w:val="20"/>
          <w:szCs w:val="20"/>
          <w:color w:val="auto"/>
        </w:rPr>
      </w:pPr>
      <w:r>
        <w:rPr>
          <w:rFonts w:ascii="Arial" w:cs="Arial" w:eastAsia="Arial" w:hAnsi="Arial"/>
          <w:sz w:val="18"/>
          <w:szCs w:val="18"/>
          <w:b w:val="1"/>
          <w:bCs w:val="1"/>
          <w:color w:val="auto"/>
        </w:rPr>
        <w:t>December 31, 2012</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Principal</w:t>
            </w:r>
          </w:p>
        </w:tc>
        <w:tc>
          <w:tcPr>
            <w:tcW w:w="80" w:type="dxa"/>
            <w:vAlign w:val="bottom"/>
          </w:tcPr>
          <w:p>
            <w:pPr>
              <w:spacing w:after="0"/>
              <w:rPr>
                <w:sz w:val="14"/>
                <w:szCs w:val="14"/>
                <w:color w:val="auto"/>
              </w:rPr>
            </w:pPr>
          </w:p>
        </w:tc>
        <w:tc>
          <w:tcPr>
            <w:tcW w:w="880" w:type="dxa"/>
            <w:vAlign w:val="bottom"/>
          </w:tcPr>
          <w:p>
            <w:pPr>
              <w:jc w:val="center"/>
              <w:ind w:right="12"/>
              <w:spacing w:after="0"/>
              <w:rPr>
                <w:sz w:val="20"/>
                <w:szCs w:val="20"/>
                <w:color w:val="auto"/>
              </w:rPr>
            </w:pPr>
            <w:r>
              <w:rPr>
                <w:rFonts w:ascii="Arial" w:cs="Arial" w:eastAsia="Arial" w:hAnsi="Arial"/>
                <w:sz w:val="14"/>
                <w:szCs w:val="14"/>
                <w:b w:val="1"/>
                <w:bCs w:val="1"/>
                <w:color w:val="auto"/>
                <w:w w:val="90"/>
              </w:rPr>
              <w:t>Principal Life</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20" w:type="dxa"/>
            <w:vAlign w:val="bottom"/>
          </w:tcPr>
          <w:p>
            <w:pPr>
              <w:jc w:val="center"/>
              <w:ind w:right="32"/>
              <w:spacing w:after="0"/>
              <w:rPr>
                <w:sz w:val="20"/>
                <w:szCs w:val="20"/>
                <w:color w:val="auto"/>
              </w:rPr>
            </w:pPr>
            <w:r>
              <w:rPr>
                <w:rFonts w:ascii="Arial" w:cs="Arial" w:eastAsia="Arial" w:hAnsi="Arial"/>
                <w:sz w:val="14"/>
                <w:szCs w:val="14"/>
                <w:b w:val="1"/>
                <w:bCs w:val="1"/>
                <w:color w:val="auto"/>
                <w:w w:val="90"/>
              </w:rPr>
              <w:t>Principal Financial</w:t>
            </w:r>
          </w:p>
        </w:tc>
        <w:tc>
          <w:tcPr>
            <w:tcW w:w="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Principal</w:t>
            </w:r>
          </w:p>
        </w:tc>
      </w:tr>
      <w:tr>
        <w:trPr>
          <w:trHeight w:val="149"/>
        </w:trPr>
        <w:tc>
          <w:tcPr>
            <w:tcW w:w="20" w:type="dxa"/>
            <w:vAlign w:val="bottom"/>
          </w:tcPr>
          <w:p>
            <w:pPr>
              <w:spacing w:after="0"/>
              <w:rPr>
                <w:sz w:val="12"/>
                <w:szCs w:val="12"/>
                <w:color w:val="auto"/>
              </w:rPr>
            </w:pPr>
          </w:p>
        </w:tc>
        <w:tc>
          <w:tcPr>
            <w:tcW w:w="3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Financial</w:t>
            </w:r>
          </w:p>
        </w:tc>
        <w:tc>
          <w:tcPr>
            <w:tcW w:w="80" w:type="dxa"/>
            <w:vAlign w:val="bottom"/>
          </w:tcPr>
          <w:p>
            <w:pPr>
              <w:spacing w:after="0"/>
              <w:rPr>
                <w:sz w:val="12"/>
                <w:szCs w:val="12"/>
                <w:color w:val="auto"/>
              </w:rPr>
            </w:pPr>
          </w:p>
        </w:tc>
        <w:tc>
          <w:tcPr>
            <w:tcW w:w="88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4"/>
              </w:rPr>
              <w:t>Insurance</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4"/>
              </w:rPr>
              <w:t>Services, Inc. and</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Financial</w:t>
            </w:r>
          </w:p>
        </w:tc>
      </w:tr>
      <w:tr>
        <w:trPr>
          <w:trHeight w:val="149"/>
        </w:trPr>
        <w:tc>
          <w:tcPr>
            <w:tcW w:w="20" w:type="dxa"/>
            <w:vAlign w:val="bottom"/>
          </w:tcPr>
          <w:p>
            <w:pPr>
              <w:spacing w:after="0"/>
              <w:rPr>
                <w:sz w:val="12"/>
                <w:szCs w:val="12"/>
                <w:color w:val="auto"/>
              </w:rPr>
            </w:pPr>
          </w:p>
        </w:tc>
        <w:tc>
          <w:tcPr>
            <w:tcW w:w="3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Group, Inc.</w:t>
            </w:r>
          </w:p>
        </w:tc>
        <w:tc>
          <w:tcPr>
            <w:tcW w:w="80" w:type="dxa"/>
            <w:vAlign w:val="bottom"/>
          </w:tcPr>
          <w:p>
            <w:pPr>
              <w:spacing w:after="0"/>
              <w:rPr>
                <w:sz w:val="12"/>
                <w:szCs w:val="12"/>
                <w:color w:val="auto"/>
              </w:rPr>
            </w:pPr>
          </w:p>
        </w:tc>
        <w:tc>
          <w:tcPr>
            <w:tcW w:w="88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7"/>
              </w:rPr>
              <w:t>Company</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6"/>
              </w:rPr>
              <w:t>Other Subsidiaries</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Group, Inc.</w:t>
            </w:r>
          </w:p>
        </w:tc>
      </w:tr>
      <w:tr>
        <w:trPr>
          <w:trHeight w:val="161"/>
        </w:trPr>
        <w:tc>
          <w:tcPr>
            <w:tcW w:w="20" w:type="dxa"/>
            <w:vAlign w:val="bottom"/>
          </w:tcPr>
          <w:p>
            <w:pPr>
              <w:spacing w:after="0"/>
              <w:rPr>
                <w:sz w:val="14"/>
                <w:szCs w:val="14"/>
                <w:color w:val="auto"/>
              </w:rPr>
            </w:pPr>
          </w:p>
        </w:tc>
        <w:tc>
          <w:tcPr>
            <w:tcW w:w="34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Parent Only</w:t>
            </w:r>
          </w:p>
        </w:tc>
        <w:tc>
          <w:tcPr>
            <w:tcW w:w="80" w:type="dxa"/>
            <w:vAlign w:val="bottom"/>
          </w:tcPr>
          <w:p>
            <w:pPr>
              <w:spacing w:after="0"/>
              <w:rPr>
                <w:sz w:val="14"/>
                <w:szCs w:val="14"/>
                <w:color w:val="auto"/>
              </w:rPr>
            </w:pPr>
          </w:p>
        </w:tc>
        <w:tc>
          <w:tcPr>
            <w:tcW w:w="880" w:type="dxa"/>
            <w:vAlign w:val="bottom"/>
          </w:tcPr>
          <w:p>
            <w:pPr>
              <w:jc w:val="center"/>
              <w:ind w:right="12"/>
              <w:spacing w:after="0"/>
              <w:rPr>
                <w:sz w:val="20"/>
                <w:szCs w:val="20"/>
                <w:color w:val="auto"/>
              </w:rPr>
            </w:pPr>
            <w:r>
              <w:rPr>
                <w:rFonts w:ascii="Arial" w:cs="Arial" w:eastAsia="Arial" w:hAnsi="Arial"/>
                <w:sz w:val="14"/>
                <w:szCs w:val="14"/>
                <w:b w:val="1"/>
                <w:bCs w:val="1"/>
                <w:color w:val="auto"/>
                <w:w w:val="89"/>
              </w:rPr>
              <w:t>Only</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20" w:type="dxa"/>
            <w:vAlign w:val="bottom"/>
          </w:tcPr>
          <w:p>
            <w:pPr>
              <w:jc w:val="center"/>
              <w:ind w:right="32"/>
              <w:spacing w:after="0"/>
              <w:rPr>
                <w:sz w:val="20"/>
                <w:szCs w:val="20"/>
                <w:color w:val="auto"/>
              </w:rPr>
            </w:pPr>
            <w:r>
              <w:rPr>
                <w:rFonts w:ascii="Arial" w:cs="Arial" w:eastAsia="Arial" w:hAnsi="Arial"/>
                <w:sz w:val="14"/>
                <w:szCs w:val="14"/>
                <w:b w:val="1"/>
                <w:bCs w:val="1"/>
                <w:color w:val="auto"/>
                <w:w w:val="87"/>
              </w:rPr>
              <w:t>Combined</w:t>
            </w:r>
          </w:p>
        </w:tc>
        <w:tc>
          <w:tcPr>
            <w:tcW w:w="160" w:type="dxa"/>
            <w:vAlign w:val="bottom"/>
          </w:tcPr>
          <w:p>
            <w:pPr>
              <w:spacing w:after="0"/>
              <w:rPr>
                <w:sz w:val="14"/>
                <w:szCs w:val="14"/>
                <w:color w:val="auto"/>
              </w:rPr>
            </w:pPr>
          </w:p>
        </w:tc>
        <w:tc>
          <w:tcPr>
            <w:tcW w:w="104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w w:val="93"/>
              </w:rPr>
              <w:t>Eliminations</w:t>
            </w:r>
          </w:p>
        </w:tc>
        <w:tc>
          <w:tcPr>
            <w:tcW w:w="108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5"/>
              </w:rPr>
              <w:t>Consolidated</w:t>
            </w:r>
          </w:p>
        </w:tc>
      </w:tr>
      <w:tr>
        <w:trPr>
          <w:trHeight w:val="142"/>
        </w:trPr>
        <w:tc>
          <w:tcPr>
            <w:tcW w:w="20" w:type="dxa"/>
            <w:vAlign w:val="bottom"/>
          </w:tcPr>
          <w:p>
            <w:pPr>
              <w:spacing w:after="0"/>
              <w:rPr>
                <w:sz w:val="12"/>
                <w:szCs w:val="12"/>
                <w:color w:val="auto"/>
              </w:rPr>
            </w:pPr>
          </w:p>
        </w:tc>
        <w:tc>
          <w:tcPr>
            <w:tcW w:w="348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20" w:type="dxa"/>
            <w:vAlign w:val="bottom"/>
            <w:tcBorders>
              <w:top w:val="single" w:sz="8" w:color="auto"/>
            </w:tcBorders>
          </w:tcPr>
          <w:p>
            <w:pPr>
              <w:jc w:val="center"/>
              <w:ind w:right="52"/>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16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44,614.6</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6,681.7</w:t>
            </w:r>
          </w:p>
        </w:tc>
        <w:tc>
          <w:tcPr>
            <w:tcW w:w="380" w:type="dxa"/>
            <w:vAlign w:val="bottom"/>
            <w:gridSpan w:val="2"/>
          </w:tcPr>
          <w:p>
            <w:pPr>
              <w:jc w:val="right"/>
              <w:ind w:right="104"/>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(357.0)</w:t>
            </w:r>
          </w:p>
        </w:tc>
        <w:tc>
          <w:tcPr>
            <w:tcW w:w="10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50,939.3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maturities, trading</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10.5</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284.4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331.8</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626.7</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Equity securities, available-for-sale</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131.3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5.2</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136.5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Equity securities, trading</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252.5</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252.8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Mortgage loans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10,054.2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1,775.5</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(310.0)</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11,519.7</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Real estate</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1,171.9</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1,180.3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Policy loans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834.0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30.9</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864.9</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Investment in unconsolidated entities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11,853.3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3,309.2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4,808.3</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(19,101.8)</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869.0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Other investments</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11.1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2,834.0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1,208.4</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(1,631.4)</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2,422.1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and cash equivalents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207.1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1,698.4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2,286.9</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(15.2)</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4,177.2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Accrued investment income</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521.6</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64.5</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(1.7)</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584.4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Premiums due and other receivables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916.7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1,327.1</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(1,159.5)</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1,084.4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Deferred acquisition costs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2,394.8</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195.2</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2,590.0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Property and equipment</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402.2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62.0</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464.2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Goodwill</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54.3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489.1</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543.4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intangibles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27.9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886.8</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914.7</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Separate account assets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69,217.8</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12,436.0</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81,653.8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assets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78.0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947.8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1,567.7</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(1,586.7)</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1,006.8</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480" w:type="dxa"/>
            <w:vAlign w:val="bottom"/>
          </w:tcPr>
          <w:p>
            <w:pPr>
              <w:ind w:left="140"/>
              <w:spacing w:after="0" w:line="142" w:lineRule="exact"/>
              <w:rPr>
                <w:sz w:val="20"/>
                <w:szCs w:val="20"/>
                <w:color w:val="auto"/>
              </w:rPr>
            </w:pPr>
            <w:r>
              <w:rPr>
                <w:rFonts w:ascii="Arial" w:cs="Arial" w:eastAsia="Arial" w:hAnsi="Arial"/>
                <w:sz w:val="14"/>
                <w:szCs w:val="14"/>
                <w:color w:val="auto"/>
              </w:rPr>
              <w:t>Total assets</w:t>
            </w: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12,160.1</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138,251.9</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12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35,581.5</w:t>
            </w:r>
          </w:p>
        </w:tc>
        <w:tc>
          <w:tcPr>
            <w:tcW w:w="160" w:type="dxa"/>
            <w:vAlign w:val="bottom"/>
          </w:tcPr>
          <w:p>
            <w:pPr>
              <w:spacing w:after="0"/>
              <w:rPr>
                <w:sz w:val="12"/>
                <w:szCs w:val="12"/>
                <w:color w:val="auto"/>
              </w:rPr>
            </w:pPr>
          </w:p>
        </w:tc>
        <w:tc>
          <w:tcPr>
            <w:tcW w:w="220" w:type="dxa"/>
            <w:vAlign w:val="bottom"/>
            <w:tcBorders>
              <w:top w:val="single" w:sz="8" w:color="auto"/>
              <w:bottom w:val="single" w:sz="8" w:color="auto"/>
            </w:tcBorders>
          </w:tcPr>
          <w:p>
            <w:pPr>
              <w:jc w:val="right"/>
              <w:ind w:right="104"/>
              <w:spacing w:after="0"/>
              <w:rPr>
                <w:sz w:val="20"/>
                <w:szCs w:val="20"/>
                <w:color w:val="auto"/>
              </w:rPr>
            </w:pPr>
            <w:r>
              <w:rPr>
                <w:rFonts w:ascii="Arial" w:cs="Arial" w:eastAsia="Arial" w:hAnsi="Arial"/>
                <w:sz w:val="10"/>
                <w:szCs w:val="10"/>
                <w:color w:val="auto"/>
                <w:w w:val="71"/>
              </w:rPr>
              <w:t>$</w:t>
            </w:r>
          </w:p>
        </w:tc>
        <w:tc>
          <w:tcPr>
            <w:tcW w:w="6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(24,163.3)</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161,830.2</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3480" w:type="dxa"/>
            <w:vAlign w:val="bottom"/>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Liabilities</w:t>
            </w: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Contractholder funds</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37,053.3</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1,011.9</w:t>
            </w:r>
          </w:p>
        </w:tc>
        <w:tc>
          <w:tcPr>
            <w:tcW w:w="380" w:type="dxa"/>
            <w:vAlign w:val="bottom"/>
            <w:gridSpan w:val="2"/>
          </w:tcPr>
          <w:p>
            <w:pPr>
              <w:jc w:val="right"/>
              <w:ind w:right="104"/>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(278.7)</w:t>
            </w:r>
          </w:p>
        </w:tc>
        <w:tc>
          <w:tcPr>
            <w:tcW w:w="10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37,786.5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Future policy benefits and claims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17,944.9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4,679.6</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(188.3)</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22,436.2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Other policyholder funds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676.5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40.3</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(0.4)</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716.4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Short-term debt</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40.8</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Long-term debt</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2,448.6</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99.4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433.3</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(310.0)</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2,671.3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Income taxes currently payable</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84.7</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(69.4)</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Deferred income taxes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324.5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378.4</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(102.9)</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600.0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Separate account liabilities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69,217.8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12,436.0</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81,653.8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Other liabilities</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28.1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5,375.1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4,538.4</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(3,795.5)</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6,146.1</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48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liabilities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2,476.7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130,691.5</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23,643.4</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(4,745.2)</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152,066.4</w:t>
            </w:r>
          </w:p>
        </w:tc>
        <w:tc>
          <w:tcPr>
            <w:tcW w:w="160" w:type="dxa"/>
            <w:vAlign w:val="bottom"/>
            <w:shd w:val="clear" w:color="auto" w:fill="CCEEFF"/>
          </w:tcPr>
          <w:p>
            <w:pPr>
              <w:spacing w:after="0"/>
              <w:rPr>
                <w:sz w:val="12"/>
                <w:szCs w:val="12"/>
                <w:color w:val="auto"/>
              </w:rPr>
            </w:pPr>
          </w:p>
        </w:tc>
      </w:tr>
      <w:tr>
        <w:trPr>
          <w:trHeight w:val="311"/>
        </w:trPr>
        <w:tc>
          <w:tcPr>
            <w:tcW w:w="3500" w:type="dxa"/>
            <w:vAlign w:val="bottom"/>
            <w:gridSpan w:val="2"/>
          </w:tcPr>
          <w:p>
            <w:pPr>
              <w:spacing w:after="0"/>
              <w:rPr>
                <w:sz w:val="20"/>
                <w:szCs w:val="20"/>
                <w:color w:val="auto"/>
              </w:rPr>
            </w:pPr>
            <w:r>
              <w:rPr>
                <w:rFonts w:ascii="Arial" w:cs="Arial" w:eastAsia="Arial" w:hAnsi="Arial"/>
                <w:sz w:val="14"/>
                <w:szCs w:val="14"/>
                <w:color w:val="auto"/>
              </w:rPr>
              <w:t>Redeemable noncontrolling interest</w:t>
            </w:r>
          </w:p>
        </w:tc>
        <w:tc>
          <w:tcPr>
            <w:tcW w:w="80" w:type="dxa"/>
            <w:vAlign w:val="bottom"/>
          </w:tcPr>
          <w:p>
            <w:pPr>
              <w:spacing w:after="0"/>
              <w:rPr>
                <w:sz w:val="24"/>
                <w:szCs w:val="24"/>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60.4</w:t>
            </w: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4"/>
                <w:szCs w:val="2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60.4</w:t>
            </w:r>
          </w:p>
        </w:tc>
        <w:tc>
          <w:tcPr>
            <w:tcW w:w="160" w:type="dxa"/>
            <w:vAlign w:val="bottom"/>
          </w:tcPr>
          <w:p>
            <w:pPr>
              <w:spacing w:after="0"/>
              <w:rPr>
                <w:sz w:val="24"/>
                <w:szCs w:val="24"/>
                <w:color w:val="auto"/>
              </w:rPr>
            </w:pPr>
          </w:p>
        </w:tc>
      </w:tr>
      <w:tr>
        <w:trPr>
          <w:trHeight w:val="311"/>
        </w:trPr>
        <w:tc>
          <w:tcPr>
            <w:tcW w:w="20" w:type="dxa"/>
            <w:vAlign w:val="bottom"/>
          </w:tcPr>
          <w:p>
            <w:pPr>
              <w:spacing w:after="0"/>
              <w:rPr>
                <w:sz w:val="24"/>
                <w:szCs w:val="24"/>
                <w:color w:val="auto"/>
              </w:rPr>
            </w:pPr>
          </w:p>
        </w:tc>
        <w:tc>
          <w:tcPr>
            <w:tcW w:w="348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Stockholders' equity</w:t>
            </w:r>
          </w:p>
        </w:tc>
        <w:tc>
          <w:tcPr>
            <w:tcW w:w="8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2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Series A preferred stock</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Series B preferred stock</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Common stock</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4.5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2.5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(2.5)</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4.5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Additional paid-in capital</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9,730.9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5,747.6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9,393.8</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(15,141.4)</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9,730.9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Retained earnings</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4,862.0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1,167.7</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1,783.4</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(2,951.1)</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4,862.0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Accumulated other comprehensive income</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640.3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642.6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676.1</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(1,318.7)</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640.3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Treasury stock, at cost</w:t>
            </w:r>
          </w:p>
        </w:tc>
        <w:tc>
          <w:tcPr>
            <w:tcW w:w="8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(5,554.4)</w:t>
            </w: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(5,554.4)</w:t>
            </w:r>
          </w:p>
        </w:tc>
      </w:tr>
      <w:tr>
        <w:trPr>
          <w:trHeight w:val="20"/>
        </w:trPr>
        <w:tc>
          <w:tcPr>
            <w:tcW w:w="2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48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stockholders' equity attributable to PFG</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9,683.4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7,560.4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11,853.3</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(19,413.7)</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9,683.4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Noncontrolling interest</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24.4</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(4.4)</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20.0</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48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stockholders' equity</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9,683.4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7,560.4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11,877.7</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(19,418.1)</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9,703.4</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480" w:type="dxa"/>
            <w:vAlign w:val="bottom"/>
          </w:tcPr>
          <w:p>
            <w:pPr>
              <w:ind w:left="140"/>
              <w:spacing w:after="0" w:line="142" w:lineRule="exact"/>
              <w:rPr>
                <w:sz w:val="20"/>
                <w:szCs w:val="20"/>
                <w:color w:val="auto"/>
              </w:rPr>
            </w:pPr>
            <w:r>
              <w:rPr>
                <w:rFonts w:ascii="Arial" w:cs="Arial" w:eastAsia="Arial" w:hAnsi="Arial"/>
                <w:sz w:val="14"/>
                <w:szCs w:val="14"/>
                <w:color w:val="auto"/>
              </w:rPr>
              <w:t>Total liabilities and stockholders' equity</w:t>
            </w: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12,160.1</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138,251.9</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12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35,581.5</w:t>
            </w:r>
          </w:p>
        </w:tc>
        <w:tc>
          <w:tcPr>
            <w:tcW w:w="160" w:type="dxa"/>
            <w:vAlign w:val="bottom"/>
          </w:tcPr>
          <w:p>
            <w:pPr>
              <w:spacing w:after="0"/>
              <w:rPr>
                <w:sz w:val="12"/>
                <w:szCs w:val="12"/>
                <w:color w:val="auto"/>
              </w:rPr>
            </w:pPr>
          </w:p>
        </w:tc>
        <w:tc>
          <w:tcPr>
            <w:tcW w:w="220" w:type="dxa"/>
            <w:vAlign w:val="bottom"/>
            <w:tcBorders>
              <w:top w:val="single" w:sz="8" w:color="auto"/>
              <w:bottom w:val="single" w:sz="8" w:color="auto"/>
            </w:tcBorders>
          </w:tcPr>
          <w:p>
            <w:pPr>
              <w:jc w:val="right"/>
              <w:ind w:right="104"/>
              <w:spacing w:after="0"/>
              <w:rPr>
                <w:sz w:val="20"/>
                <w:szCs w:val="20"/>
                <w:color w:val="auto"/>
              </w:rPr>
            </w:pPr>
            <w:r>
              <w:rPr>
                <w:rFonts w:ascii="Arial" w:cs="Arial" w:eastAsia="Arial" w:hAnsi="Arial"/>
                <w:sz w:val="10"/>
                <w:szCs w:val="10"/>
                <w:color w:val="auto"/>
                <w:w w:val="71"/>
              </w:rPr>
              <w:t>$</w:t>
            </w:r>
          </w:p>
        </w:tc>
        <w:tc>
          <w:tcPr>
            <w:tcW w:w="6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(24,163.3)</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161,830.2</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190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360"/>
          </w:cols>
          <w:pgMar w:left="240" w:top="131" w:right="1299" w:bottom="1440" w:gutter="0" w:footer="0" w:header="0"/>
        </w:sectPr>
      </w:pPr>
    </w:p>
    <w:bookmarkStart w:id="194" w:name="page195"/>
    <w:bookmarkEnd w:id="19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21. Condensed Consolidating Financial Information — (continued)</w:t>
      </w:r>
    </w:p>
    <w:p>
      <w:pPr>
        <w:spacing w:after="0" w:line="200" w:lineRule="exact"/>
        <w:rPr>
          <w:sz w:val="20"/>
          <w:szCs w:val="20"/>
          <w:color w:val="auto"/>
        </w:rPr>
      </w:pPr>
    </w:p>
    <w:p>
      <w:pPr>
        <w:spacing w:after="0" w:line="241"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Condensed Consolidating Statements of Operations</w:t>
      </w:r>
    </w:p>
    <w:p>
      <w:pPr>
        <w:spacing w:after="0" w:line="21" w:lineRule="exact"/>
        <w:rPr>
          <w:sz w:val="20"/>
          <w:szCs w:val="20"/>
          <w:color w:val="auto"/>
        </w:rPr>
      </w:pPr>
    </w:p>
    <w:p>
      <w:pPr>
        <w:jc w:val="center"/>
        <w:ind w:right="-1019"/>
        <w:spacing w:after="0"/>
        <w:rPr>
          <w:sz w:val="20"/>
          <w:szCs w:val="20"/>
          <w:color w:val="auto"/>
        </w:rPr>
      </w:pPr>
      <w:r>
        <w:rPr>
          <w:rFonts w:ascii="Arial" w:cs="Arial" w:eastAsia="Arial" w:hAnsi="Arial"/>
          <w:sz w:val="18"/>
          <w:szCs w:val="18"/>
          <w:b w:val="1"/>
          <w:bCs w:val="1"/>
          <w:color w:val="auto"/>
        </w:rPr>
        <w:t>For the year ended December 31, 2013</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9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1"/>
              </w:rPr>
              <w:t>Principal</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8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0"/>
              </w:rPr>
              <w:t>Principal Life</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0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0"/>
              </w:rPr>
              <w:t>Principal Financial</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Principal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90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8"/>
              </w:rPr>
              <w:t>Financial</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4"/>
              </w:rPr>
              <w:t>Insurance</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0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4"/>
              </w:rPr>
              <w:t>Services, Inc. and</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Financial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90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9"/>
              </w:rPr>
              <w:t>Group, Inc.</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7"/>
              </w:rPr>
              <w:t>Company</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0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6"/>
              </w:rPr>
              <w:t>Other Subsidiaries</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Group, Inc.</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9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9"/>
              </w:rPr>
              <w:t>Parent Only</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8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9"/>
              </w:rPr>
              <w:t>Only</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0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7"/>
              </w:rPr>
              <w:t>Combined</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4"/>
                <w:szCs w:val="14"/>
                <w:b w:val="1"/>
                <w:bCs w:val="1"/>
                <w:color w:val="auto"/>
                <w:w w:val="86"/>
              </w:rPr>
              <w:t>Eliminations</w:t>
            </w: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5"/>
              </w:rPr>
              <w:t>Consolidated</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20" w:type="dxa"/>
            <w:vAlign w:val="bottom"/>
            <w:tcBorders>
              <w:top w:val="single" w:sz="8" w:color="auto"/>
            </w:tcBorders>
          </w:tcPr>
          <w:p>
            <w:pPr>
              <w:jc w:val="center"/>
              <w:ind w:right="52"/>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Revenues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Premiums and other considerations</w:t>
            </w:r>
          </w:p>
        </w:tc>
        <w:tc>
          <w:tcPr>
            <w:tcW w:w="60" w:type="dxa"/>
            <w:vAlign w:val="bottom"/>
            <w:gridSpan w:val="2"/>
          </w:tcPr>
          <w:p>
            <w:pPr>
              <w:jc w:val="right"/>
              <w:spacing w:after="0"/>
              <w:rPr>
                <w:sz w:val="20"/>
                <w:szCs w:val="20"/>
                <w:color w:val="auto"/>
              </w:rPr>
            </w:pPr>
            <w:r>
              <w:rPr>
                <w:rFonts w:ascii="Arial" w:cs="Arial" w:eastAsia="Arial" w:hAnsi="Arial"/>
                <w:sz w:val="10"/>
                <w:szCs w:val="10"/>
                <w:b w:val="1"/>
                <w:bCs w:val="1"/>
                <w:color w:val="auto"/>
                <w:w w:val="71"/>
              </w:rPr>
              <w:t>$</w:t>
            </w: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2,788.1</w:t>
            </w:r>
          </w:p>
        </w:tc>
        <w:tc>
          <w:tcPr>
            <w:tcW w:w="100" w:type="dxa"/>
            <w:vAlign w:val="bottom"/>
          </w:tcPr>
          <w:p>
            <w:pPr>
              <w:spacing w:after="0"/>
              <w:rPr>
                <w:sz w:val="12"/>
                <w:szCs w:val="12"/>
                <w:color w:val="auto"/>
              </w:rPr>
            </w:pP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366.0</w:t>
            </w:r>
          </w:p>
        </w:tc>
        <w:tc>
          <w:tcPr>
            <w:tcW w:w="80" w:type="dxa"/>
            <w:vAlign w:val="bottom"/>
          </w:tcPr>
          <w:p>
            <w:pPr>
              <w:spacing w:after="0"/>
              <w:rPr>
                <w:sz w:val="12"/>
                <w:szCs w:val="12"/>
                <w:color w:val="auto"/>
              </w:rPr>
            </w:pP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3,154.1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Fees and other revenues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1,723.8</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1,855.0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(356.6)</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3,222.2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Net investment income</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2,354.5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753.8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29.7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3,138.4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48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9"/>
              </w:rPr>
              <w:t>Net realized capital gains (losses), excluding impairment</w:t>
            </w:r>
          </w:p>
        </w:tc>
        <w:tc>
          <w:tcPr>
            <w:tcW w:w="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6.3</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8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(779.5)</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2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663.9</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0.1</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2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(109.2)</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48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losses on available-for-sale securities</w:t>
            </w:r>
          </w:p>
        </w:tc>
        <w:tc>
          <w:tcPr>
            <w:tcW w:w="2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800" w:type="dxa"/>
            <w:vAlign w:val="bottom"/>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8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220" w:type="dxa"/>
            <w:vAlign w:val="bottom"/>
            <w:vMerge w:val="continue"/>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20" w:type="dxa"/>
            <w:vAlign w:val="bottom"/>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20" w:type="dxa"/>
            <w:vAlign w:val="bottom"/>
            <w:gridSpan w:val="2"/>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480" w:type="dxa"/>
            <w:vAlign w:val="bottom"/>
          </w:tcPr>
          <w:p>
            <w:pPr>
              <w:spacing w:after="0" w:line="138" w:lineRule="exact"/>
              <w:rPr>
                <w:sz w:val="20"/>
                <w:szCs w:val="20"/>
                <w:color w:val="auto"/>
              </w:rPr>
            </w:pPr>
            <w:r>
              <w:rPr>
                <w:rFonts w:ascii="Arial" w:cs="Arial" w:eastAsia="Arial" w:hAnsi="Arial"/>
                <w:sz w:val="14"/>
                <w:szCs w:val="14"/>
                <w:color w:val="auto"/>
                <w:w w:val="94"/>
              </w:rPr>
              <w:t>Total other-than-temporary impairment losses on available-</w:t>
            </w: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90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gridSpan w:val="2"/>
            <w:vMerge w:val="restart"/>
          </w:tcPr>
          <w:p>
            <w:pPr>
              <w:jc w:val="right"/>
              <w:ind w:right="60"/>
              <w:spacing w:after="0"/>
              <w:rPr>
                <w:sz w:val="20"/>
                <w:szCs w:val="20"/>
                <w:color w:val="auto"/>
              </w:rPr>
            </w:pPr>
            <w:r>
              <w:rPr>
                <w:rFonts w:ascii="Arial" w:cs="Arial" w:eastAsia="Arial" w:hAnsi="Arial"/>
                <w:sz w:val="14"/>
                <w:szCs w:val="14"/>
                <w:b w:val="1"/>
                <w:bCs w:val="1"/>
                <w:color w:val="auto"/>
              </w:rPr>
              <w:t>(85.6)</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00" w:type="dxa"/>
            <w:vAlign w:val="bottom"/>
            <w:gridSpan w:val="2"/>
            <w:vMerge w:val="restart"/>
          </w:tcPr>
          <w:p>
            <w:pPr>
              <w:jc w:val="right"/>
              <w:ind w:right="60"/>
              <w:spacing w:after="0"/>
              <w:rPr>
                <w:sz w:val="20"/>
                <w:szCs w:val="20"/>
                <w:color w:val="auto"/>
              </w:rPr>
            </w:pPr>
            <w:r>
              <w:rPr>
                <w:rFonts w:ascii="Arial" w:cs="Arial" w:eastAsia="Arial" w:hAnsi="Arial"/>
                <w:sz w:val="14"/>
                <w:szCs w:val="14"/>
                <w:b w:val="1"/>
                <w:bCs w:val="1"/>
                <w:color w:val="auto"/>
              </w:rPr>
              <w:t>(5.9)</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2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20" w:type="dxa"/>
            <w:vAlign w:val="bottom"/>
            <w:gridSpan w:val="2"/>
            <w:vMerge w:val="restart"/>
          </w:tcPr>
          <w:p>
            <w:pPr>
              <w:jc w:val="right"/>
              <w:ind w:right="140"/>
              <w:spacing w:after="0"/>
              <w:rPr>
                <w:sz w:val="20"/>
                <w:szCs w:val="20"/>
                <w:color w:val="auto"/>
              </w:rPr>
            </w:pPr>
            <w:r>
              <w:rPr>
                <w:rFonts w:ascii="Arial" w:cs="Arial" w:eastAsia="Arial" w:hAnsi="Arial"/>
                <w:sz w:val="14"/>
                <w:szCs w:val="14"/>
                <w:b w:val="1"/>
                <w:bCs w:val="1"/>
                <w:color w:val="auto"/>
              </w:rPr>
              <w:t>(91.5)</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480" w:type="dxa"/>
            <w:vAlign w:val="bottom"/>
          </w:tcPr>
          <w:p>
            <w:pPr>
              <w:ind w:left="140"/>
              <w:spacing w:after="0" w:line="159" w:lineRule="exact"/>
              <w:rPr>
                <w:sz w:val="20"/>
                <w:szCs w:val="20"/>
                <w:color w:val="auto"/>
              </w:rPr>
            </w:pPr>
            <w:r>
              <w:rPr>
                <w:rFonts w:ascii="Arial" w:cs="Arial" w:eastAsia="Arial" w:hAnsi="Arial"/>
                <w:sz w:val="14"/>
                <w:szCs w:val="14"/>
                <w:color w:val="auto"/>
              </w:rPr>
              <w:t>for-sale securities</w:t>
            </w: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90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8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300" w:type="dxa"/>
            <w:vAlign w:val="bottom"/>
            <w:gridSpan w:val="2"/>
            <w:vMerge w:val="continue"/>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92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2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48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2"/>
              </w:rPr>
              <w:t>Other-than-temporary impairment losses on fixed maturities,</w:t>
            </w:r>
          </w:p>
        </w:tc>
        <w:tc>
          <w:tcPr>
            <w:tcW w:w="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w w:val="95"/>
              </w:rPr>
              <w:t>available-for-sale reclassified from other comprehensive</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90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(17.0)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30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(7.5)</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2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(24.5)</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48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income</w:t>
            </w:r>
          </w:p>
        </w:tc>
        <w:tc>
          <w:tcPr>
            <w:tcW w:w="2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90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8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300" w:type="dxa"/>
            <w:vAlign w:val="bottom"/>
            <w:gridSpan w:val="2"/>
            <w:vMerge w:val="continue"/>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92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20" w:type="dxa"/>
            <w:vAlign w:val="bottom"/>
            <w:gridSpan w:val="2"/>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3500" w:type="dxa"/>
            <w:vAlign w:val="bottom"/>
            <w:gridSpan w:val="2"/>
          </w:tcPr>
          <w:p>
            <w:pPr>
              <w:spacing w:after="0" w:line="142" w:lineRule="exact"/>
              <w:rPr>
                <w:sz w:val="20"/>
                <w:szCs w:val="20"/>
                <w:color w:val="auto"/>
              </w:rPr>
            </w:pPr>
            <w:r>
              <w:rPr>
                <w:rFonts w:ascii="Arial" w:cs="Arial" w:eastAsia="Arial" w:hAnsi="Arial"/>
                <w:sz w:val="14"/>
                <w:szCs w:val="14"/>
                <w:color w:val="auto"/>
              </w:rPr>
              <w:t>Net impairment losses on available-for-sale securities</w:t>
            </w:r>
          </w:p>
        </w:tc>
        <w:tc>
          <w:tcPr>
            <w:tcW w:w="20" w:type="dxa"/>
            <w:vAlign w:val="bottom"/>
          </w:tcPr>
          <w:p>
            <w:pPr>
              <w:spacing w:after="0"/>
              <w:rPr>
                <w:sz w:val="12"/>
                <w:szCs w:val="12"/>
                <w:color w:val="auto"/>
              </w:rPr>
            </w:pPr>
          </w:p>
        </w:tc>
        <w:tc>
          <w:tcPr>
            <w:tcW w:w="4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(102.6)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12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(13.4)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(116.0)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4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realized capital gains (losses)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6.3</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(882.1)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650.5</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0.1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b w:val="1"/>
                <w:bCs w:val="1"/>
                <w:color w:val="auto"/>
              </w:rPr>
              <w:t>(225.2)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80" w:type="dxa"/>
            <w:vAlign w:val="bottom"/>
            <w:vMerge w:val="restart"/>
          </w:tcPr>
          <w:p>
            <w:pPr>
              <w:ind w:left="140"/>
              <w:spacing w:after="0"/>
              <w:rPr>
                <w:sz w:val="20"/>
                <w:szCs w:val="20"/>
                <w:color w:val="auto"/>
              </w:rPr>
            </w:pPr>
            <w:r>
              <w:rPr>
                <w:rFonts w:ascii="Arial" w:cs="Arial" w:eastAsia="Arial" w:hAnsi="Arial"/>
                <w:sz w:val="14"/>
                <w:szCs w:val="14"/>
                <w:color w:val="auto"/>
              </w:rPr>
              <w:t>Total revenues</w:t>
            </w:r>
          </w:p>
        </w:tc>
        <w:tc>
          <w:tcPr>
            <w:tcW w:w="20" w:type="dxa"/>
            <w:vAlign w:val="bottom"/>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48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6.7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5,984.3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3,625.3</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2" w:lineRule="exact"/>
              <w:rPr>
                <w:sz w:val="20"/>
                <w:szCs w:val="20"/>
                <w:color w:val="auto"/>
              </w:rPr>
            </w:pPr>
            <w:r>
              <w:rPr>
                <w:rFonts w:ascii="Arial" w:cs="Arial" w:eastAsia="Arial" w:hAnsi="Arial"/>
                <w:sz w:val="14"/>
                <w:szCs w:val="14"/>
                <w:b w:val="1"/>
                <w:bCs w:val="1"/>
                <w:color w:val="auto"/>
              </w:rPr>
              <w:t>(326.8)</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9,289.5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Expenses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Benefits, claims and settlement expenses</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4,056.6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639.2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(12.2)</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4,683.6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Dividends to policyholders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189.0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3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189.0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Operating expenses</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140.5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1,887.7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1,567.5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(302.8)</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3,292.9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48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expenses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140.5</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6,133.3</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2,206.7</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(315.0)</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8,165.5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500" w:type="dxa"/>
            <w:vAlign w:val="bottom"/>
            <w:gridSpan w:val="2"/>
            <w:vMerge w:val="restart"/>
          </w:tcPr>
          <w:p>
            <w:pPr>
              <w:spacing w:after="0"/>
              <w:rPr>
                <w:sz w:val="20"/>
                <w:szCs w:val="20"/>
                <w:color w:val="auto"/>
              </w:rPr>
            </w:pPr>
            <w:r>
              <w:rPr>
                <w:rFonts w:ascii="Arial" w:cs="Arial" w:eastAsia="Arial" w:hAnsi="Arial"/>
                <w:sz w:val="14"/>
                <w:szCs w:val="14"/>
                <w:color w:val="auto"/>
              </w:rPr>
              <w:t>Income (loss) before income taxes</w:t>
            </w:r>
          </w:p>
        </w:tc>
        <w:tc>
          <w:tcPr>
            <w:tcW w:w="20" w:type="dxa"/>
            <w:vAlign w:val="bottom"/>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350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900" w:type="dxa"/>
            <w:vAlign w:val="bottom"/>
            <w:gridSpan w:val="2"/>
          </w:tcPr>
          <w:p>
            <w:pPr>
              <w:jc w:val="right"/>
              <w:ind w:right="60"/>
              <w:spacing w:after="0" w:line="142" w:lineRule="exact"/>
              <w:rPr>
                <w:sz w:val="20"/>
                <w:szCs w:val="20"/>
                <w:color w:val="auto"/>
              </w:rPr>
            </w:pPr>
            <w:r>
              <w:rPr>
                <w:rFonts w:ascii="Arial" w:cs="Arial" w:eastAsia="Arial" w:hAnsi="Arial"/>
                <w:sz w:val="14"/>
                <w:szCs w:val="14"/>
                <w:b w:val="1"/>
                <w:bCs w:val="1"/>
                <w:color w:val="auto"/>
              </w:rPr>
              <w:t>(133.8)</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gridSpan w:val="2"/>
          </w:tcPr>
          <w:p>
            <w:pPr>
              <w:jc w:val="right"/>
              <w:ind w:right="60"/>
              <w:spacing w:after="0" w:line="142" w:lineRule="exact"/>
              <w:rPr>
                <w:sz w:val="20"/>
                <w:szCs w:val="20"/>
                <w:color w:val="auto"/>
              </w:rPr>
            </w:pPr>
            <w:r>
              <w:rPr>
                <w:rFonts w:ascii="Arial" w:cs="Arial" w:eastAsia="Arial" w:hAnsi="Arial"/>
                <w:sz w:val="14"/>
                <w:szCs w:val="14"/>
                <w:b w:val="1"/>
                <w:bCs w:val="1"/>
                <w:color w:val="auto"/>
              </w:rPr>
              <w:t>(149.0)</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1,418.6</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2" w:lineRule="exact"/>
              <w:rPr>
                <w:sz w:val="20"/>
                <w:szCs w:val="20"/>
                <w:color w:val="auto"/>
              </w:rPr>
            </w:pPr>
            <w:r>
              <w:rPr>
                <w:rFonts w:ascii="Arial" w:cs="Arial" w:eastAsia="Arial" w:hAnsi="Arial"/>
                <w:sz w:val="14"/>
                <w:szCs w:val="14"/>
                <w:b w:val="1"/>
                <w:bCs w:val="1"/>
                <w:color w:val="auto"/>
              </w:rPr>
              <w:t>(11.8)</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1,124.0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Income taxes (benefits)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(54.0)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(167.5)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412.6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(3.2)</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187.9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Equity in the net income of subsidiaries</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992.5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678.1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(1,680.7)</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gridSpan w:val="2"/>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34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income</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912.7</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696.6</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1,016.1</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(1,689.3)</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936.1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Net income attributable to noncontrolling interest</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23.6</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(0.2)</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34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income attributable to PFG</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912.7</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696.6</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992.5</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(1,689.1)</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912.7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Preferred stock dividends</w:t>
            </w:r>
          </w:p>
        </w:tc>
        <w:tc>
          <w:tcPr>
            <w:tcW w:w="20" w:type="dxa"/>
            <w:vAlign w:val="bottom"/>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33.0</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33.0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4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income available to common stockholders</w:t>
            </w:r>
          </w:p>
        </w:tc>
        <w:tc>
          <w:tcPr>
            <w:tcW w:w="60" w:type="dxa"/>
            <w:vAlign w:val="bottom"/>
            <w:gridSpan w:val="2"/>
            <w:shd w:val="clear" w:color="auto" w:fill="CCEEFF"/>
          </w:tcPr>
          <w:p>
            <w:pPr>
              <w:jc w:val="right"/>
              <w:spacing w:after="0"/>
              <w:rPr>
                <w:sz w:val="20"/>
                <w:szCs w:val="20"/>
                <w:color w:val="auto"/>
              </w:rPr>
            </w:pPr>
            <w:r>
              <w:rPr>
                <w:rFonts w:ascii="Arial" w:cs="Arial" w:eastAsia="Arial" w:hAnsi="Arial"/>
                <w:sz w:val="10"/>
                <w:szCs w:val="10"/>
                <w:b w:val="1"/>
                <w:bCs w:val="1"/>
                <w:color w:val="auto"/>
                <w:w w:val="71"/>
              </w:rPr>
              <w:t>$</w:t>
            </w:r>
          </w:p>
        </w:tc>
        <w:tc>
          <w:tcPr>
            <w:tcW w:w="8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879.7</w:t>
            </w:r>
          </w:p>
        </w:tc>
        <w:tc>
          <w:tcPr>
            <w:tcW w:w="10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696.6</w:t>
            </w:r>
          </w:p>
        </w:tc>
        <w:tc>
          <w:tcPr>
            <w:tcW w:w="10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992.5</w:t>
            </w:r>
          </w:p>
        </w:tc>
        <w:tc>
          <w:tcPr>
            <w:tcW w:w="8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9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(1,689.1)</w:t>
            </w:r>
          </w:p>
        </w:tc>
        <w:tc>
          <w:tcPr>
            <w:tcW w:w="1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879.7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500" w:type="dxa"/>
            <w:vAlign w:val="bottom"/>
            <w:gridSpan w:val="2"/>
            <w:vMerge w:val="restart"/>
          </w:tcPr>
          <w:p>
            <w:pPr>
              <w:spacing w:after="0"/>
              <w:rPr>
                <w:sz w:val="20"/>
                <w:szCs w:val="20"/>
                <w:color w:val="auto"/>
              </w:rPr>
            </w:pPr>
            <w:r>
              <w:rPr>
                <w:rFonts w:ascii="Arial" w:cs="Arial" w:eastAsia="Arial" w:hAnsi="Arial"/>
                <w:sz w:val="14"/>
                <w:szCs w:val="14"/>
                <w:color w:val="auto"/>
              </w:rPr>
              <w:t>Net income</w:t>
            </w:r>
          </w:p>
        </w:tc>
        <w:tc>
          <w:tcPr>
            <w:tcW w:w="2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3500" w:type="dxa"/>
            <w:vAlign w:val="bottom"/>
            <w:gridSpan w:val="2"/>
            <w:vMerge w:val="continue"/>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jc w:val="right"/>
              <w:spacing w:after="0"/>
              <w:rPr>
                <w:sz w:val="20"/>
                <w:szCs w:val="20"/>
                <w:color w:val="auto"/>
              </w:rPr>
            </w:pPr>
            <w:r>
              <w:rPr>
                <w:rFonts w:ascii="Arial" w:cs="Arial" w:eastAsia="Arial" w:hAnsi="Arial"/>
                <w:sz w:val="5"/>
                <w:szCs w:val="5"/>
                <w:b w:val="1"/>
                <w:bCs w:val="1"/>
                <w:color w:val="auto"/>
                <w:w w:val="70"/>
              </w:rPr>
              <w:t>$</w:t>
            </w:r>
          </w:p>
        </w:tc>
        <w:tc>
          <w:tcPr>
            <w:tcW w:w="800" w:type="dxa"/>
            <w:vAlign w:val="bottom"/>
          </w:tcPr>
          <w:p>
            <w:pPr>
              <w:jc w:val="right"/>
              <w:spacing w:after="0" w:line="129" w:lineRule="exact"/>
              <w:rPr>
                <w:sz w:val="20"/>
                <w:szCs w:val="20"/>
                <w:color w:val="auto"/>
              </w:rPr>
            </w:pPr>
            <w:r>
              <w:rPr>
                <w:rFonts w:ascii="Arial" w:cs="Arial" w:eastAsia="Arial" w:hAnsi="Arial"/>
                <w:sz w:val="14"/>
                <w:szCs w:val="14"/>
                <w:b w:val="1"/>
                <w:bCs w:val="1"/>
                <w:color w:val="auto"/>
              </w:rPr>
              <w:t>912.7</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jc w:val="right"/>
              <w:spacing w:after="0"/>
              <w:rPr>
                <w:sz w:val="20"/>
                <w:szCs w:val="20"/>
                <w:color w:val="auto"/>
              </w:rPr>
            </w:pPr>
            <w:r>
              <w:rPr>
                <w:rFonts w:ascii="Arial" w:cs="Arial" w:eastAsia="Arial" w:hAnsi="Arial"/>
                <w:sz w:val="10"/>
                <w:szCs w:val="10"/>
                <w:b w:val="1"/>
                <w:bCs w:val="1"/>
                <w:color w:val="auto"/>
                <w:w w:val="71"/>
              </w:rPr>
              <w:t>$</w:t>
            </w:r>
          </w:p>
        </w:tc>
        <w:tc>
          <w:tcPr>
            <w:tcW w:w="880" w:type="dxa"/>
            <w:vAlign w:val="bottom"/>
          </w:tcPr>
          <w:p>
            <w:pPr>
              <w:jc w:val="right"/>
              <w:spacing w:after="0" w:line="129" w:lineRule="exact"/>
              <w:rPr>
                <w:sz w:val="20"/>
                <w:szCs w:val="20"/>
                <w:color w:val="auto"/>
              </w:rPr>
            </w:pPr>
            <w:r>
              <w:rPr>
                <w:rFonts w:ascii="Arial" w:cs="Arial" w:eastAsia="Arial" w:hAnsi="Arial"/>
                <w:sz w:val="14"/>
                <w:szCs w:val="14"/>
                <w:b w:val="1"/>
                <w:bCs w:val="1"/>
                <w:color w:val="auto"/>
              </w:rPr>
              <w:t>696.6</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jc w:val="right"/>
              <w:spacing w:after="0"/>
              <w:rPr>
                <w:sz w:val="20"/>
                <w:szCs w:val="20"/>
                <w:color w:val="auto"/>
              </w:rPr>
            </w:pPr>
            <w:r>
              <w:rPr>
                <w:rFonts w:ascii="Arial" w:cs="Arial" w:eastAsia="Arial" w:hAnsi="Arial"/>
                <w:sz w:val="10"/>
                <w:szCs w:val="10"/>
                <w:b w:val="1"/>
                <w:bCs w:val="1"/>
                <w:color w:val="auto"/>
                <w:w w:val="71"/>
              </w:rPr>
              <w:t>$</w:t>
            </w:r>
          </w:p>
        </w:tc>
        <w:tc>
          <w:tcPr>
            <w:tcW w:w="1220" w:type="dxa"/>
            <w:vAlign w:val="bottom"/>
          </w:tcPr>
          <w:p>
            <w:pPr>
              <w:jc w:val="right"/>
              <w:spacing w:after="0" w:line="129" w:lineRule="exact"/>
              <w:rPr>
                <w:sz w:val="20"/>
                <w:szCs w:val="20"/>
                <w:color w:val="auto"/>
              </w:rPr>
            </w:pPr>
            <w:r>
              <w:rPr>
                <w:rFonts w:ascii="Arial" w:cs="Arial" w:eastAsia="Arial" w:hAnsi="Arial"/>
                <w:sz w:val="14"/>
                <w:szCs w:val="14"/>
                <w:b w:val="1"/>
                <w:bCs w:val="1"/>
                <w:color w:val="auto"/>
              </w:rPr>
              <w:t>1,016.1</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jc w:val="right"/>
              <w:spacing w:after="0"/>
              <w:rPr>
                <w:sz w:val="20"/>
                <w:szCs w:val="20"/>
                <w:color w:val="auto"/>
              </w:rPr>
            </w:pPr>
            <w:r>
              <w:rPr>
                <w:rFonts w:ascii="Arial" w:cs="Arial" w:eastAsia="Arial" w:hAnsi="Arial"/>
                <w:sz w:val="10"/>
                <w:szCs w:val="10"/>
                <w:b w:val="1"/>
                <w:bCs w:val="1"/>
                <w:color w:val="auto"/>
                <w:w w:val="71"/>
              </w:rPr>
              <w:t>$</w:t>
            </w:r>
          </w:p>
        </w:tc>
        <w:tc>
          <w:tcPr>
            <w:tcW w:w="820" w:type="dxa"/>
            <w:vAlign w:val="bottom"/>
          </w:tcPr>
          <w:p>
            <w:pPr>
              <w:jc w:val="right"/>
              <w:spacing w:after="0" w:line="129" w:lineRule="exact"/>
              <w:rPr>
                <w:sz w:val="20"/>
                <w:szCs w:val="20"/>
                <w:color w:val="auto"/>
              </w:rPr>
            </w:pPr>
            <w:r>
              <w:rPr>
                <w:rFonts w:ascii="Arial" w:cs="Arial" w:eastAsia="Arial" w:hAnsi="Arial"/>
                <w:sz w:val="14"/>
                <w:szCs w:val="14"/>
                <w:b w:val="1"/>
                <w:bCs w:val="1"/>
                <w:color w:val="auto"/>
              </w:rPr>
              <w:t>(1,689.3)</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jc w:val="right"/>
              <w:spacing w:after="0"/>
              <w:rPr>
                <w:sz w:val="20"/>
                <w:szCs w:val="20"/>
                <w:color w:val="auto"/>
              </w:rPr>
            </w:pPr>
            <w:r>
              <w:rPr>
                <w:rFonts w:ascii="Arial" w:cs="Arial" w:eastAsia="Arial" w:hAnsi="Arial"/>
                <w:sz w:val="10"/>
                <w:szCs w:val="10"/>
                <w:b w:val="1"/>
                <w:bCs w:val="1"/>
                <w:color w:val="auto"/>
                <w:w w:val="71"/>
              </w:rPr>
              <w:t>$</w:t>
            </w:r>
          </w:p>
        </w:tc>
        <w:tc>
          <w:tcPr>
            <w:tcW w:w="860" w:type="dxa"/>
            <w:vAlign w:val="bottom"/>
          </w:tcPr>
          <w:p>
            <w:pPr>
              <w:jc w:val="right"/>
              <w:spacing w:after="0" w:line="129" w:lineRule="exact"/>
              <w:rPr>
                <w:sz w:val="20"/>
                <w:szCs w:val="20"/>
                <w:color w:val="auto"/>
              </w:rPr>
            </w:pPr>
            <w:r>
              <w:rPr>
                <w:rFonts w:ascii="Arial" w:cs="Arial" w:eastAsia="Arial" w:hAnsi="Arial"/>
                <w:sz w:val="14"/>
                <w:szCs w:val="14"/>
                <w:b w:val="1"/>
                <w:bCs w:val="1"/>
                <w:color w:val="auto"/>
              </w:rPr>
              <w:t>936.1</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comprehensive loss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(450.1)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(146.6)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3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(300.1)</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424.9</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(471.9)</w:t>
            </w:r>
          </w:p>
        </w:tc>
        <w:tc>
          <w:tcPr>
            <w:tcW w:w="0" w:type="dxa"/>
            <w:vAlign w:val="bottom"/>
          </w:tcPr>
          <w:p>
            <w:pPr>
              <w:spacing w:after="0"/>
              <w:rPr>
                <w:sz w:val="1"/>
                <w:szCs w:val="1"/>
                <w:color w:val="auto"/>
              </w:rPr>
            </w:pPr>
          </w:p>
        </w:tc>
      </w:tr>
      <w:tr>
        <w:trPr>
          <w:trHeight w:val="142"/>
        </w:trPr>
        <w:tc>
          <w:tcPr>
            <w:tcW w:w="3500" w:type="dxa"/>
            <w:vAlign w:val="bottom"/>
            <w:gridSpan w:val="2"/>
          </w:tcPr>
          <w:p>
            <w:pPr>
              <w:spacing w:after="0" w:line="142" w:lineRule="exact"/>
              <w:rPr>
                <w:sz w:val="20"/>
                <w:szCs w:val="20"/>
                <w:color w:val="auto"/>
              </w:rPr>
            </w:pPr>
            <w:r>
              <w:rPr>
                <w:rFonts w:ascii="Arial" w:cs="Arial" w:eastAsia="Arial" w:hAnsi="Arial"/>
                <w:sz w:val="14"/>
                <w:szCs w:val="14"/>
                <w:color w:val="auto"/>
              </w:rPr>
              <w:t>Comprehensive income</w:t>
            </w:r>
          </w:p>
        </w:tc>
        <w:tc>
          <w:tcPr>
            <w:tcW w:w="20" w:type="dxa"/>
            <w:vAlign w:val="bottom"/>
            <w:tcBorders>
              <w:bottom w:val="single" w:sz="8" w:color="auto"/>
            </w:tcBorders>
          </w:tcPr>
          <w:p>
            <w:pPr>
              <w:spacing w:after="0"/>
              <w:rPr>
                <w:sz w:val="12"/>
                <w:szCs w:val="12"/>
                <w:color w:val="auto"/>
              </w:rPr>
            </w:pPr>
          </w:p>
        </w:tc>
        <w:tc>
          <w:tcPr>
            <w:tcW w:w="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5"/>
                <w:szCs w:val="5"/>
                <w:b w:val="1"/>
                <w:bCs w:val="1"/>
                <w:color w:val="auto"/>
                <w:w w:val="70"/>
              </w:rPr>
              <w:t>$</w:t>
            </w:r>
          </w:p>
        </w:tc>
        <w:tc>
          <w:tcPr>
            <w:tcW w:w="8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462.6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550.0</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12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716.0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(1,264.4)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464.2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191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360"/>
          </w:cols>
          <w:pgMar w:left="240" w:top="131" w:right="1299" w:bottom="1440" w:gutter="0" w:footer="0" w:header="0"/>
        </w:sectPr>
      </w:pPr>
    </w:p>
    <w:bookmarkStart w:id="195" w:name="page196"/>
    <w:bookmarkEnd w:id="19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21. Condensed Consolidating Financial Information — (continued)</w:t>
      </w:r>
    </w:p>
    <w:p>
      <w:pPr>
        <w:spacing w:after="0" w:line="22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Condensed Consolidating Statements of Operations</w:t>
      </w:r>
    </w:p>
    <w:p>
      <w:pPr>
        <w:spacing w:after="0" w:line="21" w:lineRule="exact"/>
        <w:rPr>
          <w:sz w:val="20"/>
          <w:szCs w:val="20"/>
          <w:color w:val="auto"/>
        </w:rPr>
      </w:pPr>
    </w:p>
    <w:p>
      <w:pPr>
        <w:jc w:val="center"/>
        <w:ind w:right="-1019"/>
        <w:spacing w:after="0"/>
        <w:rPr>
          <w:sz w:val="20"/>
          <w:szCs w:val="20"/>
          <w:color w:val="auto"/>
        </w:rPr>
      </w:pPr>
      <w:r>
        <w:rPr>
          <w:rFonts w:ascii="Arial" w:cs="Arial" w:eastAsia="Arial" w:hAnsi="Arial"/>
          <w:sz w:val="18"/>
          <w:szCs w:val="18"/>
          <w:b w:val="1"/>
          <w:bCs w:val="1"/>
          <w:color w:val="auto"/>
        </w:rPr>
        <w:t>For the year ended December 31, 2012</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Principal</w:t>
            </w:r>
          </w:p>
        </w:tc>
        <w:tc>
          <w:tcPr>
            <w:tcW w:w="80" w:type="dxa"/>
            <w:vAlign w:val="bottom"/>
          </w:tcPr>
          <w:p>
            <w:pPr>
              <w:spacing w:after="0"/>
              <w:rPr>
                <w:sz w:val="14"/>
                <w:szCs w:val="14"/>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Principal Life</w:t>
            </w:r>
          </w:p>
        </w:tc>
        <w:tc>
          <w:tcPr>
            <w:tcW w:w="80" w:type="dxa"/>
            <w:vAlign w:val="bottom"/>
          </w:tcPr>
          <w:p>
            <w:pPr>
              <w:spacing w:after="0"/>
              <w:rPr>
                <w:sz w:val="14"/>
                <w:szCs w:val="14"/>
                <w:color w:val="auto"/>
              </w:rPr>
            </w:pPr>
          </w:p>
        </w:tc>
        <w:tc>
          <w:tcPr>
            <w:tcW w:w="13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Principal Financial</w:t>
            </w:r>
          </w:p>
        </w:tc>
        <w:tc>
          <w:tcPr>
            <w:tcW w:w="2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Principal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Financial</w:t>
            </w:r>
          </w:p>
        </w:tc>
        <w:tc>
          <w:tcPr>
            <w:tcW w:w="80" w:type="dxa"/>
            <w:vAlign w:val="bottom"/>
          </w:tcPr>
          <w:p>
            <w:pPr>
              <w:spacing w:after="0"/>
              <w:rPr>
                <w:sz w:val="12"/>
                <w:szCs w:val="12"/>
                <w:color w:val="auto"/>
              </w:rPr>
            </w:pPr>
          </w:p>
        </w:tc>
        <w:tc>
          <w:tcPr>
            <w:tcW w:w="10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4"/>
              </w:rPr>
              <w:t>Insurance</w:t>
            </w:r>
          </w:p>
        </w:tc>
        <w:tc>
          <w:tcPr>
            <w:tcW w:w="80" w:type="dxa"/>
            <w:vAlign w:val="bottom"/>
          </w:tcPr>
          <w:p>
            <w:pPr>
              <w:spacing w:after="0"/>
              <w:rPr>
                <w:sz w:val="12"/>
                <w:szCs w:val="12"/>
                <w:color w:val="auto"/>
              </w:rPr>
            </w:pPr>
          </w:p>
        </w:tc>
        <w:tc>
          <w:tcPr>
            <w:tcW w:w="13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4"/>
              </w:rPr>
              <w:t>Services, Inc. and</w:t>
            </w: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Financial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Group, Inc.</w:t>
            </w:r>
          </w:p>
        </w:tc>
        <w:tc>
          <w:tcPr>
            <w:tcW w:w="80" w:type="dxa"/>
            <w:vAlign w:val="bottom"/>
          </w:tcPr>
          <w:p>
            <w:pPr>
              <w:spacing w:after="0"/>
              <w:rPr>
                <w:sz w:val="12"/>
                <w:szCs w:val="12"/>
                <w:color w:val="auto"/>
              </w:rPr>
            </w:pPr>
          </w:p>
        </w:tc>
        <w:tc>
          <w:tcPr>
            <w:tcW w:w="10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Company</w:t>
            </w:r>
          </w:p>
        </w:tc>
        <w:tc>
          <w:tcPr>
            <w:tcW w:w="80" w:type="dxa"/>
            <w:vAlign w:val="bottom"/>
          </w:tcPr>
          <w:p>
            <w:pPr>
              <w:spacing w:after="0"/>
              <w:rPr>
                <w:sz w:val="12"/>
                <w:szCs w:val="12"/>
                <w:color w:val="auto"/>
              </w:rPr>
            </w:pPr>
          </w:p>
        </w:tc>
        <w:tc>
          <w:tcPr>
            <w:tcW w:w="13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6"/>
              </w:rPr>
              <w:t>Other Subsidiaries</w:t>
            </w: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Group, Inc.</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4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Parent Only</w:t>
            </w:r>
          </w:p>
        </w:tc>
        <w:tc>
          <w:tcPr>
            <w:tcW w:w="80" w:type="dxa"/>
            <w:vAlign w:val="bottom"/>
          </w:tcPr>
          <w:p>
            <w:pPr>
              <w:spacing w:after="0"/>
              <w:rPr>
                <w:sz w:val="14"/>
                <w:szCs w:val="14"/>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Only</w:t>
            </w:r>
          </w:p>
        </w:tc>
        <w:tc>
          <w:tcPr>
            <w:tcW w:w="80" w:type="dxa"/>
            <w:vAlign w:val="bottom"/>
          </w:tcPr>
          <w:p>
            <w:pPr>
              <w:spacing w:after="0"/>
              <w:rPr>
                <w:sz w:val="14"/>
                <w:szCs w:val="14"/>
                <w:color w:val="auto"/>
              </w:rPr>
            </w:pPr>
          </w:p>
        </w:tc>
        <w:tc>
          <w:tcPr>
            <w:tcW w:w="13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7"/>
              </w:rPr>
              <w:t>Combined</w:t>
            </w:r>
          </w:p>
        </w:tc>
        <w:tc>
          <w:tcPr>
            <w:tcW w:w="104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w w:val="93"/>
              </w:rPr>
              <w:t>Eliminations</w:t>
            </w:r>
          </w:p>
        </w:tc>
        <w:tc>
          <w:tcPr>
            <w:tcW w:w="108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5"/>
              </w:rPr>
              <w:t>Consolidated</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48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20" w:type="dxa"/>
            <w:vAlign w:val="bottom"/>
            <w:tcBorders>
              <w:top w:val="single" w:sz="8" w:color="auto"/>
            </w:tcBorders>
          </w:tcPr>
          <w:p>
            <w:pPr>
              <w:jc w:val="center"/>
              <w:ind w:right="52"/>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160" w:type="dxa"/>
            <w:vAlign w:val="bottom"/>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Revenues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Premiums and other considerations</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2,878.9</w:t>
            </w:r>
          </w:p>
        </w:tc>
        <w:tc>
          <w:tcPr>
            <w:tcW w:w="160" w:type="dxa"/>
            <w:vAlign w:val="bottom"/>
          </w:tcPr>
          <w:p>
            <w:pPr>
              <w:spacing w:after="0"/>
              <w:rPr>
                <w:sz w:val="12"/>
                <w:szCs w:val="12"/>
                <w:color w:val="auto"/>
              </w:rPr>
            </w:pP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340.5</w:t>
            </w:r>
          </w:p>
        </w:tc>
        <w:tc>
          <w:tcPr>
            <w:tcW w:w="160" w:type="dxa"/>
            <w:vAlign w:val="bottom"/>
          </w:tcPr>
          <w:p>
            <w:pPr>
              <w:spacing w:after="0"/>
              <w:rPr>
                <w:sz w:val="12"/>
                <w:szCs w:val="12"/>
                <w:color w:val="auto"/>
              </w:rPr>
            </w:pPr>
          </w:p>
        </w:tc>
        <w:tc>
          <w:tcPr>
            <w:tcW w:w="240" w:type="dxa"/>
            <w:vAlign w:val="bottom"/>
          </w:tcPr>
          <w:p>
            <w:pPr>
              <w:jc w:val="right"/>
              <w:ind w:right="126"/>
              <w:spacing w:after="0"/>
              <w:rPr>
                <w:sz w:val="20"/>
                <w:szCs w:val="20"/>
                <w:color w:val="auto"/>
              </w:rPr>
            </w:pPr>
            <w:r>
              <w:rPr>
                <w:rFonts w:ascii="Arial" w:cs="Arial" w:eastAsia="Arial" w:hAnsi="Arial"/>
                <w:sz w:val="10"/>
                <w:szCs w:val="10"/>
                <w:color w:val="auto"/>
                <w:w w:val="71"/>
              </w:rPr>
              <w:t>$</w:t>
            </w: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3,219.4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Fees and other revenues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0.5</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1,529.7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1,404.1</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(307.6)</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2,626.7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Net investment income</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3.0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2,484.5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743.1</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24.3</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3,254.9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48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9"/>
              </w:rPr>
              <w:t>Net realized capital gains (losses), excluding impairment</w:t>
            </w: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48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losses on available-for-sale securities</w:t>
            </w:r>
          </w:p>
        </w:tc>
        <w:tc>
          <w:tcPr>
            <w:tcW w:w="8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0.3</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(194.8)</w:t>
            </w:r>
          </w:p>
        </w:tc>
        <w:tc>
          <w:tcPr>
            <w:tcW w:w="80" w:type="dxa"/>
            <w:vAlign w:val="bottom"/>
            <w:shd w:val="clear" w:color="auto" w:fill="CCEEFF"/>
          </w:tcPr>
          <w:p>
            <w:pPr>
              <w:spacing w:after="0"/>
              <w:rPr>
                <w:sz w:val="13"/>
                <w:szCs w:val="13"/>
                <w:color w:val="auto"/>
              </w:rPr>
            </w:pPr>
          </w:p>
        </w:tc>
        <w:tc>
          <w:tcPr>
            <w:tcW w:w="12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454.8</w:t>
            </w:r>
          </w:p>
        </w:tc>
        <w:tc>
          <w:tcPr>
            <w:tcW w:w="16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(27.6)</w:t>
            </w:r>
          </w:p>
        </w:tc>
        <w:tc>
          <w:tcPr>
            <w:tcW w:w="100" w:type="dxa"/>
            <w:vAlign w:val="bottom"/>
            <w:shd w:val="clear" w:color="auto" w:fill="CCEEFF"/>
          </w:tcPr>
          <w:p>
            <w:pPr>
              <w:spacing w:after="0"/>
              <w:rPr>
                <w:sz w:val="13"/>
                <w:szCs w:val="13"/>
                <w:color w:val="auto"/>
              </w:rPr>
            </w:pPr>
          </w:p>
        </w:tc>
        <w:tc>
          <w:tcPr>
            <w:tcW w:w="8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232.7</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480" w:type="dxa"/>
            <w:vAlign w:val="bottom"/>
          </w:tcPr>
          <w:p>
            <w:pPr>
              <w:spacing w:after="0" w:line="138" w:lineRule="exact"/>
              <w:rPr>
                <w:sz w:val="20"/>
                <w:szCs w:val="20"/>
                <w:color w:val="auto"/>
              </w:rPr>
            </w:pPr>
            <w:r>
              <w:rPr>
                <w:rFonts w:ascii="Arial" w:cs="Arial" w:eastAsia="Arial" w:hAnsi="Arial"/>
                <w:sz w:val="14"/>
                <w:szCs w:val="14"/>
                <w:color w:val="auto"/>
                <w:w w:val="94"/>
              </w:rPr>
              <w:t>Total other-than-temporary impairment losses on available-</w:t>
            </w:r>
          </w:p>
        </w:tc>
        <w:tc>
          <w:tcPr>
            <w:tcW w:w="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480" w:type="dxa"/>
            <w:vAlign w:val="bottom"/>
          </w:tcPr>
          <w:p>
            <w:pPr>
              <w:ind w:left="140"/>
              <w:spacing w:after="0" w:line="159" w:lineRule="exact"/>
              <w:rPr>
                <w:sz w:val="20"/>
                <w:szCs w:val="20"/>
                <w:color w:val="auto"/>
              </w:rPr>
            </w:pPr>
            <w:r>
              <w:rPr>
                <w:rFonts w:ascii="Arial" w:cs="Arial" w:eastAsia="Arial" w:hAnsi="Arial"/>
                <w:sz w:val="14"/>
                <w:szCs w:val="14"/>
                <w:color w:val="auto"/>
              </w:rPr>
              <w:t>for-sale securities</w:t>
            </w:r>
          </w:p>
        </w:tc>
        <w:tc>
          <w:tcPr>
            <w:tcW w:w="80" w:type="dxa"/>
            <w:vAlign w:val="bottom"/>
          </w:tcPr>
          <w:p>
            <w:pPr>
              <w:spacing w:after="0"/>
              <w:rPr>
                <w:sz w:val="13"/>
                <w:szCs w:val="13"/>
                <w:color w:val="auto"/>
              </w:rPr>
            </w:pPr>
          </w:p>
        </w:tc>
        <w:tc>
          <w:tcPr>
            <w:tcW w:w="940" w:type="dxa"/>
            <w:vAlign w:val="bottom"/>
            <w:gridSpan w:val="2"/>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104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(121.1)</w:t>
            </w:r>
          </w:p>
        </w:tc>
        <w:tc>
          <w:tcPr>
            <w:tcW w:w="80" w:type="dxa"/>
            <w:vAlign w:val="bottom"/>
          </w:tcPr>
          <w:p>
            <w:pPr>
              <w:spacing w:after="0"/>
              <w:rPr>
                <w:sz w:val="13"/>
                <w:szCs w:val="13"/>
                <w:color w:val="auto"/>
              </w:rPr>
            </w:pPr>
          </w:p>
        </w:tc>
        <w:tc>
          <w:tcPr>
            <w:tcW w:w="138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(14.8)</w:t>
            </w:r>
          </w:p>
        </w:tc>
        <w:tc>
          <w:tcPr>
            <w:tcW w:w="240" w:type="dxa"/>
            <w:vAlign w:val="bottom"/>
          </w:tcPr>
          <w:p>
            <w:pPr>
              <w:spacing w:after="0"/>
              <w:rPr>
                <w:sz w:val="13"/>
                <w:szCs w:val="13"/>
                <w:color w:val="auto"/>
              </w:rPr>
            </w:pPr>
          </w:p>
        </w:tc>
        <w:tc>
          <w:tcPr>
            <w:tcW w:w="800" w:type="dxa"/>
            <w:vAlign w:val="bottom"/>
            <w:gridSpan w:val="2"/>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3"/>
                <w:szCs w:val="13"/>
                <w:color w:val="auto"/>
              </w:rPr>
            </w:pPr>
          </w:p>
        </w:tc>
        <w:tc>
          <w:tcPr>
            <w:tcW w:w="98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(135.9)</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3480" w:type="dxa"/>
            <w:vAlign w:val="bottom"/>
            <w:shd w:val="clear" w:color="auto" w:fill="CCEEFF"/>
          </w:tcPr>
          <w:p>
            <w:pPr>
              <w:spacing w:after="0" w:line="131" w:lineRule="exact"/>
              <w:rPr>
                <w:sz w:val="20"/>
                <w:szCs w:val="20"/>
                <w:color w:val="auto"/>
              </w:rPr>
            </w:pPr>
            <w:r>
              <w:rPr>
                <w:rFonts w:ascii="Arial" w:cs="Arial" w:eastAsia="Arial" w:hAnsi="Arial"/>
                <w:sz w:val="14"/>
                <w:szCs w:val="14"/>
                <w:color w:val="auto"/>
                <w:w w:val="92"/>
              </w:rPr>
              <w:t>Other-than-temporary impairment losses on fixed maturities,</w:t>
            </w:r>
          </w:p>
        </w:tc>
        <w:tc>
          <w:tcPr>
            <w:tcW w:w="80" w:type="dxa"/>
            <w:vAlign w:val="bottom"/>
            <w:tcBorders>
              <w:top w:val="single" w:sz="8" w:color="auto"/>
            </w:tcBorders>
            <w:shd w:val="clear" w:color="auto" w:fill="CCEEFF"/>
          </w:tcPr>
          <w:p>
            <w:pPr>
              <w:spacing w:after="0"/>
              <w:rPr>
                <w:sz w:val="11"/>
                <w:szCs w:val="11"/>
                <w:color w:val="auto"/>
              </w:rPr>
            </w:pPr>
          </w:p>
        </w:tc>
        <w:tc>
          <w:tcPr>
            <w:tcW w:w="7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122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64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82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available-for-sale reclassified to other comprehensive</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48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income</w:t>
            </w:r>
          </w:p>
        </w:tc>
        <w:tc>
          <w:tcPr>
            <w:tcW w:w="80" w:type="dxa"/>
            <w:vAlign w:val="bottom"/>
            <w:shd w:val="clear" w:color="auto" w:fill="CCEEFF"/>
          </w:tcPr>
          <w:p>
            <w:pPr>
              <w:spacing w:after="0"/>
              <w:rPr>
                <w:sz w:val="13"/>
                <w:szCs w:val="13"/>
                <w:color w:val="auto"/>
              </w:rPr>
            </w:pPr>
          </w:p>
        </w:tc>
        <w:tc>
          <w:tcPr>
            <w:tcW w:w="94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13.8</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2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3.5</w:t>
            </w:r>
          </w:p>
        </w:tc>
        <w:tc>
          <w:tcPr>
            <w:tcW w:w="16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3"/>
                <w:szCs w:val="13"/>
                <w:color w:val="auto"/>
              </w:rPr>
            </w:pPr>
          </w:p>
        </w:tc>
        <w:tc>
          <w:tcPr>
            <w:tcW w:w="8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17.3</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3500" w:type="dxa"/>
            <w:vAlign w:val="bottom"/>
            <w:gridSpan w:val="2"/>
          </w:tcPr>
          <w:p>
            <w:pPr>
              <w:spacing w:after="0" w:line="142" w:lineRule="exact"/>
              <w:rPr>
                <w:sz w:val="20"/>
                <w:szCs w:val="20"/>
                <w:color w:val="auto"/>
              </w:rPr>
            </w:pPr>
            <w:r>
              <w:rPr>
                <w:rFonts w:ascii="Arial" w:cs="Arial" w:eastAsia="Arial" w:hAnsi="Arial"/>
                <w:sz w:val="14"/>
                <w:szCs w:val="14"/>
                <w:color w:val="auto"/>
              </w:rPr>
              <w:t>Net impairment losses on available-for-sale securities</w:t>
            </w:r>
          </w:p>
        </w:tc>
        <w:tc>
          <w:tcPr>
            <w:tcW w:w="8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(107.3)</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12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(11.3)</w:t>
            </w:r>
          </w:p>
        </w:tc>
        <w:tc>
          <w:tcPr>
            <w:tcW w:w="160" w:type="dxa"/>
            <w:vAlign w:val="bottom"/>
          </w:tcPr>
          <w:p>
            <w:pPr>
              <w:spacing w:after="0"/>
              <w:rPr>
                <w:sz w:val="12"/>
                <w:szCs w:val="12"/>
                <w:color w:val="auto"/>
              </w:rPr>
            </w:pPr>
          </w:p>
        </w:tc>
        <w:tc>
          <w:tcPr>
            <w:tcW w:w="240" w:type="dxa"/>
            <w:vAlign w:val="bottom"/>
            <w:tcBorders>
              <w:top w:val="single" w:sz="8" w:color="auto"/>
              <w:bottom w:val="single" w:sz="8" w:color="auto"/>
            </w:tcBorders>
          </w:tcPr>
          <w:p>
            <w:pPr>
              <w:spacing w:after="0"/>
              <w:rPr>
                <w:sz w:val="12"/>
                <w:szCs w:val="12"/>
                <w:color w:val="auto"/>
              </w:rPr>
            </w:pPr>
          </w:p>
        </w:tc>
        <w:tc>
          <w:tcPr>
            <w:tcW w:w="6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(118.6)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4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realized capital gains (losses)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0.3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(302.1)</w:t>
            </w: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443.5</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(27.6)</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114.1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80" w:type="dxa"/>
            <w:vAlign w:val="bottom"/>
            <w:vMerge w:val="restart"/>
          </w:tcPr>
          <w:p>
            <w:pPr>
              <w:ind w:left="140"/>
              <w:spacing w:after="0"/>
              <w:rPr>
                <w:sz w:val="20"/>
                <w:szCs w:val="20"/>
                <w:color w:val="auto"/>
              </w:rPr>
            </w:pPr>
            <w:r>
              <w:rPr>
                <w:rFonts w:ascii="Arial" w:cs="Arial" w:eastAsia="Arial" w:hAnsi="Arial"/>
                <w:sz w:val="14"/>
                <w:szCs w:val="14"/>
                <w:color w:val="auto"/>
              </w:rPr>
              <w:t>Total revenues</w:t>
            </w: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48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jc w:val="right"/>
              <w:spacing w:after="0" w:line="142" w:lineRule="exact"/>
              <w:rPr>
                <w:sz w:val="20"/>
                <w:szCs w:val="20"/>
                <w:color w:val="auto"/>
              </w:rPr>
            </w:pPr>
            <w:r>
              <w:rPr>
                <w:rFonts w:ascii="Arial" w:cs="Arial" w:eastAsia="Arial" w:hAnsi="Arial"/>
                <w:sz w:val="14"/>
                <w:szCs w:val="14"/>
                <w:color w:val="auto"/>
              </w:rPr>
              <w:t>3.8</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2" w:lineRule="exact"/>
              <w:rPr>
                <w:sz w:val="20"/>
                <w:szCs w:val="20"/>
                <w:color w:val="auto"/>
              </w:rPr>
            </w:pPr>
            <w:r>
              <w:rPr>
                <w:rFonts w:ascii="Arial" w:cs="Arial" w:eastAsia="Arial" w:hAnsi="Arial"/>
                <w:sz w:val="14"/>
                <w:szCs w:val="14"/>
                <w:color w:val="auto"/>
              </w:rPr>
              <w:t>6,591.0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2" w:lineRule="exact"/>
              <w:rPr>
                <w:sz w:val="20"/>
                <w:szCs w:val="20"/>
                <w:color w:val="auto"/>
              </w:rPr>
            </w:pPr>
            <w:r>
              <w:rPr>
                <w:rFonts w:ascii="Arial" w:cs="Arial" w:eastAsia="Arial" w:hAnsi="Arial"/>
                <w:sz w:val="14"/>
                <w:szCs w:val="14"/>
                <w:color w:val="auto"/>
              </w:rPr>
              <w:t>2,931.2</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(310.9)</w:t>
            </w:r>
          </w:p>
        </w:tc>
        <w:tc>
          <w:tcPr>
            <w:tcW w:w="100" w:type="dxa"/>
            <w:vAlign w:val="bottom"/>
          </w:tcPr>
          <w:p>
            <w:pPr>
              <w:spacing w:after="0"/>
              <w:rPr>
                <w:sz w:val="12"/>
                <w:szCs w:val="12"/>
                <w:color w:val="auto"/>
              </w:rPr>
            </w:pPr>
          </w:p>
        </w:tc>
        <w:tc>
          <w:tcPr>
            <w:tcW w:w="820" w:type="dxa"/>
            <w:vAlign w:val="bottom"/>
          </w:tcPr>
          <w:p>
            <w:pPr>
              <w:jc w:val="right"/>
              <w:spacing w:after="0" w:line="142" w:lineRule="exact"/>
              <w:rPr>
                <w:sz w:val="20"/>
                <w:szCs w:val="20"/>
                <w:color w:val="auto"/>
              </w:rPr>
            </w:pPr>
            <w:r>
              <w:rPr>
                <w:rFonts w:ascii="Arial" w:cs="Arial" w:eastAsia="Arial" w:hAnsi="Arial"/>
                <w:sz w:val="14"/>
                <w:szCs w:val="14"/>
                <w:color w:val="auto"/>
              </w:rPr>
              <w:t>9,215.1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Expenses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Benefits, claims and settlement expenses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4,517.8</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618.5</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(12.4)</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5,123.9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Dividends to policyholders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197.7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197.7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Operating expenses</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170.2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1,764.2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1,265.0</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(265.9)</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2,933.5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48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expenses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170.2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6,479.7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1,883.5</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(278.3)</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8,255.1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500" w:type="dxa"/>
            <w:vAlign w:val="bottom"/>
            <w:gridSpan w:val="2"/>
            <w:vMerge w:val="restart"/>
          </w:tcPr>
          <w:p>
            <w:pPr>
              <w:spacing w:after="0"/>
              <w:rPr>
                <w:sz w:val="20"/>
                <w:szCs w:val="20"/>
                <w:color w:val="auto"/>
              </w:rPr>
            </w:pPr>
            <w:r>
              <w:rPr>
                <w:rFonts w:ascii="Arial" w:cs="Arial" w:eastAsia="Arial" w:hAnsi="Arial"/>
                <w:sz w:val="14"/>
                <w:szCs w:val="14"/>
                <w:color w:val="auto"/>
              </w:rPr>
              <w:t>Income (loss) before income taxes</w:t>
            </w: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350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(166.4)</w:t>
            </w:r>
          </w:p>
        </w:tc>
        <w:tc>
          <w:tcPr>
            <w:tcW w:w="80" w:type="dxa"/>
            <w:vAlign w:val="bottom"/>
          </w:tcPr>
          <w:p>
            <w:pPr>
              <w:spacing w:after="0"/>
              <w:rPr>
                <w:sz w:val="12"/>
                <w:szCs w:val="12"/>
                <w:color w:val="auto"/>
              </w:rPr>
            </w:pPr>
          </w:p>
        </w:tc>
        <w:tc>
          <w:tcPr>
            <w:tcW w:w="880" w:type="dxa"/>
            <w:vAlign w:val="bottom"/>
          </w:tcPr>
          <w:p>
            <w:pPr>
              <w:jc w:val="right"/>
              <w:spacing w:after="0" w:line="142" w:lineRule="exact"/>
              <w:rPr>
                <w:sz w:val="20"/>
                <w:szCs w:val="20"/>
                <w:color w:val="auto"/>
              </w:rPr>
            </w:pPr>
            <w:r>
              <w:rPr>
                <w:rFonts w:ascii="Arial" w:cs="Arial" w:eastAsia="Arial" w:hAnsi="Arial"/>
                <w:sz w:val="14"/>
                <w:szCs w:val="14"/>
                <w:color w:val="auto"/>
              </w:rPr>
              <w:t>111.3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2" w:lineRule="exact"/>
              <w:rPr>
                <w:sz w:val="20"/>
                <w:szCs w:val="20"/>
                <w:color w:val="auto"/>
              </w:rPr>
            </w:pPr>
            <w:r>
              <w:rPr>
                <w:rFonts w:ascii="Arial" w:cs="Arial" w:eastAsia="Arial" w:hAnsi="Arial"/>
                <w:sz w:val="14"/>
                <w:szCs w:val="14"/>
                <w:color w:val="auto"/>
              </w:rPr>
              <w:t>1,047.7</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(32.6)</w:t>
            </w:r>
          </w:p>
        </w:tc>
        <w:tc>
          <w:tcPr>
            <w:tcW w:w="100" w:type="dxa"/>
            <w:vAlign w:val="bottom"/>
          </w:tcPr>
          <w:p>
            <w:pPr>
              <w:spacing w:after="0"/>
              <w:rPr>
                <w:sz w:val="12"/>
                <w:szCs w:val="12"/>
                <w:color w:val="auto"/>
              </w:rPr>
            </w:pPr>
          </w:p>
        </w:tc>
        <w:tc>
          <w:tcPr>
            <w:tcW w:w="820" w:type="dxa"/>
            <w:vAlign w:val="bottom"/>
          </w:tcPr>
          <w:p>
            <w:pPr>
              <w:jc w:val="right"/>
              <w:spacing w:after="0" w:line="142" w:lineRule="exact"/>
              <w:rPr>
                <w:sz w:val="20"/>
                <w:szCs w:val="20"/>
                <w:color w:val="auto"/>
              </w:rPr>
            </w:pPr>
            <w:r>
              <w:rPr>
                <w:rFonts w:ascii="Arial" w:cs="Arial" w:eastAsia="Arial" w:hAnsi="Arial"/>
                <w:sz w:val="14"/>
                <w:szCs w:val="14"/>
                <w:color w:val="auto"/>
              </w:rPr>
              <w:t>960.0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Income taxes (benefits)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(67.6)</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(83.2)</w:t>
            </w: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287.1</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(1.7)</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134.6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Equity in the net income of subsidiaries</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905.4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480.4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163.9</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(1,549.7)</w:t>
            </w:r>
          </w:p>
        </w:tc>
        <w:tc>
          <w:tcPr>
            <w:tcW w:w="100" w:type="dxa"/>
            <w:vAlign w:val="bottom"/>
          </w:tcPr>
          <w:p>
            <w:pPr>
              <w:spacing w:after="0"/>
              <w:rPr>
                <w:sz w:val="12"/>
                <w:szCs w:val="12"/>
                <w:color w:val="auto"/>
              </w:rPr>
            </w:pPr>
          </w:p>
        </w:tc>
        <w:tc>
          <w:tcPr>
            <w:tcW w:w="9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34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income</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806.6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674.9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924.5</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(1,580.6)</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825.4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Net income attributable to noncontrolling interest</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19.1</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(0.3)</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18.8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34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income attributable to PFG</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806.6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674.9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905.4</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(1,580.3)</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806.6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Preferred stock dividends</w:t>
            </w:r>
          </w:p>
        </w:tc>
        <w:tc>
          <w:tcPr>
            <w:tcW w:w="8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33.0</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33.0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4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income available to common stockholders</w:t>
            </w:r>
          </w:p>
        </w:tc>
        <w:tc>
          <w:tcPr>
            <w:tcW w:w="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773.6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674.9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1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905.4</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jc w:val="right"/>
              <w:ind w:right="126"/>
              <w:spacing w:after="0"/>
              <w:rPr>
                <w:sz w:val="20"/>
                <w:szCs w:val="20"/>
                <w:color w:val="auto"/>
              </w:rPr>
            </w:pPr>
            <w:r>
              <w:rPr>
                <w:rFonts w:ascii="Arial" w:cs="Arial" w:eastAsia="Arial" w:hAnsi="Arial"/>
                <w:sz w:val="10"/>
                <w:szCs w:val="10"/>
                <w:color w:val="auto"/>
                <w:w w:val="71"/>
              </w:rPr>
              <w:t>$</w:t>
            </w:r>
          </w:p>
        </w:tc>
        <w:tc>
          <w:tcPr>
            <w:tcW w:w="8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(1,580.3)</w:t>
            </w:r>
          </w:p>
        </w:tc>
        <w:tc>
          <w:tcPr>
            <w:tcW w:w="1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773.6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500" w:type="dxa"/>
            <w:vAlign w:val="bottom"/>
            <w:gridSpan w:val="2"/>
            <w:vMerge w:val="restart"/>
          </w:tcPr>
          <w:p>
            <w:pPr>
              <w:spacing w:after="0"/>
              <w:rPr>
                <w:sz w:val="20"/>
                <w:szCs w:val="20"/>
                <w:color w:val="auto"/>
              </w:rPr>
            </w:pPr>
            <w:r>
              <w:rPr>
                <w:rFonts w:ascii="Arial" w:cs="Arial" w:eastAsia="Arial" w:hAnsi="Arial"/>
                <w:sz w:val="14"/>
                <w:szCs w:val="14"/>
                <w:color w:val="auto"/>
              </w:rPr>
              <w:t>Net income</w:t>
            </w:r>
          </w:p>
        </w:tc>
        <w:tc>
          <w:tcPr>
            <w:tcW w:w="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3500" w:type="dxa"/>
            <w:vAlign w:val="bottom"/>
            <w:gridSpan w:val="2"/>
            <w:vMerge w:val="continue"/>
          </w:tcPr>
          <w:p>
            <w:pPr>
              <w:spacing w:after="0"/>
              <w:rPr>
                <w:sz w:val="11"/>
                <w:szCs w:val="11"/>
                <w:color w:val="auto"/>
              </w:rPr>
            </w:pPr>
          </w:p>
        </w:tc>
        <w:tc>
          <w:tcPr>
            <w:tcW w:w="8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780" w:type="dxa"/>
            <w:vAlign w:val="bottom"/>
          </w:tcPr>
          <w:p>
            <w:pPr>
              <w:jc w:val="right"/>
              <w:spacing w:after="0" w:line="129" w:lineRule="exact"/>
              <w:rPr>
                <w:sz w:val="20"/>
                <w:szCs w:val="20"/>
                <w:color w:val="auto"/>
              </w:rPr>
            </w:pPr>
            <w:r>
              <w:rPr>
                <w:rFonts w:ascii="Arial" w:cs="Arial" w:eastAsia="Arial" w:hAnsi="Arial"/>
                <w:sz w:val="14"/>
                <w:szCs w:val="14"/>
                <w:color w:val="auto"/>
              </w:rPr>
              <w:t>806.6</w:t>
            </w:r>
          </w:p>
        </w:tc>
        <w:tc>
          <w:tcPr>
            <w:tcW w:w="160" w:type="dxa"/>
            <w:vAlign w:val="bottom"/>
          </w:tcPr>
          <w:p>
            <w:pPr>
              <w:spacing w:after="0"/>
              <w:rPr>
                <w:sz w:val="11"/>
                <w:szCs w:val="11"/>
                <w:color w:val="auto"/>
              </w:rPr>
            </w:pPr>
          </w:p>
        </w:tc>
        <w:tc>
          <w:tcPr>
            <w:tcW w:w="8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880" w:type="dxa"/>
            <w:vAlign w:val="bottom"/>
          </w:tcPr>
          <w:p>
            <w:pPr>
              <w:jc w:val="right"/>
              <w:spacing w:after="0" w:line="129" w:lineRule="exact"/>
              <w:rPr>
                <w:sz w:val="20"/>
                <w:szCs w:val="20"/>
                <w:color w:val="auto"/>
              </w:rPr>
            </w:pPr>
            <w:r>
              <w:rPr>
                <w:rFonts w:ascii="Arial" w:cs="Arial" w:eastAsia="Arial" w:hAnsi="Arial"/>
                <w:sz w:val="14"/>
                <w:szCs w:val="14"/>
                <w:color w:val="auto"/>
              </w:rPr>
              <w:t>674.9</w:t>
            </w:r>
          </w:p>
        </w:tc>
        <w:tc>
          <w:tcPr>
            <w:tcW w:w="160" w:type="dxa"/>
            <w:vAlign w:val="bottom"/>
          </w:tcPr>
          <w:p>
            <w:pPr>
              <w:spacing w:after="0"/>
              <w:rPr>
                <w:sz w:val="11"/>
                <w:szCs w:val="11"/>
                <w:color w:val="auto"/>
              </w:rPr>
            </w:pPr>
          </w:p>
        </w:tc>
        <w:tc>
          <w:tcPr>
            <w:tcW w:w="8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1220" w:type="dxa"/>
            <w:vAlign w:val="bottom"/>
          </w:tcPr>
          <w:p>
            <w:pPr>
              <w:jc w:val="right"/>
              <w:spacing w:after="0" w:line="129" w:lineRule="exact"/>
              <w:rPr>
                <w:sz w:val="20"/>
                <w:szCs w:val="20"/>
                <w:color w:val="auto"/>
              </w:rPr>
            </w:pPr>
            <w:r>
              <w:rPr>
                <w:rFonts w:ascii="Arial" w:cs="Arial" w:eastAsia="Arial" w:hAnsi="Arial"/>
                <w:sz w:val="14"/>
                <w:szCs w:val="14"/>
                <w:color w:val="auto"/>
              </w:rPr>
              <w:t>924.5</w:t>
            </w:r>
          </w:p>
        </w:tc>
        <w:tc>
          <w:tcPr>
            <w:tcW w:w="160" w:type="dxa"/>
            <w:vAlign w:val="bottom"/>
          </w:tcPr>
          <w:p>
            <w:pPr>
              <w:spacing w:after="0"/>
              <w:rPr>
                <w:sz w:val="11"/>
                <w:szCs w:val="11"/>
                <w:color w:val="auto"/>
              </w:rPr>
            </w:pPr>
          </w:p>
        </w:tc>
        <w:tc>
          <w:tcPr>
            <w:tcW w:w="240" w:type="dxa"/>
            <w:vAlign w:val="bottom"/>
          </w:tcPr>
          <w:p>
            <w:pPr>
              <w:jc w:val="right"/>
              <w:ind w:right="126"/>
              <w:spacing w:after="0"/>
              <w:rPr>
                <w:sz w:val="20"/>
                <w:szCs w:val="20"/>
                <w:color w:val="auto"/>
              </w:rPr>
            </w:pPr>
            <w:r>
              <w:rPr>
                <w:rFonts w:ascii="Arial" w:cs="Arial" w:eastAsia="Arial" w:hAnsi="Arial"/>
                <w:sz w:val="10"/>
                <w:szCs w:val="10"/>
                <w:color w:val="auto"/>
                <w:w w:val="71"/>
              </w:rPr>
              <w:t>$</w:t>
            </w:r>
          </w:p>
        </w:tc>
        <w:tc>
          <w:tcPr>
            <w:tcW w:w="640" w:type="dxa"/>
            <w:vAlign w:val="bottom"/>
          </w:tcPr>
          <w:p>
            <w:pPr>
              <w:jc w:val="right"/>
              <w:spacing w:after="0" w:line="129" w:lineRule="exact"/>
              <w:rPr>
                <w:sz w:val="20"/>
                <w:szCs w:val="20"/>
                <w:color w:val="auto"/>
              </w:rPr>
            </w:pPr>
            <w:r>
              <w:rPr>
                <w:rFonts w:ascii="Arial" w:cs="Arial" w:eastAsia="Arial" w:hAnsi="Arial"/>
                <w:sz w:val="14"/>
                <w:szCs w:val="14"/>
                <w:color w:val="auto"/>
              </w:rPr>
              <w:t>(1,580.6)</w:t>
            </w:r>
          </w:p>
        </w:tc>
        <w:tc>
          <w:tcPr>
            <w:tcW w:w="160" w:type="dxa"/>
            <w:vAlign w:val="bottom"/>
          </w:tcPr>
          <w:p>
            <w:pPr>
              <w:spacing w:after="0"/>
              <w:rPr>
                <w:sz w:val="11"/>
                <w:szCs w:val="11"/>
                <w:color w:val="auto"/>
              </w:rPr>
            </w:pPr>
          </w:p>
        </w:tc>
        <w:tc>
          <w:tcPr>
            <w:tcW w:w="10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820" w:type="dxa"/>
            <w:vAlign w:val="bottom"/>
          </w:tcPr>
          <w:p>
            <w:pPr>
              <w:jc w:val="right"/>
              <w:spacing w:after="0" w:line="129" w:lineRule="exact"/>
              <w:rPr>
                <w:sz w:val="20"/>
                <w:szCs w:val="20"/>
                <w:color w:val="auto"/>
              </w:rPr>
            </w:pPr>
            <w:r>
              <w:rPr>
                <w:rFonts w:ascii="Arial" w:cs="Arial" w:eastAsia="Arial" w:hAnsi="Arial"/>
                <w:sz w:val="14"/>
                <w:szCs w:val="14"/>
                <w:color w:val="auto"/>
              </w:rPr>
              <w:t>825.4</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comprehensive income</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321.2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315.2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95.1</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(361.4)</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370.1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3500" w:type="dxa"/>
            <w:vAlign w:val="bottom"/>
            <w:gridSpan w:val="2"/>
          </w:tcPr>
          <w:p>
            <w:pPr>
              <w:spacing w:after="0" w:line="142" w:lineRule="exact"/>
              <w:rPr>
                <w:sz w:val="20"/>
                <w:szCs w:val="20"/>
                <w:color w:val="auto"/>
              </w:rPr>
            </w:pPr>
            <w:r>
              <w:rPr>
                <w:rFonts w:ascii="Arial" w:cs="Arial" w:eastAsia="Arial" w:hAnsi="Arial"/>
                <w:sz w:val="14"/>
                <w:szCs w:val="14"/>
                <w:color w:val="auto"/>
              </w:rPr>
              <w:t>Comprehensive income</w:t>
            </w: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1,127.8</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990.1</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12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1,019.6</w:t>
            </w:r>
          </w:p>
        </w:tc>
        <w:tc>
          <w:tcPr>
            <w:tcW w:w="160" w:type="dxa"/>
            <w:vAlign w:val="bottom"/>
          </w:tcPr>
          <w:p>
            <w:pPr>
              <w:spacing w:after="0"/>
              <w:rPr>
                <w:sz w:val="12"/>
                <w:szCs w:val="12"/>
                <w:color w:val="auto"/>
              </w:rPr>
            </w:pPr>
          </w:p>
        </w:tc>
        <w:tc>
          <w:tcPr>
            <w:tcW w:w="240" w:type="dxa"/>
            <w:vAlign w:val="bottom"/>
            <w:tcBorders>
              <w:top w:val="single" w:sz="8" w:color="auto"/>
              <w:bottom w:val="single" w:sz="8" w:color="auto"/>
            </w:tcBorders>
          </w:tcPr>
          <w:p>
            <w:pPr>
              <w:jc w:val="right"/>
              <w:ind w:right="126"/>
              <w:spacing w:after="0"/>
              <w:rPr>
                <w:sz w:val="20"/>
                <w:szCs w:val="20"/>
                <w:color w:val="auto"/>
              </w:rPr>
            </w:pPr>
            <w:r>
              <w:rPr>
                <w:rFonts w:ascii="Arial" w:cs="Arial" w:eastAsia="Arial" w:hAnsi="Arial"/>
                <w:sz w:val="10"/>
                <w:szCs w:val="10"/>
                <w:color w:val="auto"/>
                <w:w w:val="71"/>
              </w:rPr>
              <w:t>$</w:t>
            </w:r>
          </w:p>
        </w:tc>
        <w:tc>
          <w:tcPr>
            <w:tcW w:w="6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(1,942.0)</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1,195.5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192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360"/>
          </w:cols>
          <w:pgMar w:left="240" w:top="131" w:right="1299" w:bottom="1440" w:gutter="0" w:footer="0" w:header="0"/>
        </w:sectPr>
      </w:pPr>
    </w:p>
    <w:bookmarkStart w:id="196" w:name="page197"/>
    <w:bookmarkEnd w:id="19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21. Condensed Consolidating Financial Information — (continued)</w:t>
      </w:r>
    </w:p>
    <w:p>
      <w:pPr>
        <w:spacing w:after="0" w:line="200" w:lineRule="exact"/>
        <w:rPr>
          <w:sz w:val="20"/>
          <w:szCs w:val="20"/>
          <w:color w:val="auto"/>
        </w:rPr>
      </w:pPr>
    </w:p>
    <w:p>
      <w:pPr>
        <w:spacing w:after="0" w:line="241"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Condensed Consolidating Statements of Operations</w:t>
      </w:r>
    </w:p>
    <w:p>
      <w:pPr>
        <w:spacing w:after="0" w:line="21" w:lineRule="exact"/>
        <w:rPr>
          <w:sz w:val="20"/>
          <w:szCs w:val="20"/>
          <w:color w:val="auto"/>
        </w:rPr>
      </w:pPr>
    </w:p>
    <w:p>
      <w:pPr>
        <w:jc w:val="center"/>
        <w:ind w:right="-1019"/>
        <w:spacing w:after="0"/>
        <w:rPr>
          <w:sz w:val="20"/>
          <w:szCs w:val="20"/>
          <w:color w:val="auto"/>
        </w:rPr>
      </w:pPr>
      <w:r>
        <w:rPr>
          <w:rFonts w:ascii="Arial" w:cs="Arial" w:eastAsia="Arial" w:hAnsi="Arial"/>
          <w:sz w:val="18"/>
          <w:szCs w:val="18"/>
          <w:b w:val="1"/>
          <w:bCs w:val="1"/>
          <w:color w:val="auto"/>
        </w:rPr>
        <w:t>For the year ended December 31, 2011</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Principal</w:t>
            </w:r>
          </w:p>
        </w:tc>
        <w:tc>
          <w:tcPr>
            <w:tcW w:w="80" w:type="dxa"/>
            <w:vAlign w:val="bottom"/>
          </w:tcPr>
          <w:p>
            <w:pPr>
              <w:spacing w:after="0"/>
              <w:rPr>
                <w:sz w:val="14"/>
                <w:szCs w:val="14"/>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Principal Life</w:t>
            </w:r>
          </w:p>
        </w:tc>
        <w:tc>
          <w:tcPr>
            <w:tcW w:w="80" w:type="dxa"/>
            <w:vAlign w:val="bottom"/>
          </w:tcPr>
          <w:p>
            <w:pPr>
              <w:spacing w:after="0"/>
              <w:rPr>
                <w:sz w:val="14"/>
                <w:szCs w:val="14"/>
                <w:color w:val="auto"/>
              </w:rPr>
            </w:pPr>
          </w:p>
        </w:tc>
        <w:tc>
          <w:tcPr>
            <w:tcW w:w="13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Principal Financial</w:t>
            </w:r>
          </w:p>
        </w:tc>
        <w:tc>
          <w:tcPr>
            <w:tcW w:w="2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Principal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Financial</w:t>
            </w:r>
          </w:p>
        </w:tc>
        <w:tc>
          <w:tcPr>
            <w:tcW w:w="80" w:type="dxa"/>
            <w:vAlign w:val="bottom"/>
          </w:tcPr>
          <w:p>
            <w:pPr>
              <w:spacing w:after="0"/>
              <w:rPr>
                <w:sz w:val="12"/>
                <w:szCs w:val="12"/>
                <w:color w:val="auto"/>
              </w:rPr>
            </w:pPr>
          </w:p>
        </w:tc>
        <w:tc>
          <w:tcPr>
            <w:tcW w:w="10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4"/>
              </w:rPr>
              <w:t>Insurance</w:t>
            </w:r>
          </w:p>
        </w:tc>
        <w:tc>
          <w:tcPr>
            <w:tcW w:w="80" w:type="dxa"/>
            <w:vAlign w:val="bottom"/>
          </w:tcPr>
          <w:p>
            <w:pPr>
              <w:spacing w:after="0"/>
              <w:rPr>
                <w:sz w:val="12"/>
                <w:szCs w:val="12"/>
                <w:color w:val="auto"/>
              </w:rPr>
            </w:pPr>
          </w:p>
        </w:tc>
        <w:tc>
          <w:tcPr>
            <w:tcW w:w="13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4"/>
              </w:rPr>
              <w:t>Services, Inc. and</w:t>
            </w: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Financial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Group, Inc.</w:t>
            </w:r>
          </w:p>
        </w:tc>
        <w:tc>
          <w:tcPr>
            <w:tcW w:w="80" w:type="dxa"/>
            <w:vAlign w:val="bottom"/>
          </w:tcPr>
          <w:p>
            <w:pPr>
              <w:spacing w:after="0"/>
              <w:rPr>
                <w:sz w:val="12"/>
                <w:szCs w:val="12"/>
                <w:color w:val="auto"/>
              </w:rPr>
            </w:pPr>
          </w:p>
        </w:tc>
        <w:tc>
          <w:tcPr>
            <w:tcW w:w="10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Company</w:t>
            </w:r>
          </w:p>
        </w:tc>
        <w:tc>
          <w:tcPr>
            <w:tcW w:w="80" w:type="dxa"/>
            <w:vAlign w:val="bottom"/>
          </w:tcPr>
          <w:p>
            <w:pPr>
              <w:spacing w:after="0"/>
              <w:rPr>
                <w:sz w:val="12"/>
                <w:szCs w:val="12"/>
                <w:color w:val="auto"/>
              </w:rPr>
            </w:pPr>
          </w:p>
        </w:tc>
        <w:tc>
          <w:tcPr>
            <w:tcW w:w="13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6"/>
              </w:rPr>
              <w:t>Other Subsidiaries</w:t>
            </w: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Group, Inc.</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4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Parent Only</w:t>
            </w:r>
          </w:p>
        </w:tc>
        <w:tc>
          <w:tcPr>
            <w:tcW w:w="80" w:type="dxa"/>
            <w:vAlign w:val="bottom"/>
          </w:tcPr>
          <w:p>
            <w:pPr>
              <w:spacing w:after="0"/>
              <w:rPr>
                <w:sz w:val="14"/>
                <w:szCs w:val="14"/>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Only</w:t>
            </w:r>
          </w:p>
        </w:tc>
        <w:tc>
          <w:tcPr>
            <w:tcW w:w="80" w:type="dxa"/>
            <w:vAlign w:val="bottom"/>
          </w:tcPr>
          <w:p>
            <w:pPr>
              <w:spacing w:after="0"/>
              <w:rPr>
                <w:sz w:val="14"/>
                <w:szCs w:val="14"/>
                <w:color w:val="auto"/>
              </w:rPr>
            </w:pPr>
          </w:p>
        </w:tc>
        <w:tc>
          <w:tcPr>
            <w:tcW w:w="13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7"/>
              </w:rPr>
              <w:t>Combined</w:t>
            </w:r>
          </w:p>
        </w:tc>
        <w:tc>
          <w:tcPr>
            <w:tcW w:w="104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w w:val="93"/>
              </w:rPr>
              <w:t>Eliminations</w:t>
            </w:r>
          </w:p>
        </w:tc>
        <w:tc>
          <w:tcPr>
            <w:tcW w:w="108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5"/>
              </w:rPr>
              <w:t>Consolidated</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48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20" w:type="dxa"/>
            <w:vAlign w:val="bottom"/>
            <w:tcBorders>
              <w:top w:val="single" w:sz="8" w:color="auto"/>
            </w:tcBorders>
          </w:tcPr>
          <w:p>
            <w:pPr>
              <w:jc w:val="center"/>
              <w:ind w:right="52"/>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160" w:type="dxa"/>
            <w:vAlign w:val="bottom"/>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Revenues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Premiums and other considerations</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2,579.6</w:t>
            </w:r>
          </w:p>
        </w:tc>
        <w:tc>
          <w:tcPr>
            <w:tcW w:w="160" w:type="dxa"/>
            <w:vAlign w:val="bottom"/>
          </w:tcPr>
          <w:p>
            <w:pPr>
              <w:spacing w:after="0"/>
              <w:rPr>
                <w:sz w:val="12"/>
                <w:szCs w:val="12"/>
                <w:color w:val="auto"/>
              </w:rPr>
            </w:pP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311.4</w:t>
            </w:r>
          </w:p>
        </w:tc>
        <w:tc>
          <w:tcPr>
            <w:tcW w:w="160" w:type="dxa"/>
            <w:vAlign w:val="bottom"/>
          </w:tcPr>
          <w:p>
            <w:pPr>
              <w:spacing w:after="0"/>
              <w:rPr>
                <w:sz w:val="12"/>
                <w:szCs w:val="12"/>
                <w:color w:val="auto"/>
              </w:rPr>
            </w:pPr>
          </w:p>
        </w:tc>
        <w:tc>
          <w:tcPr>
            <w:tcW w:w="240" w:type="dxa"/>
            <w:vAlign w:val="bottom"/>
          </w:tcPr>
          <w:p>
            <w:pPr>
              <w:jc w:val="right"/>
              <w:ind w:right="126"/>
              <w:spacing w:after="0"/>
              <w:rPr>
                <w:sz w:val="20"/>
                <w:szCs w:val="20"/>
                <w:color w:val="auto"/>
              </w:rPr>
            </w:pPr>
            <w:r>
              <w:rPr>
                <w:rFonts w:ascii="Arial" w:cs="Arial" w:eastAsia="Arial" w:hAnsi="Arial"/>
                <w:sz w:val="10"/>
                <w:szCs w:val="10"/>
                <w:color w:val="auto"/>
                <w:w w:val="71"/>
              </w:rPr>
              <w:t>$</w:t>
            </w: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2,891.0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Fees and other revenues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1,566.7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1,257.6</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(297.8)</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2,526.7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Net investment income (loss)</w:t>
            </w:r>
          </w:p>
        </w:tc>
        <w:tc>
          <w:tcPr>
            <w:tcW w:w="8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(12.0)</w:t>
            </w: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2,578.9</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763.2</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45.2</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3,375.3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48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9"/>
              </w:rPr>
              <w:t>Net realized capital gains (losses), excluding impairment</w:t>
            </w: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48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losses on available-for-sale securities</w:t>
            </w:r>
          </w:p>
        </w:tc>
        <w:tc>
          <w:tcPr>
            <w:tcW w:w="80" w:type="dxa"/>
            <w:vAlign w:val="bottom"/>
            <w:shd w:val="clear" w:color="auto" w:fill="CCEEFF"/>
          </w:tcPr>
          <w:p>
            <w:pPr>
              <w:spacing w:after="0"/>
              <w:rPr>
                <w:sz w:val="13"/>
                <w:szCs w:val="13"/>
                <w:color w:val="auto"/>
              </w:rPr>
            </w:pPr>
          </w:p>
        </w:tc>
        <w:tc>
          <w:tcPr>
            <w:tcW w:w="94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442.8</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38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(388.7)</w:t>
            </w:r>
          </w:p>
        </w:tc>
        <w:tc>
          <w:tcPr>
            <w:tcW w:w="240" w:type="dxa"/>
            <w:vAlign w:val="bottom"/>
            <w:shd w:val="clear" w:color="auto" w:fill="CCEEFF"/>
          </w:tcPr>
          <w:p>
            <w:pPr>
              <w:spacing w:after="0"/>
              <w:rPr>
                <w:sz w:val="13"/>
                <w:szCs w:val="13"/>
                <w:color w:val="auto"/>
              </w:rPr>
            </w:pPr>
          </w:p>
        </w:tc>
        <w:tc>
          <w:tcPr>
            <w:tcW w:w="6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20.9</w:t>
            </w:r>
          </w:p>
        </w:tc>
        <w:tc>
          <w:tcPr>
            <w:tcW w:w="1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8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75.0</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480" w:type="dxa"/>
            <w:vAlign w:val="bottom"/>
          </w:tcPr>
          <w:p>
            <w:pPr>
              <w:spacing w:after="0" w:line="138" w:lineRule="exact"/>
              <w:rPr>
                <w:sz w:val="20"/>
                <w:szCs w:val="20"/>
                <w:color w:val="auto"/>
              </w:rPr>
            </w:pPr>
            <w:r>
              <w:rPr>
                <w:rFonts w:ascii="Arial" w:cs="Arial" w:eastAsia="Arial" w:hAnsi="Arial"/>
                <w:sz w:val="14"/>
                <w:szCs w:val="14"/>
                <w:color w:val="auto"/>
                <w:w w:val="94"/>
              </w:rPr>
              <w:t>Total other-than-temporary impairment losses on available-</w:t>
            </w:r>
          </w:p>
        </w:tc>
        <w:tc>
          <w:tcPr>
            <w:tcW w:w="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480" w:type="dxa"/>
            <w:vAlign w:val="bottom"/>
          </w:tcPr>
          <w:p>
            <w:pPr>
              <w:ind w:left="140"/>
              <w:spacing w:after="0" w:line="159" w:lineRule="exact"/>
              <w:rPr>
                <w:sz w:val="20"/>
                <w:szCs w:val="20"/>
                <w:color w:val="auto"/>
              </w:rPr>
            </w:pPr>
            <w:r>
              <w:rPr>
                <w:rFonts w:ascii="Arial" w:cs="Arial" w:eastAsia="Arial" w:hAnsi="Arial"/>
                <w:sz w:val="14"/>
                <w:szCs w:val="14"/>
                <w:color w:val="auto"/>
              </w:rPr>
              <w:t>for-sale securities</w:t>
            </w:r>
          </w:p>
        </w:tc>
        <w:tc>
          <w:tcPr>
            <w:tcW w:w="80" w:type="dxa"/>
            <w:vAlign w:val="bottom"/>
          </w:tcPr>
          <w:p>
            <w:pPr>
              <w:spacing w:after="0"/>
              <w:rPr>
                <w:sz w:val="13"/>
                <w:szCs w:val="13"/>
                <w:color w:val="auto"/>
              </w:rPr>
            </w:pPr>
          </w:p>
        </w:tc>
        <w:tc>
          <w:tcPr>
            <w:tcW w:w="940" w:type="dxa"/>
            <w:vAlign w:val="bottom"/>
            <w:gridSpan w:val="2"/>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104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(130.6)</w:t>
            </w:r>
          </w:p>
        </w:tc>
        <w:tc>
          <w:tcPr>
            <w:tcW w:w="80" w:type="dxa"/>
            <w:vAlign w:val="bottom"/>
          </w:tcPr>
          <w:p>
            <w:pPr>
              <w:spacing w:after="0"/>
              <w:rPr>
                <w:sz w:val="13"/>
                <w:szCs w:val="13"/>
                <w:color w:val="auto"/>
              </w:rPr>
            </w:pPr>
          </w:p>
        </w:tc>
        <w:tc>
          <w:tcPr>
            <w:tcW w:w="138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(17.0)</w:t>
            </w:r>
          </w:p>
        </w:tc>
        <w:tc>
          <w:tcPr>
            <w:tcW w:w="240" w:type="dxa"/>
            <w:vAlign w:val="bottom"/>
          </w:tcPr>
          <w:p>
            <w:pPr>
              <w:spacing w:after="0"/>
              <w:rPr>
                <w:sz w:val="13"/>
                <w:szCs w:val="13"/>
                <w:color w:val="auto"/>
              </w:rPr>
            </w:pPr>
          </w:p>
        </w:tc>
        <w:tc>
          <w:tcPr>
            <w:tcW w:w="800" w:type="dxa"/>
            <w:vAlign w:val="bottom"/>
            <w:gridSpan w:val="2"/>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3"/>
                <w:szCs w:val="13"/>
                <w:color w:val="auto"/>
              </w:rPr>
            </w:pPr>
          </w:p>
        </w:tc>
        <w:tc>
          <w:tcPr>
            <w:tcW w:w="98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(147.6)</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48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2"/>
              </w:rPr>
              <w:t>Other-than-temporary impairment losses on fixed maturities,</w:t>
            </w: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available-for-sale reclassified to (from) other</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48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comprehensive income</w:t>
            </w:r>
          </w:p>
        </w:tc>
        <w:tc>
          <w:tcPr>
            <w:tcW w:w="80" w:type="dxa"/>
            <w:vAlign w:val="bottom"/>
            <w:shd w:val="clear" w:color="auto" w:fill="CCEEFF"/>
          </w:tcPr>
          <w:p>
            <w:pPr>
              <w:spacing w:after="0"/>
              <w:rPr>
                <w:sz w:val="13"/>
                <w:szCs w:val="13"/>
                <w:color w:val="auto"/>
              </w:rPr>
            </w:pPr>
          </w:p>
        </w:tc>
        <w:tc>
          <w:tcPr>
            <w:tcW w:w="94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(51.5)</w:t>
            </w:r>
          </w:p>
        </w:tc>
        <w:tc>
          <w:tcPr>
            <w:tcW w:w="80" w:type="dxa"/>
            <w:vAlign w:val="bottom"/>
            <w:shd w:val="clear" w:color="auto" w:fill="CCEEFF"/>
          </w:tcPr>
          <w:p>
            <w:pPr>
              <w:spacing w:after="0"/>
              <w:rPr>
                <w:sz w:val="13"/>
                <w:szCs w:val="13"/>
                <w:color w:val="auto"/>
              </w:rPr>
            </w:pPr>
          </w:p>
        </w:tc>
        <w:tc>
          <w:tcPr>
            <w:tcW w:w="12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1.8</w:t>
            </w:r>
          </w:p>
        </w:tc>
        <w:tc>
          <w:tcPr>
            <w:tcW w:w="16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3"/>
                <w:szCs w:val="13"/>
                <w:color w:val="auto"/>
              </w:rPr>
            </w:pPr>
          </w:p>
        </w:tc>
        <w:tc>
          <w:tcPr>
            <w:tcW w:w="98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(49.7)</w:t>
            </w:r>
          </w:p>
        </w:tc>
        <w:tc>
          <w:tcPr>
            <w:tcW w:w="0" w:type="dxa"/>
            <w:vAlign w:val="bottom"/>
          </w:tcPr>
          <w:p>
            <w:pPr>
              <w:spacing w:after="0"/>
              <w:rPr>
                <w:sz w:val="1"/>
                <w:szCs w:val="1"/>
                <w:color w:val="auto"/>
              </w:rPr>
            </w:pPr>
          </w:p>
        </w:tc>
      </w:tr>
      <w:tr>
        <w:trPr>
          <w:trHeight w:val="142"/>
        </w:trPr>
        <w:tc>
          <w:tcPr>
            <w:tcW w:w="3500" w:type="dxa"/>
            <w:vAlign w:val="bottom"/>
            <w:gridSpan w:val="2"/>
          </w:tcPr>
          <w:p>
            <w:pPr>
              <w:spacing w:after="0" w:line="142" w:lineRule="exact"/>
              <w:rPr>
                <w:sz w:val="20"/>
                <w:szCs w:val="20"/>
                <w:color w:val="auto"/>
              </w:rPr>
            </w:pPr>
            <w:r>
              <w:rPr>
                <w:rFonts w:ascii="Arial" w:cs="Arial" w:eastAsia="Arial" w:hAnsi="Arial"/>
                <w:sz w:val="14"/>
                <w:szCs w:val="14"/>
                <w:color w:val="auto"/>
              </w:rPr>
              <w:t>Net impairment losses on available-for-sale securities</w:t>
            </w:r>
          </w:p>
        </w:tc>
        <w:tc>
          <w:tcPr>
            <w:tcW w:w="8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(182.1)</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12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(15.2)</w:t>
            </w:r>
          </w:p>
        </w:tc>
        <w:tc>
          <w:tcPr>
            <w:tcW w:w="160" w:type="dxa"/>
            <w:vAlign w:val="bottom"/>
          </w:tcPr>
          <w:p>
            <w:pPr>
              <w:spacing w:after="0"/>
              <w:rPr>
                <w:sz w:val="12"/>
                <w:szCs w:val="12"/>
                <w:color w:val="auto"/>
              </w:rPr>
            </w:pPr>
          </w:p>
        </w:tc>
        <w:tc>
          <w:tcPr>
            <w:tcW w:w="240" w:type="dxa"/>
            <w:vAlign w:val="bottom"/>
            <w:tcBorders>
              <w:top w:val="single" w:sz="8" w:color="auto"/>
              <w:bottom w:val="single" w:sz="8" w:color="auto"/>
            </w:tcBorders>
          </w:tcPr>
          <w:p>
            <w:pPr>
              <w:spacing w:after="0"/>
              <w:rPr>
                <w:sz w:val="12"/>
                <w:szCs w:val="12"/>
                <w:color w:val="auto"/>
              </w:rPr>
            </w:pPr>
          </w:p>
        </w:tc>
        <w:tc>
          <w:tcPr>
            <w:tcW w:w="6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(197.3)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4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realized capital gains (losses)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260.7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color w:val="auto"/>
              </w:rPr>
              <w:t>(403.9)</w:t>
            </w: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20.9</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color w:val="auto"/>
              </w:rPr>
              <w:t>(122.3)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80" w:type="dxa"/>
            <w:vAlign w:val="bottom"/>
            <w:vMerge w:val="restart"/>
          </w:tcPr>
          <w:p>
            <w:pPr>
              <w:ind w:left="140"/>
              <w:spacing w:after="0"/>
              <w:rPr>
                <w:sz w:val="20"/>
                <w:szCs w:val="20"/>
                <w:color w:val="auto"/>
              </w:rPr>
            </w:pPr>
            <w:r>
              <w:rPr>
                <w:rFonts w:ascii="Arial" w:cs="Arial" w:eastAsia="Arial" w:hAnsi="Arial"/>
                <w:sz w:val="14"/>
                <w:szCs w:val="14"/>
                <w:color w:val="auto"/>
              </w:rPr>
              <w:t>Total revenues</w:t>
            </w: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48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(11.8)</w:t>
            </w:r>
          </w:p>
        </w:tc>
        <w:tc>
          <w:tcPr>
            <w:tcW w:w="80" w:type="dxa"/>
            <w:vAlign w:val="bottom"/>
          </w:tcPr>
          <w:p>
            <w:pPr>
              <w:spacing w:after="0"/>
              <w:rPr>
                <w:sz w:val="12"/>
                <w:szCs w:val="12"/>
                <w:color w:val="auto"/>
              </w:rPr>
            </w:pPr>
          </w:p>
        </w:tc>
        <w:tc>
          <w:tcPr>
            <w:tcW w:w="880" w:type="dxa"/>
            <w:vAlign w:val="bottom"/>
          </w:tcPr>
          <w:p>
            <w:pPr>
              <w:jc w:val="right"/>
              <w:spacing w:after="0" w:line="142" w:lineRule="exact"/>
              <w:rPr>
                <w:sz w:val="20"/>
                <w:szCs w:val="20"/>
                <w:color w:val="auto"/>
              </w:rPr>
            </w:pPr>
            <w:r>
              <w:rPr>
                <w:rFonts w:ascii="Arial" w:cs="Arial" w:eastAsia="Arial" w:hAnsi="Arial"/>
                <w:sz w:val="14"/>
                <w:szCs w:val="14"/>
                <w:color w:val="auto"/>
              </w:rPr>
              <w:t>6,985.9</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2" w:lineRule="exact"/>
              <w:rPr>
                <w:sz w:val="20"/>
                <w:szCs w:val="20"/>
                <w:color w:val="auto"/>
              </w:rPr>
            </w:pPr>
            <w:r>
              <w:rPr>
                <w:rFonts w:ascii="Arial" w:cs="Arial" w:eastAsia="Arial" w:hAnsi="Arial"/>
                <w:sz w:val="14"/>
                <w:szCs w:val="14"/>
                <w:color w:val="auto"/>
              </w:rPr>
              <w:t>1,928.3</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(231.7)</w:t>
            </w:r>
          </w:p>
        </w:tc>
        <w:tc>
          <w:tcPr>
            <w:tcW w:w="100" w:type="dxa"/>
            <w:vAlign w:val="bottom"/>
          </w:tcPr>
          <w:p>
            <w:pPr>
              <w:spacing w:after="0"/>
              <w:rPr>
                <w:sz w:val="12"/>
                <w:szCs w:val="12"/>
                <w:color w:val="auto"/>
              </w:rPr>
            </w:pPr>
          </w:p>
        </w:tc>
        <w:tc>
          <w:tcPr>
            <w:tcW w:w="820" w:type="dxa"/>
            <w:vAlign w:val="bottom"/>
          </w:tcPr>
          <w:p>
            <w:pPr>
              <w:jc w:val="right"/>
              <w:spacing w:after="0" w:line="142" w:lineRule="exact"/>
              <w:rPr>
                <w:sz w:val="20"/>
                <w:szCs w:val="20"/>
                <w:color w:val="auto"/>
              </w:rPr>
            </w:pPr>
            <w:r>
              <w:rPr>
                <w:rFonts w:ascii="Arial" w:cs="Arial" w:eastAsia="Arial" w:hAnsi="Arial"/>
                <w:sz w:val="14"/>
                <w:szCs w:val="14"/>
                <w:color w:val="auto"/>
              </w:rPr>
              <w:t>8,670.7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Expenses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Benefits, claims and settlement expenses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4,013.0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616.9</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(13.3)</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4,616.6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Dividends to policyholders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210.2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210.2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Operating expenses</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116.0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1,965.0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1,142.9</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(252.8)</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2,971.1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48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expenses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116.0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6,188.2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1,759.8</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(266.1)</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7,797.9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500" w:type="dxa"/>
            <w:vAlign w:val="bottom"/>
            <w:gridSpan w:val="2"/>
            <w:vMerge w:val="restart"/>
          </w:tcPr>
          <w:p>
            <w:pPr>
              <w:spacing w:after="0"/>
              <w:rPr>
                <w:sz w:val="20"/>
                <w:szCs w:val="20"/>
                <w:color w:val="auto"/>
              </w:rPr>
            </w:pPr>
            <w:r>
              <w:rPr>
                <w:rFonts w:ascii="Arial" w:cs="Arial" w:eastAsia="Arial" w:hAnsi="Arial"/>
                <w:sz w:val="14"/>
                <w:szCs w:val="14"/>
                <w:color w:val="auto"/>
              </w:rPr>
              <w:t>Income (loss) before income taxes</w:t>
            </w: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350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(127.8)</w:t>
            </w:r>
          </w:p>
        </w:tc>
        <w:tc>
          <w:tcPr>
            <w:tcW w:w="80" w:type="dxa"/>
            <w:vAlign w:val="bottom"/>
          </w:tcPr>
          <w:p>
            <w:pPr>
              <w:spacing w:after="0"/>
              <w:rPr>
                <w:sz w:val="12"/>
                <w:szCs w:val="12"/>
                <w:color w:val="auto"/>
              </w:rPr>
            </w:pPr>
          </w:p>
        </w:tc>
        <w:tc>
          <w:tcPr>
            <w:tcW w:w="880" w:type="dxa"/>
            <w:vAlign w:val="bottom"/>
          </w:tcPr>
          <w:p>
            <w:pPr>
              <w:jc w:val="right"/>
              <w:spacing w:after="0" w:line="142" w:lineRule="exact"/>
              <w:rPr>
                <w:sz w:val="20"/>
                <w:szCs w:val="20"/>
                <w:color w:val="auto"/>
              </w:rPr>
            </w:pPr>
            <w:r>
              <w:rPr>
                <w:rFonts w:ascii="Arial" w:cs="Arial" w:eastAsia="Arial" w:hAnsi="Arial"/>
                <w:sz w:val="14"/>
                <w:szCs w:val="14"/>
                <w:color w:val="auto"/>
              </w:rPr>
              <w:t>797.7</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2" w:lineRule="exact"/>
              <w:rPr>
                <w:sz w:val="20"/>
                <w:szCs w:val="20"/>
                <w:color w:val="auto"/>
              </w:rPr>
            </w:pPr>
            <w:r>
              <w:rPr>
                <w:rFonts w:ascii="Arial" w:cs="Arial" w:eastAsia="Arial" w:hAnsi="Arial"/>
                <w:sz w:val="14"/>
                <w:szCs w:val="14"/>
                <w:color w:val="auto"/>
              </w:rPr>
              <w:t>168.5</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40" w:type="dxa"/>
            <w:vAlign w:val="bottom"/>
          </w:tcPr>
          <w:p>
            <w:pPr>
              <w:jc w:val="right"/>
              <w:spacing w:after="0" w:line="142" w:lineRule="exact"/>
              <w:rPr>
                <w:sz w:val="20"/>
                <w:szCs w:val="20"/>
                <w:color w:val="auto"/>
              </w:rPr>
            </w:pPr>
            <w:r>
              <w:rPr>
                <w:rFonts w:ascii="Arial" w:cs="Arial" w:eastAsia="Arial" w:hAnsi="Arial"/>
                <w:sz w:val="14"/>
                <w:szCs w:val="14"/>
                <w:color w:val="auto"/>
              </w:rPr>
              <w:t>34.4</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jc w:val="right"/>
              <w:spacing w:after="0" w:line="142" w:lineRule="exact"/>
              <w:rPr>
                <w:sz w:val="20"/>
                <w:szCs w:val="20"/>
                <w:color w:val="auto"/>
              </w:rPr>
            </w:pPr>
            <w:r>
              <w:rPr>
                <w:rFonts w:ascii="Arial" w:cs="Arial" w:eastAsia="Arial" w:hAnsi="Arial"/>
                <w:sz w:val="14"/>
                <w:szCs w:val="14"/>
                <w:color w:val="auto"/>
              </w:rPr>
              <w:t>872.8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Income taxes (benefits)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(50.4)</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267.0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(18.5)</w:t>
            </w: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0.2</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198.3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Equity in the net income of subsidiaries</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715.7</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7.2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565.1</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(1,288.0)</w:t>
            </w:r>
          </w:p>
        </w:tc>
        <w:tc>
          <w:tcPr>
            <w:tcW w:w="100" w:type="dxa"/>
            <w:vAlign w:val="bottom"/>
          </w:tcPr>
          <w:p>
            <w:pPr>
              <w:spacing w:after="0"/>
              <w:rPr>
                <w:sz w:val="12"/>
                <w:szCs w:val="12"/>
                <w:color w:val="auto"/>
              </w:rPr>
            </w:pPr>
          </w:p>
        </w:tc>
        <w:tc>
          <w:tcPr>
            <w:tcW w:w="9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34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income</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638.3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537.9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752.1</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(1,253.8)</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674.5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Net income attributable to noncontrolling interest</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36.4</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(0.2)</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36.2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34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income attributable to PFG</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638.3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537.9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715.7</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(1,253.6)</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638.3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tcPr>
          <w:p>
            <w:pPr>
              <w:spacing w:after="0" w:line="149" w:lineRule="exact"/>
              <w:rPr>
                <w:sz w:val="20"/>
                <w:szCs w:val="20"/>
                <w:color w:val="auto"/>
              </w:rPr>
            </w:pPr>
            <w:r>
              <w:rPr>
                <w:rFonts w:ascii="Arial" w:cs="Arial" w:eastAsia="Arial" w:hAnsi="Arial"/>
                <w:sz w:val="14"/>
                <w:szCs w:val="14"/>
                <w:color w:val="auto"/>
              </w:rPr>
              <w:t>Preferred stock dividends</w:t>
            </w:r>
          </w:p>
        </w:tc>
        <w:tc>
          <w:tcPr>
            <w:tcW w:w="8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33.0</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33.0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4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income available to common stockholders</w:t>
            </w:r>
          </w:p>
        </w:tc>
        <w:tc>
          <w:tcPr>
            <w:tcW w:w="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605.3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537.9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12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715.7</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jc w:val="right"/>
              <w:ind w:right="126"/>
              <w:spacing w:after="0"/>
              <w:rPr>
                <w:sz w:val="20"/>
                <w:szCs w:val="20"/>
                <w:color w:val="auto"/>
              </w:rPr>
            </w:pPr>
            <w:r>
              <w:rPr>
                <w:rFonts w:ascii="Arial" w:cs="Arial" w:eastAsia="Arial" w:hAnsi="Arial"/>
                <w:sz w:val="10"/>
                <w:szCs w:val="10"/>
                <w:color w:val="auto"/>
                <w:w w:val="71"/>
              </w:rPr>
              <w:t>$</w:t>
            </w:r>
          </w:p>
        </w:tc>
        <w:tc>
          <w:tcPr>
            <w:tcW w:w="8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(1,253.6)</w:t>
            </w:r>
          </w:p>
        </w:tc>
        <w:tc>
          <w:tcPr>
            <w:tcW w:w="1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605.3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500" w:type="dxa"/>
            <w:vAlign w:val="bottom"/>
            <w:gridSpan w:val="2"/>
            <w:vMerge w:val="restart"/>
          </w:tcPr>
          <w:p>
            <w:pPr>
              <w:spacing w:after="0"/>
              <w:rPr>
                <w:sz w:val="20"/>
                <w:szCs w:val="20"/>
                <w:color w:val="auto"/>
              </w:rPr>
            </w:pPr>
            <w:r>
              <w:rPr>
                <w:rFonts w:ascii="Arial" w:cs="Arial" w:eastAsia="Arial" w:hAnsi="Arial"/>
                <w:sz w:val="14"/>
                <w:szCs w:val="14"/>
                <w:color w:val="auto"/>
              </w:rPr>
              <w:t>Net income</w:t>
            </w:r>
          </w:p>
        </w:tc>
        <w:tc>
          <w:tcPr>
            <w:tcW w:w="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3500" w:type="dxa"/>
            <w:vAlign w:val="bottom"/>
            <w:gridSpan w:val="2"/>
            <w:vMerge w:val="continue"/>
          </w:tcPr>
          <w:p>
            <w:pPr>
              <w:spacing w:after="0"/>
              <w:rPr>
                <w:sz w:val="11"/>
                <w:szCs w:val="11"/>
                <w:color w:val="auto"/>
              </w:rPr>
            </w:pPr>
          </w:p>
        </w:tc>
        <w:tc>
          <w:tcPr>
            <w:tcW w:w="8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780" w:type="dxa"/>
            <w:vAlign w:val="bottom"/>
          </w:tcPr>
          <w:p>
            <w:pPr>
              <w:jc w:val="right"/>
              <w:spacing w:after="0" w:line="129" w:lineRule="exact"/>
              <w:rPr>
                <w:sz w:val="20"/>
                <w:szCs w:val="20"/>
                <w:color w:val="auto"/>
              </w:rPr>
            </w:pPr>
            <w:r>
              <w:rPr>
                <w:rFonts w:ascii="Arial" w:cs="Arial" w:eastAsia="Arial" w:hAnsi="Arial"/>
                <w:sz w:val="14"/>
                <w:szCs w:val="14"/>
                <w:color w:val="auto"/>
              </w:rPr>
              <w:t>638.3</w:t>
            </w:r>
          </w:p>
        </w:tc>
        <w:tc>
          <w:tcPr>
            <w:tcW w:w="160" w:type="dxa"/>
            <w:vAlign w:val="bottom"/>
          </w:tcPr>
          <w:p>
            <w:pPr>
              <w:spacing w:after="0"/>
              <w:rPr>
                <w:sz w:val="11"/>
                <w:szCs w:val="11"/>
                <w:color w:val="auto"/>
              </w:rPr>
            </w:pPr>
          </w:p>
        </w:tc>
        <w:tc>
          <w:tcPr>
            <w:tcW w:w="8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880" w:type="dxa"/>
            <w:vAlign w:val="bottom"/>
          </w:tcPr>
          <w:p>
            <w:pPr>
              <w:jc w:val="right"/>
              <w:spacing w:after="0" w:line="129" w:lineRule="exact"/>
              <w:rPr>
                <w:sz w:val="20"/>
                <w:szCs w:val="20"/>
                <w:color w:val="auto"/>
              </w:rPr>
            </w:pPr>
            <w:r>
              <w:rPr>
                <w:rFonts w:ascii="Arial" w:cs="Arial" w:eastAsia="Arial" w:hAnsi="Arial"/>
                <w:sz w:val="14"/>
                <w:szCs w:val="14"/>
                <w:color w:val="auto"/>
              </w:rPr>
              <w:t>537.9</w:t>
            </w:r>
          </w:p>
        </w:tc>
        <w:tc>
          <w:tcPr>
            <w:tcW w:w="160" w:type="dxa"/>
            <w:vAlign w:val="bottom"/>
          </w:tcPr>
          <w:p>
            <w:pPr>
              <w:spacing w:after="0"/>
              <w:rPr>
                <w:sz w:val="11"/>
                <w:szCs w:val="11"/>
                <w:color w:val="auto"/>
              </w:rPr>
            </w:pPr>
          </w:p>
        </w:tc>
        <w:tc>
          <w:tcPr>
            <w:tcW w:w="8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1220" w:type="dxa"/>
            <w:vAlign w:val="bottom"/>
          </w:tcPr>
          <w:p>
            <w:pPr>
              <w:jc w:val="right"/>
              <w:spacing w:after="0" w:line="129" w:lineRule="exact"/>
              <w:rPr>
                <w:sz w:val="20"/>
                <w:szCs w:val="20"/>
                <w:color w:val="auto"/>
              </w:rPr>
            </w:pPr>
            <w:r>
              <w:rPr>
                <w:rFonts w:ascii="Arial" w:cs="Arial" w:eastAsia="Arial" w:hAnsi="Arial"/>
                <w:sz w:val="14"/>
                <w:szCs w:val="14"/>
                <w:color w:val="auto"/>
              </w:rPr>
              <w:t>752.1</w:t>
            </w:r>
          </w:p>
        </w:tc>
        <w:tc>
          <w:tcPr>
            <w:tcW w:w="160" w:type="dxa"/>
            <w:vAlign w:val="bottom"/>
          </w:tcPr>
          <w:p>
            <w:pPr>
              <w:spacing w:after="0"/>
              <w:rPr>
                <w:sz w:val="11"/>
                <w:szCs w:val="11"/>
                <w:color w:val="auto"/>
              </w:rPr>
            </w:pPr>
          </w:p>
        </w:tc>
        <w:tc>
          <w:tcPr>
            <w:tcW w:w="240" w:type="dxa"/>
            <w:vAlign w:val="bottom"/>
          </w:tcPr>
          <w:p>
            <w:pPr>
              <w:jc w:val="right"/>
              <w:ind w:right="126"/>
              <w:spacing w:after="0"/>
              <w:rPr>
                <w:sz w:val="20"/>
                <w:szCs w:val="20"/>
                <w:color w:val="auto"/>
              </w:rPr>
            </w:pPr>
            <w:r>
              <w:rPr>
                <w:rFonts w:ascii="Arial" w:cs="Arial" w:eastAsia="Arial" w:hAnsi="Arial"/>
                <w:sz w:val="10"/>
                <w:szCs w:val="10"/>
                <w:color w:val="auto"/>
                <w:w w:val="71"/>
              </w:rPr>
              <w:t>$</w:t>
            </w:r>
          </w:p>
        </w:tc>
        <w:tc>
          <w:tcPr>
            <w:tcW w:w="640" w:type="dxa"/>
            <w:vAlign w:val="bottom"/>
          </w:tcPr>
          <w:p>
            <w:pPr>
              <w:jc w:val="right"/>
              <w:spacing w:after="0" w:line="129" w:lineRule="exact"/>
              <w:rPr>
                <w:sz w:val="20"/>
                <w:szCs w:val="20"/>
                <w:color w:val="auto"/>
              </w:rPr>
            </w:pPr>
            <w:r>
              <w:rPr>
                <w:rFonts w:ascii="Arial" w:cs="Arial" w:eastAsia="Arial" w:hAnsi="Arial"/>
                <w:sz w:val="14"/>
                <w:szCs w:val="14"/>
                <w:color w:val="auto"/>
              </w:rPr>
              <w:t>(1,253.8)</w:t>
            </w:r>
          </w:p>
        </w:tc>
        <w:tc>
          <w:tcPr>
            <w:tcW w:w="160" w:type="dxa"/>
            <w:vAlign w:val="bottom"/>
          </w:tcPr>
          <w:p>
            <w:pPr>
              <w:spacing w:after="0"/>
              <w:rPr>
                <w:sz w:val="11"/>
                <w:szCs w:val="11"/>
                <w:color w:val="auto"/>
              </w:rPr>
            </w:pPr>
          </w:p>
        </w:tc>
        <w:tc>
          <w:tcPr>
            <w:tcW w:w="10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820" w:type="dxa"/>
            <w:vAlign w:val="bottom"/>
          </w:tcPr>
          <w:p>
            <w:pPr>
              <w:jc w:val="right"/>
              <w:spacing w:after="0" w:line="129" w:lineRule="exact"/>
              <w:rPr>
                <w:sz w:val="20"/>
                <w:szCs w:val="20"/>
                <w:color w:val="auto"/>
              </w:rPr>
            </w:pPr>
            <w:r>
              <w:rPr>
                <w:rFonts w:ascii="Arial" w:cs="Arial" w:eastAsia="Arial" w:hAnsi="Arial"/>
                <w:sz w:val="14"/>
                <w:szCs w:val="14"/>
                <w:color w:val="auto"/>
              </w:rPr>
              <w:t>674.5</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comprehensive income (loss)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(34.5)</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(166.6)</w:t>
            </w: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60.4</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(40.6)</w:t>
            </w:r>
          </w:p>
        </w:tc>
        <w:tc>
          <w:tcPr>
            <w:tcW w:w="0" w:type="dxa"/>
            <w:vAlign w:val="bottom"/>
          </w:tcPr>
          <w:p>
            <w:pPr>
              <w:spacing w:after="0"/>
              <w:rPr>
                <w:sz w:val="1"/>
                <w:szCs w:val="1"/>
                <w:color w:val="auto"/>
              </w:rPr>
            </w:pPr>
          </w:p>
        </w:tc>
      </w:tr>
      <w:tr>
        <w:trPr>
          <w:trHeight w:val="142"/>
        </w:trPr>
        <w:tc>
          <w:tcPr>
            <w:tcW w:w="3500" w:type="dxa"/>
            <w:vAlign w:val="bottom"/>
            <w:gridSpan w:val="2"/>
          </w:tcPr>
          <w:p>
            <w:pPr>
              <w:spacing w:after="0" w:line="142" w:lineRule="exact"/>
              <w:rPr>
                <w:sz w:val="20"/>
                <w:szCs w:val="20"/>
                <w:color w:val="auto"/>
              </w:rPr>
            </w:pPr>
            <w:r>
              <w:rPr>
                <w:rFonts w:ascii="Arial" w:cs="Arial" w:eastAsia="Arial" w:hAnsi="Arial"/>
                <w:sz w:val="14"/>
                <w:szCs w:val="14"/>
                <w:color w:val="auto"/>
              </w:rPr>
              <w:t>Comprehensive income</w:t>
            </w: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603.8</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638.0</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12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585.5</w:t>
            </w:r>
          </w:p>
        </w:tc>
        <w:tc>
          <w:tcPr>
            <w:tcW w:w="160" w:type="dxa"/>
            <w:vAlign w:val="bottom"/>
          </w:tcPr>
          <w:p>
            <w:pPr>
              <w:spacing w:after="0"/>
              <w:rPr>
                <w:sz w:val="12"/>
                <w:szCs w:val="12"/>
                <w:color w:val="auto"/>
              </w:rPr>
            </w:pPr>
          </w:p>
        </w:tc>
        <w:tc>
          <w:tcPr>
            <w:tcW w:w="240" w:type="dxa"/>
            <w:vAlign w:val="bottom"/>
            <w:tcBorders>
              <w:top w:val="single" w:sz="8" w:color="auto"/>
              <w:bottom w:val="single" w:sz="8" w:color="auto"/>
            </w:tcBorders>
          </w:tcPr>
          <w:p>
            <w:pPr>
              <w:jc w:val="right"/>
              <w:ind w:right="126"/>
              <w:spacing w:after="0"/>
              <w:rPr>
                <w:sz w:val="20"/>
                <w:szCs w:val="20"/>
                <w:color w:val="auto"/>
              </w:rPr>
            </w:pPr>
            <w:r>
              <w:rPr>
                <w:rFonts w:ascii="Arial" w:cs="Arial" w:eastAsia="Arial" w:hAnsi="Arial"/>
                <w:sz w:val="10"/>
                <w:szCs w:val="10"/>
                <w:color w:val="auto"/>
                <w:w w:val="71"/>
              </w:rPr>
              <w:t>$</w:t>
            </w:r>
          </w:p>
        </w:tc>
        <w:tc>
          <w:tcPr>
            <w:tcW w:w="6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(1,193.4)</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633.9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193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360"/>
          </w:cols>
          <w:pgMar w:left="240" w:top="131" w:right="1299" w:bottom="1440" w:gutter="0" w:footer="0" w:header="0"/>
        </w:sectPr>
      </w:pPr>
    </w:p>
    <w:bookmarkStart w:id="197" w:name="page198"/>
    <w:bookmarkEnd w:id="19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21. Condensed Consolidating Financial Information — (continued)</w:t>
      </w:r>
    </w:p>
    <w:p>
      <w:pPr>
        <w:spacing w:after="0" w:line="22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Condensed Consolidating Statements of Cash Flows</w:t>
      </w:r>
    </w:p>
    <w:p>
      <w:pPr>
        <w:spacing w:after="0" w:line="21" w:lineRule="exact"/>
        <w:rPr>
          <w:sz w:val="20"/>
          <w:szCs w:val="20"/>
          <w:color w:val="auto"/>
        </w:rPr>
      </w:pPr>
    </w:p>
    <w:p>
      <w:pPr>
        <w:jc w:val="center"/>
        <w:ind w:right="-1019"/>
        <w:spacing w:after="0"/>
        <w:rPr>
          <w:sz w:val="20"/>
          <w:szCs w:val="20"/>
          <w:color w:val="auto"/>
        </w:rPr>
      </w:pPr>
      <w:r>
        <w:rPr>
          <w:rFonts w:ascii="Arial" w:cs="Arial" w:eastAsia="Arial" w:hAnsi="Arial"/>
          <w:sz w:val="18"/>
          <w:szCs w:val="18"/>
          <w:b w:val="1"/>
          <w:bCs w:val="1"/>
          <w:color w:val="auto"/>
        </w:rPr>
        <w:t>For the year ended December 31, 2013</w:t>
      </w:r>
    </w:p>
    <w:p>
      <w:pPr>
        <w:spacing w:after="0" w:line="202" w:lineRule="exact"/>
        <w:rPr>
          <w:sz w:val="20"/>
          <w:szCs w:val="20"/>
          <w:color w:val="auto"/>
        </w:rPr>
      </w:pPr>
    </w:p>
    <w:tbl>
      <w:tblPr>
        <w:tblLayout w:type="fixed"/>
        <w:tblInd w:w="4720" w:type="dxa"/>
        <w:tblCellMar>
          <w:top w:w="0" w:type="dxa"/>
          <w:left w:w="0" w:type="dxa"/>
          <w:bottom w:w="0" w:type="dxa"/>
          <w:right w:w="0" w:type="dxa"/>
        </w:tblCellMar>
      </w:tblPr>
      <w:tr>
        <w:trPr>
          <w:trHeight w:val="161"/>
        </w:trPr>
        <w:tc>
          <w:tcPr>
            <w:tcW w:w="8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420" w:type="dxa"/>
            <w:vAlign w:val="bottom"/>
          </w:tcPr>
          <w:p>
            <w:pPr>
              <w:jc w:val="center"/>
              <w:spacing w:after="0"/>
              <w:rPr>
                <w:sz w:val="20"/>
                <w:szCs w:val="20"/>
                <w:color w:val="auto"/>
              </w:rPr>
            </w:pPr>
            <w:r>
              <w:rPr>
                <w:rFonts w:ascii="Arial" w:cs="Arial" w:eastAsia="Arial" w:hAnsi="Arial"/>
                <w:sz w:val="14"/>
                <w:szCs w:val="14"/>
                <w:b w:val="1"/>
                <w:bCs w:val="1"/>
                <w:color w:val="auto"/>
                <w:w w:val="91"/>
              </w:rPr>
              <w:t>Principal</w:t>
            </w:r>
          </w:p>
        </w:tc>
        <w:tc>
          <w:tcPr>
            <w:tcW w:w="1060" w:type="dxa"/>
            <w:vAlign w:val="bottom"/>
          </w:tcPr>
          <w:p>
            <w:pPr>
              <w:spacing w:after="0"/>
              <w:rPr>
                <w:sz w:val="14"/>
                <w:szCs w:val="14"/>
                <w:color w:val="auto"/>
              </w:rPr>
            </w:pPr>
          </w:p>
        </w:tc>
        <w:tc>
          <w:tcPr>
            <w:tcW w:w="920" w:type="dxa"/>
            <w:vAlign w:val="bottom"/>
          </w:tcPr>
          <w:p>
            <w:pPr>
              <w:spacing w:after="0"/>
              <w:rPr>
                <w:sz w:val="14"/>
                <w:szCs w:val="14"/>
                <w:color w:val="auto"/>
              </w:rPr>
            </w:pPr>
          </w:p>
        </w:tc>
      </w:tr>
      <w:tr>
        <w:trPr>
          <w:trHeight w:val="149"/>
        </w:trPr>
        <w:tc>
          <w:tcPr>
            <w:tcW w:w="880" w:type="dxa"/>
            <w:vAlign w:val="bottom"/>
          </w:tcPr>
          <w:p>
            <w:pPr>
              <w:jc w:val="center"/>
              <w:ind w:right="92"/>
              <w:spacing w:after="0" w:line="149" w:lineRule="exact"/>
              <w:rPr>
                <w:sz w:val="20"/>
                <w:szCs w:val="20"/>
                <w:color w:val="auto"/>
              </w:rPr>
            </w:pPr>
            <w:r>
              <w:rPr>
                <w:rFonts w:ascii="Arial" w:cs="Arial" w:eastAsia="Arial" w:hAnsi="Arial"/>
                <w:sz w:val="14"/>
                <w:szCs w:val="14"/>
                <w:b w:val="1"/>
                <w:bCs w:val="1"/>
                <w:color w:val="auto"/>
                <w:w w:val="87"/>
              </w:rPr>
              <w:t>Principal</w:t>
            </w:r>
          </w:p>
        </w:tc>
        <w:tc>
          <w:tcPr>
            <w:tcW w:w="11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Principal Life</w:t>
            </w:r>
          </w:p>
        </w:tc>
        <w:tc>
          <w:tcPr>
            <w:tcW w:w="14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Financial</w:t>
            </w:r>
          </w:p>
        </w:tc>
        <w:tc>
          <w:tcPr>
            <w:tcW w:w="1060" w:type="dxa"/>
            <w:vAlign w:val="bottom"/>
          </w:tcPr>
          <w:p>
            <w:pPr>
              <w:spacing w:after="0"/>
              <w:rPr>
                <w:sz w:val="12"/>
                <w:szCs w:val="12"/>
                <w:color w:val="auto"/>
              </w:rPr>
            </w:pPr>
          </w:p>
        </w:tc>
        <w:tc>
          <w:tcPr>
            <w:tcW w:w="920" w:type="dxa"/>
            <w:vAlign w:val="bottom"/>
          </w:tcPr>
          <w:p>
            <w:pPr>
              <w:jc w:val="center"/>
              <w:ind w:left="72"/>
              <w:spacing w:after="0" w:line="149" w:lineRule="exact"/>
              <w:rPr>
                <w:sz w:val="20"/>
                <w:szCs w:val="20"/>
                <w:color w:val="auto"/>
              </w:rPr>
            </w:pPr>
            <w:r>
              <w:rPr>
                <w:rFonts w:ascii="Arial" w:cs="Arial" w:eastAsia="Arial" w:hAnsi="Arial"/>
                <w:sz w:val="14"/>
                <w:szCs w:val="14"/>
                <w:b w:val="1"/>
                <w:bCs w:val="1"/>
                <w:color w:val="auto"/>
                <w:w w:val="91"/>
              </w:rPr>
              <w:t>Principal</w:t>
            </w:r>
          </w:p>
        </w:tc>
      </w:tr>
      <w:tr>
        <w:trPr>
          <w:trHeight w:val="149"/>
        </w:trPr>
        <w:tc>
          <w:tcPr>
            <w:tcW w:w="880" w:type="dxa"/>
            <w:vAlign w:val="bottom"/>
          </w:tcPr>
          <w:p>
            <w:pPr>
              <w:jc w:val="center"/>
              <w:ind w:right="112"/>
              <w:spacing w:after="0" w:line="149" w:lineRule="exact"/>
              <w:rPr>
                <w:sz w:val="20"/>
                <w:szCs w:val="20"/>
                <w:color w:val="auto"/>
              </w:rPr>
            </w:pPr>
            <w:r>
              <w:rPr>
                <w:rFonts w:ascii="Arial" w:cs="Arial" w:eastAsia="Arial" w:hAnsi="Arial"/>
                <w:sz w:val="14"/>
                <w:szCs w:val="14"/>
                <w:b w:val="1"/>
                <w:bCs w:val="1"/>
                <w:color w:val="auto"/>
                <w:w w:val="88"/>
              </w:rPr>
              <w:t>Financial</w:t>
            </w:r>
          </w:p>
        </w:tc>
        <w:tc>
          <w:tcPr>
            <w:tcW w:w="11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Insurance</w:t>
            </w:r>
          </w:p>
        </w:tc>
        <w:tc>
          <w:tcPr>
            <w:tcW w:w="14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Services, Inc. and</w:t>
            </w:r>
          </w:p>
        </w:tc>
        <w:tc>
          <w:tcPr>
            <w:tcW w:w="1060" w:type="dxa"/>
            <w:vAlign w:val="bottom"/>
          </w:tcPr>
          <w:p>
            <w:pPr>
              <w:spacing w:after="0"/>
              <w:rPr>
                <w:sz w:val="12"/>
                <w:szCs w:val="12"/>
                <w:color w:val="auto"/>
              </w:rPr>
            </w:pPr>
          </w:p>
        </w:tc>
        <w:tc>
          <w:tcPr>
            <w:tcW w:w="920" w:type="dxa"/>
            <w:vAlign w:val="bottom"/>
          </w:tcPr>
          <w:p>
            <w:pPr>
              <w:jc w:val="center"/>
              <w:ind w:left="72"/>
              <w:spacing w:after="0" w:line="149" w:lineRule="exact"/>
              <w:rPr>
                <w:sz w:val="20"/>
                <w:szCs w:val="20"/>
                <w:color w:val="auto"/>
              </w:rPr>
            </w:pPr>
            <w:r>
              <w:rPr>
                <w:rFonts w:ascii="Arial" w:cs="Arial" w:eastAsia="Arial" w:hAnsi="Arial"/>
                <w:sz w:val="14"/>
                <w:szCs w:val="14"/>
                <w:b w:val="1"/>
                <w:bCs w:val="1"/>
                <w:color w:val="auto"/>
                <w:w w:val="88"/>
              </w:rPr>
              <w:t>Financial</w:t>
            </w:r>
          </w:p>
        </w:tc>
      </w:tr>
      <w:tr>
        <w:trPr>
          <w:trHeight w:val="149"/>
        </w:trPr>
        <w:tc>
          <w:tcPr>
            <w:tcW w:w="880" w:type="dxa"/>
            <w:vAlign w:val="bottom"/>
          </w:tcPr>
          <w:p>
            <w:pPr>
              <w:jc w:val="center"/>
              <w:ind w:right="92"/>
              <w:spacing w:after="0" w:line="149" w:lineRule="exact"/>
              <w:rPr>
                <w:sz w:val="20"/>
                <w:szCs w:val="20"/>
                <w:color w:val="auto"/>
              </w:rPr>
            </w:pPr>
            <w:r>
              <w:rPr>
                <w:rFonts w:ascii="Arial" w:cs="Arial" w:eastAsia="Arial" w:hAnsi="Arial"/>
                <w:sz w:val="14"/>
                <w:szCs w:val="14"/>
                <w:b w:val="1"/>
                <w:bCs w:val="1"/>
                <w:color w:val="auto"/>
                <w:w w:val="91"/>
              </w:rPr>
              <w:t>Group, Inc.</w:t>
            </w:r>
          </w:p>
        </w:tc>
        <w:tc>
          <w:tcPr>
            <w:tcW w:w="11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Company</w:t>
            </w:r>
          </w:p>
        </w:tc>
        <w:tc>
          <w:tcPr>
            <w:tcW w:w="14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Other Subsidiaries</w:t>
            </w:r>
          </w:p>
        </w:tc>
        <w:tc>
          <w:tcPr>
            <w:tcW w:w="1060" w:type="dxa"/>
            <w:vAlign w:val="bottom"/>
          </w:tcPr>
          <w:p>
            <w:pPr>
              <w:spacing w:after="0"/>
              <w:rPr>
                <w:sz w:val="12"/>
                <w:szCs w:val="12"/>
                <w:color w:val="auto"/>
              </w:rPr>
            </w:pPr>
          </w:p>
        </w:tc>
        <w:tc>
          <w:tcPr>
            <w:tcW w:w="920" w:type="dxa"/>
            <w:vAlign w:val="bottom"/>
          </w:tcPr>
          <w:p>
            <w:pPr>
              <w:jc w:val="center"/>
              <w:ind w:left="72"/>
              <w:spacing w:after="0" w:line="149" w:lineRule="exact"/>
              <w:rPr>
                <w:sz w:val="20"/>
                <w:szCs w:val="20"/>
                <w:color w:val="auto"/>
              </w:rPr>
            </w:pPr>
            <w:r>
              <w:rPr>
                <w:rFonts w:ascii="Arial" w:cs="Arial" w:eastAsia="Arial" w:hAnsi="Arial"/>
                <w:sz w:val="14"/>
                <w:szCs w:val="14"/>
                <w:b w:val="1"/>
                <w:bCs w:val="1"/>
                <w:color w:val="auto"/>
                <w:w w:val="89"/>
              </w:rPr>
              <w:t>Group, Inc.</w:t>
            </w:r>
          </w:p>
        </w:tc>
      </w:tr>
      <w:tr>
        <w:trPr>
          <w:trHeight w:val="161"/>
        </w:trPr>
        <w:tc>
          <w:tcPr>
            <w:tcW w:w="880" w:type="dxa"/>
            <w:vAlign w:val="bottom"/>
          </w:tcPr>
          <w:p>
            <w:pPr>
              <w:jc w:val="center"/>
              <w:ind w:right="92"/>
              <w:spacing w:after="0"/>
              <w:rPr>
                <w:sz w:val="20"/>
                <w:szCs w:val="20"/>
                <w:color w:val="auto"/>
              </w:rPr>
            </w:pPr>
            <w:r>
              <w:rPr>
                <w:rFonts w:ascii="Arial" w:cs="Arial" w:eastAsia="Arial" w:hAnsi="Arial"/>
                <w:sz w:val="14"/>
                <w:szCs w:val="14"/>
                <w:b w:val="1"/>
                <w:bCs w:val="1"/>
                <w:color w:val="auto"/>
                <w:w w:val="91"/>
              </w:rPr>
              <w:t>Parent Only</w:t>
            </w:r>
          </w:p>
        </w:tc>
        <w:tc>
          <w:tcPr>
            <w:tcW w:w="1120" w:type="dxa"/>
            <w:vAlign w:val="bottom"/>
          </w:tcPr>
          <w:p>
            <w:pPr>
              <w:jc w:val="center"/>
              <w:spacing w:after="0"/>
              <w:rPr>
                <w:sz w:val="20"/>
                <w:szCs w:val="20"/>
                <w:color w:val="auto"/>
              </w:rPr>
            </w:pPr>
            <w:r>
              <w:rPr>
                <w:rFonts w:ascii="Arial" w:cs="Arial" w:eastAsia="Arial" w:hAnsi="Arial"/>
                <w:sz w:val="14"/>
                <w:szCs w:val="14"/>
                <w:b w:val="1"/>
                <w:bCs w:val="1"/>
                <w:color w:val="auto"/>
                <w:w w:val="89"/>
              </w:rPr>
              <w:t>Only</w:t>
            </w:r>
          </w:p>
        </w:tc>
        <w:tc>
          <w:tcPr>
            <w:tcW w:w="1420" w:type="dxa"/>
            <w:vAlign w:val="bottom"/>
          </w:tcPr>
          <w:p>
            <w:pPr>
              <w:jc w:val="center"/>
              <w:spacing w:after="0"/>
              <w:rPr>
                <w:sz w:val="20"/>
                <w:szCs w:val="20"/>
                <w:color w:val="auto"/>
              </w:rPr>
            </w:pPr>
            <w:r>
              <w:rPr>
                <w:rFonts w:ascii="Arial" w:cs="Arial" w:eastAsia="Arial" w:hAnsi="Arial"/>
                <w:sz w:val="14"/>
                <w:szCs w:val="14"/>
                <w:b w:val="1"/>
                <w:bCs w:val="1"/>
                <w:color w:val="auto"/>
                <w:w w:val="87"/>
              </w:rPr>
              <w:t>Combined</w:t>
            </w:r>
          </w:p>
        </w:tc>
        <w:tc>
          <w:tcPr>
            <w:tcW w:w="1060" w:type="dxa"/>
            <w:vAlign w:val="bottom"/>
          </w:tcPr>
          <w:p>
            <w:pPr>
              <w:ind w:left="160"/>
              <w:spacing w:after="0"/>
              <w:rPr>
                <w:sz w:val="20"/>
                <w:szCs w:val="20"/>
                <w:color w:val="auto"/>
              </w:rPr>
            </w:pPr>
            <w:r>
              <w:rPr>
                <w:rFonts w:ascii="Arial" w:cs="Arial" w:eastAsia="Arial" w:hAnsi="Arial"/>
                <w:sz w:val="14"/>
                <w:szCs w:val="14"/>
                <w:b w:val="1"/>
                <w:bCs w:val="1"/>
                <w:color w:val="auto"/>
              </w:rPr>
              <w:t>Eliminations</w:t>
            </w:r>
          </w:p>
        </w:tc>
        <w:tc>
          <w:tcPr>
            <w:tcW w:w="920" w:type="dxa"/>
            <w:vAlign w:val="bottom"/>
          </w:tcPr>
          <w:p>
            <w:pPr>
              <w:jc w:val="center"/>
              <w:ind w:left="92"/>
              <w:spacing w:after="0"/>
              <w:rPr>
                <w:sz w:val="20"/>
                <w:szCs w:val="20"/>
                <w:color w:val="auto"/>
              </w:rPr>
            </w:pPr>
            <w:r>
              <w:rPr>
                <w:rFonts w:ascii="Arial" w:cs="Arial" w:eastAsia="Arial" w:hAnsi="Arial"/>
                <w:sz w:val="14"/>
                <w:szCs w:val="14"/>
                <w:b w:val="1"/>
                <w:bCs w:val="1"/>
                <w:color w:val="auto"/>
                <w:w w:val="85"/>
              </w:rPr>
              <w:t>Consolidated</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2955290</wp:posOffset>
            </wp:positionH>
            <wp:positionV relativeFrom="paragraph">
              <wp:posOffset>0</wp:posOffset>
            </wp:positionV>
            <wp:extent cx="1260475" cy="889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1260475" cy="8890"/>
                    </a:xfrm>
                    <a:prstGeom prst="rect">
                      <a:avLst/>
                    </a:prstGeom>
                    <a:noFill/>
                  </pic:spPr>
                </pic:pic>
              </a:graphicData>
            </a:graphic>
          </wp:anchor>
        </w:drawing>
      </w:r>
    </w:p>
    <w:p>
      <w:pPr>
        <w:sectPr>
          <w:pgSz w:w="11900" w:h="16838" w:orient="portrait"/>
          <w:cols w:equalWidth="0" w:num="1">
            <w:col w:w="10360"/>
          </w:cols>
          <w:pgMar w:left="240" w:top="131" w:right="1299" w:bottom="1440" w:gutter="0" w:footer="0" w:header="0"/>
        </w:sectPr>
      </w:pPr>
    </w:p>
    <w:p>
      <w:pPr>
        <w:spacing w:after="0" w:line="139"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3380" w:type="dxa"/>
            <w:vAlign w:val="bottom"/>
          </w:tcPr>
          <w:p>
            <w:pPr>
              <w:spacing w:after="0"/>
              <w:rPr>
                <w:sz w:val="20"/>
                <w:szCs w:val="20"/>
                <w:color w:val="auto"/>
              </w:rPr>
            </w:pPr>
            <w:r>
              <w:rPr>
                <w:rFonts w:ascii="Arial" w:cs="Arial" w:eastAsia="Arial" w:hAnsi="Arial"/>
                <w:sz w:val="14"/>
                <w:szCs w:val="14"/>
                <w:b w:val="1"/>
                <w:bCs w:val="1"/>
                <w:color w:val="auto"/>
              </w:rPr>
              <w:t>Operating activities</w:t>
            </w:r>
          </w:p>
        </w:tc>
        <w:tc>
          <w:tcPr>
            <w:tcW w:w="420" w:type="dxa"/>
            <w:vAlign w:val="bottom"/>
            <w:gridSpan w:val="2"/>
            <w:vMerge w:val="restart"/>
          </w:tcPr>
          <w:p>
            <w:pPr>
              <w:jc w:val="right"/>
              <w:ind w:right="220"/>
              <w:spacing w:after="0"/>
              <w:rPr>
                <w:sz w:val="20"/>
                <w:szCs w:val="20"/>
                <w:color w:val="auto"/>
              </w:rPr>
            </w:pPr>
            <w:r>
              <w:rPr>
                <w:rFonts w:ascii="Arial" w:cs="Arial" w:eastAsia="Arial" w:hAnsi="Arial"/>
                <w:sz w:val="14"/>
                <w:szCs w:val="14"/>
                <w:b w:val="1"/>
                <w:bCs w:val="1"/>
                <w:color w:val="auto"/>
              </w:rPr>
              <w:t>$</w:t>
            </w:r>
          </w:p>
        </w:tc>
        <w:tc>
          <w:tcPr>
            <w:tcW w:w="680" w:type="dxa"/>
            <w:vAlign w:val="bottom"/>
            <w:gridSpan w:val="2"/>
            <w:vMerge w:val="restart"/>
          </w:tcPr>
          <w:p>
            <w:pPr>
              <w:jc w:val="right"/>
              <w:ind w:right="60"/>
              <w:spacing w:after="0"/>
              <w:rPr>
                <w:sz w:val="20"/>
                <w:szCs w:val="20"/>
                <w:color w:val="auto"/>
              </w:rPr>
            </w:pPr>
            <w:r>
              <w:rPr>
                <w:rFonts w:ascii="Arial" w:cs="Arial" w:eastAsia="Arial" w:hAnsi="Arial"/>
                <w:sz w:val="14"/>
                <w:szCs w:val="14"/>
                <w:b w:val="1"/>
                <w:bCs w:val="1"/>
                <w:color w:val="auto"/>
              </w:rPr>
              <w:t>(42.8)</w:t>
            </w:r>
          </w:p>
        </w:tc>
        <w:tc>
          <w:tcPr>
            <w:tcW w:w="1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7"/>
        </w:trPr>
        <w:tc>
          <w:tcPr>
            <w:tcW w:w="3380" w:type="dxa"/>
            <w:vAlign w:val="bottom"/>
          </w:tcPr>
          <w:p>
            <w:pPr>
              <w:spacing w:after="0" w:line="147" w:lineRule="exact"/>
              <w:rPr>
                <w:sz w:val="20"/>
                <w:szCs w:val="20"/>
                <w:color w:val="auto"/>
              </w:rPr>
            </w:pPr>
            <w:r>
              <w:rPr>
                <w:rFonts w:ascii="Arial" w:cs="Arial" w:eastAsia="Arial" w:hAnsi="Arial"/>
                <w:sz w:val="14"/>
                <w:szCs w:val="14"/>
                <w:color w:val="auto"/>
              </w:rPr>
              <w:t>Net cash provided by (used in) operating activities</w:t>
            </w:r>
          </w:p>
        </w:tc>
        <w:tc>
          <w:tcPr>
            <w:tcW w:w="420" w:type="dxa"/>
            <w:vAlign w:val="bottom"/>
            <w:gridSpan w:val="2"/>
            <w:vMerge w:val="continue"/>
          </w:tcPr>
          <w:p>
            <w:pPr>
              <w:spacing w:after="0"/>
              <w:rPr>
                <w:sz w:val="12"/>
                <w:szCs w:val="12"/>
                <w:color w:val="auto"/>
              </w:rPr>
            </w:pPr>
          </w:p>
        </w:tc>
        <w:tc>
          <w:tcPr>
            <w:tcW w:w="680" w:type="dxa"/>
            <w:vAlign w:val="bottom"/>
            <w:gridSpan w:val="2"/>
            <w:vMerge w:val="continue"/>
          </w:tcPr>
          <w:p>
            <w:pPr>
              <w:spacing w:after="0"/>
              <w:rPr>
                <w:sz w:val="12"/>
                <w:szCs w:val="12"/>
                <w:color w:val="auto"/>
              </w:rPr>
            </w:pPr>
          </w:p>
        </w:tc>
        <w:tc>
          <w:tcPr>
            <w:tcW w:w="1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1"/>
        </w:trPr>
        <w:tc>
          <w:tcPr>
            <w:tcW w:w="3380" w:type="dxa"/>
            <w:vAlign w:val="bottom"/>
          </w:tcPr>
          <w:p>
            <w:pPr>
              <w:spacing w:after="0" w:line="151" w:lineRule="exact"/>
              <w:rPr>
                <w:sz w:val="20"/>
                <w:szCs w:val="20"/>
                <w:color w:val="auto"/>
              </w:rPr>
            </w:pPr>
            <w:r>
              <w:rPr>
                <w:rFonts w:ascii="Arial" w:cs="Arial" w:eastAsia="Arial" w:hAnsi="Arial"/>
                <w:sz w:val="14"/>
                <w:szCs w:val="14"/>
                <w:b w:val="1"/>
                <w:bCs w:val="1"/>
                <w:color w:val="auto"/>
              </w:rPr>
              <w:t>Investing activities</w:t>
            </w:r>
          </w:p>
        </w:tc>
        <w:tc>
          <w:tcPr>
            <w:tcW w:w="1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line="149" w:lineRule="exact"/>
              <w:rPr>
                <w:sz w:val="20"/>
                <w:szCs w:val="20"/>
                <w:color w:val="auto"/>
              </w:rPr>
            </w:pPr>
            <w:r>
              <w:rPr>
                <w:rFonts w:ascii="Arial" w:cs="Arial" w:eastAsia="Arial" w:hAnsi="Arial"/>
                <w:sz w:val="14"/>
                <w:szCs w:val="14"/>
                <w:color w:val="auto"/>
              </w:rPr>
              <w:t>Available-for-sale securities:</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3380" w:type="dxa"/>
            <w:vAlign w:val="bottom"/>
          </w:tcPr>
          <w:p>
            <w:pPr>
              <w:ind w:left="160"/>
              <w:spacing w:after="0" w:line="147" w:lineRule="exact"/>
              <w:rPr>
                <w:sz w:val="20"/>
                <w:szCs w:val="20"/>
                <w:color w:val="auto"/>
              </w:rPr>
            </w:pPr>
            <w:r>
              <w:rPr>
                <w:rFonts w:ascii="Arial" w:cs="Arial" w:eastAsia="Arial" w:hAnsi="Arial"/>
                <w:sz w:val="14"/>
                <w:szCs w:val="14"/>
                <w:color w:val="auto"/>
              </w:rPr>
              <w:t>Purchases</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380" w:type="dxa"/>
            <w:vAlign w:val="bottom"/>
          </w:tcPr>
          <w:p>
            <w:pPr>
              <w:ind w:left="160"/>
              <w:spacing w:after="0" w:line="149" w:lineRule="exact"/>
              <w:rPr>
                <w:sz w:val="20"/>
                <w:szCs w:val="20"/>
                <w:color w:val="auto"/>
              </w:rPr>
            </w:pPr>
            <w:r>
              <w:rPr>
                <w:rFonts w:ascii="Arial" w:cs="Arial" w:eastAsia="Arial" w:hAnsi="Arial"/>
                <w:sz w:val="14"/>
                <w:szCs w:val="14"/>
                <w:color w:val="auto"/>
              </w:rPr>
              <w:t>Sales</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380" w:type="dxa"/>
            <w:vAlign w:val="bottom"/>
          </w:tcPr>
          <w:p>
            <w:pPr>
              <w:ind w:left="160"/>
              <w:spacing w:after="0" w:line="149" w:lineRule="exact"/>
              <w:rPr>
                <w:sz w:val="20"/>
                <w:szCs w:val="20"/>
                <w:color w:val="auto"/>
              </w:rPr>
            </w:pPr>
            <w:r>
              <w:rPr>
                <w:rFonts w:ascii="Arial" w:cs="Arial" w:eastAsia="Arial" w:hAnsi="Arial"/>
                <w:sz w:val="14"/>
                <w:szCs w:val="14"/>
                <w:color w:val="auto"/>
              </w:rPr>
              <w:t>Maturities</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line="149" w:lineRule="exact"/>
              <w:rPr>
                <w:sz w:val="20"/>
                <w:szCs w:val="20"/>
                <w:color w:val="auto"/>
              </w:rPr>
            </w:pPr>
            <w:r>
              <w:rPr>
                <w:rFonts w:ascii="Arial" w:cs="Arial" w:eastAsia="Arial" w:hAnsi="Arial"/>
                <w:sz w:val="14"/>
                <w:szCs w:val="14"/>
                <w:color w:val="auto"/>
              </w:rPr>
              <w:t>Mortgage loans acquired or originated</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line="149" w:lineRule="exact"/>
              <w:rPr>
                <w:sz w:val="20"/>
                <w:szCs w:val="20"/>
                <w:color w:val="auto"/>
              </w:rPr>
            </w:pPr>
            <w:r>
              <w:rPr>
                <w:rFonts w:ascii="Arial" w:cs="Arial" w:eastAsia="Arial" w:hAnsi="Arial"/>
                <w:sz w:val="14"/>
                <w:szCs w:val="14"/>
                <w:color w:val="auto"/>
              </w:rPr>
              <w:t>Mortgage loans sold or repaid</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line="149" w:lineRule="exact"/>
              <w:rPr>
                <w:sz w:val="20"/>
                <w:szCs w:val="20"/>
                <w:color w:val="auto"/>
              </w:rPr>
            </w:pPr>
            <w:r>
              <w:rPr>
                <w:rFonts w:ascii="Arial" w:cs="Arial" w:eastAsia="Arial" w:hAnsi="Arial"/>
                <w:sz w:val="14"/>
                <w:szCs w:val="14"/>
                <w:color w:val="auto"/>
              </w:rPr>
              <w:t>Real estate acquired</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line="149" w:lineRule="exact"/>
              <w:rPr>
                <w:sz w:val="20"/>
                <w:szCs w:val="20"/>
                <w:color w:val="auto"/>
              </w:rPr>
            </w:pPr>
            <w:r>
              <w:rPr>
                <w:rFonts w:ascii="Arial" w:cs="Arial" w:eastAsia="Arial" w:hAnsi="Arial"/>
                <w:sz w:val="14"/>
                <w:szCs w:val="14"/>
                <w:color w:val="auto"/>
              </w:rPr>
              <w:t>Net purchases of property and equipment</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1"/>
        </w:trPr>
        <w:tc>
          <w:tcPr>
            <w:tcW w:w="3380" w:type="dxa"/>
            <w:vAlign w:val="bottom"/>
          </w:tcPr>
          <w:p>
            <w:pPr>
              <w:spacing w:after="0" w:line="151" w:lineRule="exact"/>
              <w:rPr>
                <w:sz w:val="20"/>
                <w:szCs w:val="20"/>
                <w:color w:val="auto"/>
              </w:rPr>
            </w:pPr>
            <w:r>
              <w:rPr>
                <w:rFonts w:ascii="Arial" w:cs="Arial" w:eastAsia="Arial" w:hAnsi="Arial"/>
                <w:sz w:val="14"/>
                <w:szCs w:val="14"/>
                <w:color w:val="auto"/>
                <w:w w:val="92"/>
              </w:rPr>
              <w:t>Purchases of interests in subsidiaries, net of cash acquired</w:t>
            </w:r>
          </w:p>
        </w:tc>
        <w:tc>
          <w:tcPr>
            <w:tcW w:w="1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gridSpan w:val="2"/>
          </w:tcPr>
          <w:p>
            <w:pPr>
              <w:jc w:val="right"/>
              <w:ind w:right="100"/>
              <w:spacing w:after="0" w:line="151"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line="149" w:lineRule="exact"/>
              <w:rPr>
                <w:sz w:val="20"/>
                <w:szCs w:val="20"/>
                <w:color w:val="auto"/>
              </w:rPr>
            </w:pPr>
            <w:r>
              <w:rPr>
                <w:rFonts w:ascii="Arial" w:cs="Arial" w:eastAsia="Arial" w:hAnsi="Arial"/>
                <w:sz w:val="14"/>
                <w:szCs w:val="14"/>
                <w:color w:val="auto"/>
              </w:rPr>
              <w:t>Dividends and returns of capital received from</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319.5</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3380" w:type="dxa"/>
            <w:vAlign w:val="bottom"/>
          </w:tcPr>
          <w:p>
            <w:pPr>
              <w:ind w:left="160"/>
              <w:spacing w:after="0" w:line="147" w:lineRule="exact"/>
              <w:rPr>
                <w:sz w:val="20"/>
                <w:szCs w:val="20"/>
                <w:color w:val="auto"/>
              </w:rPr>
            </w:pPr>
            <w:r>
              <w:rPr>
                <w:rFonts w:ascii="Arial" w:cs="Arial" w:eastAsia="Arial" w:hAnsi="Arial"/>
                <w:sz w:val="14"/>
                <w:szCs w:val="14"/>
                <w:color w:val="auto"/>
              </w:rPr>
              <w:t>unconsolidated entities</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8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3380" w:type="dxa"/>
            <w:vAlign w:val="bottom"/>
          </w:tcPr>
          <w:p>
            <w:pPr>
              <w:spacing w:after="0"/>
              <w:rPr>
                <w:sz w:val="20"/>
                <w:szCs w:val="20"/>
                <w:color w:val="auto"/>
              </w:rPr>
            </w:pPr>
            <w:r>
              <w:rPr>
                <w:rFonts w:ascii="Arial" w:cs="Arial" w:eastAsia="Arial" w:hAnsi="Arial"/>
                <w:sz w:val="14"/>
                <w:szCs w:val="14"/>
                <w:color w:val="auto"/>
              </w:rPr>
              <w:t>Net change in other investments</w:t>
            </w:r>
          </w:p>
        </w:tc>
        <w:tc>
          <w:tcPr>
            <w:tcW w:w="1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rPr>
              <w:t>(3.1)</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3380" w:type="dxa"/>
            <w:vAlign w:val="bottom"/>
          </w:tcPr>
          <w:p>
            <w:pPr>
              <w:spacing w:after="0" w:line="129" w:lineRule="exact"/>
              <w:rPr>
                <w:sz w:val="20"/>
                <w:szCs w:val="20"/>
                <w:color w:val="auto"/>
              </w:rPr>
            </w:pPr>
            <w:r>
              <w:rPr>
                <w:rFonts w:ascii="Arial" w:cs="Arial" w:eastAsia="Arial" w:hAnsi="Arial"/>
                <w:sz w:val="14"/>
                <w:szCs w:val="14"/>
                <w:color w:val="auto"/>
              </w:rPr>
              <w:t>Net cash provided by (used in) investing activities</w:t>
            </w:r>
          </w:p>
        </w:tc>
        <w:tc>
          <w:tcPr>
            <w:tcW w:w="140" w:type="dxa"/>
            <w:vAlign w:val="bottom"/>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580" w:type="dxa"/>
            <w:vAlign w:val="bottom"/>
            <w:tcBorders>
              <w:top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rPr>
              <w:t>316.4</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1"/>
        </w:trPr>
        <w:tc>
          <w:tcPr>
            <w:tcW w:w="3380" w:type="dxa"/>
            <w:vAlign w:val="bottom"/>
          </w:tcPr>
          <w:p>
            <w:pPr>
              <w:spacing w:after="0" w:line="151" w:lineRule="exact"/>
              <w:rPr>
                <w:sz w:val="20"/>
                <w:szCs w:val="20"/>
                <w:color w:val="auto"/>
              </w:rPr>
            </w:pPr>
            <w:r>
              <w:rPr>
                <w:rFonts w:ascii="Arial" w:cs="Arial" w:eastAsia="Arial" w:hAnsi="Arial"/>
                <w:sz w:val="14"/>
                <w:szCs w:val="14"/>
                <w:b w:val="1"/>
                <w:bCs w:val="1"/>
                <w:color w:val="auto"/>
              </w:rPr>
              <w:t>Financing activities</w:t>
            </w:r>
          </w:p>
        </w:tc>
        <w:tc>
          <w:tcPr>
            <w:tcW w:w="1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5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125.8</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7"/>
        </w:trPr>
        <w:tc>
          <w:tcPr>
            <w:tcW w:w="3380" w:type="dxa"/>
            <w:vAlign w:val="bottom"/>
          </w:tcPr>
          <w:p>
            <w:pPr>
              <w:spacing w:after="0" w:line="147" w:lineRule="exact"/>
              <w:rPr>
                <w:sz w:val="20"/>
                <w:szCs w:val="20"/>
                <w:color w:val="auto"/>
              </w:rPr>
            </w:pPr>
            <w:r>
              <w:rPr>
                <w:rFonts w:ascii="Arial" w:cs="Arial" w:eastAsia="Arial" w:hAnsi="Arial"/>
                <w:sz w:val="14"/>
                <w:szCs w:val="14"/>
                <w:color w:val="auto"/>
              </w:rPr>
              <w:t>Issuance of common stock</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8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line="149" w:lineRule="exact"/>
              <w:rPr>
                <w:sz w:val="20"/>
                <w:szCs w:val="20"/>
                <w:color w:val="auto"/>
              </w:rPr>
            </w:pPr>
            <w:r>
              <w:rPr>
                <w:rFonts w:ascii="Arial" w:cs="Arial" w:eastAsia="Arial" w:hAnsi="Arial"/>
                <w:sz w:val="14"/>
                <w:szCs w:val="14"/>
                <w:color w:val="auto"/>
              </w:rPr>
              <w:t>Acquisition of treasury stock</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(153.6)</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line="149" w:lineRule="exact"/>
              <w:rPr>
                <w:sz w:val="20"/>
                <w:szCs w:val="20"/>
                <w:color w:val="auto"/>
              </w:rPr>
            </w:pPr>
            <w:r>
              <w:rPr>
                <w:rFonts w:ascii="Arial" w:cs="Arial" w:eastAsia="Arial" w:hAnsi="Arial"/>
                <w:sz w:val="14"/>
                <w:szCs w:val="14"/>
                <w:color w:val="auto"/>
              </w:rPr>
              <w:t>Proceeds from financing element derivatives</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line="149" w:lineRule="exact"/>
              <w:rPr>
                <w:sz w:val="20"/>
                <w:szCs w:val="20"/>
                <w:color w:val="auto"/>
              </w:rPr>
            </w:pPr>
            <w:r>
              <w:rPr>
                <w:rFonts w:ascii="Arial" w:cs="Arial" w:eastAsia="Arial" w:hAnsi="Arial"/>
                <w:sz w:val="14"/>
                <w:szCs w:val="14"/>
                <w:color w:val="auto"/>
              </w:rPr>
              <w:t>Payments for financing element derivatives</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line="149" w:lineRule="exact"/>
              <w:rPr>
                <w:sz w:val="20"/>
                <w:szCs w:val="20"/>
                <w:color w:val="auto"/>
              </w:rPr>
            </w:pPr>
            <w:r>
              <w:rPr>
                <w:rFonts w:ascii="Arial" w:cs="Arial" w:eastAsia="Arial" w:hAnsi="Arial"/>
                <w:sz w:val="14"/>
                <w:szCs w:val="14"/>
                <w:color w:val="auto"/>
                <w:w w:val="87"/>
              </w:rPr>
              <w:t>Excess tax benefits from share-based payment arrangements</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line="149" w:lineRule="exact"/>
              <w:rPr>
                <w:sz w:val="20"/>
                <w:szCs w:val="20"/>
                <w:color w:val="auto"/>
              </w:rPr>
            </w:pPr>
            <w:r>
              <w:rPr>
                <w:rFonts w:ascii="Arial" w:cs="Arial" w:eastAsia="Arial" w:hAnsi="Arial"/>
                <w:sz w:val="14"/>
                <w:szCs w:val="14"/>
                <w:color w:val="auto"/>
                <w:w w:val="93"/>
              </w:rPr>
              <w:t>Purchase of subsidiary shares from noncontrolling interest</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line="149" w:lineRule="exact"/>
              <w:rPr>
                <w:sz w:val="20"/>
                <w:szCs w:val="20"/>
                <w:color w:val="auto"/>
              </w:rPr>
            </w:pPr>
            <w:r>
              <w:rPr>
                <w:rFonts w:ascii="Arial" w:cs="Arial" w:eastAsia="Arial" w:hAnsi="Arial"/>
                <w:sz w:val="14"/>
                <w:szCs w:val="14"/>
                <w:color w:val="auto"/>
              </w:rPr>
              <w:t>Sale of subsidiary shares to noncontrolling interest</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line="149" w:lineRule="exact"/>
              <w:rPr>
                <w:sz w:val="20"/>
                <w:szCs w:val="20"/>
                <w:color w:val="auto"/>
              </w:rPr>
            </w:pPr>
            <w:r>
              <w:rPr>
                <w:rFonts w:ascii="Arial" w:cs="Arial" w:eastAsia="Arial" w:hAnsi="Arial"/>
                <w:sz w:val="14"/>
                <w:szCs w:val="14"/>
                <w:color w:val="auto"/>
              </w:rPr>
              <w:t>Dividends to common stockholders</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(288.4)</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line="149" w:lineRule="exact"/>
              <w:rPr>
                <w:sz w:val="20"/>
                <w:szCs w:val="20"/>
                <w:color w:val="auto"/>
              </w:rPr>
            </w:pPr>
            <w:r>
              <w:rPr>
                <w:rFonts w:ascii="Arial" w:cs="Arial" w:eastAsia="Arial" w:hAnsi="Arial"/>
                <w:sz w:val="14"/>
                <w:szCs w:val="14"/>
                <w:color w:val="auto"/>
              </w:rPr>
              <w:t>Dividends to preferred stockholders</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(33.0)</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line="149" w:lineRule="exact"/>
              <w:rPr>
                <w:sz w:val="20"/>
                <w:szCs w:val="20"/>
                <w:color w:val="auto"/>
              </w:rPr>
            </w:pPr>
            <w:r>
              <w:rPr>
                <w:rFonts w:ascii="Arial" w:cs="Arial" w:eastAsia="Arial" w:hAnsi="Arial"/>
                <w:sz w:val="14"/>
                <w:szCs w:val="14"/>
                <w:color w:val="auto"/>
              </w:rPr>
              <w:t>Issuance of long-term debt</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line="149" w:lineRule="exact"/>
              <w:rPr>
                <w:sz w:val="20"/>
                <w:szCs w:val="20"/>
                <w:color w:val="auto"/>
              </w:rPr>
            </w:pPr>
            <w:r>
              <w:rPr>
                <w:rFonts w:ascii="Arial" w:cs="Arial" w:eastAsia="Arial" w:hAnsi="Arial"/>
                <w:sz w:val="14"/>
                <w:szCs w:val="14"/>
                <w:color w:val="auto"/>
              </w:rPr>
              <w:t>Principal repayments of long-term debt</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line="149" w:lineRule="exact"/>
              <w:rPr>
                <w:sz w:val="20"/>
                <w:szCs w:val="20"/>
                <w:color w:val="auto"/>
              </w:rPr>
            </w:pPr>
            <w:r>
              <w:rPr>
                <w:rFonts w:ascii="Arial" w:cs="Arial" w:eastAsia="Arial" w:hAnsi="Arial"/>
                <w:sz w:val="14"/>
                <w:szCs w:val="14"/>
                <w:color w:val="auto"/>
              </w:rPr>
              <w:t>Net proceeds from short-term borrowings</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line="149" w:lineRule="exact"/>
              <w:rPr>
                <w:sz w:val="20"/>
                <w:szCs w:val="20"/>
                <w:color w:val="auto"/>
              </w:rPr>
            </w:pPr>
            <w:r>
              <w:rPr>
                <w:rFonts w:ascii="Arial" w:cs="Arial" w:eastAsia="Arial" w:hAnsi="Arial"/>
                <w:sz w:val="14"/>
                <w:szCs w:val="14"/>
                <w:color w:val="auto"/>
              </w:rPr>
              <w:t>Dividends and capital paid to parent</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line="149" w:lineRule="exact"/>
              <w:rPr>
                <w:sz w:val="20"/>
                <w:szCs w:val="20"/>
                <w:color w:val="auto"/>
              </w:rPr>
            </w:pPr>
            <w:r>
              <w:rPr>
                <w:rFonts w:ascii="Arial" w:cs="Arial" w:eastAsia="Arial" w:hAnsi="Arial"/>
                <w:sz w:val="14"/>
                <w:szCs w:val="14"/>
                <w:color w:val="auto"/>
              </w:rPr>
              <w:t>Investment contract deposits</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line="149" w:lineRule="exact"/>
              <w:rPr>
                <w:sz w:val="20"/>
                <w:szCs w:val="20"/>
                <w:color w:val="auto"/>
              </w:rPr>
            </w:pPr>
            <w:r>
              <w:rPr>
                <w:rFonts w:ascii="Arial" w:cs="Arial" w:eastAsia="Arial" w:hAnsi="Arial"/>
                <w:sz w:val="14"/>
                <w:szCs w:val="14"/>
                <w:color w:val="auto"/>
              </w:rPr>
              <w:t>Investment contract withdrawals</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line="149" w:lineRule="exact"/>
              <w:rPr>
                <w:sz w:val="20"/>
                <w:szCs w:val="20"/>
                <w:color w:val="auto"/>
              </w:rPr>
            </w:pPr>
            <w:r>
              <w:rPr>
                <w:rFonts w:ascii="Arial" w:cs="Arial" w:eastAsia="Arial" w:hAnsi="Arial"/>
                <w:sz w:val="14"/>
                <w:szCs w:val="14"/>
                <w:color w:val="auto"/>
              </w:rPr>
              <w:t>Net decrease in banking operation deposits</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3380" w:type="dxa"/>
            <w:vAlign w:val="bottom"/>
          </w:tcPr>
          <w:p>
            <w:pPr>
              <w:spacing w:after="0"/>
              <w:rPr>
                <w:sz w:val="20"/>
                <w:szCs w:val="20"/>
                <w:color w:val="auto"/>
              </w:rPr>
            </w:pPr>
            <w:r>
              <w:rPr>
                <w:rFonts w:ascii="Arial" w:cs="Arial" w:eastAsia="Arial" w:hAnsi="Arial"/>
                <w:sz w:val="14"/>
                <w:szCs w:val="14"/>
                <w:color w:val="auto"/>
              </w:rPr>
              <w:t>Other</w:t>
            </w:r>
          </w:p>
        </w:tc>
        <w:tc>
          <w:tcPr>
            <w:tcW w:w="1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-3215005</wp:posOffset>
            </wp:positionV>
            <wp:extent cx="5840095" cy="9461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5840095" cy="94615"/>
                    </a:xfrm>
                    <a:prstGeom prst="rect">
                      <a:avLst/>
                    </a:prstGeom>
                    <a:noFill/>
                  </pic:spPr>
                </pic:pic>
              </a:graphicData>
            </a:graphic>
          </wp:anchor>
        </w:drawing>
        <w:drawing>
          <wp:anchor simplePos="0" relativeHeight="251657728" behindDoc="1" locked="0" layoutInCell="0" allowOverlap="1">
            <wp:simplePos x="0" y="0"/>
            <wp:positionH relativeFrom="column">
              <wp:posOffset>734060</wp:posOffset>
            </wp:positionH>
            <wp:positionV relativeFrom="paragraph">
              <wp:posOffset>-3026410</wp:posOffset>
            </wp:positionV>
            <wp:extent cx="5840095" cy="9461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5840095" cy="94615"/>
                    </a:xfrm>
                    <a:prstGeom prst="rect">
                      <a:avLst/>
                    </a:prstGeom>
                    <a:noFill/>
                  </pic:spPr>
                </pic:pic>
              </a:graphicData>
            </a:graphic>
          </wp:anchor>
        </w:drawing>
        <w:drawing>
          <wp:anchor simplePos="0" relativeHeight="251657728" behindDoc="1" locked="0" layoutInCell="0" allowOverlap="1">
            <wp:simplePos x="0" y="0"/>
            <wp:positionH relativeFrom="column">
              <wp:posOffset>734060</wp:posOffset>
            </wp:positionH>
            <wp:positionV relativeFrom="paragraph">
              <wp:posOffset>-2837815</wp:posOffset>
            </wp:positionV>
            <wp:extent cx="5840095" cy="9461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5840095" cy="94615"/>
                    </a:xfrm>
                    <a:prstGeom prst="rect">
                      <a:avLst/>
                    </a:prstGeom>
                    <a:noFill/>
                  </pic:spPr>
                </pic:pic>
              </a:graphicData>
            </a:graphic>
          </wp:anchor>
        </w:drawing>
        <w:drawing>
          <wp:anchor simplePos="0" relativeHeight="251657728" behindDoc="1" locked="0" layoutInCell="0" allowOverlap="1">
            <wp:simplePos x="0" y="0"/>
            <wp:positionH relativeFrom="column">
              <wp:posOffset>734060</wp:posOffset>
            </wp:positionH>
            <wp:positionV relativeFrom="paragraph">
              <wp:posOffset>-2649220</wp:posOffset>
            </wp:positionV>
            <wp:extent cx="5840095" cy="9461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5840095" cy="94615"/>
                    </a:xfrm>
                    <a:prstGeom prst="rect">
                      <a:avLst/>
                    </a:prstGeom>
                    <a:noFill/>
                  </pic:spPr>
                </pic:pic>
              </a:graphicData>
            </a:graphic>
          </wp:anchor>
        </w:drawing>
        <w:drawing>
          <wp:anchor simplePos="0" relativeHeight="251657728" behindDoc="1" locked="0" layoutInCell="0" allowOverlap="1">
            <wp:simplePos x="0" y="0"/>
            <wp:positionH relativeFrom="column">
              <wp:posOffset>734060</wp:posOffset>
            </wp:positionH>
            <wp:positionV relativeFrom="paragraph">
              <wp:posOffset>-2460625</wp:posOffset>
            </wp:positionV>
            <wp:extent cx="5840095" cy="9461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5840095" cy="94615"/>
                    </a:xfrm>
                    <a:prstGeom prst="rect">
                      <a:avLst/>
                    </a:prstGeom>
                    <a:noFill/>
                  </pic:spPr>
                </pic:pic>
              </a:graphicData>
            </a:graphic>
          </wp:anchor>
        </w:drawing>
        <w:drawing>
          <wp:anchor simplePos="0" relativeHeight="251657728" behindDoc="1" locked="0" layoutInCell="0" allowOverlap="1">
            <wp:simplePos x="0" y="0"/>
            <wp:positionH relativeFrom="column">
              <wp:posOffset>734060</wp:posOffset>
            </wp:positionH>
            <wp:positionV relativeFrom="paragraph">
              <wp:posOffset>-2272030</wp:posOffset>
            </wp:positionV>
            <wp:extent cx="5840095" cy="9461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5840095" cy="94615"/>
                    </a:xfrm>
                    <a:prstGeom prst="rect">
                      <a:avLst/>
                    </a:prstGeom>
                    <a:noFill/>
                  </pic:spPr>
                </pic:pic>
              </a:graphicData>
            </a:graphic>
          </wp:anchor>
        </w:drawing>
        <w:drawing>
          <wp:anchor simplePos="0" relativeHeight="251657728" behindDoc="1" locked="0" layoutInCell="0" allowOverlap="1">
            <wp:simplePos x="0" y="0"/>
            <wp:positionH relativeFrom="column">
              <wp:posOffset>734060</wp:posOffset>
            </wp:positionH>
            <wp:positionV relativeFrom="paragraph">
              <wp:posOffset>-2083435</wp:posOffset>
            </wp:positionV>
            <wp:extent cx="5840095" cy="18859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5840095" cy="188595"/>
                    </a:xfrm>
                    <a:prstGeom prst="rect">
                      <a:avLst/>
                    </a:prstGeom>
                    <a:noFill/>
                  </pic:spPr>
                </pic:pic>
              </a:graphicData>
            </a:graphic>
          </wp:anchor>
        </w:drawing>
        <w:drawing>
          <wp:anchor simplePos="0" relativeHeight="251657728" behindDoc="1" locked="0" layoutInCell="0" allowOverlap="1">
            <wp:simplePos x="0" y="0"/>
            <wp:positionH relativeFrom="column">
              <wp:posOffset>734060</wp:posOffset>
            </wp:positionH>
            <wp:positionV relativeFrom="paragraph">
              <wp:posOffset>-1791970</wp:posOffset>
            </wp:positionV>
            <wp:extent cx="5840095" cy="9461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5840095" cy="94615"/>
                    </a:xfrm>
                    <a:prstGeom prst="rect">
                      <a:avLst/>
                    </a:prstGeom>
                    <a:noFill/>
                  </pic:spPr>
                </pic:pic>
              </a:graphicData>
            </a:graphic>
          </wp:anchor>
        </w:drawing>
        <w:drawing>
          <wp:anchor simplePos="0" relativeHeight="251657728" behindDoc="1" locked="0" layoutInCell="0" allowOverlap="1">
            <wp:simplePos x="0" y="0"/>
            <wp:positionH relativeFrom="column">
              <wp:posOffset>734060</wp:posOffset>
            </wp:positionH>
            <wp:positionV relativeFrom="paragraph">
              <wp:posOffset>-1602740</wp:posOffset>
            </wp:positionV>
            <wp:extent cx="5840095" cy="9461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5840095" cy="94615"/>
                    </a:xfrm>
                    <a:prstGeom prst="rect">
                      <a:avLst/>
                    </a:prstGeom>
                    <a:noFill/>
                  </pic:spPr>
                </pic:pic>
              </a:graphicData>
            </a:graphic>
          </wp:anchor>
        </w:drawing>
        <w:drawing>
          <wp:anchor simplePos="0" relativeHeight="251657728" behindDoc="1" locked="0" layoutInCell="0" allowOverlap="1">
            <wp:simplePos x="0" y="0"/>
            <wp:positionH relativeFrom="column">
              <wp:posOffset>734060</wp:posOffset>
            </wp:positionH>
            <wp:positionV relativeFrom="paragraph">
              <wp:posOffset>-1414145</wp:posOffset>
            </wp:positionV>
            <wp:extent cx="5840095" cy="9461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5840095" cy="94615"/>
                    </a:xfrm>
                    <a:prstGeom prst="rect">
                      <a:avLst/>
                    </a:prstGeom>
                    <a:noFill/>
                  </pic:spPr>
                </pic:pic>
              </a:graphicData>
            </a:graphic>
          </wp:anchor>
        </w:drawing>
        <w:drawing>
          <wp:anchor simplePos="0" relativeHeight="251657728" behindDoc="1" locked="0" layoutInCell="0" allowOverlap="1">
            <wp:simplePos x="0" y="0"/>
            <wp:positionH relativeFrom="column">
              <wp:posOffset>734060</wp:posOffset>
            </wp:positionH>
            <wp:positionV relativeFrom="paragraph">
              <wp:posOffset>-1225550</wp:posOffset>
            </wp:positionV>
            <wp:extent cx="5840095" cy="9461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5840095" cy="94615"/>
                    </a:xfrm>
                    <a:prstGeom prst="rect">
                      <a:avLst/>
                    </a:prstGeom>
                    <a:noFill/>
                  </pic:spPr>
                </pic:pic>
              </a:graphicData>
            </a:graphic>
          </wp:anchor>
        </w:drawing>
        <w:drawing>
          <wp:anchor simplePos="0" relativeHeight="251657728" behindDoc="1" locked="0" layoutInCell="0" allowOverlap="1">
            <wp:simplePos x="0" y="0"/>
            <wp:positionH relativeFrom="column">
              <wp:posOffset>734060</wp:posOffset>
            </wp:positionH>
            <wp:positionV relativeFrom="paragraph">
              <wp:posOffset>-1036955</wp:posOffset>
            </wp:positionV>
            <wp:extent cx="5840095" cy="9461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5840095" cy="94615"/>
                    </a:xfrm>
                    <a:prstGeom prst="rect">
                      <a:avLst/>
                    </a:prstGeom>
                    <a:noFill/>
                  </pic:spPr>
                </pic:pic>
              </a:graphicData>
            </a:graphic>
          </wp:anchor>
        </w:drawing>
        <w:drawing>
          <wp:anchor simplePos="0" relativeHeight="251657728" behindDoc="1" locked="0" layoutInCell="0" allowOverlap="1">
            <wp:simplePos x="0" y="0"/>
            <wp:positionH relativeFrom="column">
              <wp:posOffset>734060</wp:posOffset>
            </wp:positionH>
            <wp:positionV relativeFrom="paragraph">
              <wp:posOffset>-848360</wp:posOffset>
            </wp:positionV>
            <wp:extent cx="5840095" cy="9461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5840095" cy="94615"/>
                    </a:xfrm>
                    <a:prstGeom prst="rect">
                      <a:avLst/>
                    </a:prstGeom>
                    <a:noFill/>
                  </pic:spPr>
                </pic:pic>
              </a:graphicData>
            </a:graphic>
          </wp:anchor>
        </w:drawing>
        <w:drawing>
          <wp:anchor simplePos="0" relativeHeight="251657728" behindDoc="1" locked="0" layoutInCell="0" allowOverlap="1">
            <wp:simplePos x="0" y="0"/>
            <wp:positionH relativeFrom="column">
              <wp:posOffset>734060</wp:posOffset>
            </wp:positionH>
            <wp:positionV relativeFrom="paragraph">
              <wp:posOffset>-659765</wp:posOffset>
            </wp:positionV>
            <wp:extent cx="5840095" cy="9461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5840095" cy="94615"/>
                    </a:xfrm>
                    <a:prstGeom prst="rect">
                      <a:avLst/>
                    </a:prstGeom>
                    <a:noFill/>
                  </pic:spPr>
                </pic:pic>
              </a:graphicData>
            </a:graphic>
          </wp:anchor>
        </w:drawing>
        <w:drawing>
          <wp:anchor simplePos="0" relativeHeight="251657728" behindDoc="1" locked="0" layoutInCell="0" allowOverlap="1">
            <wp:simplePos x="0" y="0"/>
            <wp:positionH relativeFrom="column">
              <wp:posOffset>734060</wp:posOffset>
            </wp:positionH>
            <wp:positionV relativeFrom="paragraph">
              <wp:posOffset>-471170</wp:posOffset>
            </wp:positionV>
            <wp:extent cx="5840095" cy="9461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5840095" cy="94615"/>
                    </a:xfrm>
                    <a:prstGeom prst="rect">
                      <a:avLst/>
                    </a:prstGeom>
                    <a:noFill/>
                  </pic:spPr>
                </pic:pic>
              </a:graphicData>
            </a:graphic>
          </wp:anchor>
        </w:drawing>
        <w:drawing>
          <wp:anchor simplePos="0" relativeHeight="251657728" behindDoc="1" locked="0" layoutInCell="0" allowOverlap="1">
            <wp:simplePos x="0" y="0"/>
            <wp:positionH relativeFrom="column">
              <wp:posOffset>734060</wp:posOffset>
            </wp:positionH>
            <wp:positionV relativeFrom="paragraph">
              <wp:posOffset>-282575</wp:posOffset>
            </wp:positionV>
            <wp:extent cx="5840095" cy="9461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5840095" cy="94615"/>
                    </a:xfrm>
                    <a:prstGeom prst="rect">
                      <a:avLst/>
                    </a:prstGeom>
                    <a:noFill/>
                  </pic:spPr>
                </pic:pic>
              </a:graphicData>
            </a:graphic>
          </wp:anchor>
        </w:drawing>
        <w:drawing>
          <wp:anchor simplePos="0" relativeHeight="251657728" behindDoc="1" locked="0" layoutInCell="0" allowOverlap="1">
            <wp:simplePos x="0" y="0"/>
            <wp:positionH relativeFrom="column">
              <wp:posOffset>734060</wp:posOffset>
            </wp:positionH>
            <wp:positionV relativeFrom="paragraph">
              <wp:posOffset>-93980</wp:posOffset>
            </wp:positionV>
            <wp:extent cx="5840095" cy="9461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5840095" cy="9461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72"/>
        </w:trPr>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1120" w:type="dxa"/>
            <w:vAlign w:val="bottom"/>
            <w:tcBorders>
              <w:top w:val="single" w:sz="8" w:color="auto"/>
            </w:tcBorders>
          </w:tcPr>
          <w:p>
            <w:pPr>
              <w:jc w:val="right"/>
              <w:ind w:right="252"/>
              <w:spacing w:after="0"/>
              <w:rPr>
                <w:sz w:val="20"/>
                <w:szCs w:val="20"/>
                <w:color w:val="auto"/>
              </w:rPr>
            </w:pPr>
            <w:r>
              <w:rPr>
                <w:rFonts w:ascii="Arial" w:cs="Arial" w:eastAsia="Arial" w:hAnsi="Arial"/>
                <w:sz w:val="14"/>
                <w:szCs w:val="14"/>
                <w:b w:val="1"/>
                <w:bCs w:val="1"/>
                <w:i w:val="1"/>
                <w:iCs w:val="1"/>
                <w:color w:val="auto"/>
                <w:w w:val="99"/>
              </w:rPr>
              <w:t>(in millions)</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Borders>
              <w:top w:val="single" w:sz="8" w:color="auto"/>
            </w:tcBorders>
          </w:tcPr>
          <w:p>
            <w:pPr>
              <w:spacing w:after="0"/>
              <w:rPr>
                <w:sz w:val="14"/>
                <w:szCs w:val="14"/>
                <w:color w:val="auto"/>
              </w:rPr>
            </w:pPr>
          </w:p>
        </w:tc>
        <w:tc>
          <w:tcPr>
            <w:tcW w:w="64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60" w:type="dxa"/>
            <w:vAlign w:val="bottom"/>
            <w:tcBorders>
              <w:top w:val="single" w:sz="8" w:color="auto"/>
            </w:tcBorders>
          </w:tcPr>
          <w:p>
            <w:pPr>
              <w:spacing w:after="0"/>
              <w:rPr>
                <w:sz w:val="14"/>
                <w:szCs w:val="14"/>
                <w:color w:val="auto"/>
              </w:rPr>
            </w:pPr>
          </w:p>
        </w:tc>
        <w:tc>
          <w:tcPr>
            <w:tcW w:w="660" w:type="dxa"/>
            <w:vAlign w:val="bottom"/>
            <w:tcBorders>
              <w:top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80"/>
        </w:trPr>
        <w:tc>
          <w:tcPr>
            <w:tcW w:w="560" w:type="dxa"/>
            <w:vAlign w:val="bottom"/>
          </w:tcPr>
          <w:p>
            <w:pPr>
              <w:jc w:val="right"/>
              <w:ind w:right="32"/>
              <w:spacing w:after="0"/>
              <w:rPr>
                <w:sz w:val="20"/>
                <w:szCs w:val="20"/>
                <w:color w:val="auto"/>
              </w:rPr>
            </w:pPr>
            <w:r>
              <w:rPr>
                <w:rFonts w:ascii="Arial" w:cs="Arial" w:eastAsia="Arial" w:hAnsi="Arial"/>
                <w:sz w:val="14"/>
                <w:szCs w:val="14"/>
                <w:b w:val="1"/>
                <w:bCs w:val="1"/>
                <w:color w:val="auto"/>
                <w:w w:val="94"/>
              </w:rPr>
              <w:t>2,271.7</w:t>
            </w:r>
          </w:p>
        </w:tc>
        <w:tc>
          <w:tcPr>
            <w:tcW w:w="22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w:t>
            </w:r>
          </w:p>
        </w:tc>
        <w:tc>
          <w:tcPr>
            <w:tcW w:w="120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rPr>
              <w:t>(170.1)</w:t>
            </w:r>
          </w:p>
        </w:tc>
        <w:tc>
          <w:tcPr>
            <w:tcW w:w="320" w:type="dxa"/>
            <w:vAlign w:val="bottom"/>
            <w:gridSpan w:val="2"/>
          </w:tcPr>
          <w:p>
            <w:pPr>
              <w:jc w:val="right"/>
              <w:ind w:right="180"/>
              <w:spacing w:after="0"/>
              <w:rPr>
                <w:sz w:val="20"/>
                <w:szCs w:val="20"/>
                <w:color w:val="auto"/>
              </w:rPr>
            </w:pPr>
            <w:r>
              <w:rPr>
                <w:rFonts w:ascii="Arial" w:cs="Arial" w:eastAsia="Arial" w:hAnsi="Arial"/>
                <w:sz w:val="14"/>
                <w:szCs w:val="14"/>
                <w:b w:val="1"/>
                <w:bCs w:val="1"/>
                <w:color w:val="auto"/>
              </w:rPr>
              <w:t>$</w:t>
            </w:r>
          </w:p>
        </w:tc>
        <w:tc>
          <w:tcPr>
            <w:tcW w:w="640" w:type="dxa"/>
            <w:vAlign w:val="bottom"/>
          </w:tcPr>
          <w:p>
            <w:pPr>
              <w:jc w:val="right"/>
              <w:spacing w:after="0"/>
              <w:rPr>
                <w:sz w:val="20"/>
                <w:szCs w:val="20"/>
                <w:color w:val="auto"/>
              </w:rPr>
            </w:pPr>
            <w:r>
              <w:rPr>
                <w:rFonts w:ascii="Arial" w:cs="Arial" w:eastAsia="Arial" w:hAnsi="Arial"/>
                <w:sz w:val="14"/>
                <w:szCs w:val="14"/>
                <w:b w:val="1"/>
                <w:bCs w:val="1"/>
                <w:color w:val="auto"/>
              </w:rPr>
              <w:t>162.4</w:t>
            </w:r>
          </w:p>
        </w:tc>
        <w:tc>
          <w:tcPr>
            <w:tcW w:w="100" w:type="dxa"/>
            <w:vAlign w:val="bottom"/>
          </w:tcPr>
          <w:p>
            <w:pPr>
              <w:spacing w:after="0"/>
              <w:rPr>
                <w:sz w:val="24"/>
                <w:szCs w:val="24"/>
                <w:color w:val="auto"/>
              </w:rPr>
            </w:pPr>
          </w:p>
        </w:tc>
        <w:tc>
          <w:tcPr>
            <w:tcW w:w="32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rPr>
              <w:t>$</w:t>
            </w:r>
          </w:p>
        </w:tc>
        <w:tc>
          <w:tcPr>
            <w:tcW w:w="660" w:type="dxa"/>
            <w:vAlign w:val="bottom"/>
          </w:tcPr>
          <w:p>
            <w:pPr>
              <w:jc w:val="right"/>
              <w:spacing w:after="0"/>
              <w:rPr>
                <w:sz w:val="20"/>
                <w:szCs w:val="20"/>
                <w:color w:val="auto"/>
              </w:rPr>
            </w:pPr>
            <w:r>
              <w:rPr>
                <w:rFonts w:ascii="Arial" w:cs="Arial" w:eastAsia="Arial" w:hAnsi="Arial"/>
                <w:sz w:val="14"/>
                <w:szCs w:val="14"/>
                <w:b w:val="1"/>
                <w:bCs w:val="1"/>
                <w:color w:val="auto"/>
              </w:rPr>
              <w:t>2,221.2</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0"/>
        </w:trPr>
        <w:tc>
          <w:tcPr>
            <w:tcW w:w="560" w:type="dxa"/>
            <w:vAlign w:val="bottom"/>
          </w:tcPr>
          <w:p>
            <w:pPr>
              <w:jc w:val="right"/>
              <w:spacing w:after="0"/>
              <w:rPr>
                <w:sz w:val="20"/>
                <w:szCs w:val="20"/>
                <w:color w:val="auto"/>
              </w:rPr>
            </w:pPr>
            <w:r>
              <w:rPr>
                <w:rFonts w:ascii="Arial" w:cs="Arial" w:eastAsia="Arial" w:hAnsi="Arial"/>
                <w:sz w:val="14"/>
                <w:szCs w:val="14"/>
                <w:b w:val="1"/>
                <w:bCs w:val="1"/>
                <w:color w:val="auto"/>
                <w:w w:val="85"/>
              </w:rPr>
              <w:t>(7,850.8)</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rPr>
              <w:t>(1,186.1)</w:t>
            </w: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4"/>
                <w:szCs w:val="14"/>
                <w:b w:val="1"/>
                <w:bCs w:val="1"/>
                <w:color w:val="auto"/>
              </w:rPr>
              <w:t>11.7</w:t>
            </w: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80" w:type="dxa"/>
            <w:vAlign w:val="bottom"/>
            <w:gridSpan w:val="2"/>
          </w:tcPr>
          <w:p>
            <w:pPr>
              <w:jc w:val="right"/>
              <w:spacing w:after="0"/>
              <w:rPr>
                <w:sz w:val="20"/>
                <w:szCs w:val="20"/>
                <w:color w:val="auto"/>
              </w:rPr>
            </w:pPr>
            <w:r>
              <w:rPr>
                <w:rFonts w:ascii="Arial" w:cs="Arial" w:eastAsia="Arial" w:hAnsi="Arial"/>
                <w:sz w:val="14"/>
                <w:szCs w:val="14"/>
                <w:b w:val="1"/>
                <w:bCs w:val="1"/>
                <w:color w:val="auto"/>
              </w:rPr>
              <w:t>(9,025.2)</w:t>
            </w:r>
          </w:p>
        </w:tc>
        <w:tc>
          <w:tcPr>
            <w:tcW w:w="0" w:type="dxa"/>
            <w:vAlign w:val="bottom"/>
          </w:tcPr>
          <w:p>
            <w:pPr>
              <w:spacing w:after="0"/>
              <w:rPr>
                <w:sz w:val="1"/>
                <w:szCs w:val="1"/>
                <w:color w:val="auto"/>
              </w:rPr>
            </w:pPr>
          </w:p>
        </w:tc>
      </w:tr>
      <w:tr>
        <w:trPr>
          <w:trHeight w:val="149"/>
        </w:trPr>
        <w:tc>
          <w:tcPr>
            <w:tcW w:w="560" w:type="dxa"/>
            <w:vAlign w:val="bottom"/>
          </w:tcPr>
          <w:p>
            <w:pPr>
              <w:jc w:val="right"/>
              <w:ind w:right="32"/>
              <w:spacing w:after="0" w:line="149" w:lineRule="exact"/>
              <w:rPr>
                <w:sz w:val="20"/>
                <w:szCs w:val="20"/>
                <w:color w:val="auto"/>
              </w:rPr>
            </w:pPr>
            <w:r>
              <w:rPr>
                <w:rFonts w:ascii="Arial" w:cs="Arial" w:eastAsia="Arial" w:hAnsi="Arial"/>
                <w:sz w:val="14"/>
                <w:szCs w:val="14"/>
                <w:b w:val="1"/>
                <w:bCs w:val="1"/>
                <w:color w:val="auto"/>
                <w:w w:val="94"/>
              </w:rPr>
              <w:t>1,536.0</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434.0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(50.9)</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1,919.1</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60" w:type="dxa"/>
            <w:vAlign w:val="bottom"/>
          </w:tcPr>
          <w:p>
            <w:pPr>
              <w:jc w:val="right"/>
              <w:ind w:right="32"/>
              <w:spacing w:after="0" w:line="149" w:lineRule="exact"/>
              <w:rPr>
                <w:sz w:val="20"/>
                <w:szCs w:val="20"/>
                <w:color w:val="auto"/>
              </w:rPr>
            </w:pPr>
            <w:r>
              <w:rPr>
                <w:rFonts w:ascii="Arial" w:cs="Arial" w:eastAsia="Arial" w:hAnsi="Arial"/>
                <w:sz w:val="14"/>
                <w:szCs w:val="14"/>
                <w:b w:val="1"/>
                <w:bCs w:val="1"/>
                <w:color w:val="auto"/>
                <w:w w:val="94"/>
              </w:rPr>
              <w:t>6,433.3</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925.9</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7,359.2</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85"/>
              </w:rPr>
              <w:t>(2,378.4)</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(202.2)</w:t>
            </w: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387.7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(2,192.9)</w:t>
            </w:r>
          </w:p>
        </w:tc>
        <w:tc>
          <w:tcPr>
            <w:tcW w:w="0" w:type="dxa"/>
            <w:vAlign w:val="bottom"/>
          </w:tcPr>
          <w:p>
            <w:pPr>
              <w:spacing w:after="0"/>
              <w:rPr>
                <w:sz w:val="1"/>
                <w:szCs w:val="1"/>
                <w:color w:val="auto"/>
              </w:rPr>
            </w:pPr>
          </w:p>
        </w:tc>
      </w:tr>
      <w:tr>
        <w:trPr>
          <w:trHeight w:val="149"/>
        </w:trPr>
        <w:tc>
          <w:tcPr>
            <w:tcW w:w="560" w:type="dxa"/>
            <w:vAlign w:val="bottom"/>
          </w:tcPr>
          <w:p>
            <w:pPr>
              <w:jc w:val="right"/>
              <w:ind w:right="32"/>
              <w:spacing w:after="0" w:line="149" w:lineRule="exact"/>
              <w:rPr>
                <w:sz w:val="20"/>
                <w:szCs w:val="20"/>
                <w:color w:val="auto"/>
              </w:rPr>
            </w:pPr>
            <w:r>
              <w:rPr>
                <w:rFonts w:ascii="Arial" w:cs="Arial" w:eastAsia="Arial" w:hAnsi="Arial"/>
                <w:sz w:val="14"/>
                <w:szCs w:val="14"/>
                <w:b w:val="1"/>
                <w:bCs w:val="1"/>
                <w:color w:val="auto"/>
                <w:w w:val="94"/>
              </w:rPr>
              <w:t>1,918.0</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634.3</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(457.2)</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2,095.1</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60" w:type="dxa"/>
            <w:vAlign w:val="bottom"/>
          </w:tcPr>
          <w:p>
            <w:pPr>
              <w:jc w:val="right"/>
              <w:ind w:right="32"/>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(85.6)</w:t>
            </w: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(85.6)</w:t>
            </w:r>
          </w:p>
        </w:tc>
        <w:tc>
          <w:tcPr>
            <w:tcW w:w="0" w:type="dxa"/>
            <w:vAlign w:val="bottom"/>
          </w:tcPr>
          <w:p>
            <w:pPr>
              <w:spacing w:after="0"/>
              <w:rPr>
                <w:sz w:val="1"/>
                <w:szCs w:val="1"/>
                <w:color w:val="auto"/>
              </w:rPr>
            </w:pPr>
          </w:p>
        </w:tc>
      </w:tr>
      <w:tr>
        <w:trPr>
          <w:trHeight w:val="149"/>
        </w:trPr>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(52.4)</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(7.0)</w:t>
            </w: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(59.4)</w:t>
            </w:r>
          </w:p>
        </w:tc>
        <w:tc>
          <w:tcPr>
            <w:tcW w:w="0" w:type="dxa"/>
            <w:vAlign w:val="bottom"/>
          </w:tcPr>
          <w:p>
            <w:pPr>
              <w:spacing w:after="0"/>
              <w:rPr>
                <w:sz w:val="1"/>
                <w:szCs w:val="1"/>
                <w:color w:val="auto"/>
              </w:rPr>
            </w:pPr>
          </w:p>
        </w:tc>
      </w:tr>
      <w:tr>
        <w:trPr>
          <w:trHeight w:val="174"/>
        </w:trPr>
        <w:tc>
          <w:tcPr>
            <w:tcW w:w="560" w:type="dxa"/>
            <w:vAlign w:val="bottom"/>
          </w:tcPr>
          <w:p>
            <w:pPr>
              <w:jc w:val="right"/>
              <w:ind w:right="32"/>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rPr>
              <w:t>(1,268.3)</w:t>
            </w: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80" w:type="dxa"/>
            <w:vAlign w:val="bottom"/>
            <w:gridSpan w:val="2"/>
          </w:tcPr>
          <w:p>
            <w:pPr>
              <w:jc w:val="right"/>
              <w:spacing w:after="0"/>
              <w:rPr>
                <w:sz w:val="20"/>
                <w:szCs w:val="20"/>
                <w:color w:val="auto"/>
              </w:rPr>
            </w:pPr>
            <w:r>
              <w:rPr>
                <w:rFonts w:ascii="Arial" w:cs="Arial" w:eastAsia="Arial" w:hAnsi="Arial"/>
                <w:sz w:val="14"/>
                <w:szCs w:val="14"/>
                <w:b w:val="1"/>
                <w:bCs w:val="1"/>
                <w:color w:val="auto"/>
              </w:rPr>
              <w:t>(1,268.3)</w:t>
            </w:r>
          </w:p>
        </w:tc>
        <w:tc>
          <w:tcPr>
            <w:tcW w:w="0" w:type="dxa"/>
            <w:vAlign w:val="bottom"/>
          </w:tcPr>
          <w:p>
            <w:pPr>
              <w:spacing w:after="0"/>
              <w:rPr>
                <w:sz w:val="1"/>
                <w:szCs w:val="1"/>
                <w:color w:val="auto"/>
              </w:rPr>
            </w:pPr>
          </w:p>
        </w:tc>
      </w:tr>
      <w:tr>
        <w:trPr>
          <w:trHeight w:val="271"/>
        </w:trPr>
        <w:tc>
          <w:tcPr>
            <w:tcW w:w="560" w:type="dxa"/>
            <w:vAlign w:val="bottom"/>
          </w:tcPr>
          <w:p>
            <w:pPr>
              <w:jc w:val="right"/>
              <w:ind w:right="32"/>
              <w:spacing w:after="0"/>
              <w:rPr>
                <w:sz w:val="20"/>
                <w:szCs w:val="20"/>
                <w:color w:val="auto"/>
              </w:rPr>
            </w:pPr>
            <w:r>
              <w:rPr>
                <w:rFonts w:ascii="Arial" w:cs="Arial" w:eastAsia="Arial" w:hAnsi="Arial"/>
                <w:sz w:val="14"/>
                <w:szCs w:val="14"/>
                <w:b w:val="1"/>
                <w:bCs w:val="1"/>
                <w:color w:val="auto"/>
              </w:rPr>
              <w:t>444.2</w:t>
            </w:r>
          </w:p>
        </w:tc>
        <w:tc>
          <w:tcPr>
            <w:tcW w:w="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Arial" w:cs="Arial" w:eastAsia="Arial" w:hAnsi="Arial"/>
                <w:sz w:val="14"/>
                <w:szCs w:val="14"/>
                <w:b w:val="1"/>
                <w:bCs w:val="1"/>
                <w:color w:val="auto"/>
              </w:rPr>
              <w:t>319.5</w:t>
            </w:r>
          </w:p>
        </w:tc>
        <w:tc>
          <w:tcPr>
            <w:tcW w:w="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rPr>
              <w:t>(1,083.2)</w:t>
            </w:r>
          </w:p>
        </w:tc>
        <w:tc>
          <w:tcPr>
            <w:tcW w:w="6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61"/>
        </w:trPr>
        <w:tc>
          <w:tcPr>
            <w:tcW w:w="560" w:type="dxa"/>
            <w:vAlign w:val="bottom"/>
          </w:tcPr>
          <w:p>
            <w:pPr>
              <w:jc w:val="right"/>
              <w:ind w:right="32"/>
              <w:spacing w:after="0"/>
              <w:rPr>
                <w:sz w:val="20"/>
                <w:szCs w:val="20"/>
                <w:color w:val="auto"/>
              </w:rPr>
            </w:pPr>
            <w:r>
              <w:rPr>
                <w:rFonts w:ascii="Arial" w:cs="Arial" w:eastAsia="Arial" w:hAnsi="Arial"/>
                <w:sz w:val="14"/>
                <w:szCs w:val="14"/>
                <w:b w:val="1"/>
                <w:bCs w:val="1"/>
                <w:color w:val="auto"/>
              </w:rPr>
              <w:t>56.1</w:t>
            </w: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rPr>
              <w:t>(70.2)</w:t>
            </w: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b w:val="1"/>
                <w:bCs w:val="1"/>
                <w:color w:val="auto"/>
              </w:rPr>
              <w:t>48.9</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b w:val="1"/>
                <w:bCs w:val="1"/>
                <w:color w:val="auto"/>
              </w:rPr>
              <w:t>31.7</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560" w:type="dxa"/>
            <w:vAlign w:val="bottom"/>
            <w:vMerge w:val="restart"/>
          </w:tcPr>
          <w:p>
            <w:pPr>
              <w:jc w:val="right"/>
              <w:ind w:right="32"/>
              <w:spacing w:after="0"/>
              <w:rPr>
                <w:sz w:val="20"/>
                <w:szCs w:val="20"/>
                <w:color w:val="auto"/>
              </w:rPr>
            </w:pPr>
            <w:r>
              <w:rPr>
                <w:rFonts w:ascii="Arial" w:cs="Arial" w:eastAsia="Arial" w:hAnsi="Arial"/>
                <w:sz w:val="14"/>
                <w:szCs w:val="14"/>
                <w:b w:val="1"/>
                <w:bCs w:val="1"/>
                <w:color w:val="auto"/>
              </w:rPr>
              <w:t>106.0</w:t>
            </w:r>
          </w:p>
        </w:tc>
        <w:tc>
          <w:tcPr>
            <w:tcW w:w="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8"/>
        </w:trPr>
        <w:tc>
          <w:tcPr>
            <w:tcW w:w="560" w:type="dxa"/>
            <w:vAlign w:val="bottom"/>
            <w:vMerge w:val="continue"/>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rPr>
              <w:t>(505.7)</w:t>
            </w: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rPr>
              <w:t>(1,143.0)</w:t>
            </w:r>
          </w:p>
        </w:tc>
        <w:tc>
          <w:tcPr>
            <w:tcW w:w="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gridSpan w:val="2"/>
          </w:tcPr>
          <w:p>
            <w:pPr>
              <w:jc w:val="right"/>
              <w:spacing w:after="0"/>
              <w:rPr>
                <w:sz w:val="20"/>
                <w:szCs w:val="20"/>
                <w:color w:val="auto"/>
              </w:rPr>
            </w:pPr>
            <w:r>
              <w:rPr>
                <w:rFonts w:ascii="Arial" w:cs="Arial" w:eastAsia="Arial" w:hAnsi="Arial"/>
                <w:sz w:val="14"/>
                <w:szCs w:val="14"/>
                <w:b w:val="1"/>
                <w:bCs w:val="1"/>
                <w:color w:val="auto"/>
              </w:rPr>
              <w:t>(1,226.3)</w:t>
            </w:r>
          </w:p>
        </w:tc>
        <w:tc>
          <w:tcPr>
            <w:tcW w:w="0" w:type="dxa"/>
            <w:vAlign w:val="bottom"/>
          </w:tcPr>
          <w:p>
            <w:pPr>
              <w:spacing w:after="0"/>
              <w:rPr>
                <w:sz w:val="1"/>
                <w:szCs w:val="1"/>
                <w:color w:val="auto"/>
              </w:rPr>
            </w:pPr>
          </w:p>
        </w:tc>
      </w:tr>
      <w:tr>
        <w:trPr>
          <w:trHeight w:val="259"/>
        </w:trPr>
        <w:tc>
          <w:tcPr>
            <w:tcW w:w="560" w:type="dxa"/>
            <w:vAlign w:val="bottom"/>
          </w:tcPr>
          <w:p>
            <w:pPr>
              <w:jc w:val="right"/>
              <w:ind w:right="32"/>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4"/>
                <w:szCs w:val="14"/>
                <w:b w:val="1"/>
                <w:bCs w:val="1"/>
                <w:color w:val="auto"/>
              </w:rPr>
              <w:t>125.8</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560" w:type="dxa"/>
            <w:vAlign w:val="bottom"/>
          </w:tcPr>
          <w:p>
            <w:pPr>
              <w:jc w:val="right"/>
              <w:ind w:right="32"/>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(153.6)</w:t>
            </w:r>
          </w:p>
        </w:tc>
        <w:tc>
          <w:tcPr>
            <w:tcW w:w="0" w:type="dxa"/>
            <w:vAlign w:val="bottom"/>
          </w:tcPr>
          <w:p>
            <w:pPr>
              <w:spacing w:after="0"/>
              <w:rPr>
                <w:sz w:val="1"/>
                <w:szCs w:val="1"/>
                <w:color w:val="auto"/>
              </w:rPr>
            </w:pPr>
          </w:p>
        </w:tc>
      </w:tr>
      <w:tr>
        <w:trPr>
          <w:trHeight w:val="149"/>
        </w:trPr>
        <w:tc>
          <w:tcPr>
            <w:tcW w:w="560" w:type="dxa"/>
            <w:vAlign w:val="bottom"/>
          </w:tcPr>
          <w:p>
            <w:pPr>
              <w:jc w:val="right"/>
              <w:ind w:right="32"/>
              <w:spacing w:after="0" w:line="149" w:lineRule="exact"/>
              <w:rPr>
                <w:sz w:val="20"/>
                <w:szCs w:val="20"/>
                <w:color w:val="auto"/>
              </w:rPr>
            </w:pPr>
            <w:r>
              <w:rPr>
                <w:rFonts w:ascii="Arial" w:cs="Arial" w:eastAsia="Arial" w:hAnsi="Arial"/>
                <w:sz w:val="14"/>
                <w:szCs w:val="14"/>
                <w:b w:val="1"/>
                <w:bCs w:val="1"/>
                <w:color w:val="auto"/>
              </w:rPr>
              <w:t>47.0</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47.0</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(48.0)</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(48.0)</w:t>
            </w:r>
          </w:p>
        </w:tc>
        <w:tc>
          <w:tcPr>
            <w:tcW w:w="0" w:type="dxa"/>
            <w:vAlign w:val="bottom"/>
          </w:tcPr>
          <w:p>
            <w:pPr>
              <w:spacing w:after="0"/>
              <w:rPr>
                <w:sz w:val="1"/>
                <w:szCs w:val="1"/>
                <w:color w:val="auto"/>
              </w:rPr>
            </w:pPr>
          </w:p>
        </w:tc>
      </w:tr>
      <w:tr>
        <w:trPr>
          <w:trHeight w:val="149"/>
        </w:trPr>
        <w:tc>
          <w:tcPr>
            <w:tcW w:w="560" w:type="dxa"/>
            <w:vAlign w:val="bottom"/>
          </w:tcPr>
          <w:p>
            <w:pPr>
              <w:jc w:val="right"/>
              <w:ind w:right="32"/>
              <w:spacing w:after="0" w:line="149" w:lineRule="exact"/>
              <w:rPr>
                <w:sz w:val="20"/>
                <w:szCs w:val="20"/>
                <w:color w:val="auto"/>
              </w:rPr>
            </w:pPr>
            <w:r>
              <w:rPr>
                <w:rFonts w:ascii="Arial" w:cs="Arial" w:eastAsia="Arial" w:hAnsi="Arial"/>
                <w:sz w:val="14"/>
                <w:szCs w:val="14"/>
                <w:b w:val="1"/>
                <w:bCs w:val="1"/>
                <w:color w:val="auto"/>
              </w:rPr>
              <w:t>3.1</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10.1</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60" w:type="dxa"/>
            <w:vAlign w:val="bottom"/>
          </w:tcPr>
          <w:p>
            <w:pPr>
              <w:jc w:val="right"/>
              <w:ind w:right="32"/>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(52.9)</w:t>
            </w: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(52.9)</w:t>
            </w:r>
          </w:p>
        </w:tc>
        <w:tc>
          <w:tcPr>
            <w:tcW w:w="0" w:type="dxa"/>
            <w:vAlign w:val="bottom"/>
          </w:tcPr>
          <w:p>
            <w:pPr>
              <w:spacing w:after="0"/>
              <w:rPr>
                <w:sz w:val="1"/>
                <w:szCs w:val="1"/>
                <w:color w:val="auto"/>
              </w:rPr>
            </w:pPr>
          </w:p>
        </w:tc>
      </w:tr>
      <w:tr>
        <w:trPr>
          <w:trHeight w:val="149"/>
        </w:trPr>
        <w:tc>
          <w:tcPr>
            <w:tcW w:w="560" w:type="dxa"/>
            <w:vAlign w:val="bottom"/>
          </w:tcPr>
          <w:p>
            <w:pPr>
              <w:jc w:val="right"/>
              <w:ind w:right="32"/>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31.8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31.8</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60" w:type="dxa"/>
            <w:vAlign w:val="bottom"/>
          </w:tcPr>
          <w:p>
            <w:pPr>
              <w:jc w:val="right"/>
              <w:ind w:right="32"/>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(288.4)</w:t>
            </w:r>
          </w:p>
        </w:tc>
        <w:tc>
          <w:tcPr>
            <w:tcW w:w="0" w:type="dxa"/>
            <w:vAlign w:val="bottom"/>
          </w:tcPr>
          <w:p>
            <w:pPr>
              <w:spacing w:after="0"/>
              <w:rPr>
                <w:sz w:val="1"/>
                <w:szCs w:val="1"/>
                <w:color w:val="auto"/>
              </w:rPr>
            </w:pPr>
          </w:p>
        </w:tc>
      </w:tr>
      <w:tr>
        <w:trPr>
          <w:trHeight w:val="149"/>
        </w:trPr>
        <w:tc>
          <w:tcPr>
            <w:tcW w:w="560" w:type="dxa"/>
            <w:vAlign w:val="bottom"/>
          </w:tcPr>
          <w:p>
            <w:pPr>
              <w:jc w:val="right"/>
              <w:ind w:right="32"/>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(33.0)</w:t>
            </w:r>
          </w:p>
        </w:tc>
        <w:tc>
          <w:tcPr>
            <w:tcW w:w="0" w:type="dxa"/>
            <w:vAlign w:val="bottom"/>
          </w:tcPr>
          <w:p>
            <w:pPr>
              <w:spacing w:after="0"/>
              <w:rPr>
                <w:sz w:val="1"/>
                <w:szCs w:val="1"/>
                <w:color w:val="auto"/>
              </w:rPr>
            </w:pPr>
          </w:p>
        </w:tc>
      </w:tr>
      <w:tr>
        <w:trPr>
          <w:trHeight w:val="149"/>
        </w:trPr>
        <w:tc>
          <w:tcPr>
            <w:tcW w:w="560" w:type="dxa"/>
            <w:vAlign w:val="bottom"/>
          </w:tcPr>
          <w:p>
            <w:pPr>
              <w:jc w:val="right"/>
              <w:ind w:right="32"/>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38.2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38.2</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60" w:type="dxa"/>
            <w:vAlign w:val="bottom"/>
          </w:tcPr>
          <w:p>
            <w:pPr>
              <w:jc w:val="right"/>
              <w:ind w:right="32"/>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(214.4)</w:t>
            </w: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(3.8)</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(218.2)</w:t>
            </w:r>
          </w:p>
        </w:tc>
        <w:tc>
          <w:tcPr>
            <w:tcW w:w="0" w:type="dxa"/>
            <w:vAlign w:val="bottom"/>
          </w:tcPr>
          <w:p>
            <w:pPr>
              <w:spacing w:after="0"/>
              <w:rPr>
                <w:sz w:val="1"/>
                <w:szCs w:val="1"/>
                <w:color w:val="auto"/>
              </w:rPr>
            </w:pPr>
          </w:p>
        </w:tc>
      </w:tr>
      <w:tr>
        <w:trPr>
          <w:trHeight w:val="149"/>
        </w:trPr>
        <w:tc>
          <w:tcPr>
            <w:tcW w:w="560" w:type="dxa"/>
            <w:vAlign w:val="bottom"/>
          </w:tcPr>
          <w:p>
            <w:pPr>
              <w:jc w:val="right"/>
              <w:ind w:right="32"/>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108.0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108.0</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(249.5)</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(763.7)</w:t>
            </w: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1,013.2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gridSpan w:val="2"/>
          </w:tcPr>
          <w:p>
            <w:pPr>
              <w:jc w:val="right"/>
              <w:ind w:right="4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9"/>
        </w:trPr>
        <w:tc>
          <w:tcPr>
            <w:tcW w:w="560" w:type="dxa"/>
            <w:vAlign w:val="bottom"/>
          </w:tcPr>
          <w:p>
            <w:pPr>
              <w:jc w:val="right"/>
              <w:ind w:right="32"/>
              <w:spacing w:after="0" w:line="149" w:lineRule="exact"/>
              <w:rPr>
                <w:sz w:val="20"/>
                <w:szCs w:val="20"/>
                <w:color w:val="auto"/>
              </w:rPr>
            </w:pPr>
            <w:r>
              <w:rPr>
                <w:rFonts w:ascii="Arial" w:cs="Arial" w:eastAsia="Arial" w:hAnsi="Arial"/>
                <w:sz w:val="14"/>
                <w:szCs w:val="14"/>
                <w:b w:val="1"/>
                <w:bCs w:val="1"/>
                <w:color w:val="auto"/>
                <w:w w:val="94"/>
              </w:rPr>
              <w:t>6,355.1</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361.2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6,716.3</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85"/>
              </w:rPr>
              <w:t>(8,846.6)</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(6.1)</w:t>
            </w: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(8,852.7)</w:t>
            </w:r>
          </w:p>
        </w:tc>
        <w:tc>
          <w:tcPr>
            <w:tcW w:w="0" w:type="dxa"/>
            <w:vAlign w:val="bottom"/>
          </w:tcPr>
          <w:p>
            <w:pPr>
              <w:spacing w:after="0"/>
              <w:rPr>
                <w:sz w:val="1"/>
                <w:szCs w:val="1"/>
                <w:color w:val="auto"/>
              </w:rPr>
            </w:pPr>
          </w:p>
        </w:tc>
      </w:tr>
      <w:tr>
        <w:trPr>
          <w:trHeight w:val="149"/>
        </w:trPr>
        <w:tc>
          <w:tcPr>
            <w:tcW w:w="560" w:type="dxa"/>
            <w:vAlign w:val="bottom"/>
          </w:tcPr>
          <w:p>
            <w:pPr>
              <w:jc w:val="right"/>
              <w:ind w:right="32"/>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(225.7)</w:t>
            </w: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(225.7)</w:t>
            </w:r>
          </w:p>
        </w:tc>
        <w:tc>
          <w:tcPr>
            <w:tcW w:w="0" w:type="dxa"/>
            <w:vAlign w:val="bottom"/>
          </w:tcPr>
          <w:p>
            <w:pPr>
              <w:spacing w:after="0"/>
              <w:rPr>
                <w:sz w:val="1"/>
                <w:szCs w:val="1"/>
                <w:color w:val="auto"/>
              </w:rPr>
            </w:pPr>
          </w:p>
        </w:tc>
      </w:tr>
      <w:tr>
        <w:trPr>
          <w:trHeight w:val="161"/>
        </w:trPr>
        <w:tc>
          <w:tcPr>
            <w:tcW w:w="560" w:type="dxa"/>
            <w:vAlign w:val="bottom"/>
          </w:tcPr>
          <w:p>
            <w:pPr>
              <w:jc w:val="right"/>
              <w:spacing w:after="0"/>
              <w:rPr>
                <w:sz w:val="20"/>
                <w:szCs w:val="20"/>
                <w:color w:val="auto"/>
              </w:rPr>
            </w:pPr>
            <w:r>
              <w:rPr>
                <w:rFonts w:ascii="Arial" w:cs="Arial" w:eastAsia="Arial" w:hAnsi="Arial"/>
                <w:sz w:val="14"/>
                <w:szCs w:val="14"/>
                <w:b w:val="1"/>
                <w:bCs w:val="1"/>
                <w:color w:val="auto"/>
              </w:rPr>
              <w:t>(5.0)</w:t>
            </w: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gridSpan w:val="2"/>
          </w:tcPr>
          <w:p>
            <w:pPr>
              <w:jc w:val="right"/>
              <w:spacing w:after="0"/>
              <w:rPr>
                <w:sz w:val="20"/>
                <w:szCs w:val="20"/>
                <w:color w:val="auto"/>
              </w:rPr>
            </w:pPr>
            <w:r>
              <w:rPr>
                <w:rFonts w:ascii="Arial" w:cs="Arial" w:eastAsia="Arial" w:hAnsi="Arial"/>
                <w:sz w:val="14"/>
                <w:szCs w:val="14"/>
                <w:b w:val="1"/>
                <w:bCs w:val="1"/>
                <w:color w:val="auto"/>
              </w:rPr>
              <w:t>(5.0)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-316865</wp:posOffset>
            </wp:positionH>
            <wp:positionV relativeFrom="paragraph">
              <wp:posOffset>-1800225</wp:posOffset>
            </wp:positionV>
            <wp:extent cx="608965" cy="889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608965" cy="8890"/>
                    </a:xfrm>
                    <a:prstGeom prst="rect">
                      <a:avLst/>
                    </a:prstGeom>
                    <a:noFill/>
                  </pic:spPr>
                </pic:pic>
              </a:graphicData>
            </a:graphic>
          </wp:anchor>
        </w:drawing>
      </w:r>
    </w:p>
    <w:p>
      <w:pPr>
        <w:spacing w:after="0" w:line="20" w:lineRule="exact"/>
        <w:rPr>
          <w:sz w:val="20"/>
          <w:szCs w:val="20"/>
          <w:color w:val="auto"/>
        </w:rPr>
      </w:pPr>
    </w:p>
    <w:p>
      <w:pPr>
        <w:sectPr>
          <w:pgSz w:w="11900" w:h="16838" w:orient="portrait"/>
          <w:cols w:equalWidth="0" w:num="2">
            <w:col w:w="5740" w:space="440"/>
            <w:col w:w="4180"/>
          </w:cols>
          <w:pgMar w:left="240" w:top="131" w:right="1299" w:bottom="1440" w:gutter="0" w:footer="0" w:header="0"/>
          <w:type w:val="continuous"/>
        </w:sectPr>
      </w:pPr>
    </w:p>
    <w:tbl>
      <w:tblPr>
        <w:tblLayout w:type="fixed"/>
        <w:tblInd w:w="1140" w:type="dxa"/>
        <w:tblCellMar>
          <w:top w:w="0" w:type="dxa"/>
          <w:left w:w="0" w:type="dxa"/>
          <w:bottom w:w="0" w:type="dxa"/>
          <w:right w:w="0" w:type="dxa"/>
        </w:tblCellMar>
      </w:tblPr>
      <w:tr>
        <w:trPr>
          <w:trHeight w:val="20"/>
        </w:trPr>
        <w:tc>
          <w:tcPr>
            <w:tcW w:w="20" w:type="dxa"/>
            <w:vAlign w:val="bottom"/>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2"/>
        </w:trPr>
        <w:tc>
          <w:tcPr>
            <w:tcW w:w="3080" w:type="dxa"/>
            <w:vAlign w:val="bottom"/>
            <w:gridSpan w:val="2"/>
          </w:tcPr>
          <w:p>
            <w:pPr>
              <w:spacing w:after="0" w:line="122" w:lineRule="exact"/>
              <w:rPr>
                <w:sz w:val="20"/>
                <w:szCs w:val="20"/>
                <w:color w:val="auto"/>
              </w:rPr>
            </w:pPr>
            <w:r>
              <w:rPr>
                <w:rFonts w:ascii="Arial" w:cs="Arial" w:eastAsia="Arial" w:hAnsi="Arial"/>
                <w:sz w:val="14"/>
                <w:szCs w:val="14"/>
                <w:color w:val="auto"/>
              </w:rPr>
              <w:t>Net cash used in financing activities</w:t>
            </w:r>
          </w:p>
        </w:tc>
        <w:tc>
          <w:tcPr>
            <w:tcW w:w="4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80" w:type="dxa"/>
            <w:vAlign w:val="bottom"/>
            <w:gridSpan w:val="2"/>
          </w:tcPr>
          <w:p>
            <w:pPr>
              <w:jc w:val="right"/>
              <w:ind w:right="60"/>
              <w:spacing w:after="0" w:line="122" w:lineRule="exact"/>
              <w:rPr>
                <w:sz w:val="20"/>
                <w:szCs w:val="20"/>
                <w:color w:val="auto"/>
              </w:rPr>
            </w:pPr>
            <w:r>
              <w:rPr>
                <w:rFonts w:ascii="Arial" w:cs="Arial" w:eastAsia="Arial" w:hAnsi="Arial"/>
                <w:sz w:val="14"/>
                <w:szCs w:val="14"/>
                <w:b w:val="1"/>
                <w:bCs w:val="1"/>
                <w:color w:val="auto"/>
              </w:rPr>
              <w:t>(349.2)</w:t>
            </w:r>
          </w:p>
        </w:tc>
        <w:tc>
          <w:tcPr>
            <w:tcW w:w="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gridSpan w:val="2"/>
          </w:tcPr>
          <w:p>
            <w:pPr>
              <w:jc w:val="right"/>
              <w:ind w:right="60"/>
              <w:spacing w:after="0" w:line="122" w:lineRule="exact"/>
              <w:rPr>
                <w:sz w:val="20"/>
                <w:szCs w:val="20"/>
                <w:color w:val="auto"/>
              </w:rPr>
            </w:pPr>
            <w:r>
              <w:rPr>
                <w:rFonts w:ascii="Arial" w:cs="Arial" w:eastAsia="Arial" w:hAnsi="Arial"/>
                <w:sz w:val="14"/>
                <w:szCs w:val="14"/>
                <w:b w:val="1"/>
                <w:bCs w:val="1"/>
                <w:color w:val="auto"/>
              </w:rPr>
              <w:t>(2,743.9)</w:t>
            </w: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920" w:type="dxa"/>
            <w:vAlign w:val="bottom"/>
            <w:gridSpan w:val="2"/>
          </w:tcPr>
          <w:p>
            <w:pPr>
              <w:jc w:val="right"/>
              <w:ind w:right="60"/>
              <w:spacing w:after="0" w:line="122" w:lineRule="exact"/>
              <w:rPr>
                <w:sz w:val="20"/>
                <w:szCs w:val="20"/>
                <w:color w:val="auto"/>
              </w:rPr>
            </w:pPr>
            <w:r>
              <w:rPr>
                <w:rFonts w:ascii="Arial" w:cs="Arial" w:eastAsia="Arial" w:hAnsi="Arial"/>
                <w:sz w:val="14"/>
                <w:szCs w:val="14"/>
                <w:b w:val="1"/>
                <w:bCs w:val="1"/>
                <w:color w:val="auto"/>
              </w:rPr>
              <w:t>(716.6)</w:t>
            </w:r>
          </w:p>
        </w:tc>
        <w:tc>
          <w:tcPr>
            <w:tcW w:w="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620" w:type="dxa"/>
            <w:vAlign w:val="bottom"/>
          </w:tcPr>
          <w:p>
            <w:pPr>
              <w:jc w:val="right"/>
              <w:spacing w:after="0" w:line="122" w:lineRule="exact"/>
              <w:rPr>
                <w:sz w:val="20"/>
                <w:szCs w:val="20"/>
                <w:color w:val="auto"/>
              </w:rPr>
            </w:pPr>
            <w:r>
              <w:rPr>
                <w:rFonts w:ascii="Arial" w:cs="Arial" w:eastAsia="Arial" w:hAnsi="Arial"/>
                <w:sz w:val="14"/>
                <w:szCs w:val="14"/>
                <w:b w:val="1"/>
                <w:bCs w:val="1"/>
                <w:color w:val="auto"/>
              </w:rPr>
              <w:t>1,009.4</w:t>
            </w: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820" w:type="dxa"/>
            <w:vAlign w:val="bottom"/>
            <w:gridSpan w:val="2"/>
          </w:tcPr>
          <w:p>
            <w:pPr>
              <w:jc w:val="right"/>
              <w:ind w:right="140"/>
              <w:spacing w:after="0" w:line="122" w:lineRule="exact"/>
              <w:rPr>
                <w:sz w:val="20"/>
                <w:szCs w:val="20"/>
                <w:color w:val="auto"/>
              </w:rPr>
            </w:pPr>
            <w:r>
              <w:rPr>
                <w:rFonts w:ascii="Arial" w:cs="Arial" w:eastAsia="Arial" w:hAnsi="Arial"/>
                <w:sz w:val="14"/>
                <w:szCs w:val="14"/>
                <w:b w:val="1"/>
                <w:bCs w:val="1"/>
                <w:color w:val="auto"/>
              </w:rPr>
              <w:t>(2,800.3)</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306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decrease in cash and cash equivalents</w:t>
            </w:r>
          </w:p>
        </w:tc>
        <w:tc>
          <w:tcPr>
            <w:tcW w:w="44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(75.6)</w:t>
            </w:r>
          </w:p>
        </w:tc>
        <w:tc>
          <w:tcPr>
            <w:tcW w:w="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(366.2)</w:t>
            </w:r>
          </w:p>
        </w:tc>
        <w:tc>
          <w:tcPr>
            <w:tcW w:w="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(1,392.4)</w:t>
            </w: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28.8</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b w:val="1"/>
                <w:bCs w:val="1"/>
                <w:color w:val="auto"/>
              </w:rPr>
              <w:t>(1,805.4)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60" w:type="dxa"/>
            <w:vAlign w:val="bottom"/>
          </w:tcPr>
          <w:p>
            <w:pPr>
              <w:spacing w:after="0" w:line="149" w:lineRule="exact"/>
              <w:rPr>
                <w:sz w:val="20"/>
                <w:szCs w:val="20"/>
                <w:color w:val="auto"/>
              </w:rPr>
            </w:pPr>
            <w:r>
              <w:rPr>
                <w:rFonts w:ascii="Arial" w:cs="Arial" w:eastAsia="Arial" w:hAnsi="Arial"/>
                <w:sz w:val="14"/>
                <w:szCs w:val="14"/>
                <w:color w:val="auto"/>
                <w:w w:val="99"/>
              </w:rPr>
              <w:t>Cash and cash equivalents at beginning of period</w:t>
            </w:r>
          </w:p>
        </w:tc>
        <w:tc>
          <w:tcPr>
            <w:tcW w:w="4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207.1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1,698.4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2,286.9</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(15.2)</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4,177.2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306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Cash and cash equivalents at end of period</w:t>
            </w:r>
          </w:p>
        </w:tc>
        <w:tc>
          <w:tcPr>
            <w:tcW w:w="720" w:type="dxa"/>
            <w:vAlign w:val="bottom"/>
            <w:gridSpan w:val="2"/>
            <w:shd w:val="clear" w:color="auto" w:fill="CCEEFF"/>
          </w:tcPr>
          <w:p>
            <w:pPr>
              <w:jc w:val="right"/>
              <w:ind w:right="220"/>
              <w:spacing w:after="0" w:line="142" w:lineRule="exact"/>
              <w:rPr>
                <w:sz w:val="20"/>
                <w:szCs w:val="20"/>
                <w:color w:val="auto"/>
              </w:rPr>
            </w:pPr>
            <w:r>
              <w:rPr>
                <w:rFonts w:ascii="Arial" w:cs="Arial" w:eastAsia="Arial" w:hAnsi="Arial"/>
                <w:sz w:val="14"/>
                <w:szCs w:val="14"/>
                <w:b w:val="1"/>
                <w:bCs w:val="1"/>
                <w:color w:val="auto"/>
              </w:rPr>
              <w:t>$</w:t>
            </w:r>
          </w:p>
        </w:tc>
        <w:tc>
          <w:tcPr>
            <w:tcW w:w="5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131.5</w:t>
            </w:r>
          </w:p>
        </w:tc>
        <w:tc>
          <w:tcPr>
            <w:tcW w:w="100" w:type="dxa"/>
            <w:vAlign w:val="bottom"/>
            <w:shd w:val="clear" w:color="auto" w:fill="CCEEFF"/>
          </w:tcPr>
          <w:p>
            <w:pPr>
              <w:spacing w:after="0"/>
              <w:rPr>
                <w:sz w:val="12"/>
                <w:szCs w:val="12"/>
                <w:color w:val="auto"/>
              </w:rPr>
            </w:pPr>
          </w:p>
        </w:tc>
        <w:tc>
          <w:tcPr>
            <w:tcW w:w="340" w:type="dxa"/>
            <w:vAlign w:val="bottom"/>
            <w:gridSpan w:val="2"/>
            <w:shd w:val="clear" w:color="auto" w:fill="CCEEFF"/>
          </w:tcPr>
          <w:p>
            <w:pPr>
              <w:jc w:val="right"/>
              <w:ind w:right="220"/>
              <w:spacing w:after="0" w:line="142" w:lineRule="exact"/>
              <w:rPr>
                <w:sz w:val="20"/>
                <w:szCs w:val="20"/>
                <w:color w:val="auto"/>
              </w:rPr>
            </w:pPr>
            <w:r>
              <w:rPr>
                <w:rFonts w:ascii="Arial" w:cs="Arial" w:eastAsia="Arial" w:hAnsi="Arial"/>
                <w:sz w:val="14"/>
                <w:szCs w:val="14"/>
                <w:b w:val="1"/>
                <w:bCs w:val="1"/>
                <w:color w:val="auto"/>
              </w:rPr>
              <w:t>$</w:t>
            </w:r>
          </w:p>
        </w:tc>
        <w:tc>
          <w:tcPr>
            <w:tcW w:w="6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1,332.2</w:t>
            </w:r>
          </w:p>
        </w:tc>
        <w:tc>
          <w:tcPr>
            <w:tcW w:w="10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380"/>
              <w:spacing w:after="0" w:line="142" w:lineRule="exact"/>
              <w:rPr>
                <w:sz w:val="20"/>
                <w:szCs w:val="20"/>
                <w:color w:val="auto"/>
              </w:rPr>
            </w:pPr>
            <w:r>
              <w:rPr>
                <w:rFonts w:ascii="Arial" w:cs="Arial" w:eastAsia="Arial" w:hAnsi="Arial"/>
                <w:sz w:val="14"/>
                <w:szCs w:val="14"/>
                <w:b w:val="1"/>
                <w:bCs w:val="1"/>
                <w:color w:val="auto"/>
              </w:rPr>
              <w:t>$</w:t>
            </w:r>
          </w:p>
        </w:tc>
        <w:tc>
          <w:tcPr>
            <w:tcW w:w="8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894.5</w:t>
            </w:r>
          </w:p>
        </w:tc>
        <w:tc>
          <w:tcPr>
            <w:tcW w:w="80" w:type="dxa"/>
            <w:vAlign w:val="bottom"/>
            <w:shd w:val="clear" w:color="auto" w:fill="CCEEFF"/>
          </w:tcPr>
          <w:p>
            <w:pPr>
              <w:spacing w:after="0"/>
              <w:rPr>
                <w:sz w:val="12"/>
                <w:szCs w:val="12"/>
                <w:color w:val="auto"/>
              </w:rPr>
            </w:pPr>
          </w:p>
        </w:tc>
        <w:tc>
          <w:tcPr>
            <w:tcW w:w="340" w:type="dxa"/>
            <w:vAlign w:val="bottom"/>
            <w:gridSpan w:val="2"/>
            <w:shd w:val="clear" w:color="auto" w:fill="CCEEFF"/>
          </w:tcPr>
          <w:p>
            <w:pPr>
              <w:jc w:val="right"/>
              <w:ind w:right="200"/>
              <w:spacing w:after="0" w:line="142" w:lineRule="exact"/>
              <w:rPr>
                <w:sz w:val="20"/>
                <w:szCs w:val="20"/>
                <w:color w:val="auto"/>
              </w:rPr>
            </w:pPr>
            <w:r>
              <w:rPr>
                <w:rFonts w:ascii="Arial" w:cs="Arial" w:eastAsia="Arial" w:hAnsi="Arial"/>
                <w:sz w:val="14"/>
                <w:szCs w:val="14"/>
                <w:b w:val="1"/>
                <w:bCs w:val="1"/>
                <w:color w:val="auto"/>
              </w:rPr>
              <w:t>$</w:t>
            </w:r>
          </w:p>
        </w:tc>
        <w:tc>
          <w:tcPr>
            <w:tcW w:w="6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13.6</w:t>
            </w:r>
          </w:p>
        </w:tc>
        <w:tc>
          <w:tcPr>
            <w:tcW w:w="100" w:type="dxa"/>
            <w:vAlign w:val="bottom"/>
            <w:shd w:val="clear" w:color="auto" w:fill="CCEEFF"/>
          </w:tcPr>
          <w:p>
            <w:pPr>
              <w:spacing w:after="0"/>
              <w:rPr>
                <w:sz w:val="12"/>
                <w:szCs w:val="12"/>
                <w:color w:val="auto"/>
              </w:rPr>
            </w:pPr>
          </w:p>
        </w:tc>
        <w:tc>
          <w:tcPr>
            <w:tcW w:w="320" w:type="dxa"/>
            <w:vAlign w:val="bottom"/>
            <w:gridSpan w:val="2"/>
            <w:shd w:val="clear" w:color="auto" w:fill="CCEEFF"/>
          </w:tcPr>
          <w:p>
            <w:pPr>
              <w:jc w:val="right"/>
              <w:ind w:right="200"/>
              <w:spacing w:after="0" w:line="142" w:lineRule="exact"/>
              <w:rPr>
                <w:sz w:val="20"/>
                <w:szCs w:val="20"/>
                <w:color w:val="auto"/>
              </w:rPr>
            </w:pPr>
            <w:r>
              <w:rPr>
                <w:rFonts w:ascii="Arial" w:cs="Arial" w:eastAsia="Arial" w:hAnsi="Arial"/>
                <w:sz w:val="14"/>
                <w:szCs w:val="14"/>
                <w:b w:val="1"/>
                <w:bCs w:val="1"/>
                <w:color w:val="auto"/>
              </w:rPr>
              <w:t>$</w:t>
            </w:r>
          </w:p>
        </w:tc>
        <w:tc>
          <w:tcPr>
            <w:tcW w:w="6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2,371.8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194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360"/>
          </w:cols>
          <w:pgMar w:left="240" w:top="131" w:right="1299" w:bottom="1440" w:gutter="0" w:footer="0" w:header="0"/>
          <w:type w:val="continuous"/>
        </w:sectPr>
      </w:pPr>
    </w:p>
    <w:bookmarkStart w:id="198" w:name="page199"/>
    <w:bookmarkEnd w:id="19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21. Condensed Consolidating Financial Information — (continued)</w:t>
      </w:r>
    </w:p>
    <w:p>
      <w:pPr>
        <w:spacing w:after="0" w:line="200" w:lineRule="exact"/>
        <w:rPr>
          <w:sz w:val="20"/>
          <w:szCs w:val="20"/>
          <w:color w:val="auto"/>
        </w:rPr>
      </w:pPr>
    </w:p>
    <w:p>
      <w:pPr>
        <w:spacing w:after="0" w:line="241"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Condensed Consolidating Statements of Cash Flows</w:t>
      </w:r>
    </w:p>
    <w:p>
      <w:pPr>
        <w:spacing w:after="0" w:line="21" w:lineRule="exact"/>
        <w:rPr>
          <w:sz w:val="20"/>
          <w:szCs w:val="20"/>
          <w:color w:val="auto"/>
        </w:rPr>
      </w:pPr>
    </w:p>
    <w:p>
      <w:pPr>
        <w:jc w:val="center"/>
        <w:ind w:right="-1019"/>
        <w:spacing w:after="0"/>
        <w:rPr>
          <w:sz w:val="20"/>
          <w:szCs w:val="20"/>
          <w:color w:val="auto"/>
        </w:rPr>
      </w:pPr>
      <w:r>
        <w:rPr>
          <w:rFonts w:ascii="Arial" w:cs="Arial" w:eastAsia="Arial" w:hAnsi="Arial"/>
          <w:sz w:val="18"/>
          <w:szCs w:val="18"/>
          <w:b w:val="1"/>
          <w:bCs w:val="1"/>
          <w:color w:val="auto"/>
        </w:rPr>
        <w:t>For the year ended December 31, 2012</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Principal</w:t>
            </w:r>
          </w:p>
        </w:tc>
        <w:tc>
          <w:tcPr>
            <w:tcW w:w="3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Principal</w:t>
            </w:r>
          </w:p>
        </w:tc>
        <w:tc>
          <w:tcPr>
            <w:tcW w:w="80" w:type="dxa"/>
            <w:vAlign w:val="bottom"/>
          </w:tcPr>
          <w:p>
            <w:pPr>
              <w:spacing w:after="0"/>
              <w:rPr>
                <w:sz w:val="12"/>
                <w:szCs w:val="12"/>
                <w:color w:val="auto"/>
              </w:rPr>
            </w:pPr>
          </w:p>
        </w:tc>
        <w:tc>
          <w:tcPr>
            <w:tcW w:w="10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0"/>
              </w:rPr>
              <w:t>Principal Life</w:t>
            </w:r>
          </w:p>
        </w:tc>
        <w:tc>
          <w:tcPr>
            <w:tcW w:w="80" w:type="dxa"/>
            <w:vAlign w:val="bottom"/>
          </w:tcPr>
          <w:p>
            <w:pPr>
              <w:spacing w:after="0"/>
              <w:rPr>
                <w:sz w:val="12"/>
                <w:szCs w:val="12"/>
                <w:color w:val="auto"/>
              </w:rPr>
            </w:pPr>
          </w:p>
        </w:tc>
        <w:tc>
          <w:tcPr>
            <w:tcW w:w="13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Financial</w:t>
            </w:r>
          </w:p>
        </w:tc>
        <w:tc>
          <w:tcPr>
            <w:tcW w:w="3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Principal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Financial</w:t>
            </w:r>
          </w:p>
        </w:tc>
        <w:tc>
          <w:tcPr>
            <w:tcW w:w="80" w:type="dxa"/>
            <w:vAlign w:val="bottom"/>
          </w:tcPr>
          <w:p>
            <w:pPr>
              <w:spacing w:after="0"/>
              <w:rPr>
                <w:sz w:val="12"/>
                <w:szCs w:val="12"/>
                <w:color w:val="auto"/>
              </w:rPr>
            </w:pPr>
          </w:p>
        </w:tc>
        <w:tc>
          <w:tcPr>
            <w:tcW w:w="10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Insurance</w:t>
            </w:r>
          </w:p>
        </w:tc>
        <w:tc>
          <w:tcPr>
            <w:tcW w:w="80" w:type="dxa"/>
            <w:vAlign w:val="bottom"/>
          </w:tcPr>
          <w:p>
            <w:pPr>
              <w:spacing w:after="0"/>
              <w:rPr>
                <w:sz w:val="12"/>
                <w:szCs w:val="12"/>
                <w:color w:val="auto"/>
              </w:rPr>
            </w:pPr>
          </w:p>
        </w:tc>
        <w:tc>
          <w:tcPr>
            <w:tcW w:w="13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6"/>
              </w:rPr>
              <w:t>Services, Inc. and</w:t>
            </w:r>
          </w:p>
        </w:tc>
        <w:tc>
          <w:tcPr>
            <w:tcW w:w="3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Financial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1"/>
              </w:rPr>
              <w:t>Group, Inc.</w:t>
            </w:r>
          </w:p>
        </w:tc>
        <w:tc>
          <w:tcPr>
            <w:tcW w:w="80" w:type="dxa"/>
            <w:vAlign w:val="bottom"/>
          </w:tcPr>
          <w:p>
            <w:pPr>
              <w:spacing w:after="0"/>
              <w:rPr>
                <w:sz w:val="12"/>
                <w:szCs w:val="12"/>
                <w:color w:val="auto"/>
              </w:rPr>
            </w:pPr>
          </w:p>
        </w:tc>
        <w:tc>
          <w:tcPr>
            <w:tcW w:w="10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Company</w:t>
            </w:r>
          </w:p>
        </w:tc>
        <w:tc>
          <w:tcPr>
            <w:tcW w:w="80" w:type="dxa"/>
            <w:vAlign w:val="bottom"/>
          </w:tcPr>
          <w:p>
            <w:pPr>
              <w:spacing w:after="0"/>
              <w:rPr>
                <w:sz w:val="12"/>
                <w:szCs w:val="12"/>
                <w:color w:val="auto"/>
              </w:rPr>
            </w:pPr>
          </w:p>
        </w:tc>
        <w:tc>
          <w:tcPr>
            <w:tcW w:w="13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Other Subsidiaries</w:t>
            </w:r>
          </w:p>
        </w:tc>
        <w:tc>
          <w:tcPr>
            <w:tcW w:w="3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Group, Inc.</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500" w:type="dxa"/>
            <w:vAlign w:val="bottom"/>
          </w:tcPr>
          <w:p>
            <w:pPr>
              <w:spacing w:after="0"/>
              <w:rPr>
                <w:sz w:val="14"/>
                <w:szCs w:val="14"/>
                <w:color w:val="auto"/>
              </w:rPr>
            </w:pPr>
          </w:p>
        </w:tc>
        <w:tc>
          <w:tcPr>
            <w:tcW w:w="102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91"/>
              </w:rPr>
              <w:t>Parent Only</w:t>
            </w:r>
          </w:p>
        </w:tc>
        <w:tc>
          <w:tcPr>
            <w:tcW w:w="80" w:type="dxa"/>
            <w:vAlign w:val="bottom"/>
          </w:tcPr>
          <w:p>
            <w:pPr>
              <w:spacing w:after="0"/>
              <w:rPr>
                <w:sz w:val="14"/>
                <w:szCs w:val="14"/>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Only</w:t>
            </w:r>
          </w:p>
        </w:tc>
        <w:tc>
          <w:tcPr>
            <w:tcW w:w="80" w:type="dxa"/>
            <w:vAlign w:val="bottom"/>
          </w:tcPr>
          <w:p>
            <w:pPr>
              <w:spacing w:after="0"/>
              <w:rPr>
                <w:sz w:val="14"/>
                <w:szCs w:val="14"/>
                <w:color w:val="auto"/>
              </w:rPr>
            </w:pPr>
          </w:p>
        </w:tc>
        <w:tc>
          <w:tcPr>
            <w:tcW w:w="13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7"/>
              </w:rPr>
              <w:t>Combined</w:t>
            </w:r>
          </w:p>
        </w:tc>
        <w:tc>
          <w:tcPr>
            <w:tcW w:w="104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w w:val="93"/>
              </w:rPr>
              <w:t>Eliminations</w:t>
            </w:r>
          </w:p>
        </w:tc>
        <w:tc>
          <w:tcPr>
            <w:tcW w:w="108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5"/>
              </w:rPr>
              <w:t>Consolidated</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50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tcPr>
          <w:p>
            <w:pPr>
              <w:jc w:val="center"/>
              <w:ind w:right="52"/>
              <w:spacing w:after="0" w:line="142" w:lineRule="exact"/>
              <w:rPr>
                <w:sz w:val="20"/>
                <w:szCs w:val="20"/>
                <w:color w:val="auto"/>
              </w:rPr>
            </w:pPr>
            <w:r>
              <w:rPr>
                <w:rFonts w:ascii="Arial" w:cs="Arial" w:eastAsia="Arial" w:hAnsi="Arial"/>
                <w:sz w:val="14"/>
                <w:szCs w:val="14"/>
                <w:b w:val="1"/>
                <w:bCs w:val="1"/>
                <w:i w:val="1"/>
                <w:iCs w:val="1"/>
                <w:color w:val="auto"/>
                <w:w w:val="86"/>
              </w:rPr>
              <w:t>(in millions)</w:t>
            </w:r>
          </w:p>
        </w:tc>
        <w:tc>
          <w:tcPr>
            <w:tcW w:w="160" w:type="dxa"/>
            <w:vAlign w:val="bottom"/>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Operating activities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Net cash provided by (used in) operating activities</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204.8</w:t>
            </w:r>
          </w:p>
        </w:tc>
        <w:tc>
          <w:tcPr>
            <w:tcW w:w="160" w:type="dxa"/>
            <w:vAlign w:val="bottom"/>
          </w:tcPr>
          <w:p>
            <w:pPr>
              <w:spacing w:after="0"/>
              <w:rPr>
                <w:sz w:val="12"/>
                <w:szCs w:val="12"/>
                <w:color w:val="auto"/>
              </w:rPr>
            </w:pP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3,133.8</w:t>
            </w:r>
          </w:p>
        </w:tc>
        <w:tc>
          <w:tcPr>
            <w:tcW w:w="160" w:type="dxa"/>
            <w:vAlign w:val="bottom"/>
          </w:tcPr>
          <w:p>
            <w:pPr>
              <w:spacing w:after="0"/>
              <w:rPr>
                <w:sz w:val="12"/>
                <w:szCs w:val="12"/>
                <w:color w:val="auto"/>
              </w:rPr>
            </w:pP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(382.5)</w:t>
            </w:r>
          </w:p>
        </w:tc>
        <w:tc>
          <w:tcPr>
            <w:tcW w:w="300" w:type="dxa"/>
            <w:vAlign w:val="bottom"/>
          </w:tcPr>
          <w:p>
            <w:pPr>
              <w:jc w:val="right"/>
              <w:ind w:right="184"/>
              <w:spacing w:after="0"/>
              <w:rPr>
                <w:sz w:val="20"/>
                <w:szCs w:val="20"/>
                <w:color w:val="auto"/>
              </w:rPr>
            </w:pPr>
            <w:r>
              <w:rPr>
                <w:rFonts w:ascii="Arial" w:cs="Arial" w:eastAsia="Arial" w:hAnsi="Arial"/>
                <w:sz w:val="10"/>
                <w:szCs w:val="10"/>
                <w:color w:val="auto"/>
                <w:w w:val="71"/>
              </w:rPr>
              <w:t>$</w:t>
            </w: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124.7</w:t>
            </w:r>
          </w:p>
        </w:tc>
        <w:tc>
          <w:tcPr>
            <w:tcW w:w="160" w:type="dxa"/>
            <w:vAlign w:val="bottom"/>
          </w:tcPr>
          <w:p>
            <w:pPr>
              <w:spacing w:after="0"/>
              <w:rPr>
                <w:sz w:val="12"/>
                <w:szCs w:val="12"/>
                <w:color w:val="auto"/>
              </w:rPr>
            </w:pPr>
          </w:p>
        </w:tc>
        <w:tc>
          <w:tcPr>
            <w:tcW w:w="10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3,080.8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Investing activities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Available-for-sale securities:</w:t>
            </w:r>
          </w:p>
        </w:tc>
        <w:tc>
          <w:tcPr>
            <w:tcW w:w="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Purchases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(7,254.5)</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(1,024.9)</w:t>
            </w:r>
          </w:p>
        </w:tc>
        <w:tc>
          <w:tcPr>
            <w:tcW w:w="3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15.5</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(8,263.9)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ind w:left="140"/>
              <w:spacing w:after="0" w:line="149" w:lineRule="exact"/>
              <w:rPr>
                <w:sz w:val="20"/>
                <w:szCs w:val="20"/>
                <w:color w:val="auto"/>
              </w:rPr>
            </w:pPr>
            <w:r>
              <w:rPr>
                <w:rFonts w:ascii="Arial" w:cs="Arial" w:eastAsia="Arial" w:hAnsi="Arial"/>
                <w:sz w:val="14"/>
                <w:szCs w:val="14"/>
                <w:color w:val="auto"/>
              </w:rPr>
              <w:t>Sales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1,183.9</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134.8</w:t>
            </w:r>
          </w:p>
        </w:tc>
        <w:tc>
          <w:tcPr>
            <w:tcW w:w="1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(15.0)</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1,303.7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Maturities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5,805.7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841.8</w:t>
            </w:r>
          </w:p>
        </w:tc>
        <w:tc>
          <w:tcPr>
            <w:tcW w:w="16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6,647.5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Mortgage loans acquired or originated</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(2,224.8)</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(250.4)</w:t>
            </w:r>
          </w:p>
        </w:tc>
        <w:tc>
          <w:tcPr>
            <w:tcW w:w="300" w:type="dxa"/>
            <w:vAlign w:val="bottom"/>
          </w:tcPr>
          <w:p>
            <w:pPr>
              <w:spacing w:after="0"/>
              <w:rPr>
                <w:sz w:val="12"/>
                <w:szCs w:val="12"/>
                <w:color w:val="auto"/>
              </w:rPr>
            </w:pPr>
          </w:p>
        </w:tc>
        <w:tc>
          <w:tcPr>
            <w:tcW w:w="7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(63.2)</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(2,538.4)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Mortgage loans sold or repaid</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1,422.2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382.3</w:t>
            </w:r>
          </w:p>
        </w:tc>
        <w:tc>
          <w:tcPr>
            <w:tcW w:w="16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(136.5)</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1,668.0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Real estate acquired</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(151.8)</w:t>
            </w:r>
          </w:p>
        </w:tc>
        <w:tc>
          <w:tcPr>
            <w:tcW w:w="300" w:type="dxa"/>
            <w:vAlign w:val="bottom"/>
          </w:tcPr>
          <w:p>
            <w:pPr>
              <w:spacing w:after="0"/>
              <w:rPr>
                <w:sz w:val="12"/>
                <w:szCs w:val="12"/>
                <w:color w:val="auto"/>
              </w:rPr>
            </w:pPr>
          </w:p>
        </w:tc>
        <w:tc>
          <w:tcPr>
            <w:tcW w:w="7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(151.8)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purchases of property and equipment</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(22.2)</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(16.7)</w:t>
            </w:r>
          </w:p>
        </w:tc>
        <w:tc>
          <w:tcPr>
            <w:tcW w:w="3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(38.9)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w w:val="95"/>
              </w:rPr>
              <w:t>Purchases of interests in subsidiaries, net of cash acquired</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(80.4)</w:t>
            </w:r>
          </w:p>
        </w:tc>
        <w:tc>
          <w:tcPr>
            <w:tcW w:w="300" w:type="dxa"/>
            <w:vAlign w:val="bottom"/>
          </w:tcPr>
          <w:p>
            <w:pPr>
              <w:spacing w:after="0"/>
              <w:rPr>
                <w:sz w:val="12"/>
                <w:szCs w:val="12"/>
                <w:color w:val="auto"/>
              </w:rPr>
            </w:pPr>
          </w:p>
        </w:tc>
        <w:tc>
          <w:tcPr>
            <w:tcW w:w="7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(80.4)</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50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3"/>
              </w:rPr>
              <w:t>Dividends and returns of capital received from (contributions</w:t>
            </w: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50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to) unconsolidated entities</w:t>
            </w:r>
          </w:p>
        </w:tc>
        <w:tc>
          <w:tcPr>
            <w:tcW w:w="80" w:type="dxa"/>
            <w:vAlign w:val="bottom"/>
            <w:shd w:val="clear" w:color="auto" w:fill="CCEEFF"/>
          </w:tcPr>
          <w:p>
            <w:pPr>
              <w:spacing w:after="0"/>
              <w:rPr>
                <w:sz w:val="13"/>
                <w:szCs w:val="13"/>
                <w:color w:val="auto"/>
              </w:rPr>
            </w:pPr>
          </w:p>
        </w:tc>
        <w:tc>
          <w:tcPr>
            <w:tcW w:w="94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(759.2)</w:t>
            </w:r>
          </w:p>
        </w:tc>
        <w:tc>
          <w:tcPr>
            <w:tcW w:w="8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299.2</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2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714.8</w:t>
            </w:r>
          </w:p>
        </w:tc>
        <w:tc>
          <w:tcPr>
            <w:tcW w:w="16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(254.8)</w:t>
            </w:r>
          </w:p>
        </w:tc>
        <w:tc>
          <w:tcPr>
            <w:tcW w:w="100" w:type="dxa"/>
            <w:vAlign w:val="bottom"/>
            <w:shd w:val="clear" w:color="auto" w:fill="CCEEFF"/>
          </w:tcPr>
          <w:p>
            <w:pPr>
              <w:spacing w:after="0"/>
              <w:rPr>
                <w:sz w:val="13"/>
                <w:szCs w:val="13"/>
                <w:color w:val="auto"/>
              </w:rPr>
            </w:pPr>
          </w:p>
        </w:tc>
        <w:tc>
          <w:tcPr>
            <w:tcW w:w="98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Net change in other investments</w:t>
            </w:r>
          </w:p>
        </w:tc>
        <w:tc>
          <w:tcPr>
            <w:tcW w:w="8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(0.2)</w:t>
            </w:r>
          </w:p>
        </w:tc>
        <w:tc>
          <w:tcPr>
            <w:tcW w:w="80" w:type="dxa"/>
            <w:vAlign w:val="bottom"/>
          </w:tcPr>
          <w:p>
            <w:pPr>
              <w:spacing w:after="0"/>
              <w:rPr>
                <w:sz w:val="12"/>
                <w:szCs w:val="12"/>
                <w:color w:val="auto"/>
              </w:rPr>
            </w:pP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(148.4)</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(1.6)</w:t>
            </w:r>
          </w:p>
        </w:tc>
        <w:tc>
          <w:tcPr>
            <w:tcW w:w="300" w:type="dxa"/>
            <w:vAlign w:val="bottom"/>
          </w:tcPr>
          <w:p>
            <w:pPr>
              <w:spacing w:after="0"/>
              <w:rPr>
                <w:sz w:val="12"/>
                <w:szCs w:val="12"/>
                <w:color w:val="auto"/>
              </w:rPr>
            </w:pPr>
          </w:p>
        </w:tc>
        <w:tc>
          <w:tcPr>
            <w:tcW w:w="7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(6.9)</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(157.1)</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5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350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cash provided by (used in) investing activities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(759.4)</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(938.9)</w:t>
            </w: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547.9</w:t>
            </w:r>
          </w:p>
        </w:tc>
        <w:tc>
          <w:tcPr>
            <w:tcW w:w="16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(460.9)</w:t>
            </w: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color w:val="auto"/>
              </w:rPr>
              <w:t>(1,611.3)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b w:val="1"/>
                <w:bCs w:val="1"/>
                <w:color w:val="auto"/>
              </w:rPr>
              <w:t>Financing activities</w:t>
            </w:r>
          </w:p>
        </w:tc>
        <w:tc>
          <w:tcPr>
            <w:tcW w:w="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Issuance of common stock</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Acquisition of treasury stock</w:t>
            </w:r>
          </w:p>
        </w:tc>
        <w:tc>
          <w:tcPr>
            <w:tcW w:w="8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(272.7)</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36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300" w:type="dxa"/>
            <w:vAlign w:val="bottom"/>
          </w:tcPr>
          <w:p>
            <w:pPr>
              <w:spacing w:after="0"/>
              <w:rPr>
                <w:sz w:val="12"/>
                <w:szCs w:val="12"/>
                <w:color w:val="auto"/>
              </w:rPr>
            </w:pPr>
          </w:p>
        </w:tc>
        <w:tc>
          <w:tcPr>
            <w:tcW w:w="7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(272.7)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Proceeds from financing element derivatives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51.8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51.8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Payments for financing element derivatives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(49.9)</w:t>
            </w:r>
          </w:p>
        </w:tc>
        <w:tc>
          <w:tcPr>
            <w:tcW w:w="80" w:type="dxa"/>
            <w:vAlign w:val="bottom"/>
          </w:tcPr>
          <w:p>
            <w:pPr>
              <w:spacing w:after="0"/>
              <w:rPr>
                <w:sz w:val="12"/>
                <w:szCs w:val="12"/>
                <w:color w:val="auto"/>
              </w:rPr>
            </w:pPr>
          </w:p>
        </w:tc>
        <w:tc>
          <w:tcPr>
            <w:tcW w:w="136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300" w:type="dxa"/>
            <w:vAlign w:val="bottom"/>
          </w:tcPr>
          <w:p>
            <w:pPr>
              <w:spacing w:after="0"/>
              <w:rPr>
                <w:sz w:val="12"/>
                <w:szCs w:val="12"/>
                <w:color w:val="auto"/>
              </w:rPr>
            </w:pPr>
          </w:p>
        </w:tc>
        <w:tc>
          <w:tcPr>
            <w:tcW w:w="7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(49.9)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91"/>
              </w:rPr>
              <w:t>Excess tax benefits from share-based payment arrangements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5.7</w:t>
            </w:r>
          </w:p>
        </w:tc>
        <w:tc>
          <w:tcPr>
            <w:tcW w:w="16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Dividends to common stockholders</w:t>
            </w:r>
          </w:p>
        </w:tc>
        <w:tc>
          <w:tcPr>
            <w:tcW w:w="8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(231.3)</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36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300" w:type="dxa"/>
            <w:vAlign w:val="bottom"/>
          </w:tcPr>
          <w:p>
            <w:pPr>
              <w:spacing w:after="0"/>
              <w:rPr>
                <w:sz w:val="12"/>
                <w:szCs w:val="12"/>
                <w:color w:val="auto"/>
              </w:rPr>
            </w:pPr>
          </w:p>
        </w:tc>
        <w:tc>
          <w:tcPr>
            <w:tcW w:w="7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(231.3)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Dividends to preferred stockholders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(33.0)</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(33.0)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Issuance of long-term debt</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1,483.9</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9.5</w:t>
            </w:r>
          </w:p>
        </w:tc>
        <w:tc>
          <w:tcPr>
            <w:tcW w:w="1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1,493.4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Principal repayments of long-term debt</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(440.8)</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(90.9)</w:t>
            </w:r>
          </w:p>
        </w:tc>
        <w:tc>
          <w:tcPr>
            <w:tcW w:w="3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81.1</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(450.6)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Net repayments of short-term borrowings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(68.8)</w:t>
            </w:r>
          </w:p>
        </w:tc>
        <w:tc>
          <w:tcPr>
            <w:tcW w:w="300" w:type="dxa"/>
            <w:vAlign w:val="bottom"/>
          </w:tcPr>
          <w:p>
            <w:pPr>
              <w:spacing w:after="0"/>
              <w:rPr>
                <w:sz w:val="12"/>
                <w:szCs w:val="12"/>
                <w:color w:val="auto"/>
              </w:rPr>
            </w:pPr>
          </w:p>
        </w:tc>
        <w:tc>
          <w:tcPr>
            <w:tcW w:w="7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(68.8)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95"/>
              </w:rPr>
              <w:t>Capital received from (dividends and capital paid to) parent</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(714.8)</w:t>
            </w: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460.0</w:t>
            </w:r>
          </w:p>
        </w:tc>
        <w:tc>
          <w:tcPr>
            <w:tcW w:w="16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254.8</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Investment contract deposits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6,401.2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499.2</w:t>
            </w:r>
          </w:p>
        </w:tc>
        <w:tc>
          <w:tcPr>
            <w:tcW w:w="1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6,900.4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Investment contract withdrawals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(7,519.8)</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(2.8)</w:t>
            </w:r>
          </w:p>
        </w:tc>
        <w:tc>
          <w:tcPr>
            <w:tcW w:w="3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(7,522.6)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Net increase in banking operation deposits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32.0</w:t>
            </w:r>
          </w:p>
        </w:tc>
        <w:tc>
          <w:tcPr>
            <w:tcW w:w="1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32.0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(14.6)</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(14.6)</w:t>
            </w:r>
          </w:p>
        </w:tc>
        <w:tc>
          <w:tcPr>
            <w:tcW w:w="0" w:type="dxa"/>
            <w:vAlign w:val="bottom"/>
          </w:tcPr>
          <w:p>
            <w:pPr>
              <w:spacing w:after="0"/>
              <w:rPr>
                <w:sz w:val="1"/>
                <w:szCs w:val="1"/>
                <w:color w:val="auto"/>
              </w:rPr>
            </w:pPr>
          </w:p>
        </w:tc>
      </w:tr>
      <w:tr>
        <w:trPr>
          <w:trHeight w:val="142"/>
        </w:trPr>
        <w:tc>
          <w:tcPr>
            <w:tcW w:w="3520" w:type="dxa"/>
            <w:vAlign w:val="bottom"/>
            <w:gridSpan w:val="2"/>
          </w:tcPr>
          <w:p>
            <w:pPr>
              <w:spacing w:after="0" w:line="142" w:lineRule="exact"/>
              <w:rPr>
                <w:sz w:val="20"/>
                <w:szCs w:val="20"/>
                <w:color w:val="auto"/>
              </w:rPr>
            </w:pPr>
            <w:r>
              <w:rPr>
                <w:rFonts w:ascii="Arial" w:cs="Arial" w:eastAsia="Arial" w:hAnsi="Arial"/>
                <w:sz w:val="14"/>
                <w:szCs w:val="14"/>
                <w:color w:val="auto"/>
              </w:rPr>
              <w:t>Net cash provided by (used in) financing activities</w:t>
            </w:r>
          </w:p>
        </w:tc>
        <w:tc>
          <w:tcPr>
            <w:tcW w:w="8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535.0</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(1,841.0)</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12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843.9</w:t>
            </w:r>
          </w:p>
        </w:tc>
        <w:tc>
          <w:tcPr>
            <w:tcW w:w="160" w:type="dxa"/>
            <w:vAlign w:val="bottom"/>
          </w:tcPr>
          <w:p>
            <w:pPr>
              <w:spacing w:after="0"/>
              <w:rPr>
                <w:sz w:val="12"/>
                <w:szCs w:val="12"/>
                <w:color w:val="auto"/>
              </w:rPr>
            </w:pPr>
          </w:p>
        </w:tc>
        <w:tc>
          <w:tcPr>
            <w:tcW w:w="30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335.9</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(126.2)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50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increase (decrease) in cash and cash equivalents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(19.6)</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353.9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1,009.3</w:t>
            </w:r>
          </w:p>
        </w:tc>
        <w:tc>
          <w:tcPr>
            <w:tcW w:w="16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(0.3)</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1,343.3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Cash and cash equivalents at beginning of period</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226.7</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1,344.5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1,277.6</w:t>
            </w:r>
          </w:p>
        </w:tc>
        <w:tc>
          <w:tcPr>
            <w:tcW w:w="1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(14.9)</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2,833.9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5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350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Cash and cash equivalents at end of period</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207.1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1,698.4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2,286.9</w:t>
            </w:r>
          </w:p>
        </w:tc>
        <w:tc>
          <w:tcPr>
            <w:tcW w:w="160" w:type="dxa"/>
            <w:vAlign w:val="bottom"/>
            <w:shd w:val="clear" w:color="auto" w:fill="CCEEFF"/>
          </w:tcPr>
          <w:p>
            <w:pPr>
              <w:spacing w:after="0"/>
              <w:rPr>
                <w:sz w:val="12"/>
                <w:szCs w:val="12"/>
                <w:color w:val="auto"/>
              </w:rPr>
            </w:pPr>
          </w:p>
        </w:tc>
        <w:tc>
          <w:tcPr>
            <w:tcW w:w="300" w:type="dxa"/>
            <w:vAlign w:val="bottom"/>
            <w:shd w:val="clear" w:color="auto" w:fill="CCEEFF"/>
          </w:tcPr>
          <w:p>
            <w:pPr>
              <w:jc w:val="right"/>
              <w:ind w:right="184"/>
              <w:spacing w:after="0"/>
              <w:rPr>
                <w:sz w:val="20"/>
                <w:szCs w:val="20"/>
                <w:color w:val="auto"/>
              </w:rPr>
            </w:pPr>
            <w:r>
              <w:rPr>
                <w:rFonts w:ascii="Arial" w:cs="Arial" w:eastAsia="Arial" w:hAnsi="Arial"/>
                <w:sz w:val="10"/>
                <w:szCs w:val="10"/>
                <w:color w:val="auto"/>
                <w:w w:val="71"/>
              </w:rPr>
              <w:t>$</w:t>
            </w:r>
          </w:p>
        </w:tc>
        <w:tc>
          <w:tcPr>
            <w:tcW w:w="74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(15.2)</w:t>
            </w:r>
          </w:p>
        </w:tc>
        <w:tc>
          <w:tcPr>
            <w:tcW w:w="1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4,177.2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195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360"/>
          </w:cols>
          <w:pgMar w:left="240" w:top="131" w:right="1299" w:bottom="1440" w:gutter="0" w:footer="0" w:header="0"/>
        </w:sectPr>
      </w:pPr>
    </w:p>
    <w:bookmarkStart w:id="199" w:name="page200"/>
    <w:bookmarkEnd w:id="19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21. Condensed Consolidating Financial Information — (continued)</w:t>
      </w:r>
    </w:p>
    <w:p>
      <w:pPr>
        <w:spacing w:after="0" w:line="200" w:lineRule="exact"/>
        <w:rPr>
          <w:sz w:val="20"/>
          <w:szCs w:val="20"/>
          <w:color w:val="auto"/>
        </w:rPr>
      </w:pPr>
    </w:p>
    <w:p>
      <w:pPr>
        <w:spacing w:after="0" w:line="241"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Condensed Consolidating Statements of Cash Flows</w:t>
      </w:r>
    </w:p>
    <w:p>
      <w:pPr>
        <w:spacing w:after="0" w:line="21" w:lineRule="exact"/>
        <w:rPr>
          <w:sz w:val="20"/>
          <w:szCs w:val="20"/>
          <w:color w:val="auto"/>
        </w:rPr>
      </w:pPr>
    </w:p>
    <w:p>
      <w:pPr>
        <w:jc w:val="center"/>
        <w:ind w:right="-1019"/>
        <w:spacing w:after="0"/>
        <w:rPr>
          <w:sz w:val="20"/>
          <w:szCs w:val="20"/>
          <w:color w:val="auto"/>
        </w:rPr>
      </w:pPr>
      <w:r>
        <w:rPr>
          <w:rFonts w:ascii="Arial" w:cs="Arial" w:eastAsia="Arial" w:hAnsi="Arial"/>
          <w:sz w:val="18"/>
          <w:szCs w:val="18"/>
          <w:b w:val="1"/>
          <w:bCs w:val="1"/>
          <w:color w:val="auto"/>
        </w:rPr>
        <w:t>For the year ended December 31, 2011</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Principal</w:t>
            </w:r>
          </w:p>
        </w:tc>
        <w:tc>
          <w:tcPr>
            <w:tcW w:w="2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Principal</w:t>
            </w:r>
          </w:p>
        </w:tc>
        <w:tc>
          <w:tcPr>
            <w:tcW w:w="80" w:type="dxa"/>
            <w:vAlign w:val="bottom"/>
          </w:tcPr>
          <w:p>
            <w:pPr>
              <w:spacing w:after="0"/>
              <w:rPr>
                <w:sz w:val="12"/>
                <w:szCs w:val="12"/>
                <w:color w:val="auto"/>
              </w:rPr>
            </w:pPr>
          </w:p>
        </w:tc>
        <w:tc>
          <w:tcPr>
            <w:tcW w:w="10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0"/>
              </w:rPr>
              <w:t>Principal Life</w:t>
            </w:r>
          </w:p>
        </w:tc>
        <w:tc>
          <w:tcPr>
            <w:tcW w:w="80" w:type="dxa"/>
            <w:vAlign w:val="bottom"/>
          </w:tcPr>
          <w:p>
            <w:pPr>
              <w:spacing w:after="0"/>
              <w:rPr>
                <w:sz w:val="12"/>
                <w:szCs w:val="12"/>
                <w:color w:val="auto"/>
              </w:rPr>
            </w:pPr>
          </w:p>
        </w:tc>
        <w:tc>
          <w:tcPr>
            <w:tcW w:w="13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Financial</w:t>
            </w: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Principal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Financial</w:t>
            </w:r>
          </w:p>
        </w:tc>
        <w:tc>
          <w:tcPr>
            <w:tcW w:w="80" w:type="dxa"/>
            <w:vAlign w:val="bottom"/>
          </w:tcPr>
          <w:p>
            <w:pPr>
              <w:spacing w:after="0"/>
              <w:rPr>
                <w:sz w:val="12"/>
                <w:szCs w:val="12"/>
                <w:color w:val="auto"/>
              </w:rPr>
            </w:pPr>
          </w:p>
        </w:tc>
        <w:tc>
          <w:tcPr>
            <w:tcW w:w="10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Insurance</w:t>
            </w:r>
          </w:p>
        </w:tc>
        <w:tc>
          <w:tcPr>
            <w:tcW w:w="80" w:type="dxa"/>
            <w:vAlign w:val="bottom"/>
          </w:tcPr>
          <w:p>
            <w:pPr>
              <w:spacing w:after="0"/>
              <w:rPr>
                <w:sz w:val="12"/>
                <w:szCs w:val="12"/>
                <w:color w:val="auto"/>
              </w:rPr>
            </w:pPr>
          </w:p>
        </w:tc>
        <w:tc>
          <w:tcPr>
            <w:tcW w:w="13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6"/>
              </w:rPr>
              <w:t>Services, Inc. and</w:t>
            </w: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Financial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1"/>
              </w:rPr>
              <w:t>Group, Inc.</w:t>
            </w:r>
          </w:p>
        </w:tc>
        <w:tc>
          <w:tcPr>
            <w:tcW w:w="80" w:type="dxa"/>
            <w:vAlign w:val="bottom"/>
          </w:tcPr>
          <w:p>
            <w:pPr>
              <w:spacing w:after="0"/>
              <w:rPr>
                <w:sz w:val="12"/>
                <w:szCs w:val="12"/>
                <w:color w:val="auto"/>
              </w:rPr>
            </w:pPr>
          </w:p>
        </w:tc>
        <w:tc>
          <w:tcPr>
            <w:tcW w:w="10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Company</w:t>
            </w:r>
          </w:p>
        </w:tc>
        <w:tc>
          <w:tcPr>
            <w:tcW w:w="80" w:type="dxa"/>
            <w:vAlign w:val="bottom"/>
          </w:tcPr>
          <w:p>
            <w:pPr>
              <w:spacing w:after="0"/>
              <w:rPr>
                <w:sz w:val="12"/>
                <w:szCs w:val="12"/>
                <w:color w:val="auto"/>
              </w:rPr>
            </w:pPr>
          </w:p>
        </w:tc>
        <w:tc>
          <w:tcPr>
            <w:tcW w:w="13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Other Subsidiaries</w:t>
            </w: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Group, Inc.</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500" w:type="dxa"/>
            <w:vAlign w:val="bottom"/>
          </w:tcPr>
          <w:p>
            <w:pPr>
              <w:spacing w:after="0"/>
              <w:rPr>
                <w:sz w:val="14"/>
                <w:szCs w:val="14"/>
                <w:color w:val="auto"/>
              </w:rPr>
            </w:pPr>
          </w:p>
        </w:tc>
        <w:tc>
          <w:tcPr>
            <w:tcW w:w="102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91"/>
              </w:rPr>
              <w:t>Parent Only</w:t>
            </w:r>
          </w:p>
        </w:tc>
        <w:tc>
          <w:tcPr>
            <w:tcW w:w="80" w:type="dxa"/>
            <w:vAlign w:val="bottom"/>
          </w:tcPr>
          <w:p>
            <w:pPr>
              <w:spacing w:after="0"/>
              <w:rPr>
                <w:sz w:val="14"/>
                <w:szCs w:val="14"/>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Only</w:t>
            </w:r>
          </w:p>
        </w:tc>
        <w:tc>
          <w:tcPr>
            <w:tcW w:w="80" w:type="dxa"/>
            <w:vAlign w:val="bottom"/>
          </w:tcPr>
          <w:p>
            <w:pPr>
              <w:spacing w:after="0"/>
              <w:rPr>
                <w:sz w:val="14"/>
                <w:szCs w:val="14"/>
                <w:color w:val="auto"/>
              </w:rPr>
            </w:pPr>
          </w:p>
        </w:tc>
        <w:tc>
          <w:tcPr>
            <w:tcW w:w="13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7"/>
              </w:rPr>
              <w:t>Combined</w:t>
            </w:r>
          </w:p>
        </w:tc>
        <w:tc>
          <w:tcPr>
            <w:tcW w:w="104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w w:val="93"/>
              </w:rPr>
              <w:t>Eliminations</w:t>
            </w:r>
          </w:p>
        </w:tc>
        <w:tc>
          <w:tcPr>
            <w:tcW w:w="108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5"/>
              </w:rPr>
              <w:t>Consolidated</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50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tcPr>
          <w:p>
            <w:pPr>
              <w:jc w:val="center"/>
              <w:ind w:right="52"/>
              <w:spacing w:after="0" w:line="142" w:lineRule="exact"/>
              <w:rPr>
                <w:sz w:val="20"/>
                <w:szCs w:val="20"/>
                <w:color w:val="auto"/>
              </w:rPr>
            </w:pPr>
            <w:r>
              <w:rPr>
                <w:rFonts w:ascii="Arial" w:cs="Arial" w:eastAsia="Arial" w:hAnsi="Arial"/>
                <w:sz w:val="14"/>
                <w:szCs w:val="14"/>
                <w:b w:val="1"/>
                <w:bCs w:val="1"/>
                <w:i w:val="1"/>
                <w:iCs w:val="1"/>
                <w:color w:val="auto"/>
                <w:w w:val="86"/>
              </w:rPr>
              <w:t>(in millions)</w:t>
            </w:r>
          </w:p>
        </w:tc>
        <w:tc>
          <w:tcPr>
            <w:tcW w:w="160" w:type="dxa"/>
            <w:vAlign w:val="bottom"/>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Operating activities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Net cash provided by (used in) operating activities</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(73.3)</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2,495.5</w:t>
            </w:r>
          </w:p>
        </w:tc>
        <w:tc>
          <w:tcPr>
            <w:tcW w:w="160" w:type="dxa"/>
            <w:vAlign w:val="bottom"/>
          </w:tcPr>
          <w:p>
            <w:pPr>
              <w:spacing w:after="0"/>
              <w:rPr>
                <w:sz w:val="12"/>
                <w:szCs w:val="12"/>
                <w:color w:val="auto"/>
              </w:rPr>
            </w:pP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304.7</w:t>
            </w:r>
          </w:p>
        </w:tc>
        <w:tc>
          <w:tcPr>
            <w:tcW w:w="160" w:type="dxa"/>
            <w:vAlign w:val="bottom"/>
          </w:tcPr>
          <w:p>
            <w:pPr>
              <w:spacing w:after="0"/>
              <w:rPr>
                <w:sz w:val="12"/>
                <w:szCs w:val="12"/>
                <w:color w:val="auto"/>
              </w:rPr>
            </w:pPr>
          </w:p>
        </w:tc>
        <w:tc>
          <w:tcPr>
            <w:tcW w:w="240" w:type="dxa"/>
            <w:vAlign w:val="bottom"/>
          </w:tcPr>
          <w:p>
            <w:pPr>
              <w:jc w:val="right"/>
              <w:ind w:right="124"/>
              <w:spacing w:after="0"/>
              <w:rPr>
                <w:sz w:val="20"/>
                <w:szCs w:val="20"/>
                <w:color w:val="auto"/>
              </w:rPr>
            </w:pPr>
            <w:r>
              <w:rPr>
                <w:rFonts w:ascii="Arial" w:cs="Arial" w:eastAsia="Arial" w:hAnsi="Arial"/>
                <w:sz w:val="10"/>
                <w:szCs w:val="10"/>
                <w:color w:val="auto"/>
                <w:w w:val="71"/>
              </w:rPr>
              <w:t>$</w:t>
            </w: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(13.6)</w:t>
            </w:r>
          </w:p>
        </w:tc>
        <w:tc>
          <w:tcPr>
            <w:tcW w:w="10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2,713.3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Investing activities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Available-for-sale securities:</w:t>
            </w:r>
          </w:p>
        </w:tc>
        <w:tc>
          <w:tcPr>
            <w:tcW w:w="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Purchases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(4.4)</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(6,047.2)</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(696.8)</w:t>
            </w: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6.0</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(6,742.4)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ind w:left="140"/>
              <w:spacing w:after="0" w:line="149" w:lineRule="exact"/>
              <w:rPr>
                <w:sz w:val="20"/>
                <w:szCs w:val="20"/>
                <w:color w:val="auto"/>
              </w:rPr>
            </w:pPr>
            <w:r>
              <w:rPr>
                <w:rFonts w:ascii="Arial" w:cs="Arial" w:eastAsia="Arial" w:hAnsi="Arial"/>
                <w:sz w:val="14"/>
                <w:szCs w:val="14"/>
                <w:color w:val="auto"/>
              </w:rPr>
              <w:t>Sales</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200.0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689.5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116.2</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(25.0)</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980.7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Maturities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5,037.0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719.4</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5,760.8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Mortgage loans acquired or originated</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(1,372.7)</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(169.0)</w:t>
            </w:r>
          </w:p>
        </w:tc>
        <w:tc>
          <w:tcPr>
            <w:tcW w:w="2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56.8</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(1,484.9)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Mortgage loans sold or repaid</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1,548.6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339.3</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(94.8)</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1,793.1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Real estate acquired</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(0.3)</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(129.6)</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(129.9)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purchases of property and equipment</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(46.7)</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(10.2)</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(56.9)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w w:val="95"/>
              </w:rPr>
              <w:t>Purchases of interests in subsidiaries, net of cash acquired</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(270.5)</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(270.5)</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50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Dividends and returns of capital received from</w:t>
            </w: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50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unconsolidated entities</w:t>
            </w:r>
          </w:p>
        </w:tc>
        <w:tc>
          <w:tcPr>
            <w:tcW w:w="8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506.5</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327.9</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2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756.5</w:t>
            </w:r>
          </w:p>
        </w:tc>
        <w:tc>
          <w:tcPr>
            <w:tcW w:w="16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(1,590.9)</w:t>
            </w:r>
          </w:p>
        </w:tc>
        <w:tc>
          <w:tcPr>
            <w:tcW w:w="100" w:type="dxa"/>
            <w:vAlign w:val="bottom"/>
            <w:shd w:val="clear" w:color="auto" w:fill="CCEEFF"/>
          </w:tcPr>
          <w:p>
            <w:pPr>
              <w:spacing w:after="0"/>
              <w:rPr>
                <w:sz w:val="13"/>
                <w:szCs w:val="13"/>
                <w:color w:val="auto"/>
              </w:rPr>
            </w:pPr>
          </w:p>
        </w:tc>
        <w:tc>
          <w:tcPr>
            <w:tcW w:w="98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Net change in other investments</w:t>
            </w:r>
          </w:p>
        </w:tc>
        <w:tc>
          <w:tcPr>
            <w:tcW w:w="8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(0.2)</w:t>
            </w:r>
          </w:p>
        </w:tc>
        <w:tc>
          <w:tcPr>
            <w:tcW w:w="80" w:type="dxa"/>
            <w:vAlign w:val="bottom"/>
          </w:tcPr>
          <w:p>
            <w:pPr>
              <w:spacing w:after="0"/>
              <w:rPr>
                <w:sz w:val="12"/>
                <w:szCs w:val="12"/>
                <w:color w:val="auto"/>
              </w:rPr>
            </w:pP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(48.1)</w:t>
            </w: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84.5</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(88.3)</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(52.1)</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5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350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cash provided by (used in) investing activities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706.3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88.0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739.8</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(1,736.2)</w:t>
            </w: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color w:val="auto"/>
              </w:rPr>
              <w:t>(202.1)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b w:val="1"/>
                <w:bCs w:val="1"/>
                <w:color w:val="auto"/>
              </w:rPr>
              <w:t>Financing activities</w:t>
            </w:r>
          </w:p>
        </w:tc>
        <w:tc>
          <w:tcPr>
            <w:tcW w:w="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Issuance of common stock</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Acquisition of treasury stock</w:t>
            </w:r>
          </w:p>
        </w:tc>
        <w:tc>
          <w:tcPr>
            <w:tcW w:w="8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(556.4)</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36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(556.4)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Proceeds from financing element derivatives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75.9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75.9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Payments for financing element derivatives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(46.5)</w:t>
            </w:r>
          </w:p>
        </w:tc>
        <w:tc>
          <w:tcPr>
            <w:tcW w:w="80" w:type="dxa"/>
            <w:vAlign w:val="bottom"/>
          </w:tcPr>
          <w:p>
            <w:pPr>
              <w:spacing w:after="0"/>
              <w:rPr>
                <w:sz w:val="12"/>
                <w:szCs w:val="12"/>
                <w:color w:val="auto"/>
              </w:rPr>
            </w:pPr>
          </w:p>
        </w:tc>
        <w:tc>
          <w:tcPr>
            <w:tcW w:w="136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(46.5)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91"/>
              </w:rPr>
              <w:t>Excess tax benefits from share-based payment arrangements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Dividends to common stockholders</w:t>
            </w:r>
          </w:p>
        </w:tc>
        <w:tc>
          <w:tcPr>
            <w:tcW w:w="8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(213.7)</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36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(213.7)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Dividends to preferred stockholders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(33.0)</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(33.0)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Principal repayments of long-term debt</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(69.4)</w:t>
            </w:r>
          </w:p>
        </w:tc>
        <w:tc>
          <w:tcPr>
            <w:tcW w:w="2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57.2</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(12.2)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proceeds from short-term borrowings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Dividends and capital paid to parent</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(756.5)</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(834.4)</w:t>
            </w:r>
          </w:p>
        </w:tc>
        <w:tc>
          <w:tcPr>
            <w:tcW w:w="2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1,590.9</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Investment contract deposits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5,868.7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433.4</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6,302.1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Investment contract withdrawals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(7,076.7)</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(2.3)</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(7,079.0)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decrease in banking operation deposits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(18.5)</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(18.5)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tcPr>
          <w:p>
            <w:pPr>
              <w:spacing w:after="0" w:line="149" w:lineRule="exact"/>
              <w:rPr>
                <w:sz w:val="20"/>
                <w:szCs w:val="20"/>
                <w:color w:val="auto"/>
              </w:rPr>
            </w:pPr>
            <w:r>
              <w:rPr>
                <w:rFonts w:ascii="Arial" w:cs="Arial" w:eastAsia="Arial" w:hAnsi="Arial"/>
                <w:sz w:val="14"/>
                <w:szCs w:val="14"/>
                <w:color w:val="auto"/>
              </w:rPr>
              <w:t>Other</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(4.5)</w:t>
            </w:r>
          </w:p>
        </w:tc>
        <w:tc>
          <w:tcPr>
            <w:tcW w:w="80" w:type="dxa"/>
            <w:vAlign w:val="bottom"/>
          </w:tcPr>
          <w:p>
            <w:pPr>
              <w:spacing w:after="0"/>
              <w:rPr>
                <w:sz w:val="12"/>
                <w:szCs w:val="12"/>
                <w:color w:val="auto"/>
              </w:rPr>
            </w:pPr>
          </w:p>
        </w:tc>
        <w:tc>
          <w:tcPr>
            <w:tcW w:w="136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(4.5)</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5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350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cash used in financing activities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(777.2)</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(1,938.8)</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color w:val="auto"/>
              </w:rPr>
              <w:t>(486.8)</w:t>
            </w: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1,648.1</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color w:val="auto"/>
              </w:rPr>
              <w:t>(1,554.7)</w:t>
            </w:r>
          </w:p>
        </w:tc>
        <w:tc>
          <w:tcPr>
            <w:tcW w:w="0" w:type="dxa"/>
            <w:vAlign w:val="bottom"/>
          </w:tcPr>
          <w:p>
            <w:pPr>
              <w:spacing w:after="0"/>
              <w:rPr>
                <w:sz w:val="1"/>
                <w:szCs w:val="1"/>
                <w:color w:val="auto"/>
              </w:rPr>
            </w:pPr>
          </w:p>
        </w:tc>
      </w:tr>
      <w:tr>
        <w:trPr>
          <w:trHeight w:val="142"/>
        </w:trPr>
        <w:tc>
          <w:tcPr>
            <w:tcW w:w="3520" w:type="dxa"/>
            <w:vAlign w:val="bottom"/>
            <w:gridSpan w:val="2"/>
          </w:tcPr>
          <w:p>
            <w:pPr>
              <w:spacing w:after="0" w:line="142" w:lineRule="exact"/>
              <w:rPr>
                <w:sz w:val="20"/>
                <w:szCs w:val="20"/>
                <w:color w:val="auto"/>
              </w:rPr>
            </w:pPr>
            <w:r>
              <w:rPr>
                <w:rFonts w:ascii="Arial" w:cs="Arial" w:eastAsia="Arial" w:hAnsi="Arial"/>
                <w:sz w:val="14"/>
                <w:szCs w:val="14"/>
                <w:color w:val="auto"/>
              </w:rPr>
              <w:t>Net increase (decrease) in cash and cash equivalents</w:t>
            </w:r>
          </w:p>
        </w:tc>
        <w:tc>
          <w:tcPr>
            <w:tcW w:w="8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(144.2)</w:t>
            </w: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644.7</w:t>
            </w: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557.7</w:t>
            </w:r>
          </w:p>
        </w:tc>
        <w:tc>
          <w:tcPr>
            <w:tcW w:w="160" w:type="dxa"/>
            <w:vAlign w:val="bottom"/>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(101.7)</w:t>
            </w: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956.5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and cash equivalents at beginning of period</w:t>
            </w:r>
          </w:p>
        </w:tc>
        <w:tc>
          <w:tcPr>
            <w:tcW w:w="80" w:type="dxa"/>
            <w:vAlign w:val="bottom"/>
            <w:tcBorders>
              <w:bottom w:val="single" w:sz="8" w:color="auto"/>
            </w:tcBorders>
            <w:shd w:val="clear" w:color="auto" w:fill="CCEEFF"/>
          </w:tcPr>
          <w:p>
            <w:pPr>
              <w:spacing w:after="0"/>
              <w:rPr>
                <w:sz w:val="12"/>
                <w:szCs w:val="12"/>
                <w:color w:val="auto"/>
              </w:rPr>
            </w:pPr>
          </w:p>
        </w:tc>
        <w:tc>
          <w:tcPr>
            <w:tcW w:w="7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370.9</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8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699.8</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719.9</w:t>
            </w:r>
          </w:p>
        </w:tc>
        <w:tc>
          <w:tcPr>
            <w:tcW w:w="160" w:type="dxa"/>
            <w:vAlign w:val="bottom"/>
            <w:shd w:val="clear" w:color="auto" w:fill="CCEEFF"/>
          </w:tcPr>
          <w:p>
            <w:pPr>
              <w:spacing w:after="0"/>
              <w:rPr>
                <w:sz w:val="12"/>
                <w:szCs w:val="12"/>
                <w:color w:val="auto"/>
              </w:rPr>
            </w:pPr>
          </w:p>
        </w:tc>
        <w:tc>
          <w:tcPr>
            <w:tcW w:w="24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86.8</w:t>
            </w:r>
          </w:p>
        </w:tc>
        <w:tc>
          <w:tcPr>
            <w:tcW w:w="16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8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1,877.4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3520" w:type="dxa"/>
            <w:vAlign w:val="bottom"/>
            <w:gridSpan w:val="2"/>
          </w:tcPr>
          <w:p>
            <w:pPr>
              <w:spacing w:after="0" w:line="142" w:lineRule="exact"/>
              <w:rPr>
                <w:sz w:val="20"/>
                <w:szCs w:val="20"/>
                <w:color w:val="auto"/>
              </w:rPr>
            </w:pPr>
            <w:r>
              <w:rPr>
                <w:rFonts w:ascii="Arial" w:cs="Arial" w:eastAsia="Arial" w:hAnsi="Arial"/>
                <w:sz w:val="14"/>
                <w:szCs w:val="14"/>
                <w:color w:val="auto"/>
              </w:rPr>
              <w:t>Cash and cash equivalents at end of period</w:t>
            </w: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226.7</w:t>
            </w:r>
          </w:p>
        </w:tc>
        <w:tc>
          <w:tcPr>
            <w:tcW w:w="160" w:type="dxa"/>
            <w:vAlign w:val="bottom"/>
          </w:tcPr>
          <w:p>
            <w:pPr>
              <w:spacing w:after="0"/>
              <w:rPr>
                <w:sz w:val="12"/>
                <w:szCs w:val="12"/>
                <w:color w:val="auto"/>
              </w:rPr>
            </w:pPr>
          </w:p>
        </w:tc>
        <w:tc>
          <w:tcPr>
            <w:tcW w:w="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1,344.5</w:t>
            </w:r>
          </w:p>
        </w:tc>
        <w:tc>
          <w:tcPr>
            <w:tcW w:w="160" w:type="dxa"/>
            <w:vAlign w:val="bottom"/>
          </w:tcPr>
          <w:p>
            <w:pPr>
              <w:spacing w:after="0"/>
              <w:rPr>
                <w:sz w:val="12"/>
                <w:szCs w:val="12"/>
                <w:color w:val="auto"/>
              </w:rPr>
            </w:pPr>
          </w:p>
        </w:tc>
        <w:tc>
          <w:tcPr>
            <w:tcW w:w="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12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1,277.6</w:t>
            </w:r>
          </w:p>
        </w:tc>
        <w:tc>
          <w:tcPr>
            <w:tcW w:w="160" w:type="dxa"/>
            <w:vAlign w:val="bottom"/>
          </w:tcPr>
          <w:p>
            <w:pPr>
              <w:spacing w:after="0"/>
              <w:rPr>
                <w:sz w:val="12"/>
                <w:szCs w:val="12"/>
                <w:color w:val="auto"/>
              </w:rPr>
            </w:pPr>
          </w:p>
        </w:tc>
        <w:tc>
          <w:tcPr>
            <w:tcW w:w="240" w:type="dxa"/>
            <w:vAlign w:val="bottom"/>
            <w:tcBorders>
              <w:bottom w:val="single" w:sz="8" w:color="auto"/>
            </w:tcBorders>
          </w:tcPr>
          <w:p>
            <w:pPr>
              <w:jc w:val="right"/>
              <w:ind w:right="124"/>
              <w:spacing w:after="0"/>
              <w:rPr>
                <w:sz w:val="20"/>
                <w:szCs w:val="20"/>
                <w:color w:val="auto"/>
              </w:rPr>
            </w:pPr>
            <w:r>
              <w:rPr>
                <w:rFonts w:ascii="Arial" w:cs="Arial" w:eastAsia="Arial" w:hAnsi="Arial"/>
                <w:sz w:val="10"/>
                <w:szCs w:val="10"/>
                <w:color w:val="auto"/>
                <w:w w:val="71"/>
              </w:rPr>
              <w:t>$</w:t>
            </w:r>
          </w:p>
        </w:tc>
        <w:tc>
          <w:tcPr>
            <w:tcW w:w="6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(14.9)</w:t>
            </w:r>
          </w:p>
        </w:tc>
        <w:tc>
          <w:tcPr>
            <w:tcW w:w="160" w:type="dxa"/>
            <w:vAlign w:val="bottom"/>
          </w:tcPr>
          <w:p>
            <w:pPr>
              <w:spacing w:after="0"/>
              <w:rPr>
                <w:sz w:val="12"/>
                <w:szCs w:val="12"/>
                <w:color w:val="auto"/>
              </w:rPr>
            </w:pPr>
          </w:p>
        </w:tc>
        <w:tc>
          <w:tcPr>
            <w:tcW w:w="1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2,833.9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196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360"/>
          </w:cols>
          <w:pgMar w:left="240" w:top="131" w:right="1299" w:bottom="1440" w:gutter="0" w:footer="0" w:header="0"/>
        </w:sectPr>
      </w:pPr>
    </w:p>
    <w:bookmarkStart w:id="200" w:name="page201"/>
    <w:bookmarkEnd w:id="20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21. Condensed Consolidating Financial Information — (continued)</w:t>
      </w:r>
    </w:p>
    <w:p>
      <w:pPr>
        <w:spacing w:after="0" w:line="231" w:lineRule="exact"/>
        <w:rPr>
          <w:sz w:val="20"/>
          <w:szCs w:val="20"/>
          <w:color w:val="auto"/>
        </w:rPr>
      </w:pPr>
    </w:p>
    <w:p>
      <w:pPr>
        <w:jc w:val="both"/>
        <w:ind w:firstLine="365"/>
        <w:spacing w:after="0" w:line="291" w:lineRule="auto"/>
        <w:rPr>
          <w:sz w:val="20"/>
          <w:szCs w:val="20"/>
          <w:color w:val="auto"/>
        </w:rPr>
      </w:pPr>
      <w:r>
        <w:rPr>
          <w:rFonts w:ascii="Arial" w:cs="Arial" w:eastAsia="Arial" w:hAnsi="Arial"/>
          <w:sz w:val="16"/>
          <w:szCs w:val="16"/>
          <w:color w:val="auto"/>
        </w:rPr>
        <w:t>On May 24, 2011, our shelf registration statement was filed with the SEC and became effective. The shelf registration replaces the shelf registration that had been in effect since June 2008, as it was scheduled to expire in June 2011. Under our current shelf registration, we have the ability to issue unsecured senior debt securities or subordinated debt securities, junior subordinated debt, preferred stock, common stock, warrants, depository shares, stock purchase contracts and stock purchase units of PFG, trust preferred securities of three subsidiary trusts and guarantees by PFG of these trust preferred securities. Our wholly owned subsidiary, PFS, may guarantee, fully and unconditionally or otherwise, our obligations with respect to any non-convertible securities, other than common stock, described in the shelf registration statement.</w:t>
      </w:r>
    </w:p>
    <w:p>
      <w:pPr>
        <w:spacing w:after="0" w:line="174" w:lineRule="exact"/>
        <w:rPr>
          <w:sz w:val="20"/>
          <w:szCs w:val="20"/>
          <w:color w:val="auto"/>
        </w:rPr>
      </w:pPr>
    </w:p>
    <w:p>
      <w:pPr>
        <w:jc w:val="both"/>
        <w:ind w:firstLine="524"/>
        <w:spacing w:after="0" w:line="259" w:lineRule="auto"/>
        <w:rPr>
          <w:sz w:val="20"/>
          <w:szCs w:val="20"/>
          <w:color w:val="auto"/>
        </w:rPr>
      </w:pPr>
      <w:r>
        <w:rPr>
          <w:rFonts w:ascii="Arial" w:cs="Arial" w:eastAsia="Arial" w:hAnsi="Arial"/>
          <w:sz w:val="18"/>
          <w:szCs w:val="18"/>
          <w:color w:val="auto"/>
        </w:rPr>
        <w:t>The following tables set forth condensed consolidating financial information of (i) PFG, (ii) PFS, (iii) Principal Life and all other direct and indirect subsidiaries of PFG on a combined basis and (iv) the eliminations necessary to arrive at the information for PFG on a consolidated basis as of December 31, 2013 and December 31, 2012, and for the years ended December 31, 2013, 2012 and 2011.</w:t>
      </w:r>
    </w:p>
    <w:p>
      <w:pPr>
        <w:spacing w:after="0" w:line="194" w:lineRule="exact"/>
        <w:rPr>
          <w:sz w:val="20"/>
          <w:szCs w:val="20"/>
          <w:color w:val="auto"/>
        </w:rPr>
      </w:pPr>
    </w:p>
    <w:p>
      <w:pPr>
        <w:jc w:val="both"/>
        <w:ind w:firstLine="393"/>
        <w:spacing w:after="0" w:line="253" w:lineRule="auto"/>
        <w:rPr>
          <w:sz w:val="20"/>
          <w:szCs w:val="20"/>
          <w:color w:val="auto"/>
        </w:rPr>
      </w:pPr>
      <w:r>
        <w:rPr>
          <w:rFonts w:ascii="Arial" w:cs="Arial" w:eastAsia="Arial" w:hAnsi="Arial"/>
          <w:sz w:val="18"/>
          <w:szCs w:val="18"/>
          <w:color w:val="auto"/>
        </w:rPr>
        <w:t>In presenting the condensed consolidating financial statements, the equity method of accounting has been applied to (i) PFG's interest in PFS and (ii) PFS's interest in Principal Life and all other subsidiaries, where applicable, even though all such subsidiaries meet the requirements to be consolidated under U.S. GAAP. Earnings of subsidiaries are, therefore, reflected in the parent's investment and earnings. All intercompany balances and transactions, including elimination of the parent's investment in subsidiaries, between PFG, PFS and Principal Life and all other subsidiaries have been eliminated, as shown in the column "Eliminations." These condensed consolidating financial statements should be read in conjunction with the consolidated financial statements. The financial information may not necessarily be indicative of results of operations, cash flows or financial position had the subsidiaries operated as independent entities.</w:t>
      </w: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01" w:name="page202"/>
    <w:bookmarkEnd w:id="20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21. Condensed Consolidating Financial Information — (continued)</w:t>
      </w:r>
    </w:p>
    <w:p>
      <w:pPr>
        <w:spacing w:after="0" w:line="200" w:lineRule="exact"/>
        <w:rPr>
          <w:sz w:val="20"/>
          <w:szCs w:val="20"/>
          <w:color w:val="auto"/>
        </w:rPr>
      </w:pPr>
    </w:p>
    <w:p>
      <w:pPr>
        <w:spacing w:after="0" w:line="241"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Condensed Consolidating Statements of Financial Position</w:t>
      </w:r>
    </w:p>
    <w:p>
      <w:pPr>
        <w:spacing w:after="0" w:line="21" w:lineRule="exact"/>
        <w:rPr>
          <w:sz w:val="20"/>
          <w:szCs w:val="20"/>
          <w:color w:val="auto"/>
        </w:rPr>
      </w:pPr>
    </w:p>
    <w:p>
      <w:pPr>
        <w:jc w:val="center"/>
        <w:ind w:right="-1019"/>
        <w:spacing w:after="0"/>
        <w:rPr>
          <w:sz w:val="20"/>
          <w:szCs w:val="20"/>
          <w:color w:val="auto"/>
        </w:rPr>
      </w:pPr>
      <w:r>
        <w:rPr>
          <w:rFonts w:ascii="Arial" w:cs="Arial" w:eastAsia="Arial" w:hAnsi="Arial"/>
          <w:sz w:val="18"/>
          <w:szCs w:val="18"/>
          <w:b w:val="1"/>
          <w:bCs w:val="1"/>
          <w:color w:val="auto"/>
        </w:rPr>
        <w:t>December 31, 2013</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36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0"/>
              </w:rPr>
              <w:t>Principal Life</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7"/>
              </w:rPr>
              <w:t>Principal</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7"/>
              </w:rPr>
              <w:t>Principal</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3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Insurance Company</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Principal</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8"/>
              </w:rPr>
              <w:t>Financial</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8"/>
              </w:rPr>
              <w:t>Financial</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3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0"/>
              </w:rPr>
              <w:t>and Other</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Financial</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1"/>
              </w:rPr>
              <w:t>Group, Inc.</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4"/>
              </w:rPr>
              <w:t>Services, Inc.</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3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4"/>
              </w:rPr>
              <w:t>Subsidiaries</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Group, Inc.</w:t>
            </w:r>
          </w:p>
        </w:tc>
      </w:tr>
      <w:tr>
        <w:trPr>
          <w:trHeight w:val="161"/>
        </w:trPr>
        <w:tc>
          <w:tcPr>
            <w:tcW w:w="20" w:type="dxa"/>
            <w:vAlign w:val="bottom"/>
          </w:tcPr>
          <w:p>
            <w:pPr>
              <w:spacing w:after="0"/>
              <w:rPr>
                <w:sz w:val="14"/>
                <w:szCs w:val="14"/>
                <w:color w:val="auto"/>
              </w:rPr>
            </w:pPr>
          </w:p>
        </w:tc>
        <w:tc>
          <w:tcPr>
            <w:tcW w:w="34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0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1"/>
              </w:rPr>
              <w:t>Parent Only</w:t>
            </w: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80" w:type="dxa"/>
            <w:vAlign w:val="bottom"/>
          </w:tcPr>
          <w:p>
            <w:pPr>
              <w:jc w:val="center"/>
              <w:ind w:right="12"/>
              <w:spacing w:after="0"/>
              <w:rPr>
                <w:sz w:val="20"/>
                <w:szCs w:val="20"/>
                <w:color w:val="auto"/>
              </w:rPr>
            </w:pPr>
            <w:r>
              <w:rPr>
                <w:rFonts w:ascii="Arial" w:cs="Arial" w:eastAsia="Arial" w:hAnsi="Arial"/>
                <w:sz w:val="14"/>
                <w:szCs w:val="14"/>
                <w:b w:val="1"/>
                <w:bCs w:val="1"/>
                <w:color w:val="auto"/>
                <w:w w:val="89"/>
              </w:rPr>
              <w:t>Only</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36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7"/>
              </w:rPr>
              <w:t>Combined</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4"/>
                <w:szCs w:val="14"/>
                <w:b w:val="1"/>
                <w:bCs w:val="1"/>
                <w:color w:val="auto"/>
                <w:w w:val="86"/>
              </w:rPr>
              <w:t>Eliminations</w:t>
            </w: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5"/>
              </w:rPr>
              <w:t>Consolidated</w:t>
            </w:r>
          </w:p>
        </w:tc>
      </w:tr>
      <w:tr>
        <w:trPr>
          <w:trHeight w:val="142"/>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280" w:type="dxa"/>
            <w:vAlign w:val="bottom"/>
            <w:tcBorders>
              <w:top w:val="single" w:sz="8" w:color="auto"/>
            </w:tcBorders>
          </w:tcPr>
          <w:p>
            <w:pPr>
              <w:jc w:val="center"/>
              <w:ind w:right="12"/>
              <w:spacing w:after="0" w:line="142" w:lineRule="exact"/>
              <w:rPr>
                <w:sz w:val="20"/>
                <w:szCs w:val="20"/>
                <w:color w:val="auto"/>
              </w:rPr>
            </w:pPr>
            <w:r>
              <w:rPr>
                <w:rFonts w:ascii="Arial" w:cs="Arial" w:eastAsia="Arial" w:hAnsi="Arial"/>
                <w:sz w:val="14"/>
                <w:szCs w:val="14"/>
                <w:b w:val="1"/>
                <w:bCs w:val="1"/>
                <w:i w:val="1"/>
                <w:iCs w:val="1"/>
                <w:color w:val="auto"/>
                <w:w w:val="86"/>
              </w:rPr>
              <w:t>(in millions)</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2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48,757.1</w:t>
            </w:r>
          </w:p>
        </w:tc>
        <w:tc>
          <w:tcPr>
            <w:tcW w:w="80" w:type="dxa"/>
            <w:vAlign w:val="bottom"/>
          </w:tcPr>
          <w:p>
            <w:pPr>
              <w:spacing w:after="0"/>
              <w:rPr>
                <w:sz w:val="12"/>
                <w:szCs w:val="12"/>
                <w:color w:val="auto"/>
              </w:rPr>
            </w:pP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48,757.1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maturities, trading</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563.1</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563.1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Equity securities, available-for-sale</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110.5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110.5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Equity securities, trading</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716.9</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716.9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Mortgage loans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11,533.6</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11,533.6</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Real estate</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1,271.6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1,271.6</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Policy loans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859.7</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859.7</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Investment in unconsolidated entities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11,956.2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11,647.6</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879.8</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(23,603.6)</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880.0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Other investments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72.7</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1,982.5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(0.1)</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2,064.4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and cash equivalents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131.5</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688.7</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2,384.0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(832.4)</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2,371.8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Accrued investment income</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532.1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532.1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Premiums due and other receivables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2,330.4</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(1,089.5)</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1,241.0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Deferred acquisition costs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3,077.0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3,077.0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Property and equipment</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500.7</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500.7</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Goodwill</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1,100.3</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1,100.3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intangibles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1,459.0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1,459.0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Separate account assets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130,018.4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130,018.4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assets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59.2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94.8</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1,181.0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(200.8)</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1,134.2</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440" w:type="dxa"/>
            <w:vAlign w:val="bottom"/>
          </w:tcPr>
          <w:p>
            <w:pPr>
              <w:ind w:left="140"/>
              <w:spacing w:after="0" w:line="142" w:lineRule="exact"/>
              <w:rPr>
                <w:sz w:val="20"/>
                <w:szCs w:val="20"/>
                <w:color w:val="auto"/>
              </w:rPr>
            </w:pPr>
            <w:r>
              <w:rPr>
                <w:rFonts w:ascii="Arial" w:cs="Arial" w:eastAsia="Arial" w:hAnsi="Arial"/>
                <w:sz w:val="14"/>
                <w:szCs w:val="14"/>
                <w:color w:val="auto"/>
              </w:rPr>
              <w:t>Total assets</w:t>
            </w:r>
          </w:p>
        </w:tc>
        <w:tc>
          <w:tcPr>
            <w:tcW w:w="2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12,156.2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12,503.9</w:t>
            </w:r>
          </w:p>
        </w:tc>
        <w:tc>
          <w:tcPr>
            <w:tcW w:w="1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12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209,257.7</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(25,726.4)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208,191.4</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3440" w:type="dxa"/>
            <w:vAlign w:val="bottom"/>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Liabilities</w:t>
            </w:r>
          </w:p>
        </w:tc>
        <w:tc>
          <w:tcPr>
            <w:tcW w:w="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Contractholder funds</w:t>
            </w:r>
          </w:p>
        </w:tc>
        <w:tc>
          <w:tcPr>
            <w:tcW w:w="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2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35,958.3</w:t>
            </w:r>
          </w:p>
        </w:tc>
        <w:tc>
          <w:tcPr>
            <w:tcW w:w="80" w:type="dxa"/>
            <w:vAlign w:val="bottom"/>
          </w:tcPr>
          <w:p>
            <w:pPr>
              <w:spacing w:after="0"/>
              <w:rPr>
                <w:sz w:val="12"/>
                <w:szCs w:val="12"/>
                <w:color w:val="auto"/>
              </w:rPr>
            </w:pP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35,958.3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Future policy benefits and claims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22,626.2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22,626.2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Other policyholder funds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758.9</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758.9</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Short-term debt</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443.0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(292.4)</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150.6</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Long-term debt</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2,448.8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1,236.9</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(1,084.3)</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2,601.4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Income taxes currently payable</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2.8</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44.7</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(42.3)</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Deferred income taxes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979.6</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(155.6)</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824.0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Separate account liabilities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130,018.4</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130,018.4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Other liabilities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544.9</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5,204.1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(548.0)</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5,224.2</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44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liabilities</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2,472.0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547.7</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197,270.1</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(2,122.6)</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198,167.2</w:t>
            </w:r>
          </w:p>
        </w:tc>
        <w:tc>
          <w:tcPr>
            <w:tcW w:w="160" w:type="dxa"/>
            <w:vAlign w:val="bottom"/>
            <w:shd w:val="clear" w:color="auto" w:fill="CCEEFF"/>
          </w:tcPr>
          <w:p>
            <w:pPr>
              <w:spacing w:after="0"/>
              <w:rPr>
                <w:sz w:val="12"/>
                <w:szCs w:val="12"/>
                <w:color w:val="auto"/>
              </w:rPr>
            </w:pPr>
          </w:p>
        </w:tc>
      </w:tr>
      <w:tr>
        <w:trPr>
          <w:trHeight w:val="311"/>
        </w:trPr>
        <w:tc>
          <w:tcPr>
            <w:tcW w:w="3460" w:type="dxa"/>
            <w:vAlign w:val="bottom"/>
            <w:gridSpan w:val="2"/>
          </w:tcPr>
          <w:p>
            <w:pPr>
              <w:spacing w:after="0"/>
              <w:rPr>
                <w:sz w:val="20"/>
                <w:szCs w:val="20"/>
                <w:color w:val="auto"/>
              </w:rPr>
            </w:pPr>
            <w:r>
              <w:rPr>
                <w:rFonts w:ascii="Arial" w:cs="Arial" w:eastAsia="Arial" w:hAnsi="Arial"/>
                <w:sz w:val="14"/>
                <w:szCs w:val="14"/>
                <w:color w:val="auto"/>
              </w:rPr>
              <w:t>Redeemable noncontrolling interest</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14"/>
                <w:szCs w:val="14"/>
                <w:b w:val="1"/>
                <w:bCs w:val="1"/>
                <w:color w:val="auto"/>
              </w:rPr>
              <w:t>247.2</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4"/>
                <w:szCs w:val="14"/>
                <w:b w:val="1"/>
                <w:bCs w:val="1"/>
                <w:color w:val="auto"/>
              </w:rPr>
              <w:t>247.2</w:t>
            </w:r>
          </w:p>
        </w:tc>
        <w:tc>
          <w:tcPr>
            <w:tcW w:w="160" w:type="dxa"/>
            <w:vAlign w:val="bottom"/>
          </w:tcPr>
          <w:p>
            <w:pPr>
              <w:spacing w:after="0"/>
              <w:rPr>
                <w:sz w:val="24"/>
                <w:szCs w:val="24"/>
                <w:color w:val="auto"/>
              </w:rPr>
            </w:pPr>
          </w:p>
        </w:tc>
      </w:tr>
      <w:tr>
        <w:trPr>
          <w:trHeight w:val="311"/>
        </w:trPr>
        <w:tc>
          <w:tcPr>
            <w:tcW w:w="20" w:type="dxa"/>
            <w:vAlign w:val="bottom"/>
          </w:tcPr>
          <w:p>
            <w:pPr>
              <w:spacing w:after="0"/>
              <w:rPr>
                <w:sz w:val="24"/>
                <w:szCs w:val="24"/>
                <w:color w:val="auto"/>
              </w:rPr>
            </w:pPr>
          </w:p>
        </w:tc>
        <w:tc>
          <w:tcPr>
            <w:tcW w:w="344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Stockholders' equity</w:t>
            </w:r>
          </w:p>
        </w:tc>
        <w:tc>
          <w:tcPr>
            <w:tcW w:w="2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Series A preferred stock</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36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gridSpan w:val="2"/>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r>
      <w:tr>
        <w:trPr>
          <w:trHeight w:val="149"/>
        </w:trPr>
        <w:tc>
          <w:tcPr>
            <w:tcW w:w="20" w:type="dxa"/>
            <w:vAlign w:val="bottom"/>
          </w:tcPr>
          <w:p>
            <w:pPr>
              <w:spacing w:after="0"/>
              <w:rPr>
                <w:sz w:val="12"/>
                <w:szCs w:val="12"/>
                <w:color w:val="auto"/>
              </w:rPr>
            </w:pPr>
          </w:p>
        </w:tc>
        <w:tc>
          <w:tcPr>
            <w:tcW w:w="34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Series B preferred stock</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Common stock</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17.8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(17.8)</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4.6</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Additional paid-in capital</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9,798.9</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9,163.7</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9,057.1</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(18,220.8)</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9,798.9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Retained earnings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5,405.4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2,578.2</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2,387.2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(4,965.4)</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5,405.4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Accumulated other comprehensive income</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183.2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214.3</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187.5</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(401.8)</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183.2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Treasury stock, at cost</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(5,708.0)</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36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(2.0)</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2.0</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(5,708.0)</w:t>
            </w:r>
          </w:p>
        </w:tc>
      </w:tr>
      <w:tr>
        <w:trPr>
          <w:trHeight w:val="20"/>
        </w:trPr>
        <w:tc>
          <w:tcPr>
            <w:tcW w:w="20" w:type="dxa"/>
            <w:vAlign w:val="bottom"/>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44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stockholders' equity attributable to PFG</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9,684.2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11,956.2</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11,647.6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(23,603.8)</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9,684.2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line="149" w:lineRule="exact"/>
              <w:rPr>
                <w:sz w:val="20"/>
                <w:szCs w:val="20"/>
                <w:color w:val="auto"/>
              </w:rPr>
            </w:pPr>
            <w:r>
              <w:rPr>
                <w:rFonts w:ascii="Arial" w:cs="Arial" w:eastAsia="Arial" w:hAnsi="Arial"/>
                <w:sz w:val="14"/>
                <w:szCs w:val="14"/>
                <w:color w:val="auto"/>
              </w:rPr>
              <w:t>Noncontrolling interest</w:t>
            </w:r>
          </w:p>
        </w:tc>
        <w:tc>
          <w:tcPr>
            <w:tcW w:w="2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2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92.8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92.8</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44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stockholders' equity</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9,684.2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11,956.2</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11,740.4</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(23,603.8)</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9,777.0</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440" w:type="dxa"/>
            <w:vAlign w:val="bottom"/>
          </w:tcPr>
          <w:p>
            <w:pPr>
              <w:ind w:left="140"/>
              <w:spacing w:after="0" w:line="142" w:lineRule="exact"/>
              <w:rPr>
                <w:sz w:val="20"/>
                <w:szCs w:val="20"/>
                <w:color w:val="auto"/>
              </w:rPr>
            </w:pPr>
            <w:r>
              <w:rPr>
                <w:rFonts w:ascii="Arial" w:cs="Arial" w:eastAsia="Arial" w:hAnsi="Arial"/>
                <w:sz w:val="14"/>
                <w:szCs w:val="14"/>
                <w:color w:val="auto"/>
              </w:rPr>
              <w:t>Total liabilities and stockholders' equity</w:t>
            </w:r>
          </w:p>
        </w:tc>
        <w:tc>
          <w:tcPr>
            <w:tcW w:w="20" w:type="dxa"/>
            <w:vAlign w:val="bottom"/>
            <w:tcBorders>
              <w:bottom w:val="single" w:sz="8" w:color="auto"/>
            </w:tcBorders>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12,156.2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12,503.9</w:t>
            </w:r>
          </w:p>
        </w:tc>
        <w:tc>
          <w:tcPr>
            <w:tcW w:w="1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12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209,257.7</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(25,726.4)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208,191.4</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198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360"/>
          </w:cols>
          <w:pgMar w:left="240" w:top="131" w:right="1299" w:bottom="1440" w:gutter="0" w:footer="0" w:header="0"/>
        </w:sectPr>
      </w:pPr>
    </w:p>
    <w:bookmarkStart w:id="202" w:name="page203"/>
    <w:bookmarkEnd w:id="20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21. Condensed Consolidating Financial Information — (continued)</w:t>
      </w:r>
    </w:p>
    <w:p>
      <w:pPr>
        <w:spacing w:after="0" w:line="200" w:lineRule="exact"/>
        <w:rPr>
          <w:sz w:val="20"/>
          <w:szCs w:val="20"/>
          <w:color w:val="auto"/>
        </w:rPr>
      </w:pPr>
    </w:p>
    <w:p>
      <w:pPr>
        <w:spacing w:after="0" w:line="241"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Condensed Consolidating Statements of Financial Position</w:t>
      </w:r>
    </w:p>
    <w:p>
      <w:pPr>
        <w:spacing w:after="0" w:line="21" w:lineRule="exact"/>
        <w:rPr>
          <w:sz w:val="20"/>
          <w:szCs w:val="20"/>
          <w:color w:val="auto"/>
        </w:rPr>
      </w:pPr>
    </w:p>
    <w:p>
      <w:pPr>
        <w:jc w:val="center"/>
        <w:ind w:right="-1019"/>
        <w:spacing w:after="0"/>
        <w:rPr>
          <w:sz w:val="20"/>
          <w:szCs w:val="20"/>
          <w:color w:val="auto"/>
        </w:rPr>
      </w:pPr>
      <w:r>
        <w:rPr>
          <w:rFonts w:ascii="Arial" w:cs="Arial" w:eastAsia="Arial" w:hAnsi="Arial"/>
          <w:sz w:val="18"/>
          <w:szCs w:val="18"/>
          <w:b w:val="1"/>
          <w:bCs w:val="1"/>
          <w:color w:val="auto"/>
        </w:rPr>
        <w:t>December 31, 2012</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Principal Life</w:t>
            </w:r>
          </w:p>
        </w:tc>
        <w:tc>
          <w:tcPr>
            <w:tcW w:w="2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49"/>
        </w:trPr>
        <w:tc>
          <w:tcPr>
            <w:tcW w:w="20" w:type="dxa"/>
            <w:vAlign w:val="bottom"/>
          </w:tcPr>
          <w:p>
            <w:pPr>
              <w:spacing w:after="0"/>
              <w:rPr>
                <w:sz w:val="12"/>
                <w:szCs w:val="12"/>
                <w:color w:val="auto"/>
              </w:rPr>
            </w:pPr>
          </w:p>
        </w:tc>
        <w:tc>
          <w:tcPr>
            <w:tcW w:w="34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Principal</w:t>
            </w:r>
          </w:p>
        </w:tc>
        <w:tc>
          <w:tcPr>
            <w:tcW w:w="80" w:type="dxa"/>
            <w:vAlign w:val="bottom"/>
          </w:tcPr>
          <w:p>
            <w:pPr>
              <w:spacing w:after="0"/>
              <w:rPr>
                <w:sz w:val="12"/>
                <w:szCs w:val="12"/>
                <w:color w:val="auto"/>
              </w:rPr>
            </w:pPr>
          </w:p>
        </w:tc>
        <w:tc>
          <w:tcPr>
            <w:tcW w:w="86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7"/>
              </w:rPr>
              <w:t>Principal</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Insurance Company</w:t>
            </w: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Principal</w:t>
            </w:r>
          </w:p>
        </w:tc>
      </w:tr>
      <w:tr>
        <w:trPr>
          <w:trHeight w:val="149"/>
        </w:trPr>
        <w:tc>
          <w:tcPr>
            <w:tcW w:w="20" w:type="dxa"/>
            <w:vAlign w:val="bottom"/>
          </w:tcPr>
          <w:p>
            <w:pPr>
              <w:spacing w:after="0"/>
              <w:rPr>
                <w:sz w:val="12"/>
                <w:szCs w:val="12"/>
                <w:color w:val="auto"/>
              </w:rPr>
            </w:pPr>
          </w:p>
        </w:tc>
        <w:tc>
          <w:tcPr>
            <w:tcW w:w="34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Financial</w:t>
            </w:r>
          </w:p>
        </w:tc>
        <w:tc>
          <w:tcPr>
            <w:tcW w:w="80" w:type="dxa"/>
            <w:vAlign w:val="bottom"/>
          </w:tcPr>
          <w:p>
            <w:pPr>
              <w:spacing w:after="0"/>
              <w:rPr>
                <w:sz w:val="12"/>
                <w:szCs w:val="12"/>
                <w:color w:val="auto"/>
              </w:rPr>
            </w:pPr>
          </w:p>
        </w:tc>
        <w:tc>
          <w:tcPr>
            <w:tcW w:w="860" w:type="dxa"/>
            <w:vAlign w:val="bottom"/>
          </w:tcPr>
          <w:p>
            <w:pPr>
              <w:jc w:val="center"/>
              <w:ind w:right="52"/>
              <w:spacing w:after="0" w:line="149" w:lineRule="exact"/>
              <w:rPr>
                <w:sz w:val="20"/>
                <w:szCs w:val="20"/>
                <w:color w:val="auto"/>
              </w:rPr>
            </w:pPr>
            <w:r>
              <w:rPr>
                <w:rFonts w:ascii="Arial" w:cs="Arial" w:eastAsia="Arial" w:hAnsi="Arial"/>
                <w:sz w:val="14"/>
                <w:szCs w:val="14"/>
                <w:b w:val="1"/>
                <w:bCs w:val="1"/>
                <w:color w:val="auto"/>
                <w:w w:val="88"/>
              </w:rPr>
              <w:t>Financial</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0"/>
              </w:rPr>
              <w:t>and Other</w:t>
            </w: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Financial</w:t>
            </w:r>
          </w:p>
        </w:tc>
      </w:tr>
      <w:tr>
        <w:trPr>
          <w:trHeight w:val="149"/>
        </w:trPr>
        <w:tc>
          <w:tcPr>
            <w:tcW w:w="20" w:type="dxa"/>
            <w:vAlign w:val="bottom"/>
          </w:tcPr>
          <w:p>
            <w:pPr>
              <w:spacing w:after="0"/>
              <w:rPr>
                <w:sz w:val="12"/>
                <w:szCs w:val="12"/>
                <w:color w:val="auto"/>
              </w:rPr>
            </w:pPr>
          </w:p>
        </w:tc>
        <w:tc>
          <w:tcPr>
            <w:tcW w:w="34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1"/>
              </w:rPr>
              <w:t>Group, Inc.</w:t>
            </w:r>
          </w:p>
        </w:tc>
        <w:tc>
          <w:tcPr>
            <w:tcW w:w="80" w:type="dxa"/>
            <w:vAlign w:val="bottom"/>
          </w:tcPr>
          <w:p>
            <w:pPr>
              <w:spacing w:after="0"/>
              <w:rPr>
                <w:sz w:val="12"/>
                <w:szCs w:val="12"/>
                <w:color w:val="auto"/>
              </w:rPr>
            </w:pPr>
          </w:p>
        </w:tc>
        <w:tc>
          <w:tcPr>
            <w:tcW w:w="86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4"/>
              </w:rPr>
              <w:t>Services, Inc.</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4"/>
              </w:rPr>
              <w:t>Subsidiaries</w:t>
            </w: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Group, Inc.</w:t>
            </w:r>
          </w:p>
        </w:tc>
      </w:tr>
      <w:tr>
        <w:trPr>
          <w:trHeight w:val="161"/>
        </w:trPr>
        <w:tc>
          <w:tcPr>
            <w:tcW w:w="20" w:type="dxa"/>
            <w:vAlign w:val="bottom"/>
          </w:tcPr>
          <w:p>
            <w:pPr>
              <w:spacing w:after="0"/>
              <w:rPr>
                <w:sz w:val="14"/>
                <w:szCs w:val="14"/>
                <w:color w:val="auto"/>
              </w:rPr>
            </w:pPr>
          </w:p>
        </w:tc>
        <w:tc>
          <w:tcPr>
            <w:tcW w:w="3460" w:type="dxa"/>
            <w:vAlign w:val="bottom"/>
          </w:tcPr>
          <w:p>
            <w:pPr>
              <w:spacing w:after="0"/>
              <w:rPr>
                <w:sz w:val="14"/>
                <w:szCs w:val="14"/>
                <w:color w:val="auto"/>
              </w:rPr>
            </w:pPr>
          </w:p>
        </w:tc>
        <w:tc>
          <w:tcPr>
            <w:tcW w:w="102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91"/>
              </w:rPr>
              <w:t>Parent Only</w:t>
            </w:r>
          </w:p>
        </w:tc>
        <w:tc>
          <w:tcPr>
            <w:tcW w:w="80" w:type="dxa"/>
            <w:vAlign w:val="bottom"/>
          </w:tcPr>
          <w:p>
            <w:pPr>
              <w:spacing w:after="0"/>
              <w:rPr>
                <w:sz w:val="14"/>
                <w:szCs w:val="14"/>
                <w:color w:val="auto"/>
              </w:rPr>
            </w:pPr>
          </w:p>
        </w:tc>
        <w:tc>
          <w:tcPr>
            <w:tcW w:w="860" w:type="dxa"/>
            <w:vAlign w:val="bottom"/>
          </w:tcPr>
          <w:p>
            <w:pPr>
              <w:jc w:val="center"/>
              <w:ind w:right="32"/>
              <w:spacing w:after="0"/>
              <w:rPr>
                <w:sz w:val="20"/>
                <w:szCs w:val="20"/>
                <w:color w:val="auto"/>
              </w:rPr>
            </w:pPr>
            <w:r>
              <w:rPr>
                <w:rFonts w:ascii="Arial" w:cs="Arial" w:eastAsia="Arial" w:hAnsi="Arial"/>
                <w:sz w:val="14"/>
                <w:szCs w:val="14"/>
                <w:b w:val="1"/>
                <w:bCs w:val="1"/>
                <w:color w:val="auto"/>
                <w:w w:val="89"/>
              </w:rPr>
              <w:t>Only</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7"/>
              </w:rPr>
              <w:t>Combined</w:t>
            </w:r>
          </w:p>
        </w:tc>
        <w:tc>
          <w:tcPr>
            <w:tcW w:w="104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w w:val="93"/>
              </w:rPr>
              <w:t>Eliminations</w:t>
            </w:r>
          </w:p>
        </w:tc>
        <w:tc>
          <w:tcPr>
            <w:tcW w:w="108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5"/>
              </w:rPr>
              <w:t>Consolidated</w:t>
            </w:r>
          </w:p>
        </w:tc>
      </w:tr>
      <w:tr>
        <w:trPr>
          <w:trHeight w:val="142"/>
        </w:trPr>
        <w:tc>
          <w:tcPr>
            <w:tcW w:w="20" w:type="dxa"/>
            <w:vAlign w:val="bottom"/>
          </w:tcPr>
          <w:p>
            <w:pPr>
              <w:spacing w:after="0"/>
              <w:rPr>
                <w:sz w:val="12"/>
                <w:szCs w:val="12"/>
                <w:color w:val="auto"/>
              </w:rPr>
            </w:pPr>
          </w:p>
        </w:tc>
        <w:tc>
          <w:tcPr>
            <w:tcW w:w="34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280" w:type="dxa"/>
            <w:vAlign w:val="bottom"/>
            <w:tcBorders>
              <w:top w:val="single" w:sz="8" w:color="auto"/>
            </w:tcBorders>
          </w:tcPr>
          <w:p>
            <w:pPr>
              <w:jc w:val="center"/>
              <w:ind w:right="12"/>
              <w:spacing w:after="0" w:line="142" w:lineRule="exact"/>
              <w:rPr>
                <w:sz w:val="20"/>
                <w:szCs w:val="20"/>
                <w:color w:val="auto"/>
              </w:rPr>
            </w:pPr>
            <w:r>
              <w:rPr>
                <w:rFonts w:ascii="Arial" w:cs="Arial" w:eastAsia="Arial" w:hAnsi="Arial"/>
                <w:sz w:val="14"/>
                <w:szCs w:val="14"/>
                <w:b w:val="1"/>
                <w:bCs w:val="1"/>
                <w:i w:val="1"/>
                <w:iCs w:val="1"/>
                <w:color w:val="auto"/>
                <w:w w:val="86"/>
              </w:rPr>
              <w:t>(in millions)</w:t>
            </w:r>
          </w:p>
        </w:tc>
        <w:tc>
          <w:tcPr>
            <w:tcW w:w="16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50,939.3</w:t>
            </w:r>
          </w:p>
        </w:tc>
        <w:tc>
          <w:tcPr>
            <w:tcW w:w="160" w:type="dxa"/>
            <w:vAlign w:val="bottom"/>
          </w:tcPr>
          <w:p>
            <w:pPr>
              <w:spacing w:after="0"/>
              <w:rPr>
                <w:sz w:val="12"/>
                <w:szCs w:val="12"/>
                <w:color w:val="auto"/>
              </w:rPr>
            </w:pPr>
          </w:p>
        </w:tc>
        <w:tc>
          <w:tcPr>
            <w:tcW w:w="220" w:type="dxa"/>
            <w:vAlign w:val="bottom"/>
          </w:tcPr>
          <w:p>
            <w:pPr>
              <w:jc w:val="right"/>
              <w:ind w:right="106"/>
              <w:spacing w:after="0"/>
              <w:rPr>
                <w:sz w:val="20"/>
                <w:szCs w:val="20"/>
                <w:color w:val="auto"/>
              </w:rPr>
            </w:pPr>
            <w:r>
              <w:rPr>
                <w:rFonts w:ascii="Arial" w:cs="Arial" w:eastAsia="Arial" w:hAnsi="Arial"/>
                <w:sz w:val="10"/>
                <w:szCs w:val="10"/>
                <w:color w:val="auto"/>
                <w:w w:val="71"/>
              </w:rPr>
              <w:t>$</w:t>
            </w: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50,939.3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Fixed maturities, trading</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10.5</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616.2</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626.7</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tcPr>
          <w:p>
            <w:pPr>
              <w:spacing w:after="0" w:line="149" w:lineRule="exact"/>
              <w:rPr>
                <w:sz w:val="20"/>
                <w:szCs w:val="20"/>
                <w:color w:val="auto"/>
              </w:rPr>
            </w:pPr>
            <w:r>
              <w:rPr>
                <w:rFonts w:ascii="Arial" w:cs="Arial" w:eastAsia="Arial" w:hAnsi="Arial"/>
                <w:sz w:val="14"/>
                <w:szCs w:val="14"/>
                <w:color w:val="auto"/>
              </w:rPr>
              <w:t>Equity securities, available-for-sale</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136.5</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136.5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Equity securities, trading</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252.8</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252.8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tcPr>
          <w:p>
            <w:pPr>
              <w:spacing w:after="0" w:line="149" w:lineRule="exact"/>
              <w:rPr>
                <w:sz w:val="20"/>
                <w:szCs w:val="20"/>
                <w:color w:val="auto"/>
              </w:rPr>
            </w:pPr>
            <w:r>
              <w:rPr>
                <w:rFonts w:ascii="Arial" w:cs="Arial" w:eastAsia="Arial" w:hAnsi="Arial"/>
                <w:sz w:val="14"/>
                <w:szCs w:val="14"/>
                <w:color w:val="auto"/>
              </w:rPr>
              <w:t>Mortgage loans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11,519.7</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11,519.7</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Real estate</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1,180.3</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1,180.3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tcPr>
          <w:p>
            <w:pPr>
              <w:spacing w:after="0" w:line="149" w:lineRule="exact"/>
              <w:rPr>
                <w:sz w:val="20"/>
                <w:szCs w:val="20"/>
                <w:color w:val="auto"/>
              </w:rPr>
            </w:pPr>
            <w:r>
              <w:rPr>
                <w:rFonts w:ascii="Arial" w:cs="Arial" w:eastAsia="Arial" w:hAnsi="Arial"/>
                <w:sz w:val="14"/>
                <w:szCs w:val="14"/>
                <w:color w:val="auto"/>
              </w:rPr>
              <w:t>Policy loans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864.9</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864.9</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Investment in unconsolidated entities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11,853.3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10,632.1</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860.2</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(22,476.6)</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869.0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tcPr>
          <w:p>
            <w:pPr>
              <w:spacing w:after="0" w:line="149" w:lineRule="exact"/>
              <w:rPr>
                <w:sz w:val="20"/>
                <w:szCs w:val="20"/>
                <w:color w:val="auto"/>
              </w:rPr>
            </w:pPr>
            <w:r>
              <w:rPr>
                <w:rFonts w:ascii="Arial" w:cs="Arial" w:eastAsia="Arial" w:hAnsi="Arial"/>
                <w:sz w:val="14"/>
                <w:szCs w:val="14"/>
                <w:color w:val="auto"/>
              </w:rPr>
              <w:t>Other investments</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11.1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39.6</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2,371.4</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2,422.1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and cash equivalents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207.1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612.5</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4,241.3</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(883.7)</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4,177.2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tcPr>
          <w:p>
            <w:pPr>
              <w:spacing w:after="0" w:line="149" w:lineRule="exact"/>
              <w:rPr>
                <w:sz w:val="20"/>
                <w:szCs w:val="20"/>
                <w:color w:val="auto"/>
              </w:rPr>
            </w:pPr>
            <w:r>
              <w:rPr>
                <w:rFonts w:ascii="Arial" w:cs="Arial" w:eastAsia="Arial" w:hAnsi="Arial"/>
                <w:sz w:val="14"/>
                <w:szCs w:val="14"/>
                <w:color w:val="auto"/>
              </w:rPr>
              <w:t>Accrued investment income</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584.4</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584.4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Premiums due and other receivables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1,122.1</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2,206.7</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(2,244.5)</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1,084.4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tcPr>
          <w:p>
            <w:pPr>
              <w:spacing w:after="0" w:line="149" w:lineRule="exact"/>
              <w:rPr>
                <w:sz w:val="20"/>
                <w:szCs w:val="20"/>
                <w:color w:val="auto"/>
              </w:rPr>
            </w:pPr>
            <w:r>
              <w:rPr>
                <w:rFonts w:ascii="Arial" w:cs="Arial" w:eastAsia="Arial" w:hAnsi="Arial"/>
                <w:sz w:val="14"/>
                <w:szCs w:val="14"/>
                <w:color w:val="auto"/>
              </w:rPr>
              <w:t>Deferred acquisition costs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2,590.0</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2,590.0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Property and equipment</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464.2</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464.2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tcPr>
          <w:p>
            <w:pPr>
              <w:spacing w:after="0" w:line="149" w:lineRule="exact"/>
              <w:rPr>
                <w:sz w:val="20"/>
                <w:szCs w:val="20"/>
                <w:color w:val="auto"/>
              </w:rPr>
            </w:pPr>
            <w:r>
              <w:rPr>
                <w:rFonts w:ascii="Arial" w:cs="Arial" w:eastAsia="Arial" w:hAnsi="Arial"/>
                <w:sz w:val="14"/>
                <w:szCs w:val="14"/>
                <w:color w:val="auto"/>
              </w:rPr>
              <w:t>Goodwill</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543.4</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543.4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intangibles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914.7</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914.7</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tcPr>
          <w:p>
            <w:pPr>
              <w:spacing w:after="0" w:line="149" w:lineRule="exact"/>
              <w:rPr>
                <w:sz w:val="20"/>
                <w:szCs w:val="20"/>
                <w:color w:val="auto"/>
              </w:rPr>
            </w:pPr>
            <w:r>
              <w:rPr>
                <w:rFonts w:ascii="Arial" w:cs="Arial" w:eastAsia="Arial" w:hAnsi="Arial"/>
                <w:sz w:val="14"/>
                <w:szCs w:val="14"/>
                <w:color w:val="auto"/>
              </w:rPr>
              <w:t>Separate account assets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81,653.8</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81,653.8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assets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78.0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51.0</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1,003.5</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(125.7)</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1,006.8</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460" w:type="dxa"/>
            <w:vAlign w:val="bottom"/>
          </w:tcPr>
          <w:p>
            <w:pPr>
              <w:ind w:left="140"/>
              <w:spacing w:after="0" w:line="142" w:lineRule="exact"/>
              <w:rPr>
                <w:sz w:val="20"/>
                <w:szCs w:val="20"/>
                <w:color w:val="auto"/>
              </w:rPr>
            </w:pPr>
            <w:r>
              <w:rPr>
                <w:rFonts w:ascii="Arial" w:cs="Arial" w:eastAsia="Arial" w:hAnsi="Arial"/>
                <w:sz w:val="14"/>
                <w:szCs w:val="14"/>
                <w:color w:val="auto"/>
              </w:rPr>
              <w:t>Total assets</w:t>
            </w: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12,160.1</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12,457.3</w:t>
            </w:r>
          </w:p>
        </w:tc>
        <w:tc>
          <w:tcPr>
            <w:tcW w:w="1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12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162,943.3</w:t>
            </w:r>
          </w:p>
        </w:tc>
        <w:tc>
          <w:tcPr>
            <w:tcW w:w="160" w:type="dxa"/>
            <w:vAlign w:val="bottom"/>
          </w:tcPr>
          <w:p>
            <w:pPr>
              <w:spacing w:after="0"/>
              <w:rPr>
                <w:sz w:val="12"/>
                <w:szCs w:val="12"/>
                <w:color w:val="auto"/>
              </w:rPr>
            </w:pPr>
          </w:p>
        </w:tc>
        <w:tc>
          <w:tcPr>
            <w:tcW w:w="220" w:type="dxa"/>
            <w:vAlign w:val="bottom"/>
            <w:tcBorders>
              <w:top w:val="single" w:sz="8" w:color="auto"/>
              <w:bottom w:val="single" w:sz="8" w:color="auto"/>
            </w:tcBorders>
          </w:tcPr>
          <w:p>
            <w:pPr>
              <w:jc w:val="right"/>
              <w:ind w:right="106"/>
              <w:spacing w:after="0"/>
              <w:rPr>
                <w:sz w:val="20"/>
                <w:szCs w:val="20"/>
                <w:color w:val="auto"/>
              </w:rPr>
            </w:pPr>
            <w:r>
              <w:rPr>
                <w:rFonts w:ascii="Arial" w:cs="Arial" w:eastAsia="Arial" w:hAnsi="Arial"/>
                <w:sz w:val="10"/>
                <w:szCs w:val="10"/>
                <w:color w:val="auto"/>
                <w:w w:val="71"/>
              </w:rPr>
              <w:t>$</w:t>
            </w:r>
          </w:p>
        </w:tc>
        <w:tc>
          <w:tcPr>
            <w:tcW w:w="6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(25,730.5)</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161,830.2</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4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3460" w:type="dxa"/>
            <w:vAlign w:val="bottom"/>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Liabilities</w:t>
            </w: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3460" w:type="dxa"/>
            <w:vAlign w:val="bottom"/>
          </w:tcPr>
          <w:p>
            <w:pPr>
              <w:spacing w:after="0" w:line="149" w:lineRule="exact"/>
              <w:rPr>
                <w:sz w:val="20"/>
                <w:szCs w:val="20"/>
                <w:color w:val="auto"/>
              </w:rPr>
            </w:pPr>
            <w:r>
              <w:rPr>
                <w:rFonts w:ascii="Arial" w:cs="Arial" w:eastAsia="Arial" w:hAnsi="Arial"/>
                <w:sz w:val="14"/>
                <w:szCs w:val="14"/>
                <w:color w:val="auto"/>
              </w:rPr>
              <w:t>Contractholder funds</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37,786.5</w:t>
            </w:r>
          </w:p>
        </w:tc>
        <w:tc>
          <w:tcPr>
            <w:tcW w:w="160" w:type="dxa"/>
            <w:vAlign w:val="bottom"/>
          </w:tcPr>
          <w:p>
            <w:pPr>
              <w:spacing w:after="0"/>
              <w:rPr>
                <w:sz w:val="12"/>
                <w:szCs w:val="12"/>
                <w:color w:val="auto"/>
              </w:rPr>
            </w:pPr>
          </w:p>
        </w:tc>
        <w:tc>
          <w:tcPr>
            <w:tcW w:w="220" w:type="dxa"/>
            <w:vAlign w:val="bottom"/>
          </w:tcPr>
          <w:p>
            <w:pPr>
              <w:jc w:val="right"/>
              <w:ind w:right="106"/>
              <w:spacing w:after="0"/>
              <w:rPr>
                <w:sz w:val="20"/>
                <w:szCs w:val="20"/>
                <w:color w:val="auto"/>
              </w:rPr>
            </w:pPr>
            <w:r>
              <w:rPr>
                <w:rFonts w:ascii="Arial" w:cs="Arial" w:eastAsia="Arial" w:hAnsi="Arial"/>
                <w:sz w:val="10"/>
                <w:szCs w:val="10"/>
                <w:color w:val="auto"/>
                <w:w w:val="71"/>
              </w:rPr>
              <w:t>$</w:t>
            </w: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37,786.5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Future policy benefits and claims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22,436.2</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22,436.2</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tcPr>
          <w:p>
            <w:pPr>
              <w:spacing w:after="0" w:line="149" w:lineRule="exact"/>
              <w:rPr>
                <w:sz w:val="20"/>
                <w:szCs w:val="20"/>
                <w:color w:val="auto"/>
              </w:rPr>
            </w:pPr>
            <w:r>
              <w:rPr>
                <w:rFonts w:ascii="Arial" w:cs="Arial" w:eastAsia="Arial" w:hAnsi="Arial"/>
                <w:sz w:val="14"/>
                <w:szCs w:val="14"/>
                <w:color w:val="auto"/>
              </w:rPr>
              <w:t>Other policyholder funds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716.4</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716.4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Short-term debt</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2,564.1</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(2,523.3)</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tcPr>
          <w:p>
            <w:pPr>
              <w:spacing w:after="0" w:line="149" w:lineRule="exact"/>
              <w:rPr>
                <w:sz w:val="20"/>
                <w:szCs w:val="20"/>
                <w:color w:val="auto"/>
              </w:rPr>
            </w:pPr>
            <w:r>
              <w:rPr>
                <w:rFonts w:ascii="Arial" w:cs="Arial" w:eastAsia="Arial" w:hAnsi="Arial"/>
                <w:sz w:val="14"/>
                <w:szCs w:val="14"/>
                <w:color w:val="auto"/>
              </w:rPr>
              <w:t>Long-term debt</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2,448.6</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222.7</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2,671.3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Income taxes currently payable</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0.1</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47.2</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(32.0)</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tcPr>
          <w:p>
            <w:pPr>
              <w:spacing w:after="0" w:line="149" w:lineRule="exact"/>
              <w:rPr>
                <w:sz w:val="20"/>
                <w:szCs w:val="20"/>
                <w:color w:val="auto"/>
              </w:rPr>
            </w:pPr>
            <w:r>
              <w:rPr>
                <w:rFonts w:ascii="Arial" w:cs="Arial" w:eastAsia="Arial" w:hAnsi="Arial"/>
                <w:sz w:val="14"/>
                <w:szCs w:val="14"/>
                <w:color w:val="auto"/>
              </w:rPr>
              <w:t>Deferred income taxes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686.1</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(86.1)</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600.0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Separate account liabilities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81,653.8</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81,653.8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tcPr>
          <w:p>
            <w:pPr>
              <w:spacing w:after="0" w:line="149" w:lineRule="exact"/>
              <w:rPr>
                <w:sz w:val="20"/>
                <w:szCs w:val="20"/>
                <w:color w:val="auto"/>
              </w:rPr>
            </w:pPr>
            <w:r>
              <w:rPr>
                <w:rFonts w:ascii="Arial" w:cs="Arial" w:eastAsia="Arial" w:hAnsi="Arial"/>
                <w:sz w:val="14"/>
                <w:szCs w:val="14"/>
                <w:color w:val="auto"/>
              </w:rPr>
              <w:t>Other liabilities</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28.1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603.9</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6,117.8</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(603.7)</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6,146.1</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4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46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liabilities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2,476.7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604.0</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152,230.8</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(3,245.1)</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152,066.4</w:t>
            </w:r>
          </w:p>
        </w:tc>
        <w:tc>
          <w:tcPr>
            <w:tcW w:w="160" w:type="dxa"/>
            <w:vAlign w:val="bottom"/>
            <w:shd w:val="clear" w:color="auto" w:fill="CCEEFF"/>
          </w:tcPr>
          <w:p>
            <w:pPr>
              <w:spacing w:after="0"/>
              <w:rPr>
                <w:sz w:val="12"/>
                <w:szCs w:val="12"/>
                <w:color w:val="auto"/>
              </w:rPr>
            </w:pPr>
          </w:p>
        </w:tc>
      </w:tr>
      <w:tr>
        <w:trPr>
          <w:trHeight w:val="311"/>
        </w:trPr>
        <w:tc>
          <w:tcPr>
            <w:tcW w:w="3480" w:type="dxa"/>
            <w:vAlign w:val="bottom"/>
            <w:gridSpan w:val="2"/>
          </w:tcPr>
          <w:p>
            <w:pPr>
              <w:spacing w:after="0"/>
              <w:rPr>
                <w:sz w:val="20"/>
                <w:szCs w:val="20"/>
                <w:color w:val="auto"/>
              </w:rPr>
            </w:pPr>
            <w:r>
              <w:rPr>
                <w:rFonts w:ascii="Arial" w:cs="Arial" w:eastAsia="Arial" w:hAnsi="Arial"/>
                <w:sz w:val="14"/>
                <w:szCs w:val="14"/>
                <w:color w:val="auto"/>
              </w:rPr>
              <w:t>Redeemable noncontrolling interest</w:t>
            </w:r>
          </w:p>
        </w:tc>
        <w:tc>
          <w:tcPr>
            <w:tcW w:w="80" w:type="dxa"/>
            <w:vAlign w:val="bottom"/>
          </w:tcPr>
          <w:p>
            <w:pPr>
              <w:spacing w:after="0"/>
              <w:rPr>
                <w:sz w:val="24"/>
                <w:szCs w:val="24"/>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14"/>
                <w:szCs w:val="14"/>
                <w:color w:val="auto"/>
              </w:rPr>
              <w:t>60.4</w:t>
            </w: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4"/>
                <w:szCs w:val="2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60.4</w:t>
            </w:r>
          </w:p>
        </w:tc>
        <w:tc>
          <w:tcPr>
            <w:tcW w:w="160" w:type="dxa"/>
            <w:vAlign w:val="bottom"/>
          </w:tcPr>
          <w:p>
            <w:pPr>
              <w:spacing w:after="0"/>
              <w:rPr>
                <w:sz w:val="24"/>
                <w:szCs w:val="24"/>
                <w:color w:val="auto"/>
              </w:rPr>
            </w:pPr>
          </w:p>
        </w:tc>
      </w:tr>
      <w:tr>
        <w:trPr>
          <w:trHeight w:val="311"/>
        </w:trPr>
        <w:tc>
          <w:tcPr>
            <w:tcW w:w="20" w:type="dxa"/>
            <w:vAlign w:val="bottom"/>
          </w:tcPr>
          <w:p>
            <w:pPr>
              <w:spacing w:after="0"/>
              <w:rPr>
                <w:sz w:val="24"/>
                <w:szCs w:val="24"/>
                <w:color w:val="auto"/>
              </w:rPr>
            </w:pPr>
          </w:p>
        </w:tc>
        <w:tc>
          <w:tcPr>
            <w:tcW w:w="346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Stockholders' equity</w:t>
            </w:r>
          </w:p>
        </w:tc>
        <w:tc>
          <w:tcPr>
            <w:tcW w:w="8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r>
      <w:tr>
        <w:trPr>
          <w:trHeight w:val="149"/>
        </w:trPr>
        <w:tc>
          <w:tcPr>
            <w:tcW w:w="20" w:type="dxa"/>
            <w:vAlign w:val="bottom"/>
          </w:tcPr>
          <w:p>
            <w:pPr>
              <w:spacing w:after="0"/>
              <w:rPr>
                <w:sz w:val="12"/>
                <w:szCs w:val="12"/>
                <w:color w:val="auto"/>
              </w:rPr>
            </w:pPr>
          </w:p>
        </w:tc>
        <w:tc>
          <w:tcPr>
            <w:tcW w:w="3460" w:type="dxa"/>
            <w:vAlign w:val="bottom"/>
          </w:tcPr>
          <w:p>
            <w:pPr>
              <w:spacing w:after="0" w:line="149" w:lineRule="exact"/>
              <w:rPr>
                <w:sz w:val="20"/>
                <w:szCs w:val="20"/>
                <w:color w:val="auto"/>
              </w:rPr>
            </w:pPr>
            <w:r>
              <w:rPr>
                <w:rFonts w:ascii="Arial" w:cs="Arial" w:eastAsia="Arial" w:hAnsi="Arial"/>
                <w:sz w:val="14"/>
                <w:szCs w:val="14"/>
                <w:color w:val="auto"/>
              </w:rPr>
              <w:t>Series A preferred stock</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4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8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r>
      <w:tr>
        <w:trPr>
          <w:trHeight w:val="149"/>
        </w:trPr>
        <w:tc>
          <w:tcPr>
            <w:tcW w:w="20" w:type="dxa"/>
            <w:vAlign w:val="bottom"/>
          </w:tcPr>
          <w:p>
            <w:pPr>
              <w:spacing w:after="0"/>
              <w:rPr>
                <w:sz w:val="12"/>
                <w:szCs w:val="12"/>
                <w:color w:val="auto"/>
              </w:rPr>
            </w:pPr>
          </w:p>
        </w:tc>
        <w:tc>
          <w:tcPr>
            <w:tcW w:w="34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Series B preferred stock</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tcPr>
          <w:p>
            <w:pPr>
              <w:spacing w:after="0" w:line="149" w:lineRule="exact"/>
              <w:rPr>
                <w:sz w:val="20"/>
                <w:szCs w:val="20"/>
                <w:color w:val="auto"/>
              </w:rPr>
            </w:pPr>
            <w:r>
              <w:rPr>
                <w:rFonts w:ascii="Arial" w:cs="Arial" w:eastAsia="Arial" w:hAnsi="Arial"/>
                <w:sz w:val="14"/>
                <w:szCs w:val="14"/>
                <w:color w:val="auto"/>
              </w:rPr>
              <w:t>Common stock</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4.5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17.8</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(17.8)</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4.5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Additional paid-in capital</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9,730.9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9,393.8</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8,287.7</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(17,681.5)</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9,730.9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tcPr>
          <w:p>
            <w:pPr>
              <w:spacing w:after="0" w:line="149" w:lineRule="exact"/>
              <w:rPr>
                <w:sz w:val="20"/>
                <w:szCs w:val="20"/>
                <w:color w:val="auto"/>
              </w:rPr>
            </w:pPr>
            <w:r>
              <w:rPr>
                <w:rFonts w:ascii="Arial" w:cs="Arial" w:eastAsia="Arial" w:hAnsi="Arial"/>
                <w:sz w:val="14"/>
                <w:szCs w:val="14"/>
                <w:color w:val="auto"/>
              </w:rPr>
              <w:t>Retained earnings</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4,862.0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1,783.4</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1,666.7</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(3,450.1)</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4,862.0</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Accumulated other comprehensive income</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640.3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676.1</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661.9</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(1,338.0)</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640.3</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tcPr>
          <w:p>
            <w:pPr>
              <w:spacing w:after="0" w:line="149" w:lineRule="exact"/>
              <w:rPr>
                <w:sz w:val="20"/>
                <w:szCs w:val="20"/>
                <w:color w:val="auto"/>
              </w:rPr>
            </w:pPr>
            <w:r>
              <w:rPr>
                <w:rFonts w:ascii="Arial" w:cs="Arial" w:eastAsia="Arial" w:hAnsi="Arial"/>
                <w:sz w:val="14"/>
                <w:szCs w:val="14"/>
                <w:color w:val="auto"/>
              </w:rPr>
              <w:t>Treasury stock, at cost</w:t>
            </w:r>
          </w:p>
        </w:tc>
        <w:tc>
          <w:tcPr>
            <w:tcW w:w="8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(5,554.4)</w:t>
            </w: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(2.0)</w:t>
            </w:r>
          </w:p>
        </w:tc>
        <w:tc>
          <w:tcPr>
            <w:tcW w:w="22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2.0</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(5,554.4)</w:t>
            </w:r>
          </w:p>
        </w:tc>
      </w:tr>
      <w:tr>
        <w:trPr>
          <w:trHeight w:val="20"/>
        </w:trPr>
        <w:tc>
          <w:tcPr>
            <w:tcW w:w="20" w:type="dxa"/>
            <w:vAlign w:val="bottom"/>
          </w:tcPr>
          <w:p>
            <w:pPr>
              <w:spacing w:after="0" w:line="20" w:lineRule="exact"/>
              <w:rPr>
                <w:sz w:val="1"/>
                <w:szCs w:val="1"/>
                <w:color w:val="auto"/>
              </w:rPr>
            </w:pPr>
          </w:p>
        </w:tc>
        <w:tc>
          <w:tcPr>
            <w:tcW w:w="34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46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stockholders' equity attributable to PFG</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9,683.4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11,853.3</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10,632.1</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(22,485.4)</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9,683.4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460" w:type="dxa"/>
            <w:vAlign w:val="bottom"/>
          </w:tcPr>
          <w:p>
            <w:pPr>
              <w:spacing w:after="0" w:line="149" w:lineRule="exact"/>
              <w:rPr>
                <w:sz w:val="20"/>
                <w:szCs w:val="20"/>
                <w:color w:val="auto"/>
              </w:rPr>
            </w:pPr>
            <w:r>
              <w:rPr>
                <w:rFonts w:ascii="Arial" w:cs="Arial" w:eastAsia="Arial" w:hAnsi="Arial"/>
                <w:sz w:val="14"/>
                <w:szCs w:val="14"/>
                <w:color w:val="auto"/>
              </w:rPr>
              <w:t>Noncontrolling interest</w:t>
            </w:r>
          </w:p>
        </w:tc>
        <w:tc>
          <w:tcPr>
            <w:tcW w:w="8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2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20.0</w:t>
            </w:r>
          </w:p>
        </w:tc>
        <w:tc>
          <w:tcPr>
            <w:tcW w:w="16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20.0</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46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stockholders' equity</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9,683.4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11,853.3</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10,652.1</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(22,485.4)</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9,703.4</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460" w:type="dxa"/>
            <w:vAlign w:val="bottom"/>
          </w:tcPr>
          <w:p>
            <w:pPr>
              <w:ind w:left="140"/>
              <w:spacing w:after="0" w:line="142" w:lineRule="exact"/>
              <w:rPr>
                <w:sz w:val="20"/>
                <w:szCs w:val="20"/>
                <w:color w:val="auto"/>
              </w:rPr>
            </w:pPr>
            <w:r>
              <w:rPr>
                <w:rFonts w:ascii="Arial" w:cs="Arial" w:eastAsia="Arial" w:hAnsi="Arial"/>
                <w:sz w:val="14"/>
                <w:szCs w:val="14"/>
                <w:color w:val="auto"/>
              </w:rPr>
              <w:t>Total liabilities and stockholders' equity</w:t>
            </w: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12,160.1</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12,457.3</w:t>
            </w:r>
          </w:p>
        </w:tc>
        <w:tc>
          <w:tcPr>
            <w:tcW w:w="1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12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162,943.3</w:t>
            </w:r>
          </w:p>
        </w:tc>
        <w:tc>
          <w:tcPr>
            <w:tcW w:w="160" w:type="dxa"/>
            <w:vAlign w:val="bottom"/>
          </w:tcPr>
          <w:p>
            <w:pPr>
              <w:spacing w:after="0"/>
              <w:rPr>
                <w:sz w:val="12"/>
                <w:szCs w:val="12"/>
                <w:color w:val="auto"/>
              </w:rPr>
            </w:pPr>
          </w:p>
        </w:tc>
        <w:tc>
          <w:tcPr>
            <w:tcW w:w="220" w:type="dxa"/>
            <w:vAlign w:val="bottom"/>
            <w:tcBorders>
              <w:top w:val="single" w:sz="8" w:color="auto"/>
              <w:bottom w:val="single" w:sz="8" w:color="auto"/>
            </w:tcBorders>
          </w:tcPr>
          <w:p>
            <w:pPr>
              <w:jc w:val="right"/>
              <w:ind w:right="106"/>
              <w:spacing w:after="0"/>
              <w:rPr>
                <w:sz w:val="20"/>
                <w:szCs w:val="20"/>
                <w:color w:val="auto"/>
              </w:rPr>
            </w:pPr>
            <w:r>
              <w:rPr>
                <w:rFonts w:ascii="Arial" w:cs="Arial" w:eastAsia="Arial" w:hAnsi="Arial"/>
                <w:sz w:val="10"/>
                <w:szCs w:val="10"/>
                <w:color w:val="auto"/>
                <w:w w:val="71"/>
              </w:rPr>
              <w:t>$</w:t>
            </w:r>
          </w:p>
        </w:tc>
        <w:tc>
          <w:tcPr>
            <w:tcW w:w="6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(25,730.5)</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161,830.2</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34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199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360"/>
          </w:cols>
          <w:pgMar w:left="240" w:top="132" w:right="1299" w:bottom="1440" w:gutter="0" w:footer="0" w:header="0"/>
        </w:sectPr>
      </w:pPr>
    </w:p>
    <w:bookmarkStart w:id="203" w:name="page204"/>
    <w:bookmarkEnd w:id="20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21. Condensed Consolidating Financial Information — (continued)</w:t>
      </w:r>
    </w:p>
    <w:p>
      <w:pPr>
        <w:spacing w:after="0" w:line="22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Condensed Consolidating Statements of Operations</w:t>
      </w:r>
    </w:p>
    <w:p>
      <w:pPr>
        <w:spacing w:after="0" w:line="21" w:lineRule="exact"/>
        <w:rPr>
          <w:sz w:val="20"/>
          <w:szCs w:val="20"/>
          <w:color w:val="auto"/>
        </w:rPr>
      </w:pPr>
    </w:p>
    <w:p>
      <w:pPr>
        <w:jc w:val="center"/>
        <w:ind w:right="-1019"/>
        <w:spacing w:after="0"/>
        <w:rPr>
          <w:sz w:val="20"/>
          <w:szCs w:val="20"/>
          <w:color w:val="auto"/>
        </w:rPr>
      </w:pPr>
      <w:r>
        <w:rPr>
          <w:rFonts w:ascii="Arial" w:cs="Arial" w:eastAsia="Arial" w:hAnsi="Arial"/>
          <w:sz w:val="18"/>
          <w:szCs w:val="18"/>
          <w:b w:val="1"/>
          <w:bCs w:val="1"/>
          <w:color w:val="auto"/>
        </w:rPr>
        <w:t>For the year ended December 31, 2013</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5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0"/>
              </w:rPr>
              <w:t>Principal Life</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90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1"/>
              </w:rPr>
              <w:t>Principal</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1"/>
              </w:rPr>
              <w:t>Principal</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7"/>
              </w:rPr>
              <w:t>Insurance</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Principal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90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8"/>
              </w:rPr>
              <w:t>Financial</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Financial</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Company and</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Financial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90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9"/>
              </w:rPr>
              <w:t>Group, Inc.</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4"/>
              </w:rPr>
              <w:t>Services, Inc.</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Other Subsidiaries</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Group, Inc.</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5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9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9"/>
              </w:rPr>
              <w:t>Parent Only</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6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9"/>
              </w:rPr>
              <w:t>Only</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7"/>
              </w:rPr>
              <w:t>Combined</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4"/>
                <w:szCs w:val="14"/>
                <w:b w:val="1"/>
                <w:bCs w:val="1"/>
                <w:color w:val="auto"/>
                <w:w w:val="86"/>
              </w:rPr>
              <w:t>Eliminations</w:t>
            </w: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5"/>
              </w:rPr>
              <w:t>Consolidated</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tcPr>
          <w:p>
            <w:pPr>
              <w:jc w:val="center"/>
              <w:ind w:right="32"/>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Revenues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Premiums and other considerations</w:t>
            </w:r>
          </w:p>
        </w:tc>
        <w:tc>
          <w:tcPr>
            <w:tcW w:w="60" w:type="dxa"/>
            <w:vAlign w:val="bottom"/>
            <w:gridSpan w:val="2"/>
          </w:tcPr>
          <w:p>
            <w:pPr>
              <w:jc w:val="right"/>
              <w:spacing w:after="0"/>
              <w:rPr>
                <w:sz w:val="20"/>
                <w:szCs w:val="20"/>
                <w:color w:val="auto"/>
              </w:rPr>
            </w:pPr>
            <w:r>
              <w:rPr>
                <w:rFonts w:ascii="Arial" w:cs="Arial" w:eastAsia="Arial" w:hAnsi="Arial"/>
                <w:sz w:val="10"/>
                <w:szCs w:val="10"/>
                <w:b w:val="1"/>
                <w:bCs w:val="1"/>
                <w:color w:val="auto"/>
                <w:w w:val="71"/>
              </w:rPr>
              <w:t>$</w:t>
            </w: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6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3,154.1</w:t>
            </w:r>
          </w:p>
        </w:tc>
        <w:tc>
          <w:tcPr>
            <w:tcW w:w="80" w:type="dxa"/>
            <w:vAlign w:val="bottom"/>
          </w:tcPr>
          <w:p>
            <w:pPr>
              <w:spacing w:after="0"/>
              <w:rPr>
                <w:sz w:val="12"/>
                <w:szCs w:val="12"/>
                <w:color w:val="auto"/>
              </w:rPr>
            </w:pPr>
          </w:p>
        </w:tc>
        <w:tc>
          <w:tcPr>
            <w:tcW w:w="1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3,154.1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Fees and other revenues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3,250.2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(29.0)</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3,222.2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Net investment income</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3,136.5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3,138.4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52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Net realized capital gains (losses), excluding impairment</w:t>
            </w:r>
          </w:p>
        </w:tc>
        <w:tc>
          <w:tcPr>
            <w:tcW w:w="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6.3</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4.6</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8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(120.1)</w:t>
            </w: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2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2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(109.2)</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52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losses on available-for-sale securities</w:t>
            </w:r>
          </w:p>
        </w:tc>
        <w:tc>
          <w:tcPr>
            <w:tcW w:w="2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800" w:type="dxa"/>
            <w:vAlign w:val="bottom"/>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60" w:type="dxa"/>
            <w:vAlign w:val="bottom"/>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280" w:type="dxa"/>
            <w:vAlign w:val="bottom"/>
            <w:gridSpan w:val="2"/>
            <w:vMerge w:val="continue"/>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92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20" w:type="dxa"/>
            <w:vAlign w:val="bottom"/>
            <w:gridSpan w:val="2"/>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520" w:type="dxa"/>
            <w:vAlign w:val="bottom"/>
          </w:tcPr>
          <w:p>
            <w:pPr>
              <w:spacing w:after="0" w:line="138" w:lineRule="exact"/>
              <w:rPr>
                <w:sz w:val="20"/>
                <w:szCs w:val="20"/>
                <w:color w:val="auto"/>
              </w:rPr>
            </w:pPr>
            <w:r>
              <w:rPr>
                <w:rFonts w:ascii="Arial" w:cs="Arial" w:eastAsia="Arial" w:hAnsi="Arial"/>
                <w:sz w:val="14"/>
                <w:szCs w:val="14"/>
                <w:color w:val="auto"/>
                <w:w w:val="95"/>
              </w:rPr>
              <w:t>Total other-than-temporary impairment losses on available-</w:t>
            </w: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90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6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80" w:type="dxa"/>
            <w:vAlign w:val="bottom"/>
            <w:gridSpan w:val="2"/>
            <w:vMerge w:val="restart"/>
          </w:tcPr>
          <w:p>
            <w:pPr>
              <w:jc w:val="right"/>
              <w:ind w:right="60"/>
              <w:spacing w:after="0"/>
              <w:rPr>
                <w:sz w:val="20"/>
                <w:szCs w:val="20"/>
                <w:color w:val="auto"/>
              </w:rPr>
            </w:pPr>
            <w:r>
              <w:rPr>
                <w:rFonts w:ascii="Arial" w:cs="Arial" w:eastAsia="Arial" w:hAnsi="Arial"/>
                <w:sz w:val="14"/>
                <w:szCs w:val="14"/>
                <w:b w:val="1"/>
                <w:bCs w:val="1"/>
                <w:color w:val="auto"/>
              </w:rPr>
              <w:t>(91.5)</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2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20" w:type="dxa"/>
            <w:vAlign w:val="bottom"/>
            <w:gridSpan w:val="2"/>
            <w:vMerge w:val="restart"/>
          </w:tcPr>
          <w:p>
            <w:pPr>
              <w:jc w:val="right"/>
              <w:ind w:right="140"/>
              <w:spacing w:after="0"/>
              <w:rPr>
                <w:sz w:val="20"/>
                <w:szCs w:val="20"/>
                <w:color w:val="auto"/>
              </w:rPr>
            </w:pPr>
            <w:r>
              <w:rPr>
                <w:rFonts w:ascii="Arial" w:cs="Arial" w:eastAsia="Arial" w:hAnsi="Arial"/>
                <w:sz w:val="14"/>
                <w:szCs w:val="14"/>
                <w:b w:val="1"/>
                <w:bCs w:val="1"/>
                <w:color w:val="auto"/>
              </w:rPr>
              <w:t>(91.5)</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520" w:type="dxa"/>
            <w:vAlign w:val="bottom"/>
          </w:tcPr>
          <w:p>
            <w:pPr>
              <w:ind w:left="140"/>
              <w:spacing w:after="0" w:line="159" w:lineRule="exact"/>
              <w:rPr>
                <w:sz w:val="20"/>
                <w:szCs w:val="20"/>
                <w:color w:val="auto"/>
              </w:rPr>
            </w:pPr>
            <w:r>
              <w:rPr>
                <w:rFonts w:ascii="Arial" w:cs="Arial" w:eastAsia="Arial" w:hAnsi="Arial"/>
                <w:sz w:val="14"/>
                <w:szCs w:val="14"/>
                <w:color w:val="auto"/>
              </w:rPr>
              <w:t>for-sale securities</w:t>
            </w: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90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80" w:type="dxa"/>
            <w:vAlign w:val="bottom"/>
            <w:gridSpan w:val="2"/>
            <w:vMerge w:val="continue"/>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92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2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52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3"/>
              </w:rPr>
              <w:t>Other-than-temporary impairment losses on fixed maturities,</w:t>
            </w:r>
          </w:p>
        </w:tc>
        <w:tc>
          <w:tcPr>
            <w:tcW w:w="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w w:val="96"/>
              </w:rPr>
              <w:t>available-for-sale reclassified from other comprehensive</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90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8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(24.5)</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2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(24.5)</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52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income</w:t>
            </w:r>
          </w:p>
        </w:tc>
        <w:tc>
          <w:tcPr>
            <w:tcW w:w="2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90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280" w:type="dxa"/>
            <w:vAlign w:val="bottom"/>
            <w:gridSpan w:val="2"/>
            <w:vMerge w:val="continue"/>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92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20" w:type="dxa"/>
            <w:vAlign w:val="bottom"/>
            <w:gridSpan w:val="2"/>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3540" w:type="dxa"/>
            <w:vAlign w:val="bottom"/>
            <w:gridSpan w:val="2"/>
          </w:tcPr>
          <w:p>
            <w:pPr>
              <w:spacing w:after="0" w:line="142" w:lineRule="exact"/>
              <w:rPr>
                <w:sz w:val="20"/>
                <w:szCs w:val="20"/>
                <w:color w:val="auto"/>
              </w:rPr>
            </w:pPr>
            <w:r>
              <w:rPr>
                <w:rFonts w:ascii="Arial" w:cs="Arial" w:eastAsia="Arial" w:hAnsi="Arial"/>
                <w:sz w:val="14"/>
                <w:szCs w:val="14"/>
                <w:color w:val="auto"/>
              </w:rPr>
              <w:t>Net impairment losses on available-for-sale securities</w:t>
            </w:r>
          </w:p>
        </w:tc>
        <w:tc>
          <w:tcPr>
            <w:tcW w:w="20" w:type="dxa"/>
            <w:vAlign w:val="bottom"/>
          </w:tcPr>
          <w:p>
            <w:pPr>
              <w:spacing w:after="0"/>
              <w:rPr>
                <w:sz w:val="12"/>
                <w:szCs w:val="12"/>
                <w:color w:val="auto"/>
              </w:rPr>
            </w:pPr>
          </w:p>
        </w:tc>
        <w:tc>
          <w:tcPr>
            <w:tcW w:w="4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12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(116.0)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(116.0)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5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realized capital gains (losses)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6.3</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4.6</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(236.1)</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2"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b w:val="1"/>
                <w:bCs w:val="1"/>
                <w:color w:val="auto"/>
              </w:rPr>
              <w:t>(225.2)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20" w:type="dxa"/>
            <w:vAlign w:val="bottom"/>
            <w:vMerge w:val="restart"/>
          </w:tcPr>
          <w:p>
            <w:pPr>
              <w:ind w:left="140"/>
              <w:spacing w:after="0"/>
              <w:rPr>
                <w:sz w:val="20"/>
                <w:szCs w:val="20"/>
                <w:color w:val="auto"/>
              </w:rPr>
            </w:pPr>
            <w:r>
              <w:rPr>
                <w:rFonts w:ascii="Arial" w:cs="Arial" w:eastAsia="Arial" w:hAnsi="Arial"/>
                <w:sz w:val="14"/>
                <w:szCs w:val="14"/>
                <w:color w:val="auto"/>
              </w:rPr>
              <w:t>Total revenues</w:t>
            </w:r>
          </w:p>
        </w:tc>
        <w:tc>
          <w:tcPr>
            <w:tcW w:w="20" w:type="dxa"/>
            <w:vAlign w:val="bottom"/>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52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6.7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6.9</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9,304.7</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2" w:lineRule="exact"/>
              <w:rPr>
                <w:sz w:val="20"/>
                <w:szCs w:val="20"/>
                <w:color w:val="auto"/>
              </w:rPr>
            </w:pPr>
            <w:r>
              <w:rPr>
                <w:rFonts w:ascii="Arial" w:cs="Arial" w:eastAsia="Arial" w:hAnsi="Arial"/>
                <w:sz w:val="14"/>
                <w:szCs w:val="14"/>
                <w:b w:val="1"/>
                <w:bCs w:val="1"/>
                <w:color w:val="auto"/>
              </w:rPr>
              <w:t>(28.8)</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9,289.5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Expenses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Benefits, claims and settlement expenses</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4,683.6</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4,683.6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Dividends to policyholders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189.0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189.0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Operating expenses</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140.5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9.0</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3,172.2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(28.8)</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3,292.9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52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expenses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140.5</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8,044.8</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(28.8)</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8,165.5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540" w:type="dxa"/>
            <w:vAlign w:val="bottom"/>
            <w:gridSpan w:val="2"/>
            <w:vMerge w:val="restart"/>
          </w:tcPr>
          <w:p>
            <w:pPr>
              <w:spacing w:after="0"/>
              <w:rPr>
                <w:sz w:val="20"/>
                <w:szCs w:val="20"/>
                <w:color w:val="auto"/>
              </w:rPr>
            </w:pPr>
            <w:r>
              <w:rPr>
                <w:rFonts w:ascii="Arial" w:cs="Arial" w:eastAsia="Arial" w:hAnsi="Arial"/>
                <w:sz w:val="14"/>
                <w:szCs w:val="14"/>
                <w:color w:val="auto"/>
              </w:rPr>
              <w:t>Income (loss) before income taxes</w:t>
            </w:r>
          </w:p>
        </w:tc>
        <w:tc>
          <w:tcPr>
            <w:tcW w:w="20" w:type="dxa"/>
            <w:vAlign w:val="bottom"/>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354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900" w:type="dxa"/>
            <w:vAlign w:val="bottom"/>
            <w:gridSpan w:val="2"/>
          </w:tcPr>
          <w:p>
            <w:pPr>
              <w:jc w:val="right"/>
              <w:ind w:right="60"/>
              <w:spacing w:after="0" w:line="142" w:lineRule="exact"/>
              <w:rPr>
                <w:sz w:val="20"/>
                <w:szCs w:val="20"/>
                <w:color w:val="auto"/>
              </w:rPr>
            </w:pPr>
            <w:r>
              <w:rPr>
                <w:rFonts w:ascii="Arial" w:cs="Arial" w:eastAsia="Arial" w:hAnsi="Arial"/>
                <w:sz w:val="14"/>
                <w:szCs w:val="14"/>
                <w:b w:val="1"/>
                <w:bCs w:val="1"/>
                <w:color w:val="auto"/>
              </w:rPr>
              <w:t>(133.8)</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right"/>
              <w:ind w:right="60"/>
              <w:spacing w:after="0" w:line="142" w:lineRule="exact"/>
              <w:rPr>
                <w:sz w:val="20"/>
                <w:szCs w:val="20"/>
                <w:color w:val="auto"/>
              </w:rPr>
            </w:pPr>
            <w:r>
              <w:rPr>
                <w:rFonts w:ascii="Arial" w:cs="Arial" w:eastAsia="Arial" w:hAnsi="Arial"/>
                <w:sz w:val="14"/>
                <w:szCs w:val="14"/>
                <w:b w:val="1"/>
                <w:bCs w:val="1"/>
                <w:color w:val="auto"/>
              </w:rPr>
              <w:t>(2.1)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1,259.9</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0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1,124.0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Income taxes (benefits)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(54.0)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(2.9)</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244.8</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187.9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Equity in the net income of subsidiaries</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992.5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991.7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(1,984.2)</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gridSpan w:val="2"/>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35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income</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912.7</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992.5</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1,015.1</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(1,984.2)</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936.1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Net income attributable to noncontrolling interest</w:t>
            </w:r>
          </w:p>
        </w:tc>
        <w:tc>
          <w:tcPr>
            <w:tcW w:w="20" w:type="dxa"/>
            <w:vAlign w:val="bottom"/>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23.4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23.4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5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income attributable to PFG</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912.7</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992.5</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991.7</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(1,984.2)</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912.7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Preferred stock dividends</w:t>
            </w:r>
          </w:p>
        </w:tc>
        <w:tc>
          <w:tcPr>
            <w:tcW w:w="20" w:type="dxa"/>
            <w:vAlign w:val="bottom"/>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33.0</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33.0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5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income available to common stockholders</w:t>
            </w:r>
          </w:p>
        </w:tc>
        <w:tc>
          <w:tcPr>
            <w:tcW w:w="60" w:type="dxa"/>
            <w:vAlign w:val="bottom"/>
            <w:gridSpan w:val="2"/>
            <w:shd w:val="clear" w:color="auto" w:fill="CCEEFF"/>
          </w:tcPr>
          <w:p>
            <w:pPr>
              <w:jc w:val="right"/>
              <w:spacing w:after="0"/>
              <w:rPr>
                <w:sz w:val="20"/>
                <w:szCs w:val="20"/>
                <w:color w:val="auto"/>
              </w:rPr>
            </w:pPr>
            <w:r>
              <w:rPr>
                <w:rFonts w:ascii="Arial" w:cs="Arial" w:eastAsia="Arial" w:hAnsi="Arial"/>
                <w:sz w:val="10"/>
                <w:szCs w:val="10"/>
                <w:b w:val="1"/>
                <w:bCs w:val="1"/>
                <w:color w:val="auto"/>
                <w:w w:val="71"/>
              </w:rPr>
              <w:t>$</w:t>
            </w:r>
          </w:p>
        </w:tc>
        <w:tc>
          <w:tcPr>
            <w:tcW w:w="8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879.7</w:t>
            </w:r>
          </w:p>
        </w:tc>
        <w:tc>
          <w:tcPr>
            <w:tcW w:w="10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992.5</w:t>
            </w:r>
          </w:p>
        </w:tc>
        <w:tc>
          <w:tcPr>
            <w:tcW w:w="10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991.7</w:t>
            </w:r>
          </w:p>
        </w:tc>
        <w:tc>
          <w:tcPr>
            <w:tcW w:w="8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9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(1,984.2)</w:t>
            </w:r>
          </w:p>
        </w:tc>
        <w:tc>
          <w:tcPr>
            <w:tcW w:w="1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879.7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540" w:type="dxa"/>
            <w:vAlign w:val="bottom"/>
            <w:gridSpan w:val="2"/>
            <w:vMerge w:val="restart"/>
          </w:tcPr>
          <w:p>
            <w:pPr>
              <w:spacing w:after="0"/>
              <w:rPr>
                <w:sz w:val="20"/>
                <w:szCs w:val="20"/>
                <w:color w:val="auto"/>
              </w:rPr>
            </w:pPr>
            <w:r>
              <w:rPr>
                <w:rFonts w:ascii="Arial" w:cs="Arial" w:eastAsia="Arial" w:hAnsi="Arial"/>
                <w:sz w:val="14"/>
                <w:szCs w:val="14"/>
                <w:color w:val="auto"/>
              </w:rPr>
              <w:t>Net income</w:t>
            </w:r>
          </w:p>
        </w:tc>
        <w:tc>
          <w:tcPr>
            <w:tcW w:w="2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3540" w:type="dxa"/>
            <w:vAlign w:val="bottom"/>
            <w:gridSpan w:val="2"/>
            <w:vMerge w:val="continue"/>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jc w:val="right"/>
              <w:spacing w:after="0"/>
              <w:rPr>
                <w:sz w:val="20"/>
                <w:szCs w:val="20"/>
                <w:color w:val="auto"/>
              </w:rPr>
            </w:pPr>
            <w:r>
              <w:rPr>
                <w:rFonts w:ascii="Arial" w:cs="Arial" w:eastAsia="Arial" w:hAnsi="Arial"/>
                <w:sz w:val="5"/>
                <w:szCs w:val="5"/>
                <w:b w:val="1"/>
                <w:bCs w:val="1"/>
                <w:color w:val="auto"/>
                <w:w w:val="70"/>
              </w:rPr>
              <w:t>$</w:t>
            </w:r>
          </w:p>
        </w:tc>
        <w:tc>
          <w:tcPr>
            <w:tcW w:w="800" w:type="dxa"/>
            <w:vAlign w:val="bottom"/>
          </w:tcPr>
          <w:p>
            <w:pPr>
              <w:jc w:val="right"/>
              <w:spacing w:after="0" w:line="129" w:lineRule="exact"/>
              <w:rPr>
                <w:sz w:val="20"/>
                <w:szCs w:val="20"/>
                <w:color w:val="auto"/>
              </w:rPr>
            </w:pPr>
            <w:r>
              <w:rPr>
                <w:rFonts w:ascii="Arial" w:cs="Arial" w:eastAsia="Arial" w:hAnsi="Arial"/>
                <w:sz w:val="14"/>
                <w:szCs w:val="14"/>
                <w:b w:val="1"/>
                <w:bCs w:val="1"/>
                <w:color w:val="auto"/>
              </w:rPr>
              <w:t>912.7</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jc w:val="right"/>
              <w:spacing w:after="0"/>
              <w:rPr>
                <w:sz w:val="20"/>
                <w:szCs w:val="20"/>
                <w:color w:val="auto"/>
              </w:rPr>
            </w:pPr>
            <w:r>
              <w:rPr>
                <w:rFonts w:ascii="Arial" w:cs="Arial" w:eastAsia="Arial" w:hAnsi="Arial"/>
                <w:sz w:val="10"/>
                <w:szCs w:val="10"/>
                <w:b w:val="1"/>
                <w:bCs w:val="1"/>
                <w:color w:val="auto"/>
                <w:w w:val="71"/>
              </w:rPr>
              <w:t>$</w:t>
            </w:r>
          </w:p>
        </w:tc>
        <w:tc>
          <w:tcPr>
            <w:tcW w:w="860" w:type="dxa"/>
            <w:vAlign w:val="bottom"/>
          </w:tcPr>
          <w:p>
            <w:pPr>
              <w:jc w:val="right"/>
              <w:spacing w:after="0" w:line="129" w:lineRule="exact"/>
              <w:rPr>
                <w:sz w:val="20"/>
                <w:szCs w:val="20"/>
                <w:color w:val="auto"/>
              </w:rPr>
            </w:pPr>
            <w:r>
              <w:rPr>
                <w:rFonts w:ascii="Arial" w:cs="Arial" w:eastAsia="Arial" w:hAnsi="Arial"/>
                <w:sz w:val="14"/>
                <w:szCs w:val="14"/>
                <w:b w:val="1"/>
                <w:bCs w:val="1"/>
                <w:color w:val="auto"/>
              </w:rPr>
              <w:t>992.5</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jc w:val="right"/>
              <w:spacing w:after="0"/>
              <w:rPr>
                <w:sz w:val="20"/>
                <w:szCs w:val="20"/>
                <w:color w:val="auto"/>
              </w:rPr>
            </w:pPr>
            <w:r>
              <w:rPr>
                <w:rFonts w:ascii="Arial" w:cs="Arial" w:eastAsia="Arial" w:hAnsi="Arial"/>
                <w:sz w:val="10"/>
                <w:szCs w:val="10"/>
                <w:b w:val="1"/>
                <w:bCs w:val="1"/>
                <w:color w:val="auto"/>
                <w:w w:val="71"/>
              </w:rPr>
              <w:t>$</w:t>
            </w:r>
          </w:p>
        </w:tc>
        <w:tc>
          <w:tcPr>
            <w:tcW w:w="1200" w:type="dxa"/>
            <w:vAlign w:val="bottom"/>
          </w:tcPr>
          <w:p>
            <w:pPr>
              <w:jc w:val="right"/>
              <w:spacing w:after="0" w:line="129" w:lineRule="exact"/>
              <w:rPr>
                <w:sz w:val="20"/>
                <w:szCs w:val="20"/>
                <w:color w:val="auto"/>
              </w:rPr>
            </w:pPr>
            <w:r>
              <w:rPr>
                <w:rFonts w:ascii="Arial" w:cs="Arial" w:eastAsia="Arial" w:hAnsi="Arial"/>
                <w:sz w:val="14"/>
                <w:szCs w:val="14"/>
                <w:b w:val="1"/>
                <w:bCs w:val="1"/>
                <w:color w:val="auto"/>
              </w:rPr>
              <w:t>1,015.1</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jc w:val="right"/>
              <w:spacing w:after="0"/>
              <w:rPr>
                <w:sz w:val="20"/>
                <w:szCs w:val="20"/>
                <w:color w:val="auto"/>
              </w:rPr>
            </w:pPr>
            <w:r>
              <w:rPr>
                <w:rFonts w:ascii="Arial" w:cs="Arial" w:eastAsia="Arial" w:hAnsi="Arial"/>
                <w:sz w:val="10"/>
                <w:szCs w:val="10"/>
                <w:b w:val="1"/>
                <w:bCs w:val="1"/>
                <w:color w:val="auto"/>
                <w:w w:val="71"/>
              </w:rPr>
              <w:t>$</w:t>
            </w:r>
          </w:p>
        </w:tc>
        <w:tc>
          <w:tcPr>
            <w:tcW w:w="820" w:type="dxa"/>
            <w:vAlign w:val="bottom"/>
          </w:tcPr>
          <w:p>
            <w:pPr>
              <w:jc w:val="right"/>
              <w:spacing w:after="0" w:line="129" w:lineRule="exact"/>
              <w:rPr>
                <w:sz w:val="20"/>
                <w:szCs w:val="20"/>
                <w:color w:val="auto"/>
              </w:rPr>
            </w:pPr>
            <w:r>
              <w:rPr>
                <w:rFonts w:ascii="Arial" w:cs="Arial" w:eastAsia="Arial" w:hAnsi="Arial"/>
                <w:sz w:val="14"/>
                <w:szCs w:val="14"/>
                <w:b w:val="1"/>
                <w:bCs w:val="1"/>
                <w:color w:val="auto"/>
              </w:rPr>
              <w:t>(1,984.2)</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jc w:val="right"/>
              <w:spacing w:after="0"/>
              <w:rPr>
                <w:sz w:val="20"/>
                <w:szCs w:val="20"/>
                <w:color w:val="auto"/>
              </w:rPr>
            </w:pPr>
            <w:r>
              <w:rPr>
                <w:rFonts w:ascii="Arial" w:cs="Arial" w:eastAsia="Arial" w:hAnsi="Arial"/>
                <w:sz w:val="10"/>
                <w:szCs w:val="10"/>
                <w:b w:val="1"/>
                <w:bCs w:val="1"/>
                <w:color w:val="auto"/>
                <w:w w:val="71"/>
              </w:rPr>
              <w:t>$</w:t>
            </w:r>
          </w:p>
        </w:tc>
        <w:tc>
          <w:tcPr>
            <w:tcW w:w="860" w:type="dxa"/>
            <w:vAlign w:val="bottom"/>
          </w:tcPr>
          <w:p>
            <w:pPr>
              <w:jc w:val="right"/>
              <w:spacing w:after="0" w:line="129" w:lineRule="exact"/>
              <w:rPr>
                <w:sz w:val="20"/>
                <w:szCs w:val="20"/>
                <w:color w:val="auto"/>
              </w:rPr>
            </w:pPr>
            <w:r>
              <w:rPr>
                <w:rFonts w:ascii="Arial" w:cs="Arial" w:eastAsia="Arial" w:hAnsi="Arial"/>
                <w:sz w:val="14"/>
                <w:szCs w:val="14"/>
                <w:b w:val="1"/>
                <w:bCs w:val="1"/>
                <w:color w:val="auto"/>
              </w:rPr>
              <w:t>936.1</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comprehensive loss</w:t>
            </w: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(450.1)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(476.4)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(489.3)</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943.9</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(471.9)</w:t>
            </w:r>
          </w:p>
        </w:tc>
        <w:tc>
          <w:tcPr>
            <w:tcW w:w="0" w:type="dxa"/>
            <w:vAlign w:val="bottom"/>
          </w:tcPr>
          <w:p>
            <w:pPr>
              <w:spacing w:after="0"/>
              <w:rPr>
                <w:sz w:val="1"/>
                <w:szCs w:val="1"/>
                <w:color w:val="auto"/>
              </w:rPr>
            </w:pPr>
          </w:p>
        </w:tc>
      </w:tr>
      <w:tr>
        <w:trPr>
          <w:trHeight w:val="142"/>
        </w:trPr>
        <w:tc>
          <w:tcPr>
            <w:tcW w:w="3540" w:type="dxa"/>
            <w:vAlign w:val="bottom"/>
            <w:gridSpan w:val="2"/>
          </w:tcPr>
          <w:p>
            <w:pPr>
              <w:spacing w:after="0" w:line="142" w:lineRule="exact"/>
              <w:rPr>
                <w:sz w:val="20"/>
                <w:szCs w:val="20"/>
                <w:color w:val="auto"/>
              </w:rPr>
            </w:pPr>
            <w:r>
              <w:rPr>
                <w:rFonts w:ascii="Arial" w:cs="Arial" w:eastAsia="Arial" w:hAnsi="Arial"/>
                <w:sz w:val="14"/>
                <w:szCs w:val="14"/>
                <w:color w:val="auto"/>
              </w:rPr>
              <w:t>Comprehensive income</w:t>
            </w:r>
          </w:p>
        </w:tc>
        <w:tc>
          <w:tcPr>
            <w:tcW w:w="20" w:type="dxa"/>
            <w:vAlign w:val="bottom"/>
            <w:tcBorders>
              <w:bottom w:val="single" w:sz="8" w:color="auto"/>
            </w:tcBorders>
          </w:tcPr>
          <w:p>
            <w:pPr>
              <w:spacing w:after="0"/>
              <w:rPr>
                <w:sz w:val="12"/>
                <w:szCs w:val="12"/>
                <w:color w:val="auto"/>
              </w:rPr>
            </w:pPr>
          </w:p>
        </w:tc>
        <w:tc>
          <w:tcPr>
            <w:tcW w:w="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5"/>
                <w:szCs w:val="5"/>
                <w:b w:val="1"/>
                <w:bCs w:val="1"/>
                <w:color w:val="auto"/>
                <w:w w:val="70"/>
              </w:rPr>
              <w:t>$</w:t>
            </w:r>
          </w:p>
        </w:tc>
        <w:tc>
          <w:tcPr>
            <w:tcW w:w="8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462.6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516.1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12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525.8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(1,040.3)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464.2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200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360"/>
          </w:cols>
          <w:pgMar w:left="240" w:top="131" w:right="1299" w:bottom="1440" w:gutter="0" w:footer="0" w:header="0"/>
        </w:sectPr>
      </w:pPr>
    </w:p>
    <w:bookmarkStart w:id="204" w:name="page205"/>
    <w:bookmarkEnd w:id="20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21. Condensed Consolidating Financial Information — (continued)</w:t>
      </w:r>
    </w:p>
    <w:p>
      <w:pPr>
        <w:spacing w:after="0" w:line="200" w:lineRule="exact"/>
        <w:rPr>
          <w:sz w:val="20"/>
          <w:szCs w:val="20"/>
          <w:color w:val="auto"/>
        </w:rPr>
      </w:pPr>
    </w:p>
    <w:p>
      <w:pPr>
        <w:spacing w:after="0" w:line="241"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Condensed Consolidating Statements of Operations</w:t>
      </w:r>
    </w:p>
    <w:p>
      <w:pPr>
        <w:spacing w:after="0" w:line="21" w:lineRule="exact"/>
        <w:rPr>
          <w:sz w:val="20"/>
          <w:szCs w:val="20"/>
          <w:color w:val="auto"/>
        </w:rPr>
      </w:pPr>
    </w:p>
    <w:p>
      <w:pPr>
        <w:jc w:val="center"/>
        <w:ind w:right="-1019"/>
        <w:spacing w:after="0"/>
        <w:rPr>
          <w:sz w:val="20"/>
          <w:szCs w:val="20"/>
          <w:color w:val="auto"/>
        </w:rPr>
      </w:pPr>
      <w:r>
        <w:rPr>
          <w:rFonts w:ascii="Arial" w:cs="Arial" w:eastAsia="Arial" w:hAnsi="Arial"/>
          <w:sz w:val="18"/>
          <w:szCs w:val="18"/>
          <w:b w:val="1"/>
          <w:bCs w:val="1"/>
          <w:color w:val="auto"/>
        </w:rPr>
        <w:t>For the year ended December 31, 2012</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5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Principal Life</w:t>
            </w:r>
          </w:p>
        </w:tc>
        <w:tc>
          <w:tcPr>
            <w:tcW w:w="2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Principal</w:t>
            </w:r>
          </w:p>
        </w:tc>
        <w:tc>
          <w:tcPr>
            <w:tcW w:w="8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Principal</w:t>
            </w:r>
          </w:p>
        </w:tc>
        <w:tc>
          <w:tcPr>
            <w:tcW w:w="80" w:type="dxa"/>
            <w:vAlign w:val="bottom"/>
          </w:tcPr>
          <w:p>
            <w:pPr>
              <w:spacing w:after="0"/>
              <w:rPr>
                <w:sz w:val="12"/>
                <w:szCs w:val="12"/>
                <w:color w:val="auto"/>
              </w:rPr>
            </w:pPr>
          </w:p>
        </w:tc>
        <w:tc>
          <w:tcPr>
            <w:tcW w:w="13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Insurance</w:t>
            </w: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Principal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Financial</w:t>
            </w:r>
          </w:p>
        </w:tc>
        <w:tc>
          <w:tcPr>
            <w:tcW w:w="8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Financial</w:t>
            </w:r>
          </w:p>
        </w:tc>
        <w:tc>
          <w:tcPr>
            <w:tcW w:w="80" w:type="dxa"/>
            <w:vAlign w:val="bottom"/>
          </w:tcPr>
          <w:p>
            <w:pPr>
              <w:spacing w:after="0"/>
              <w:rPr>
                <w:sz w:val="12"/>
                <w:szCs w:val="12"/>
                <w:color w:val="auto"/>
              </w:rPr>
            </w:pPr>
          </w:p>
        </w:tc>
        <w:tc>
          <w:tcPr>
            <w:tcW w:w="13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Company and</w:t>
            </w: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Financial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Group, Inc.</w:t>
            </w:r>
          </w:p>
        </w:tc>
        <w:tc>
          <w:tcPr>
            <w:tcW w:w="80" w:type="dxa"/>
            <w:vAlign w:val="bottom"/>
          </w:tcPr>
          <w:p>
            <w:pPr>
              <w:spacing w:after="0"/>
              <w:rPr>
                <w:sz w:val="12"/>
                <w:szCs w:val="12"/>
                <w:color w:val="auto"/>
              </w:rPr>
            </w:pPr>
          </w:p>
        </w:tc>
        <w:tc>
          <w:tcPr>
            <w:tcW w:w="10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4"/>
              </w:rPr>
              <w:t>Services, Inc.</w:t>
            </w:r>
          </w:p>
        </w:tc>
        <w:tc>
          <w:tcPr>
            <w:tcW w:w="80" w:type="dxa"/>
            <w:vAlign w:val="bottom"/>
          </w:tcPr>
          <w:p>
            <w:pPr>
              <w:spacing w:after="0"/>
              <w:rPr>
                <w:sz w:val="12"/>
                <w:szCs w:val="12"/>
                <w:color w:val="auto"/>
              </w:rPr>
            </w:pPr>
          </w:p>
        </w:tc>
        <w:tc>
          <w:tcPr>
            <w:tcW w:w="13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Other Subsidiaries</w:t>
            </w: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Group, Inc.</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520" w:type="dxa"/>
            <w:vAlign w:val="bottom"/>
          </w:tcPr>
          <w:p>
            <w:pPr>
              <w:spacing w:after="0"/>
              <w:rPr>
                <w:sz w:val="14"/>
                <w:szCs w:val="14"/>
                <w:color w:val="auto"/>
              </w:rPr>
            </w:pPr>
          </w:p>
        </w:tc>
        <w:tc>
          <w:tcPr>
            <w:tcW w:w="102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9"/>
              </w:rPr>
              <w:t>Parent Only</w:t>
            </w:r>
          </w:p>
        </w:tc>
        <w:tc>
          <w:tcPr>
            <w:tcW w:w="80" w:type="dxa"/>
            <w:vAlign w:val="bottom"/>
          </w:tcPr>
          <w:p>
            <w:pPr>
              <w:spacing w:after="0"/>
              <w:rPr>
                <w:sz w:val="14"/>
                <w:szCs w:val="14"/>
                <w:color w:val="auto"/>
              </w:rPr>
            </w:pPr>
          </w:p>
        </w:tc>
        <w:tc>
          <w:tcPr>
            <w:tcW w:w="10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Only</w:t>
            </w:r>
          </w:p>
        </w:tc>
        <w:tc>
          <w:tcPr>
            <w:tcW w:w="80" w:type="dxa"/>
            <w:vAlign w:val="bottom"/>
          </w:tcPr>
          <w:p>
            <w:pPr>
              <w:spacing w:after="0"/>
              <w:rPr>
                <w:sz w:val="14"/>
                <w:szCs w:val="14"/>
                <w:color w:val="auto"/>
              </w:rPr>
            </w:pPr>
          </w:p>
        </w:tc>
        <w:tc>
          <w:tcPr>
            <w:tcW w:w="13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7"/>
              </w:rPr>
              <w:t>Combined</w:t>
            </w:r>
          </w:p>
        </w:tc>
        <w:tc>
          <w:tcPr>
            <w:tcW w:w="104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w w:val="93"/>
              </w:rPr>
              <w:t>Eliminations</w:t>
            </w:r>
          </w:p>
        </w:tc>
        <w:tc>
          <w:tcPr>
            <w:tcW w:w="108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5"/>
              </w:rPr>
              <w:t>Consolidated</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52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tcPr>
          <w:p>
            <w:pPr>
              <w:jc w:val="center"/>
              <w:ind w:right="32"/>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160" w:type="dxa"/>
            <w:vAlign w:val="bottom"/>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Revenues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Premiums and other considerations</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3,219.4</w:t>
            </w:r>
          </w:p>
        </w:tc>
        <w:tc>
          <w:tcPr>
            <w:tcW w:w="160" w:type="dxa"/>
            <w:vAlign w:val="bottom"/>
          </w:tcPr>
          <w:p>
            <w:pPr>
              <w:spacing w:after="0"/>
              <w:rPr>
                <w:sz w:val="12"/>
                <w:szCs w:val="12"/>
                <w:color w:val="auto"/>
              </w:rPr>
            </w:pPr>
          </w:p>
        </w:tc>
        <w:tc>
          <w:tcPr>
            <w:tcW w:w="240" w:type="dxa"/>
            <w:vAlign w:val="bottom"/>
          </w:tcPr>
          <w:p>
            <w:pPr>
              <w:jc w:val="right"/>
              <w:ind w:right="126"/>
              <w:spacing w:after="0"/>
              <w:rPr>
                <w:sz w:val="20"/>
                <w:szCs w:val="20"/>
                <w:color w:val="auto"/>
              </w:rPr>
            </w:pPr>
            <w:r>
              <w:rPr>
                <w:rFonts w:ascii="Arial" w:cs="Arial" w:eastAsia="Arial" w:hAnsi="Arial"/>
                <w:sz w:val="10"/>
                <w:szCs w:val="10"/>
                <w:color w:val="auto"/>
                <w:w w:val="71"/>
              </w:rPr>
              <w:t>$</w:t>
            </w: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3,219.4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Fees and other revenues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0.5</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2,627.3</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(1.1)</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2,626.7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Net investment income</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3.0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0.4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3,250.8</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0.7</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3,254.9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52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7"/>
              </w:rPr>
              <w:t>Net realized capital gains, excluding impairment losses on</w:t>
            </w: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52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available-for-sale securities</w:t>
            </w:r>
          </w:p>
        </w:tc>
        <w:tc>
          <w:tcPr>
            <w:tcW w:w="8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0.3</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3.0</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2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229.6</w:t>
            </w:r>
          </w:p>
        </w:tc>
        <w:tc>
          <w:tcPr>
            <w:tcW w:w="16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(0.2)</w:t>
            </w:r>
          </w:p>
        </w:tc>
        <w:tc>
          <w:tcPr>
            <w:tcW w:w="100" w:type="dxa"/>
            <w:vAlign w:val="bottom"/>
            <w:shd w:val="clear" w:color="auto" w:fill="CCEEFF"/>
          </w:tcPr>
          <w:p>
            <w:pPr>
              <w:spacing w:after="0"/>
              <w:rPr>
                <w:sz w:val="13"/>
                <w:szCs w:val="13"/>
                <w:color w:val="auto"/>
              </w:rPr>
            </w:pPr>
          </w:p>
        </w:tc>
        <w:tc>
          <w:tcPr>
            <w:tcW w:w="8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232.7</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520" w:type="dxa"/>
            <w:vAlign w:val="bottom"/>
          </w:tcPr>
          <w:p>
            <w:pPr>
              <w:spacing w:after="0" w:line="138" w:lineRule="exact"/>
              <w:rPr>
                <w:sz w:val="20"/>
                <w:szCs w:val="20"/>
                <w:color w:val="auto"/>
              </w:rPr>
            </w:pPr>
            <w:r>
              <w:rPr>
                <w:rFonts w:ascii="Arial" w:cs="Arial" w:eastAsia="Arial" w:hAnsi="Arial"/>
                <w:sz w:val="14"/>
                <w:szCs w:val="14"/>
                <w:color w:val="auto"/>
                <w:w w:val="95"/>
              </w:rPr>
              <w:t>Total other-than-temporary impairment losses on available-</w:t>
            </w:r>
          </w:p>
        </w:tc>
        <w:tc>
          <w:tcPr>
            <w:tcW w:w="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520" w:type="dxa"/>
            <w:vAlign w:val="bottom"/>
          </w:tcPr>
          <w:p>
            <w:pPr>
              <w:ind w:left="140"/>
              <w:spacing w:after="0" w:line="159" w:lineRule="exact"/>
              <w:rPr>
                <w:sz w:val="20"/>
                <w:szCs w:val="20"/>
                <w:color w:val="auto"/>
              </w:rPr>
            </w:pPr>
            <w:r>
              <w:rPr>
                <w:rFonts w:ascii="Arial" w:cs="Arial" w:eastAsia="Arial" w:hAnsi="Arial"/>
                <w:sz w:val="14"/>
                <w:szCs w:val="14"/>
                <w:color w:val="auto"/>
              </w:rPr>
              <w:t>for-sale securities</w:t>
            </w:r>
          </w:p>
        </w:tc>
        <w:tc>
          <w:tcPr>
            <w:tcW w:w="80" w:type="dxa"/>
            <w:vAlign w:val="bottom"/>
          </w:tcPr>
          <w:p>
            <w:pPr>
              <w:spacing w:after="0"/>
              <w:rPr>
                <w:sz w:val="13"/>
                <w:szCs w:val="13"/>
                <w:color w:val="auto"/>
              </w:rPr>
            </w:pPr>
          </w:p>
        </w:tc>
        <w:tc>
          <w:tcPr>
            <w:tcW w:w="940" w:type="dxa"/>
            <w:vAlign w:val="bottom"/>
            <w:gridSpan w:val="2"/>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1020" w:type="dxa"/>
            <w:vAlign w:val="bottom"/>
            <w:gridSpan w:val="2"/>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136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(135.9)</w:t>
            </w:r>
          </w:p>
        </w:tc>
        <w:tc>
          <w:tcPr>
            <w:tcW w:w="240" w:type="dxa"/>
            <w:vAlign w:val="bottom"/>
          </w:tcPr>
          <w:p>
            <w:pPr>
              <w:spacing w:after="0"/>
              <w:rPr>
                <w:sz w:val="13"/>
                <w:szCs w:val="13"/>
                <w:color w:val="auto"/>
              </w:rPr>
            </w:pPr>
          </w:p>
        </w:tc>
        <w:tc>
          <w:tcPr>
            <w:tcW w:w="800" w:type="dxa"/>
            <w:vAlign w:val="bottom"/>
            <w:gridSpan w:val="2"/>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3"/>
                <w:szCs w:val="13"/>
                <w:color w:val="auto"/>
              </w:rPr>
            </w:pPr>
          </w:p>
        </w:tc>
        <w:tc>
          <w:tcPr>
            <w:tcW w:w="98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(135.9)</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52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3"/>
              </w:rPr>
              <w:t>Other-than-temporary impairment losses on fixed maturities,</w:t>
            </w: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available-for-sale reclassified to other comprehensive</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52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income</w:t>
            </w:r>
          </w:p>
        </w:tc>
        <w:tc>
          <w:tcPr>
            <w:tcW w:w="80" w:type="dxa"/>
            <w:vAlign w:val="bottom"/>
            <w:shd w:val="clear" w:color="auto" w:fill="CCEEFF"/>
          </w:tcPr>
          <w:p>
            <w:pPr>
              <w:spacing w:after="0"/>
              <w:rPr>
                <w:sz w:val="13"/>
                <w:szCs w:val="13"/>
                <w:color w:val="auto"/>
              </w:rPr>
            </w:pPr>
          </w:p>
        </w:tc>
        <w:tc>
          <w:tcPr>
            <w:tcW w:w="94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3"/>
                <w:szCs w:val="13"/>
                <w:color w:val="auto"/>
              </w:rPr>
            </w:pPr>
          </w:p>
        </w:tc>
        <w:tc>
          <w:tcPr>
            <w:tcW w:w="102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3"/>
                <w:szCs w:val="13"/>
                <w:color w:val="auto"/>
              </w:rPr>
            </w:pPr>
          </w:p>
        </w:tc>
        <w:tc>
          <w:tcPr>
            <w:tcW w:w="12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17.3</w:t>
            </w:r>
          </w:p>
        </w:tc>
        <w:tc>
          <w:tcPr>
            <w:tcW w:w="16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3"/>
                <w:szCs w:val="13"/>
                <w:color w:val="auto"/>
              </w:rPr>
            </w:pPr>
          </w:p>
        </w:tc>
        <w:tc>
          <w:tcPr>
            <w:tcW w:w="8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17.3</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3540" w:type="dxa"/>
            <w:vAlign w:val="bottom"/>
            <w:gridSpan w:val="2"/>
          </w:tcPr>
          <w:p>
            <w:pPr>
              <w:spacing w:after="0" w:line="142" w:lineRule="exact"/>
              <w:rPr>
                <w:sz w:val="20"/>
                <w:szCs w:val="20"/>
                <w:color w:val="auto"/>
              </w:rPr>
            </w:pPr>
            <w:r>
              <w:rPr>
                <w:rFonts w:ascii="Arial" w:cs="Arial" w:eastAsia="Arial" w:hAnsi="Arial"/>
                <w:sz w:val="14"/>
                <w:szCs w:val="14"/>
                <w:color w:val="auto"/>
              </w:rPr>
              <w:t>Net impairment losses on available-for-sale securities</w:t>
            </w:r>
          </w:p>
        </w:tc>
        <w:tc>
          <w:tcPr>
            <w:tcW w:w="8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12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(118.6)</w:t>
            </w:r>
          </w:p>
        </w:tc>
        <w:tc>
          <w:tcPr>
            <w:tcW w:w="160" w:type="dxa"/>
            <w:vAlign w:val="bottom"/>
          </w:tcPr>
          <w:p>
            <w:pPr>
              <w:spacing w:after="0"/>
              <w:rPr>
                <w:sz w:val="12"/>
                <w:szCs w:val="12"/>
                <w:color w:val="auto"/>
              </w:rPr>
            </w:pPr>
          </w:p>
        </w:tc>
        <w:tc>
          <w:tcPr>
            <w:tcW w:w="240" w:type="dxa"/>
            <w:vAlign w:val="bottom"/>
            <w:tcBorders>
              <w:top w:val="single" w:sz="8" w:color="auto"/>
              <w:bottom w:val="single" w:sz="8" w:color="auto"/>
            </w:tcBorders>
          </w:tcPr>
          <w:p>
            <w:pPr>
              <w:spacing w:after="0"/>
              <w:rPr>
                <w:sz w:val="12"/>
                <w:szCs w:val="12"/>
                <w:color w:val="auto"/>
              </w:rPr>
            </w:pPr>
          </w:p>
        </w:tc>
        <w:tc>
          <w:tcPr>
            <w:tcW w:w="6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(118.6)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5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realized capital gains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0.3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111.0</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(0.2)</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114.1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20" w:type="dxa"/>
            <w:vAlign w:val="bottom"/>
            <w:vMerge w:val="restart"/>
          </w:tcPr>
          <w:p>
            <w:pPr>
              <w:ind w:left="140"/>
              <w:spacing w:after="0"/>
              <w:rPr>
                <w:sz w:val="20"/>
                <w:szCs w:val="20"/>
                <w:color w:val="auto"/>
              </w:rPr>
            </w:pPr>
            <w:r>
              <w:rPr>
                <w:rFonts w:ascii="Arial" w:cs="Arial" w:eastAsia="Arial" w:hAnsi="Arial"/>
                <w:sz w:val="14"/>
                <w:szCs w:val="14"/>
                <w:color w:val="auto"/>
              </w:rPr>
              <w:t>Total revenues</w:t>
            </w: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52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jc w:val="right"/>
              <w:spacing w:after="0" w:line="142" w:lineRule="exact"/>
              <w:rPr>
                <w:sz w:val="20"/>
                <w:szCs w:val="20"/>
                <w:color w:val="auto"/>
              </w:rPr>
            </w:pPr>
            <w:r>
              <w:rPr>
                <w:rFonts w:ascii="Arial" w:cs="Arial" w:eastAsia="Arial" w:hAnsi="Arial"/>
                <w:sz w:val="14"/>
                <w:szCs w:val="14"/>
                <w:color w:val="auto"/>
              </w:rPr>
              <w:t>3.8</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2" w:lineRule="exact"/>
              <w:rPr>
                <w:sz w:val="20"/>
                <w:szCs w:val="20"/>
                <w:color w:val="auto"/>
              </w:rPr>
            </w:pPr>
            <w:r>
              <w:rPr>
                <w:rFonts w:ascii="Arial" w:cs="Arial" w:eastAsia="Arial" w:hAnsi="Arial"/>
                <w:sz w:val="14"/>
                <w:szCs w:val="14"/>
                <w:color w:val="auto"/>
              </w:rPr>
              <w:t>3.4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2" w:lineRule="exact"/>
              <w:rPr>
                <w:sz w:val="20"/>
                <w:szCs w:val="20"/>
                <w:color w:val="auto"/>
              </w:rPr>
            </w:pPr>
            <w:r>
              <w:rPr>
                <w:rFonts w:ascii="Arial" w:cs="Arial" w:eastAsia="Arial" w:hAnsi="Arial"/>
                <w:sz w:val="14"/>
                <w:szCs w:val="14"/>
                <w:color w:val="auto"/>
              </w:rPr>
              <w:t>9,208.5</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(0.6)</w:t>
            </w:r>
          </w:p>
        </w:tc>
        <w:tc>
          <w:tcPr>
            <w:tcW w:w="100" w:type="dxa"/>
            <w:vAlign w:val="bottom"/>
          </w:tcPr>
          <w:p>
            <w:pPr>
              <w:spacing w:after="0"/>
              <w:rPr>
                <w:sz w:val="12"/>
                <w:szCs w:val="12"/>
                <w:color w:val="auto"/>
              </w:rPr>
            </w:pPr>
          </w:p>
        </w:tc>
        <w:tc>
          <w:tcPr>
            <w:tcW w:w="820" w:type="dxa"/>
            <w:vAlign w:val="bottom"/>
          </w:tcPr>
          <w:p>
            <w:pPr>
              <w:jc w:val="right"/>
              <w:spacing w:after="0" w:line="142" w:lineRule="exact"/>
              <w:rPr>
                <w:sz w:val="20"/>
                <w:szCs w:val="20"/>
                <w:color w:val="auto"/>
              </w:rPr>
            </w:pPr>
            <w:r>
              <w:rPr>
                <w:rFonts w:ascii="Arial" w:cs="Arial" w:eastAsia="Arial" w:hAnsi="Arial"/>
                <w:sz w:val="14"/>
                <w:szCs w:val="14"/>
                <w:color w:val="auto"/>
              </w:rPr>
              <w:t>9,215.1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Expenses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Benefits, claims and settlement expenses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5,123.9</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5,123.9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Dividends to policyholders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197.7</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197.7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Operating expenses</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170.2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9.3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2,754.6</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(0.6)</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2,933.5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52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expenses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170.2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8,076.2</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(0.6)</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8,255.1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540" w:type="dxa"/>
            <w:vAlign w:val="bottom"/>
            <w:gridSpan w:val="2"/>
            <w:vMerge w:val="restart"/>
          </w:tcPr>
          <w:p>
            <w:pPr>
              <w:spacing w:after="0"/>
              <w:rPr>
                <w:sz w:val="20"/>
                <w:szCs w:val="20"/>
                <w:color w:val="auto"/>
              </w:rPr>
            </w:pPr>
            <w:r>
              <w:rPr>
                <w:rFonts w:ascii="Arial" w:cs="Arial" w:eastAsia="Arial" w:hAnsi="Arial"/>
                <w:sz w:val="14"/>
                <w:szCs w:val="14"/>
                <w:color w:val="auto"/>
              </w:rPr>
              <w:t>Income (loss) before income taxes</w:t>
            </w: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354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(166.4)</w:t>
            </w:r>
          </w:p>
        </w:tc>
        <w:tc>
          <w:tcPr>
            <w:tcW w:w="80" w:type="dxa"/>
            <w:vAlign w:val="bottom"/>
          </w:tcPr>
          <w:p>
            <w:pPr>
              <w:spacing w:after="0"/>
              <w:rPr>
                <w:sz w:val="12"/>
                <w:szCs w:val="12"/>
                <w:color w:val="auto"/>
              </w:rPr>
            </w:pPr>
          </w:p>
        </w:tc>
        <w:tc>
          <w:tcPr>
            <w:tcW w:w="102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(5.9)</w:t>
            </w:r>
          </w:p>
        </w:tc>
        <w:tc>
          <w:tcPr>
            <w:tcW w:w="80" w:type="dxa"/>
            <w:vAlign w:val="bottom"/>
          </w:tcPr>
          <w:p>
            <w:pPr>
              <w:spacing w:after="0"/>
              <w:rPr>
                <w:sz w:val="12"/>
                <w:szCs w:val="12"/>
                <w:color w:val="auto"/>
              </w:rPr>
            </w:pPr>
          </w:p>
        </w:tc>
        <w:tc>
          <w:tcPr>
            <w:tcW w:w="1200" w:type="dxa"/>
            <w:vAlign w:val="bottom"/>
          </w:tcPr>
          <w:p>
            <w:pPr>
              <w:jc w:val="right"/>
              <w:spacing w:after="0" w:line="142" w:lineRule="exact"/>
              <w:rPr>
                <w:sz w:val="20"/>
                <w:szCs w:val="20"/>
                <w:color w:val="auto"/>
              </w:rPr>
            </w:pPr>
            <w:r>
              <w:rPr>
                <w:rFonts w:ascii="Arial" w:cs="Arial" w:eastAsia="Arial" w:hAnsi="Arial"/>
                <w:sz w:val="14"/>
                <w:szCs w:val="14"/>
                <w:color w:val="auto"/>
              </w:rPr>
              <w:t>1,132.3</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40" w:type="dxa"/>
            <w:vAlign w:val="bottom"/>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jc w:val="right"/>
              <w:spacing w:after="0" w:line="142" w:lineRule="exact"/>
              <w:rPr>
                <w:sz w:val="20"/>
                <w:szCs w:val="20"/>
                <w:color w:val="auto"/>
              </w:rPr>
            </w:pPr>
            <w:r>
              <w:rPr>
                <w:rFonts w:ascii="Arial" w:cs="Arial" w:eastAsia="Arial" w:hAnsi="Arial"/>
                <w:sz w:val="14"/>
                <w:szCs w:val="14"/>
                <w:color w:val="auto"/>
              </w:rPr>
              <w:t>960.0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Income taxes (benefits)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(67.6)</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(6.9)</w:t>
            </w: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209.1</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134.6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Equity in the net income of subsidiaries</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905.4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904.4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(1,809.8)</w:t>
            </w:r>
          </w:p>
        </w:tc>
        <w:tc>
          <w:tcPr>
            <w:tcW w:w="100" w:type="dxa"/>
            <w:vAlign w:val="bottom"/>
          </w:tcPr>
          <w:p>
            <w:pPr>
              <w:spacing w:after="0"/>
              <w:rPr>
                <w:sz w:val="12"/>
                <w:szCs w:val="12"/>
                <w:color w:val="auto"/>
              </w:rPr>
            </w:pPr>
          </w:p>
        </w:tc>
        <w:tc>
          <w:tcPr>
            <w:tcW w:w="9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5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35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income</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806.6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905.4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923.2</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(1,809.8)</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825.4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Net income attributable to noncontrolling interest</w:t>
            </w:r>
          </w:p>
        </w:tc>
        <w:tc>
          <w:tcPr>
            <w:tcW w:w="8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18.8</w:t>
            </w:r>
          </w:p>
        </w:tc>
        <w:tc>
          <w:tcPr>
            <w:tcW w:w="16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18.8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5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income attributable to PFG</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806.6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905.4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904.4</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(1,809.8)</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806.6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Preferred stock dividends</w:t>
            </w:r>
          </w:p>
        </w:tc>
        <w:tc>
          <w:tcPr>
            <w:tcW w:w="8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33.0</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33.0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5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income available to common stockholders</w:t>
            </w:r>
          </w:p>
        </w:tc>
        <w:tc>
          <w:tcPr>
            <w:tcW w:w="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773.6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905.4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904.4</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jc w:val="right"/>
              <w:ind w:right="126"/>
              <w:spacing w:after="0"/>
              <w:rPr>
                <w:sz w:val="20"/>
                <w:szCs w:val="20"/>
                <w:color w:val="auto"/>
              </w:rPr>
            </w:pPr>
            <w:r>
              <w:rPr>
                <w:rFonts w:ascii="Arial" w:cs="Arial" w:eastAsia="Arial" w:hAnsi="Arial"/>
                <w:sz w:val="10"/>
                <w:szCs w:val="10"/>
                <w:color w:val="auto"/>
                <w:w w:val="71"/>
              </w:rPr>
              <w:t>$</w:t>
            </w:r>
          </w:p>
        </w:tc>
        <w:tc>
          <w:tcPr>
            <w:tcW w:w="8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(1,809.8)</w:t>
            </w:r>
          </w:p>
        </w:tc>
        <w:tc>
          <w:tcPr>
            <w:tcW w:w="1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773.6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540" w:type="dxa"/>
            <w:vAlign w:val="bottom"/>
            <w:gridSpan w:val="2"/>
            <w:vMerge w:val="restart"/>
          </w:tcPr>
          <w:p>
            <w:pPr>
              <w:spacing w:after="0"/>
              <w:rPr>
                <w:sz w:val="20"/>
                <w:szCs w:val="20"/>
                <w:color w:val="auto"/>
              </w:rPr>
            </w:pPr>
            <w:r>
              <w:rPr>
                <w:rFonts w:ascii="Arial" w:cs="Arial" w:eastAsia="Arial" w:hAnsi="Arial"/>
                <w:sz w:val="14"/>
                <w:szCs w:val="14"/>
                <w:color w:val="auto"/>
              </w:rPr>
              <w:t>Net income</w:t>
            </w:r>
          </w:p>
        </w:tc>
        <w:tc>
          <w:tcPr>
            <w:tcW w:w="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3540" w:type="dxa"/>
            <w:vAlign w:val="bottom"/>
            <w:gridSpan w:val="2"/>
            <w:vMerge w:val="continue"/>
          </w:tcPr>
          <w:p>
            <w:pPr>
              <w:spacing w:after="0"/>
              <w:rPr>
                <w:sz w:val="11"/>
                <w:szCs w:val="11"/>
                <w:color w:val="auto"/>
              </w:rPr>
            </w:pPr>
          </w:p>
        </w:tc>
        <w:tc>
          <w:tcPr>
            <w:tcW w:w="8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780" w:type="dxa"/>
            <w:vAlign w:val="bottom"/>
          </w:tcPr>
          <w:p>
            <w:pPr>
              <w:jc w:val="right"/>
              <w:spacing w:after="0" w:line="129" w:lineRule="exact"/>
              <w:rPr>
                <w:sz w:val="20"/>
                <w:szCs w:val="20"/>
                <w:color w:val="auto"/>
              </w:rPr>
            </w:pPr>
            <w:r>
              <w:rPr>
                <w:rFonts w:ascii="Arial" w:cs="Arial" w:eastAsia="Arial" w:hAnsi="Arial"/>
                <w:sz w:val="14"/>
                <w:szCs w:val="14"/>
                <w:color w:val="auto"/>
              </w:rPr>
              <w:t>806.6</w:t>
            </w:r>
          </w:p>
        </w:tc>
        <w:tc>
          <w:tcPr>
            <w:tcW w:w="160" w:type="dxa"/>
            <w:vAlign w:val="bottom"/>
          </w:tcPr>
          <w:p>
            <w:pPr>
              <w:spacing w:after="0"/>
              <w:rPr>
                <w:sz w:val="11"/>
                <w:szCs w:val="11"/>
                <w:color w:val="auto"/>
              </w:rPr>
            </w:pPr>
          </w:p>
        </w:tc>
        <w:tc>
          <w:tcPr>
            <w:tcW w:w="8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860" w:type="dxa"/>
            <w:vAlign w:val="bottom"/>
          </w:tcPr>
          <w:p>
            <w:pPr>
              <w:jc w:val="right"/>
              <w:spacing w:after="0" w:line="129" w:lineRule="exact"/>
              <w:rPr>
                <w:sz w:val="20"/>
                <w:szCs w:val="20"/>
                <w:color w:val="auto"/>
              </w:rPr>
            </w:pPr>
            <w:r>
              <w:rPr>
                <w:rFonts w:ascii="Arial" w:cs="Arial" w:eastAsia="Arial" w:hAnsi="Arial"/>
                <w:sz w:val="14"/>
                <w:szCs w:val="14"/>
                <w:color w:val="auto"/>
              </w:rPr>
              <w:t>905.4</w:t>
            </w:r>
          </w:p>
        </w:tc>
        <w:tc>
          <w:tcPr>
            <w:tcW w:w="160" w:type="dxa"/>
            <w:vAlign w:val="bottom"/>
          </w:tcPr>
          <w:p>
            <w:pPr>
              <w:spacing w:after="0"/>
              <w:rPr>
                <w:sz w:val="11"/>
                <w:szCs w:val="11"/>
                <w:color w:val="auto"/>
              </w:rPr>
            </w:pPr>
          </w:p>
        </w:tc>
        <w:tc>
          <w:tcPr>
            <w:tcW w:w="8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1200" w:type="dxa"/>
            <w:vAlign w:val="bottom"/>
          </w:tcPr>
          <w:p>
            <w:pPr>
              <w:jc w:val="right"/>
              <w:spacing w:after="0" w:line="129" w:lineRule="exact"/>
              <w:rPr>
                <w:sz w:val="20"/>
                <w:szCs w:val="20"/>
                <w:color w:val="auto"/>
              </w:rPr>
            </w:pPr>
            <w:r>
              <w:rPr>
                <w:rFonts w:ascii="Arial" w:cs="Arial" w:eastAsia="Arial" w:hAnsi="Arial"/>
                <w:sz w:val="14"/>
                <w:szCs w:val="14"/>
                <w:color w:val="auto"/>
              </w:rPr>
              <w:t>923.2</w:t>
            </w:r>
          </w:p>
        </w:tc>
        <w:tc>
          <w:tcPr>
            <w:tcW w:w="160" w:type="dxa"/>
            <w:vAlign w:val="bottom"/>
          </w:tcPr>
          <w:p>
            <w:pPr>
              <w:spacing w:after="0"/>
              <w:rPr>
                <w:sz w:val="11"/>
                <w:szCs w:val="11"/>
                <w:color w:val="auto"/>
              </w:rPr>
            </w:pPr>
          </w:p>
        </w:tc>
        <w:tc>
          <w:tcPr>
            <w:tcW w:w="240" w:type="dxa"/>
            <w:vAlign w:val="bottom"/>
          </w:tcPr>
          <w:p>
            <w:pPr>
              <w:jc w:val="right"/>
              <w:ind w:right="126"/>
              <w:spacing w:after="0"/>
              <w:rPr>
                <w:sz w:val="20"/>
                <w:szCs w:val="20"/>
                <w:color w:val="auto"/>
              </w:rPr>
            </w:pPr>
            <w:r>
              <w:rPr>
                <w:rFonts w:ascii="Arial" w:cs="Arial" w:eastAsia="Arial" w:hAnsi="Arial"/>
                <w:sz w:val="10"/>
                <w:szCs w:val="10"/>
                <w:color w:val="auto"/>
                <w:w w:val="71"/>
              </w:rPr>
              <w:t>$</w:t>
            </w:r>
          </w:p>
        </w:tc>
        <w:tc>
          <w:tcPr>
            <w:tcW w:w="640" w:type="dxa"/>
            <w:vAlign w:val="bottom"/>
          </w:tcPr>
          <w:p>
            <w:pPr>
              <w:jc w:val="right"/>
              <w:spacing w:after="0" w:line="129" w:lineRule="exact"/>
              <w:rPr>
                <w:sz w:val="20"/>
                <w:szCs w:val="20"/>
                <w:color w:val="auto"/>
              </w:rPr>
            </w:pPr>
            <w:r>
              <w:rPr>
                <w:rFonts w:ascii="Arial" w:cs="Arial" w:eastAsia="Arial" w:hAnsi="Arial"/>
                <w:sz w:val="14"/>
                <w:szCs w:val="14"/>
                <w:color w:val="auto"/>
              </w:rPr>
              <w:t>(1,809.8)</w:t>
            </w:r>
          </w:p>
        </w:tc>
        <w:tc>
          <w:tcPr>
            <w:tcW w:w="160" w:type="dxa"/>
            <w:vAlign w:val="bottom"/>
          </w:tcPr>
          <w:p>
            <w:pPr>
              <w:spacing w:after="0"/>
              <w:rPr>
                <w:sz w:val="11"/>
                <w:szCs w:val="11"/>
                <w:color w:val="auto"/>
              </w:rPr>
            </w:pPr>
          </w:p>
        </w:tc>
        <w:tc>
          <w:tcPr>
            <w:tcW w:w="10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820" w:type="dxa"/>
            <w:vAlign w:val="bottom"/>
          </w:tcPr>
          <w:p>
            <w:pPr>
              <w:jc w:val="right"/>
              <w:spacing w:after="0" w:line="129" w:lineRule="exact"/>
              <w:rPr>
                <w:sz w:val="20"/>
                <w:szCs w:val="20"/>
                <w:color w:val="auto"/>
              </w:rPr>
            </w:pPr>
            <w:r>
              <w:rPr>
                <w:rFonts w:ascii="Arial" w:cs="Arial" w:eastAsia="Arial" w:hAnsi="Arial"/>
                <w:sz w:val="14"/>
                <w:szCs w:val="14"/>
                <w:color w:val="auto"/>
              </w:rPr>
              <w:t>825.4</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comprehensive income</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321.2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366.3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353.7</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(671.1)</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370.1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3540" w:type="dxa"/>
            <w:vAlign w:val="bottom"/>
            <w:gridSpan w:val="2"/>
          </w:tcPr>
          <w:p>
            <w:pPr>
              <w:spacing w:after="0" w:line="142" w:lineRule="exact"/>
              <w:rPr>
                <w:sz w:val="20"/>
                <w:szCs w:val="20"/>
                <w:color w:val="auto"/>
              </w:rPr>
            </w:pPr>
            <w:r>
              <w:rPr>
                <w:rFonts w:ascii="Arial" w:cs="Arial" w:eastAsia="Arial" w:hAnsi="Arial"/>
                <w:sz w:val="14"/>
                <w:szCs w:val="14"/>
                <w:color w:val="auto"/>
              </w:rPr>
              <w:t>Comprehensive income</w:t>
            </w: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1,127.8</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1,271.7</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12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1,276.9</w:t>
            </w:r>
          </w:p>
        </w:tc>
        <w:tc>
          <w:tcPr>
            <w:tcW w:w="160" w:type="dxa"/>
            <w:vAlign w:val="bottom"/>
          </w:tcPr>
          <w:p>
            <w:pPr>
              <w:spacing w:after="0"/>
              <w:rPr>
                <w:sz w:val="12"/>
                <w:szCs w:val="12"/>
                <w:color w:val="auto"/>
              </w:rPr>
            </w:pPr>
          </w:p>
        </w:tc>
        <w:tc>
          <w:tcPr>
            <w:tcW w:w="240" w:type="dxa"/>
            <w:vAlign w:val="bottom"/>
            <w:tcBorders>
              <w:top w:val="single" w:sz="8" w:color="auto"/>
              <w:bottom w:val="single" w:sz="8" w:color="auto"/>
            </w:tcBorders>
          </w:tcPr>
          <w:p>
            <w:pPr>
              <w:jc w:val="right"/>
              <w:ind w:right="126"/>
              <w:spacing w:after="0"/>
              <w:rPr>
                <w:sz w:val="20"/>
                <w:szCs w:val="20"/>
                <w:color w:val="auto"/>
              </w:rPr>
            </w:pPr>
            <w:r>
              <w:rPr>
                <w:rFonts w:ascii="Arial" w:cs="Arial" w:eastAsia="Arial" w:hAnsi="Arial"/>
                <w:sz w:val="10"/>
                <w:szCs w:val="10"/>
                <w:color w:val="auto"/>
                <w:w w:val="71"/>
              </w:rPr>
              <w:t>$</w:t>
            </w:r>
          </w:p>
        </w:tc>
        <w:tc>
          <w:tcPr>
            <w:tcW w:w="6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(2,480.9)</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1,195.5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201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360"/>
          </w:cols>
          <w:pgMar w:left="240" w:top="131" w:right="1299" w:bottom="1440" w:gutter="0" w:footer="0" w:header="0"/>
        </w:sectPr>
      </w:pPr>
    </w:p>
    <w:bookmarkStart w:id="205" w:name="page206"/>
    <w:bookmarkEnd w:id="20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21. Condensed Consolidating Financial Information — (continued)</w:t>
      </w:r>
    </w:p>
    <w:p>
      <w:pPr>
        <w:spacing w:after="0" w:line="200" w:lineRule="exact"/>
        <w:rPr>
          <w:sz w:val="20"/>
          <w:szCs w:val="20"/>
          <w:color w:val="auto"/>
        </w:rPr>
      </w:pPr>
    </w:p>
    <w:p>
      <w:pPr>
        <w:spacing w:after="0" w:line="241"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Condensed Consolidating Statements of Operations</w:t>
      </w:r>
    </w:p>
    <w:p>
      <w:pPr>
        <w:spacing w:after="0" w:line="21" w:lineRule="exact"/>
        <w:rPr>
          <w:sz w:val="20"/>
          <w:szCs w:val="20"/>
          <w:color w:val="auto"/>
        </w:rPr>
      </w:pPr>
    </w:p>
    <w:p>
      <w:pPr>
        <w:jc w:val="center"/>
        <w:ind w:right="-1019"/>
        <w:spacing w:after="0"/>
        <w:rPr>
          <w:sz w:val="20"/>
          <w:szCs w:val="20"/>
          <w:color w:val="auto"/>
        </w:rPr>
      </w:pPr>
      <w:r>
        <w:rPr>
          <w:rFonts w:ascii="Arial" w:cs="Arial" w:eastAsia="Arial" w:hAnsi="Arial"/>
          <w:sz w:val="18"/>
          <w:szCs w:val="18"/>
          <w:b w:val="1"/>
          <w:bCs w:val="1"/>
          <w:color w:val="auto"/>
        </w:rPr>
        <w:t>For the year ended December 31, 2011</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5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Principal Life</w:t>
            </w:r>
          </w:p>
        </w:tc>
        <w:tc>
          <w:tcPr>
            <w:tcW w:w="2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Principal</w:t>
            </w:r>
          </w:p>
        </w:tc>
        <w:tc>
          <w:tcPr>
            <w:tcW w:w="8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Principal</w:t>
            </w:r>
          </w:p>
        </w:tc>
        <w:tc>
          <w:tcPr>
            <w:tcW w:w="80" w:type="dxa"/>
            <w:vAlign w:val="bottom"/>
          </w:tcPr>
          <w:p>
            <w:pPr>
              <w:spacing w:after="0"/>
              <w:rPr>
                <w:sz w:val="12"/>
                <w:szCs w:val="12"/>
                <w:color w:val="auto"/>
              </w:rPr>
            </w:pPr>
          </w:p>
        </w:tc>
        <w:tc>
          <w:tcPr>
            <w:tcW w:w="13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Insurance</w:t>
            </w: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Principal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Financial</w:t>
            </w:r>
          </w:p>
        </w:tc>
        <w:tc>
          <w:tcPr>
            <w:tcW w:w="8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Financial</w:t>
            </w:r>
          </w:p>
        </w:tc>
        <w:tc>
          <w:tcPr>
            <w:tcW w:w="80" w:type="dxa"/>
            <w:vAlign w:val="bottom"/>
          </w:tcPr>
          <w:p>
            <w:pPr>
              <w:spacing w:after="0"/>
              <w:rPr>
                <w:sz w:val="12"/>
                <w:szCs w:val="12"/>
                <w:color w:val="auto"/>
              </w:rPr>
            </w:pPr>
          </w:p>
        </w:tc>
        <w:tc>
          <w:tcPr>
            <w:tcW w:w="13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Company and</w:t>
            </w: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Financial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Group, Inc.</w:t>
            </w:r>
          </w:p>
        </w:tc>
        <w:tc>
          <w:tcPr>
            <w:tcW w:w="80" w:type="dxa"/>
            <w:vAlign w:val="bottom"/>
          </w:tcPr>
          <w:p>
            <w:pPr>
              <w:spacing w:after="0"/>
              <w:rPr>
                <w:sz w:val="12"/>
                <w:szCs w:val="12"/>
                <w:color w:val="auto"/>
              </w:rPr>
            </w:pPr>
          </w:p>
        </w:tc>
        <w:tc>
          <w:tcPr>
            <w:tcW w:w="10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4"/>
              </w:rPr>
              <w:t>Services, Inc.</w:t>
            </w:r>
          </w:p>
        </w:tc>
        <w:tc>
          <w:tcPr>
            <w:tcW w:w="80" w:type="dxa"/>
            <w:vAlign w:val="bottom"/>
          </w:tcPr>
          <w:p>
            <w:pPr>
              <w:spacing w:after="0"/>
              <w:rPr>
                <w:sz w:val="12"/>
                <w:szCs w:val="12"/>
                <w:color w:val="auto"/>
              </w:rPr>
            </w:pPr>
          </w:p>
        </w:tc>
        <w:tc>
          <w:tcPr>
            <w:tcW w:w="13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Other Subsidiaries</w:t>
            </w: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Group, Inc.</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520" w:type="dxa"/>
            <w:vAlign w:val="bottom"/>
          </w:tcPr>
          <w:p>
            <w:pPr>
              <w:spacing w:after="0"/>
              <w:rPr>
                <w:sz w:val="14"/>
                <w:szCs w:val="14"/>
                <w:color w:val="auto"/>
              </w:rPr>
            </w:pPr>
          </w:p>
        </w:tc>
        <w:tc>
          <w:tcPr>
            <w:tcW w:w="102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9"/>
              </w:rPr>
              <w:t>Parent Only</w:t>
            </w:r>
          </w:p>
        </w:tc>
        <w:tc>
          <w:tcPr>
            <w:tcW w:w="80" w:type="dxa"/>
            <w:vAlign w:val="bottom"/>
          </w:tcPr>
          <w:p>
            <w:pPr>
              <w:spacing w:after="0"/>
              <w:rPr>
                <w:sz w:val="14"/>
                <w:szCs w:val="14"/>
                <w:color w:val="auto"/>
              </w:rPr>
            </w:pPr>
          </w:p>
        </w:tc>
        <w:tc>
          <w:tcPr>
            <w:tcW w:w="10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Only</w:t>
            </w:r>
          </w:p>
        </w:tc>
        <w:tc>
          <w:tcPr>
            <w:tcW w:w="80" w:type="dxa"/>
            <w:vAlign w:val="bottom"/>
          </w:tcPr>
          <w:p>
            <w:pPr>
              <w:spacing w:after="0"/>
              <w:rPr>
                <w:sz w:val="14"/>
                <w:szCs w:val="14"/>
                <w:color w:val="auto"/>
              </w:rPr>
            </w:pPr>
          </w:p>
        </w:tc>
        <w:tc>
          <w:tcPr>
            <w:tcW w:w="13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7"/>
              </w:rPr>
              <w:t>Combined</w:t>
            </w:r>
          </w:p>
        </w:tc>
        <w:tc>
          <w:tcPr>
            <w:tcW w:w="104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w w:val="93"/>
              </w:rPr>
              <w:t>Eliminations</w:t>
            </w:r>
          </w:p>
        </w:tc>
        <w:tc>
          <w:tcPr>
            <w:tcW w:w="108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5"/>
              </w:rPr>
              <w:t>Consolidated</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52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tcPr>
          <w:p>
            <w:pPr>
              <w:jc w:val="center"/>
              <w:ind w:right="32"/>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160" w:type="dxa"/>
            <w:vAlign w:val="bottom"/>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Revenues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Premiums and other considerations</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2,891.0</w:t>
            </w:r>
          </w:p>
        </w:tc>
        <w:tc>
          <w:tcPr>
            <w:tcW w:w="160" w:type="dxa"/>
            <w:vAlign w:val="bottom"/>
          </w:tcPr>
          <w:p>
            <w:pPr>
              <w:spacing w:after="0"/>
              <w:rPr>
                <w:sz w:val="12"/>
                <w:szCs w:val="12"/>
                <w:color w:val="auto"/>
              </w:rPr>
            </w:pPr>
          </w:p>
        </w:tc>
        <w:tc>
          <w:tcPr>
            <w:tcW w:w="240" w:type="dxa"/>
            <w:vAlign w:val="bottom"/>
          </w:tcPr>
          <w:p>
            <w:pPr>
              <w:jc w:val="right"/>
              <w:ind w:right="126"/>
              <w:spacing w:after="0"/>
              <w:rPr>
                <w:sz w:val="20"/>
                <w:szCs w:val="20"/>
                <w:color w:val="auto"/>
              </w:rPr>
            </w:pPr>
            <w:r>
              <w:rPr>
                <w:rFonts w:ascii="Arial" w:cs="Arial" w:eastAsia="Arial" w:hAnsi="Arial"/>
                <w:sz w:val="10"/>
                <w:szCs w:val="10"/>
                <w:color w:val="auto"/>
                <w:w w:val="71"/>
              </w:rPr>
              <w:t>$</w:t>
            </w: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2,891.0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Fees and other revenues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2,529.5</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(3.0)</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2,526.7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Net investment income (loss)</w:t>
            </w:r>
          </w:p>
        </w:tc>
        <w:tc>
          <w:tcPr>
            <w:tcW w:w="8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(12.0)</w:t>
            </w:r>
          </w:p>
        </w:tc>
        <w:tc>
          <w:tcPr>
            <w:tcW w:w="80" w:type="dxa"/>
            <w:vAlign w:val="bottom"/>
          </w:tcPr>
          <w:p>
            <w:pPr>
              <w:spacing w:after="0"/>
              <w:rPr>
                <w:sz w:val="12"/>
                <w:szCs w:val="12"/>
                <w:color w:val="auto"/>
              </w:rPr>
            </w:pPr>
          </w:p>
        </w:tc>
        <w:tc>
          <w:tcPr>
            <w:tcW w:w="10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(3.2)</w:t>
            </w: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3,387.5</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3.0</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3,375.3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52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Net realized capital gains (losses), excluding impairment</w:t>
            </w: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52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losses on available-for-sale securities</w:t>
            </w:r>
          </w:p>
        </w:tc>
        <w:tc>
          <w:tcPr>
            <w:tcW w:w="80" w:type="dxa"/>
            <w:vAlign w:val="bottom"/>
            <w:shd w:val="clear" w:color="auto" w:fill="CCEEFF"/>
          </w:tcPr>
          <w:p>
            <w:pPr>
              <w:spacing w:after="0"/>
              <w:rPr>
                <w:sz w:val="13"/>
                <w:szCs w:val="13"/>
                <w:color w:val="auto"/>
              </w:rPr>
            </w:pPr>
          </w:p>
        </w:tc>
        <w:tc>
          <w:tcPr>
            <w:tcW w:w="94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3"/>
                <w:szCs w:val="13"/>
                <w:color w:val="auto"/>
              </w:rPr>
            </w:pPr>
          </w:p>
        </w:tc>
        <w:tc>
          <w:tcPr>
            <w:tcW w:w="102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(0.1)</w:t>
            </w:r>
          </w:p>
        </w:tc>
        <w:tc>
          <w:tcPr>
            <w:tcW w:w="80" w:type="dxa"/>
            <w:vAlign w:val="bottom"/>
            <w:shd w:val="clear" w:color="auto" w:fill="CCEEFF"/>
          </w:tcPr>
          <w:p>
            <w:pPr>
              <w:spacing w:after="0"/>
              <w:rPr>
                <w:sz w:val="13"/>
                <w:szCs w:val="13"/>
                <w:color w:val="auto"/>
              </w:rPr>
            </w:pPr>
          </w:p>
        </w:tc>
        <w:tc>
          <w:tcPr>
            <w:tcW w:w="12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75.1</w:t>
            </w:r>
          </w:p>
        </w:tc>
        <w:tc>
          <w:tcPr>
            <w:tcW w:w="16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3"/>
                <w:szCs w:val="13"/>
                <w:color w:val="auto"/>
              </w:rPr>
            </w:pPr>
          </w:p>
        </w:tc>
        <w:tc>
          <w:tcPr>
            <w:tcW w:w="8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75.0</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520" w:type="dxa"/>
            <w:vAlign w:val="bottom"/>
          </w:tcPr>
          <w:p>
            <w:pPr>
              <w:spacing w:after="0" w:line="138" w:lineRule="exact"/>
              <w:rPr>
                <w:sz w:val="20"/>
                <w:szCs w:val="20"/>
                <w:color w:val="auto"/>
              </w:rPr>
            </w:pPr>
            <w:r>
              <w:rPr>
                <w:rFonts w:ascii="Arial" w:cs="Arial" w:eastAsia="Arial" w:hAnsi="Arial"/>
                <w:sz w:val="14"/>
                <w:szCs w:val="14"/>
                <w:color w:val="auto"/>
                <w:w w:val="95"/>
              </w:rPr>
              <w:t>Total other-than-temporary impairment losses on available-</w:t>
            </w:r>
          </w:p>
        </w:tc>
        <w:tc>
          <w:tcPr>
            <w:tcW w:w="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520" w:type="dxa"/>
            <w:vAlign w:val="bottom"/>
          </w:tcPr>
          <w:p>
            <w:pPr>
              <w:ind w:left="140"/>
              <w:spacing w:after="0" w:line="159" w:lineRule="exact"/>
              <w:rPr>
                <w:sz w:val="20"/>
                <w:szCs w:val="20"/>
                <w:color w:val="auto"/>
              </w:rPr>
            </w:pPr>
            <w:r>
              <w:rPr>
                <w:rFonts w:ascii="Arial" w:cs="Arial" w:eastAsia="Arial" w:hAnsi="Arial"/>
                <w:sz w:val="14"/>
                <w:szCs w:val="14"/>
                <w:color w:val="auto"/>
              </w:rPr>
              <w:t>for-sale securities</w:t>
            </w:r>
          </w:p>
        </w:tc>
        <w:tc>
          <w:tcPr>
            <w:tcW w:w="80" w:type="dxa"/>
            <w:vAlign w:val="bottom"/>
          </w:tcPr>
          <w:p>
            <w:pPr>
              <w:spacing w:after="0"/>
              <w:rPr>
                <w:sz w:val="13"/>
                <w:szCs w:val="13"/>
                <w:color w:val="auto"/>
              </w:rPr>
            </w:pPr>
          </w:p>
        </w:tc>
        <w:tc>
          <w:tcPr>
            <w:tcW w:w="940" w:type="dxa"/>
            <w:vAlign w:val="bottom"/>
            <w:gridSpan w:val="2"/>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1020" w:type="dxa"/>
            <w:vAlign w:val="bottom"/>
            <w:gridSpan w:val="2"/>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136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(147.6)</w:t>
            </w:r>
          </w:p>
        </w:tc>
        <w:tc>
          <w:tcPr>
            <w:tcW w:w="240" w:type="dxa"/>
            <w:vAlign w:val="bottom"/>
          </w:tcPr>
          <w:p>
            <w:pPr>
              <w:spacing w:after="0"/>
              <w:rPr>
                <w:sz w:val="13"/>
                <w:szCs w:val="13"/>
                <w:color w:val="auto"/>
              </w:rPr>
            </w:pPr>
          </w:p>
        </w:tc>
        <w:tc>
          <w:tcPr>
            <w:tcW w:w="800" w:type="dxa"/>
            <w:vAlign w:val="bottom"/>
            <w:gridSpan w:val="2"/>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3"/>
                <w:szCs w:val="13"/>
                <w:color w:val="auto"/>
              </w:rPr>
            </w:pPr>
          </w:p>
        </w:tc>
        <w:tc>
          <w:tcPr>
            <w:tcW w:w="98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(147.6)</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52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3"/>
              </w:rPr>
              <w:t>Other-than-temporary impairment losses on fixed maturities,</w:t>
            </w: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w w:val="96"/>
              </w:rPr>
              <w:t>available-for-sale reclassified from other comprehensive</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52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income</w:t>
            </w:r>
          </w:p>
        </w:tc>
        <w:tc>
          <w:tcPr>
            <w:tcW w:w="80" w:type="dxa"/>
            <w:vAlign w:val="bottom"/>
            <w:shd w:val="clear" w:color="auto" w:fill="CCEEFF"/>
          </w:tcPr>
          <w:p>
            <w:pPr>
              <w:spacing w:after="0"/>
              <w:rPr>
                <w:sz w:val="13"/>
                <w:szCs w:val="13"/>
                <w:color w:val="auto"/>
              </w:rPr>
            </w:pPr>
          </w:p>
        </w:tc>
        <w:tc>
          <w:tcPr>
            <w:tcW w:w="94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3"/>
                <w:szCs w:val="13"/>
                <w:color w:val="auto"/>
              </w:rPr>
            </w:pPr>
          </w:p>
        </w:tc>
        <w:tc>
          <w:tcPr>
            <w:tcW w:w="102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3"/>
                <w:szCs w:val="13"/>
                <w:color w:val="auto"/>
              </w:rPr>
            </w:pPr>
          </w:p>
        </w:tc>
        <w:tc>
          <w:tcPr>
            <w:tcW w:w="136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(49.7)</w:t>
            </w:r>
          </w:p>
        </w:tc>
        <w:tc>
          <w:tcPr>
            <w:tcW w:w="24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3"/>
                <w:szCs w:val="13"/>
                <w:color w:val="auto"/>
              </w:rPr>
            </w:pPr>
          </w:p>
        </w:tc>
        <w:tc>
          <w:tcPr>
            <w:tcW w:w="98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(49.7)</w:t>
            </w:r>
          </w:p>
        </w:tc>
        <w:tc>
          <w:tcPr>
            <w:tcW w:w="0" w:type="dxa"/>
            <w:vAlign w:val="bottom"/>
          </w:tcPr>
          <w:p>
            <w:pPr>
              <w:spacing w:after="0"/>
              <w:rPr>
                <w:sz w:val="1"/>
                <w:szCs w:val="1"/>
                <w:color w:val="auto"/>
              </w:rPr>
            </w:pPr>
          </w:p>
        </w:tc>
      </w:tr>
      <w:tr>
        <w:trPr>
          <w:trHeight w:val="142"/>
        </w:trPr>
        <w:tc>
          <w:tcPr>
            <w:tcW w:w="3540" w:type="dxa"/>
            <w:vAlign w:val="bottom"/>
            <w:gridSpan w:val="2"/>
          </w:tcPr>
          <w:p>
            <w:pPr>
              <w:spacing w:after="0" w:line="142" w:lineRule="exact"/>
              <w:rPr>
                <w:sz w:val="20"/>
                <w:szCs w:val="20"/>
                <w:color w:val="auto"/>
              </w:rPr>
            </w:pPr>
            <w:r>
              <w:rPr>
                <w:rFonts w:ascii="Arial" w:cs="Arial" w:eastAsia="Arial" w:hAnsi="Arial"/>
                <w:sz w:val="14"/>
                <w:szCs w:val="14"/>
                <w:color w:val="auto"/>
              </w:rPr>
              <w:t>Net impairment losses on available-for-sale securities</w:t>
            </w:r>
          </w:p>
        </w:tc>
        <w:tc>
          <w:tcPr>
            <w:tcW w:w="8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12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(197.3)</w:t>
            </w:r>
          </w:p>
        </w:tc>
        <w:tc>
          <w:tcPr>
            <w:tcW w:w="160" w:type="dxa"/>
            <w:vAlign w:val="bottom"/>
          </w:tcPr>
          <w:p>
            <w:pPr>
              <w:spacing w:after="0"/>
              <w:rPr>
                <w:sz w:val="12"/>
                <w:szCs w:val="12"/>
                <w:color w:val="auto"/>
              </w:rPr>
            </w:pPr>
          </w:p>
        </w:tc>
        <w:tc>
          <w:tcPr>
            <w:tcW w:w="240" w:type="dxa"/>
            <w:vAlign w:val="bottom"/>
            <w:tcBorders>
              <w:top w:val="single" w:sz="8" w:color="auto"/>
              <w:bottom w:val="single" w:sz="8" w:color="auto"/>
            </w:tcBorders>
          </w:tcPr>
          <w:p>
            <w:pPr>
              <w:spacing w:after="0"/>
              <w:rPr>
                <w:sz w:val="12"/>
                <w:szCs w:val="12"/>
                <w:color w:val="auto"/>
              </w:rPr>
            </w:pPr>
          </w:p>
        </w:tc>
        <w:tc>
          <w:tcPr>
            <w:tcW w:w="6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(197.3)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5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realized capital losses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(0.1)</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color w:val="auto"/>
              </w:rPr>
              <w:t>(122.2)</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2"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color w:val="auto"/>
              </w:rPr>
              <w:t>(122.3)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20" w:type="dxa"/>
            <w:vAlign w:val="bottom"/>
            <w:vMerge w:val="restart"/>
          </w:tcPr>
          <w:p>
            <w:pPr>
              <w:ind w:left="140"/>
              <w:spacing w:after="0"/>
              <w:rPr>
                <w:sz w:val="20"/>
                <w:szCs w:val="20"/>
                <w:color w:val="auto"/>
              </w:rPr>
            </w:pPr>
            <w:r>
              <w:rPr>
                <w:rFonts w:ascii="Arial" w:cs="Arial" w:eastAsia="Arial" w:hAnsi="Arial"/>
                <w:sz w:val="14"/>
                <w:szCs w:val="14"/>
                <w:color w:val="auto"/>
              </w:rPr>
              <w:t>Total revenues</w:t>
            </w: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52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(11.8)</w:t>
            </w:r>
          </w:p>
        </w:tc>
        <w:tc>
          <w:tcPr>
            <w:tcW w:w="80" w:type="dxa"/>
            <w:vAlign w:val="bottom"/>
          </w:tcPr>
          <w:p>
            <w:pPr>
              <w:spacing w:after="0"/>
              <w:rPr>
                <w:sz w:val="12"/>
                <w:szCs w:val="12"/>
                <w:color w:val="auto"/>
              </w:rPr>
            </w:pPr>
          </w:p>
        </w:tc>
        <w:tc>
          <w:tcPr>
            <w:tcW w:w="102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(3.3)</w:t>
            </w:r>
          </w:p>
        </w:tc>
        <w:tc>
          <w:tcPr>
            <w:tcW w:w="80" w:type="dxa"/>
            <w:vAlign w:val="bottom"/>
          </w:tcPr>
          <w:p>
            <w:pPr>
              <w:spacing w:after="0"/>
              <w:rPr>
                <w:sz w:val="12"/>
                <w:szCs w:val="12"/>
                <w:color w:val="auto"/>
              </w:rPr>
            </w:pPr>
          </w:p>
        </w:tc>
        <w:tc>
          <w:tcPr>
            <w:tcW w:w="1200" w:type="dxa"/>
            <w:vAlign w:val="bottom"/>
          </w:tcPr>
          <w:p>
            <w:pPr>
              <w:jc w:val="right"/>
              <w:spacing w:after="0" w:line="142" w:lineRule="exact"/>
              <w:rPr>
                <w:sz w:val="20"/>
                <w:szCs w:val="20"/>
                <w:color w:val="auto"/>
              </w:rPr>
            </w:pPr>
            <w:r>
              <w:rPr>
                <w:rFonts w:ascii="Arial" w:cs="Arial" w:eastAsia="Arial" w:hAnsi="Arial"/>
                <w:sz w:val="14"/>
                <w:szCs w:val="14"/>
                <w:color w:val="auto"/>
              </w:rPr>
              <w:t>8,685.8</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40" w:type="dxa"/>
            <w:vAlign w:val="bottom"/>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jc w:val="right"/>
              <w:spacing w:after="0" w:line="142" w:lineRule="exact"/>
              <w:rPr>
                <w:sz w:val="20"/>
                <w:szCs w:val="20"/>
                <w:color w:val="auto"/>
              </w:rPr>
            </w:pPr>
            <w:r>
              <w:rPr>
                <w:rFonts w:ascii="Arial" w:cs="Arial" w:eastAsia="Arial" w:hAnsi="Arial"/>
                <w:sz w:val="14"/>
                <w:szCs w:val="14"/>
                <w:color w:val="auto"/>
              </w:rPr>
              <w:t>8,670.7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Expenses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Benefits, claims and settlement expenses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4,616.6</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4,616.6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Dividends to policyholders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210.2</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210.2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Operating expenses</w:t>
            </w:r>
          </w:p>
        </w:tc>
        <w:tc>
          <w:tcPr>
            <w:tcW w:w="8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116.0</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1.7</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2,853.4</w:t>
            </w:r>
          </w:p>
        </w:tc>
        <w:tc>
          <w:tcPr>
            <w:tcW w:w="16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2,971.1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52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expenses</w:t>
            </w:r>
          </w:p>
        </w:tc>
        <w:tc>
          <w:tcPr>
            <w:tcW w:w="80" w:type="dxa"/>
            <w:vAlign w:val="bottom"/>
            <w:tcBorders>
              <w:bottom w:val="single" w:sz="8" w:color="auto"/>
            </w:tcBorders>
            <w:shd w:val="clear" w:color="auto" w:fill="CCEEFF"/>
          </w:tcPr>
          <w:p>
            <w:pPr>
              <w:spacing w:after="0"/>
              <w:rPr>
                <w:sz w:val="12"/>
                <w:szCs w:val="12"/>
                <w:color w:val="auto"/>
              </w:rPr>
            </w:pPr>
          </w:p>
        </w:tc>
        <w:tc>
          <w:tcPr>
            <w:tcW w:w="7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116.0</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86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1.7</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12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7,680.2</w:t>
            </w:r>
          </w:p>
        </w:tc>
        <w:tc>
          <w:tcPr>
            <w:tcW w:w="160" w:type="dxa"/>
            <w:vAlign w:val="bottom"/>
            <w:shd w:val="clear" w:color="auto" w:fill="CCEEFF"/>
          </w:tcPr>
          <w:p>
            <w:pPr>
              <w:spacing w:after="0"/>
              <w:rPr>
                <w:sz w:val="12"/>
                <w:szCs w:val="12"/>
                <w:color w:val="auto"/>
              </w:rPr>
            </w:pPr>
          </w:p>
        </w:tc>
        <w:tc>
          <w:tcPr>
            <w:tcW w:w="24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8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7,797.9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3540" w:type="dxa"/>
            <w:vAlign w:val="bottom"/>
            <w:gridSpan w:val="2"/>
          </w:tcPr>
          <w:p>
            <w:pPr>
              <w:spacing w:after="0" w:line="142" w:lineRule="exact"/>
              <w:rPr>
                <w:sz w:val="20"/>
                <w:szCs w:val="20"/>
                <w:color w:val="auto"/>
              </w:rPr>
            </w:pPr>
            <w:r>
              <w:rPr>
                <w:rFonts w:ascii="Arial" w:cs="Arial" w:eastAsia="Arial" w:hAnsi="Arial"/>
                <w:sz w:val="14"/>
                <w:szCs w:val="14"/>
                <w:color w:val="auto"/>
              </w:rPr>
              <w:t>Income (loss) before income taxes</w:t>
            </w:r>
          </w:p>
        </w:tc>
        <w:tc>
          <w:tcPr>
            <w:tcW w:w="80" w:type="dxa"/>
            <w:vAlign w:val="bottom"/>
          </w:tcPr>
          <w:p>
            <w:pPr>
              <w:spacing w:after="0"/>
              <w:rPr>
                <w:sz w:val="12"/>
                <w:szCs w:val="12"/>
                <w:color w:val="auto"/>
              </w:rPr>
            </w:pPr>
          </w:p>
        </w:tc>
        <w:tc>
          <w:tcPr>
            <w:tcW w:w="94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(127.8)</w:t>
            </w:r>
          </w:p>
        </w:tc>
        <w:tc>
          <w:tcPr>
            <w:tcW w:w="80" w:type="dxa"/>
            <w:vAlign w:val="bottom"/>
          </w:tcPr>
          <w:p>
            <w:pPr>
              <w:spacing w:after="0"/>
              <w:rPr>
                <w:sz w:val="12"/>
                <w:szCs w:val="12"/>
                <w:color w:val="auto"/>
              </w:rPr>
            </w:pPr>
          </w:p>
        </w:tc>
        <w:tc>
          <w:tcPr>
            <w:tcW w:w="102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(5.0)</w:t>
            </w:r>
          </w:p>
        </w:tc>
        <w:tc>
          <w:tcPr>
            <w:tcW w:w="80" w:type="dxa"/>
            <w:vAlign w:val="bottom"/>
          </w:tcPr>
          <w:p>
            <w:pPr>
              <w:spacing w:after="0"/>
              <w:rPr>
                <w:sz w:val="12"/>
                <w:szCs w:val="12"/>
                <w:color w:val="auto"/>
              </w:rPr>
            </w:pPr>
          </w:p>
        </w:tc>
        <w:tc>
          <w:tcPr>
            <w:tcW w:w="1200" w:type="dxa"/>
            <w:vAlign w:val="bottom"/>
          </w:tcPr>
          <w:p>
            <w:pPr>
              <w:jc w:val="right"/>
              <w:spacing w:after="0" w:line="142" w:lineRule="exact"/>
              <w:rPr>
                <w:sz w:val="20"/>
                <w:szCs w:val="20"/>
                <w:color w:val="auto"/>
              </w:rPr>
            </w:pPr>
            <w:r>
              <w:rPr>
                <w:rFonts w:ascii="Arial" w:cs="Arial" w:eastAsia="Arial" w:hAnsi="Arial"/>
                <w:sz w:val="14"/>
                <w:szCs w:val="14"/>
                <w:color w:val="auto"/>
              </w:rPr>
              <w:t>1,005.6</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40" w:type="dxa"/>
            <w:vAlign w:val="bottom"/>
          </w:tcPr>
          <w:p>
            <w:pPr>
              <w:jc w:val="right"/>
              <w:spacing w:after="0" w:line="142"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jc w:val="right"/>
              <w:spacing w:after="0" w:line="142" w:lineRule="exact"/>
              <w:rPr>
                <w:sz w:val="20"/>
                <w:szCs w:val="20"/>
                <w:color w:val="auto"/>
              </w:rPr>
            </w:pPr>
            <w:r>
              <w:rPr>
                <w:rFonts w:ascii="Arial" w:cs="Arial" w:eastAsia="Arial" w:hAnsi="Arial"/>
                <w:sz w:val="14"/>
                <w:szCs w:val="14"/>
                <w:color w:val="auto"/>
              </w:rPr>
              <w:t>872.8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Income taxes (benefits)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(50.4)</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(9.9)</w:t>
            </w: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258.6</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198.3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Equity in the net income of subsidiaries</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715.7</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710.8</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(1,426.5)</w:t>
            </w:r>
          </w:p>
        </w:tc>
        <w:tc>
          <w:tcPr>
            <w:tcW w:w="100" w:type="dxa"/>
            <w:vAlign w:val="bottom"/>
          </w:tcPr>
          <w:p>
            <w:pPr>
              <w:spacing w:after="0"/>
              <w:rPr>
                <w:sz w:val="12"/>
                <w:szCs w:val="12"/>
                <w:color w:val="auto"/>
              </w:rPr>
            </w:pPr>
          </w:p>
        </w:tc>
        <w:tc>
          <w:tcPr>
            <w:tcW w:w="9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5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35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income</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638.3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715.7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747.0</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(1,426.5)</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674.5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Net income attributable to noncontrolling interest</w:t>
            </w:r>
          </w:p>
        </w:tc>
        <w:tc>
          <w:tcPr>
            <w:tcW w:w="8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36.2</w:t>
            </w:r>
          </w:p>
        </w:tc>
        <w:tc>
          <w:tcPr>
            <w:tcW w:w="16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36.2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5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income attributable to PFG</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638.3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715.7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710.8</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(1,426.5)</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638.3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Preferred stock dividends</w:t>
            </w:r>
          </w:p>
        </w:tc>
        <w:tc>
          <w:tcPr>
            <w:tcW w:w="8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33.0</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33.0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5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income available to common stockholders</w:t>
            </w:r>
          </w:p>
        </w:tc>
        <w:tc>
          <w:tcPr>
            <w:tcW w:w="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605.3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715.7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710.8</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jc w:val="right"/>
              <w:ind w:right="126"/>
              <w:spacing w:after="0"/>
              <w:rPr>
                <w:sz w:val="20"/>
                <w:szCs w:val="20"/>
                <w:color w:val="auto"/>
              </w:rPr>
            </w:pPr>
            <w:r>
              <w:rPr>
                <w:rFonts w:ascii="Arial" w:cs="Arial" w:eastAsia="Arial" w:hAnsi="Arial"/>
                <w:sz w:val="10"/>
                <w:szCs w:val="10"/>
                <w:color w:val="auto"/>
                <w:w w:val="71"/>
              </w:rPr>
              <w:t>$</w:t>
            </w:r>
          </w:p>
        </w:tc>
        <w:tc>
          <w:tcPr>
            <w:tcW w:w="8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(1,426.5)</w:t>
            </w:r>
          </w:p>
        </w:tc>
        <w:tc>
          <w:tcPr>
            <w:tcW w:w="1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605.3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540" w:type="dxa"/>
            <w:vAlign w:val="bottom"/>
            <w:gridSpan w:val="2"/>
            <w:vMerge w:val="restart"/>
          </w:tcPr>
          <w:p>
            <w:pPr>
              <w:spacing w:after="0"/>
              <w:rPr>
                <w:sz w:val="20"/>
                <w:szCs w:val="20"/>
                <w:color w:val="auto"/>
              </w:rPr>
            </w:pPr>
            <w:r>
              <w:rPr>
                <w:rFonts w:ascii="Arial" w:cs="Arial" w:eastAsia="Arial" w:hAnsi="Arial"/>
                <w:sz w:val="14"/>
                <w:szCs w:val="14"/>
                <w:color w:val="auto"/>
              </w:rPr>
              <w:t>Net income</w:t>
            </w:r>
          </w:p>
        </w:tc>
        <w:tc>
          <w:tcPr>
            <w:tcW w:w="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3540" w:type="dxa"/>
            <w:vAlign w:val="bottom"/>
            <w:gridSpan w:val="2"/>
            <w:vMerge w:val="continue"/>
          </w:tcPr>
          <w:p>
            <w:pPr>
              <w:spacing w:after="0"/>
              <w:rPr>
                <w:sz w:val="11"/>
                <w:szCs w:val="11"/>
                <w:color w:val="auto"/>
              </w:rPr>
            </w:pPr>
          </w:p>
        </w:tc>
        <w:tc>
          <w:tcPr>
            <w:tcW w:w="8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780" w:type="dxa"/>
            <w:vAlign w:val="bottom"/>
          </w:tcPr>
          <w:p>
            <w:pPr>
              <w:jc w:val="right"/>
              <w:spacing w:after="0" w:line="129" w:lineRule="exact"/>
              <w:rPr>
                <w:sz w:val="20"/>
                <w:szCs w:val="20"/>
                <w:color w:val="auto"/>
              </w:rPr>
            </w:pPr>
            <w:r>
              <w:rPr>
                <w:rFonts w:ascii="Arial" w:cs="Arial" w:eastAsia="Arial" w:hAnsi="Arial"/>
                <w:sz w:val="14"/>
                <w:szCs w:val="14"/>
                <w:color w:val="auto"/>
              </w:rPr>
              <w:t>638.3</w:t>
            </w:r>
          </w:p>
        </w:tc>
        <w:tc>
          <w:tcPr>
            <w:tcW w:w="160" w:type="dxa"/>
            <w:vAlign w:val="bottom"/>
          </w:tcPr>
          <w:p>
            <w:pPr>
              <w:spacing w:after="0"/>
              <w:rPr>
                <w:sz w:val="11"/>
                <w:szCs w:val="11"/>
                <w:color w:val="auto"/>
              </w:rPr>
            </w:pPr>
          </w:p>
        </w:tc>
        <w:tc>
          <w:tcPr>
            <w:tcW w:w="8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860" w:type="dxa"/>
            <w:vAlign w:val="bottom"/>
          </w:tcPr>
          <w:p>
            <w:pPr>
              <w:jc w:val="right"/>
              <w:spacing w:after="0" w:line="129" w:lineRule="exact"/>
              <w:rPr>
                <w:sz w:val="20"/>
                <w:szCs w:val="20"/>
                <w:color w:val="auto"/>
              </w:rPr>
            </w:pPr>
            <w:r>
              <w:rPr>
                <w:rFonts w:ascii="Arial" w:cs="Arial" w:eastAsia="Arial" w:hAnsi="Arial"/>
                <w:sz w:val="14"/>
                <w:szCs w:val="14"/>
                <w:color w:val="auto"/>
              </w:rPr>
              <w:t>715.7</w:t>
            </w:r>
          </w:p>
        </w:tc>
        <w:tc>
          <w:tcPr>
            <w:tcW w:w="160" w:type="dxa"/>
            <w:vAlign w:val="bottom"/>
          </w:tcPr>
          <w:p>
            <w:pPr>
              <w:spacing w:after="0"/>
              <w:rPr>
                <w:sz w:val="11"/>
                <w:szCs w:val="11"/>
                <w:color w:val="auto"/>
              </w:rPr>
            </w:pPr>
          </w:p>
        </w:tc>
        <w:tc>
          <w:tcPr>
            <w:tcW w:w="8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1200" w:type="dxa"/>
            <w:vAlign w:val="bottom"/>
          </w:tcPr>
          <w:p>
            <w:pPr>
              <w:jc w:val="right"/>
              <w:spacing w:after="0" w:line="129" w:lineRule="exact"/>
              <w:rPr>
                <w:sz w:val="20"/>
                <w:szCs w:val="20"/>
                <w:color w:val="auto"/>
              </w:rPr>
            </w:pPr>
            <w:r>
              <w:rPr>
                <w:rFonts w:ascii="Arial" w:cs="Arial" w:eastAsia="Arial" w:hAnsi="Arial"/>
                <w:sz w:val="14"/>
                <w:szCs w:val="14"/>
                <w:color w:val="auto"/>
              </w:rPr>
              <w:t>747.0</w:t>
            </w:r>
          </w:p>
        </w:tc>
        <w:tc>
          <w:tcPr>
            <w:tcW w:w="160" w:type="dxa"/>
            <w:vAlign w:val="bottom"/>
          </w:tcPr>
          <w:p>
            <w:pPr>
              <w:spacing w:after="0"/>
              <w:rPr>
                <w:sz w:val="11"/>
                <w:szCs w:val="11"/>
                <w:color w:val="auto"/>
              </w:rPr>
            </w:pPr>
          </w:p>
        </w:tc>
        <w:tc>
          <w:tcPr>
            <w:tcW w:w="240" w:type="dxa"/>
            <w:vAlign w:val="bottom"/>
          </w:tcPr>
          <w:p>
            <w:pPr>
              <w:jc w:val="right"/>
              <w:ind w:right="126"/>
              <w:spacing w:after="0"/>
              <w:rPr>
                <w:sz w:val="20"/>
                <w:szCs w:val="20"/>
                <w:color w:val="auto"/>
              </w:rPr>
            </w:pPr>
            <w:r>
              <w:rPr>
                <w:rFonts w:ascii="Arial" w:cs="Arial" w:eastAsia="Arial" w:hAnsi="Arial"/>
                <w:sz w:val="10"/>
                <w:szCs w:val="10"/>
                <w:color w:val="auto"/>
                <w:w w:val="71"/>
              </w:rPr>
              <w:t>$</w:t>
            </w:r>
          </w:p>
        </w:tc>
        <w:tc>
          <w:tcPr>
            <w:tcW w:w="640" w:type="dxa"/>
            <w:vAlign w:val="bottom"/>
          </w:tcPr>
          <w:p>
            <w:pPr>
              <w:jc w:val="right"/>
              <w:spacing w:after="0" w:line="129" w:lineRule="exact"/>
              <w:rPr>
                <w:sz w:val="20"/>
                <w:szCs w:val="20"/>
                <w:color w:val="auto"/>
              </w:rPr>
            </w:pPr>
            <w:r>
              <w:rPr>
                <w:rFonts w:ascii="Arial" w:cs="Arial" w:eastAsia="Arial" w:hAnsi="Arial"/>
                <w:sz w:val="14"/>
                <w:szCs w:val="14"/>
                <w:color w:val="auto"/>
              </w:rPr>
              <w:t>(1,426.5)</w:t>
            </w:r>
          </w:p>
        </w:tc>
        <w:tc>
          <w:tcPr>
            <w:tcW w:w="160" w:type="dxa"/>
            <w:vAlign w:val="bottom"/>
          </w:tcPr>
          <w:p>
            <w:pPr>
              <w:spacing w:after="0"/>
              <w:rPr>
                <w:sz w:val="11"/>
                <w:szCs w:val="11"/>
                <w:color w:val="auto"/>
              </w:rPr>
            </w:pPr>
          </w:p>
        </w:tc>
        <w:tc>
          <w:tcPr>
            <w:tcW w:w="10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820" w:type="dxa"/>
            <w:vAlign w:val="bottom"/>
          </w:tcPr>
          <w:p>
            <w:pPr>
              <w:jc w:val="right"/>
              <w:spacing w:after="0" w:line="129" w:lineRule="exact"/>
              <w:rPr>
                <w:sz w:val="20"/>
                <w:szCs w:val="20"/>
                <w:color w:val="auto"/>
              </w:rPr>
            </w:pPr>
            <w:r>
              <w:rPr>
                <w:rFonts w:ascii="Arial" w:cs="Arial" w:eastAsia="Arial" w:hAnsi="Arial"/>
                <w:sz w:val="14"/>
                <w:szCs w:val="14"/>
                <w:color w:val="auto"/>
              </w:rPr>
              <w:t>674.5</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comprehensive loss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(34.5)</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(44.0)</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(51.1)</w:t>
            </w: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89.0</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(40.6)</w:t>
            </w:r>
          </w:p>
        </w:tc>
        <w:tc>
          <w:tcPr>
            <w:tcW w:w="0" w:type="dxa"/>
            <w:vAlign w:val="bottom"/>
          </w:tcPr>
          <w:p>
            <w:pPr>
              <w:spacing w:after="0"/>
              <w:rPr>
                <w:sz w:val="1"/>
                <w:szCs w:val="1"/>
                <w:color w:val="auto"/>
              </w:rPr>
            </w:pPr>
          </w:p>
        </w:tc>
      </w:tr>
      <w:tr>
        <w:trPr>
          <w:trHeight w:val="142"/>
        </w:trPr>
        <w:tc>
          <w:tcPr>
            <w:tcW w:w="3540" w:type="dxa"/>
            <w:vAlign w:val="bottom"/>
            <w:gridSpan w:val="2"/>
          </w:tcPr>
          <w:p>
            <w:pPr>
              <w:spacing w:after="0" w:line="142" w:lineRule="exact"/>
              <w:rPr>
                <w:sz w:val="20"/>
                <w:szCs w:val="20"/>
                <w:color w:val="auto"/>
              </w:rPr>
            </w:pPr>
            <w:r>
              <w:rPr>
                <w:rFonts w:ascii="Arial" w:cs="Arial" w:eastAsia="Arial" w:hAnsi="Arial"/>
                <w:sz w:val="14"/>
                <w:szCs w:val="14"/>
                <w:color w:val="auto"/>
              </w:rPr>
              <w:t>Comprehensive income</w:t>
            </w: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603.8</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671.7</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12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695.9</w:t>
            </w:r>
          </w:p>
        </w:tc>
        <w:tc>
          <w:tcPr>
            <w:tcW w:w="160" w:type="dxa"/>
            <w:vAlign w:val="bottom"/>
          </w:tcPr>
          <w:p>
            <w:pPr>
              <w:spacing w:after="0"/>
              <w:rPr>
                <w:sz w:val="12"/>
                <w:szCs w:val="12"/>
                <w:color w:val="auto"/>
              </w:rPr>
            </w:pPr>
          </w:p>
        </w:tc>
        <w:tc>
          <w:tcPr>
            <w:tcW w:w="240" w:type="dxa"/>
            <w:vAlign w:val="bottom"/>
            <w:tcBorders>
              <w:top w:val="single" w:sz="8" w:color="auto"/>
              <w:bottom w:val="single" w:sz="8" w:color="auto"/>
            </w:tcBorders>
          </w:tcPr>
          <w:p>
            <w:pPr>
              <w:jc w:val="right"/>
              <w:ind w:right="126"/>
              <w:spacing w:after="0"/>
              <w:rPr>
                <w:sz w:val="20"/>
                <w:szCs w:val="20"/>
                <w:color w:val="auto"/>
              </w:rPr>
            </w:pPr>
            <w:r>
              <w:rPr>
                <w:rFonts w:ascii="Arial" w:cs="Arial" w:eastAsia="Arial" w:hAnsi="Arial"/>
                <w:sz w:val="10"/>
                <w:szCs w:val="10"/>
                <w:color w:val="auto"/>
                <w:w w:val="71"/>
              </w:rPr>
              <w:t>$</w:t>
            </w:r>
          </w:p>
        </w:tc>
        <w:tc>
          <w:tcPr>
            <w:tcW w:w="6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(1,337.5)</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633.9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202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360"/>
          </w:cols>
          <w:pgMar w:left="240" w:top="131" w:right="1299" w:bottom="1440" w:gutter="0" w:footer="0" w:header="0"/>
        </w:sectPr>
      </w:pPr>
    </w:p>
    <w:bookmarkStart w:id="206" w:name="page207"/>
    <w:bookmarkEnd w:id="20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21. Condensed Consolidating Financial Information — (continued)</w:t>
      </w:r>
    </w:p>
    <w:p>
      <w:pPr>
        <w:spacing w:after="0" w:line="22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Condensed Consolidating Statements of Cash Flows</w:t>
      </w:r>
    </w:p>
    <w:p>
      <w:pPr>
        <w:spacing w:after="0" w:line="21" w:lineRule="exact"/>
        <w:rPr>
          <w:sz w:val="20"/>
          <w:szCs w:val="20"/>
          <w:color w:val="auto"/>
        </w:rPr>
      </w:pPr>
    </w:p>
    <w:p>
      <w:pPr>
        <w:jc w:val="center"/>
        <w:ind w:right="-1019"/>
        <w:spacing w:after="0"/>
        <w:rPr>
          <w:sz w:val="20"/>
          <w:szCs w:val="20"/>
          <w:color w:val="auto"/>
        </w:rPr>
      </w:pPr>
      <w:r>
        <w:rPr>
          <w:rFonts w:ascii="Arial" w:cs="Arial" w:eastAsia="Arial" w:hAnsi="Arial"/>
          <w:sz w:val="18"/>
          <w:szCs w:val="18"/>
          <w:b w:val="1"/>
          <w:bCs w:val="1"/>
          <w:color w:val="auto"/>
        </w:rPr>
        <w:t>For the year ended December 31, 2013</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0"/>
              </w:rPr>
              <w:t>Principal Life</w:t>
            </w:r>
          </w:p>
        </w:tc>
        <w:tc>
          <w:tcPr>
            <w:tcW w:w="1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1"/>
              </w:rPr>
              <w:t>Principal</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1"/>
              </w:rPr>
              <w:t>Principal</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7"/>
              </w:rPr>
              <w:t>Insurance</w:t>
            </w:r>
          </w:p>
        </w:tc>
        <w:tc>
          <w:tcPr>
            <w:tcW w:w="1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Principal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8"/>
              </w:rPr>
              <w:t>Financial</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Financial</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Company and</w:t>
            </w:r>
          </w:p>
        </w:tc>
        <w:tc>
          <w:tcPr>
            <w:tcW w:w="1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Financial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9"/>
              </w:rPr>
              <w:t>Group, Inc.</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4"/>
              </w:rPr>
              <w:t>Services, Inc.</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Other Subsidiaries</w:t>
            </w:r>
          </w:p>
        </w:tc>
        <w:tc>
          <w:tcPr>
            <w:tcW w:w="1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Group, Inc.</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4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9"/>
              </w:rPr>
              <w:t>Parent Only</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6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9"/>
              </w:rPr>
              <w:t>Only</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7"/>
              </w:rPr>
              <w:t>Combined</w:t>
            </w:r>
          </w:p>
        </w:tc>
        <w:tc>
          <w:tcPr>
            <w:tcW w:w="140" w:type="dxa"/>
            <w:vAlign w:val="bottom"/>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4"/>
                <w:szCs w:val="14"/>
                <w:b w:val="1"/>
                <w:bCs w:val="1"/>
                <w:color w:val="auto"/>
                <w:w w:val="86"/>
              </w:rPr>
              <w:t>Eliminations</w:t>
            </w:r>
          </w:p>
        </w:tc>
        <w:tc>
          <w:tcPr>
            <w:tcW w:w="120" w:type="dxa"/>
            <w:vAlign w:val="bottom"/>
          </w:tcPr>
          <w:p>
            <w:pPr>
              <w:spacing w:after="0"/>
              <w:rPr>
                <w:sz w:val="14"/>
                <w:szCs w:val="14"/>
                <w:color w:val="auto"/>
              </w:rPr>
            </w:pP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5"/>
              </w:rPr>
              <w:t>Consolidated</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tcPr>
          <w:p>
            <w:pPr>
              <w:jc w:val="center"/>
              <w:ind w:right="32"/>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Operating activities</w:t>
            </w:r>
          </w:p>
        </w:tc>
        <w:tc>
          <w:tcPr>
            <w:tcW w:w="180" w:type="dxa"/>
            <w:vAlign w:val="bottom"/>
            <w:tcBorders>
              <w:right w:val="single" w:sz="8" w:color="CCEEFF"/>
            </w:tcBorders>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tcPr>
          <w:p>
            <w:pPr>
              <w:spacing w:after="0" w:line="149" w:lineRule="exact"/>
              <w:rPr>
                <w:sz w:val="20"/>
                <w:szCs w:val="20"/>
                <w:color w:val="auto"/>
              </w:rPr>
            </w:pPr>
            <w:r>
              <w:rPr>
                <w:rFonts w:ascii="Arial" w:cs="Arial" w:eastAsia="Arial" w:hAnsi="Arial"/>
                <w:sz w:val="14"/>
                <w:szCs w:val="14"/>
                <w:color w:val="auto"/>
              </w:rPr>
              <w:t>Net cash provided by (used in) operating activities</w:t>
            </w:r>
          </w:p>
        </w:tc>
        <w:tc>
          <w:tcPr>
            <w:tcW w:w="1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(42.8)</w:t>
            </w:r>
          </w:p>
        </w:tc>
        <w:tc>
          <w:tcPr>
            <w:tcW w:w="14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1,019.0</w:t>
            </w:r>
          </w:p>
        </w:tc>
        <w:tc>
          <w:tcPr>
            <w:tcW w:w="100" w:type="dxa"/>
            <w:vAlign w:val="bottom"/>
          </w:tcPr>
          <w:p>
            <w:pPr>
              <w:spacing w:after="0"/>
              <w:rPr>
                <w:sz w:val="12"/>
                <w:szCs w:val="12"/>
                <w:color w:val="auto"/>
              </w:rPr>
            </w:pPr>
          </w:p>
        </w:tc>
        <w:tc>
          <w:tcPr>
            <w:tcW w:w="14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2,340.2</w:t>
            </w:r>
          </w:p>
        </w:tc>
        <w:tc>
          <w:tcPr>
            <w:tcW w:w="80" w:type="dxa"/>
            <w:vAlign w:val="bottom"/>
          </w:tcPr>
          <w:p>
            <w:pPr>
              <w:spacing w:after="0"/>
              <w:rPr>
                <w:sz w:val="12"/>
                <w:szCs w:val="12"/>
                <w:color w:val="auto"/>
              </w:rPr>
            </w:pPr>
          </w:p>
        </w:tc>
        <w:tc>
          <w:tcPr>
            <w:tcW w:w="1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(1,095.2)</w:t>
            </w:r>
          </w:p>
        </w:tc>
        <w:tc>
          <w:tcPr>
            <w:tcW w:w="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2,221.2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Investing activities</w:t>
            </w:r>
          </w:p>
        </w:tc>
        <w:tc>
          <w:tcPr>
            <w:tcW w:w="180" w:type="dxa"/>
            <w:vAlign w:val="bottom"/>
            <w:tcBorders>
              <w:right w:val="single" w:sz="8" w:color="CCEEFF"/>
            </w:tcBorders>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tcPr>
          <w:p>
            <w:pPr>
              <w:spacing w:after="0" w:line="149" w:lineRule="exact"/>
              <w:rPr>
                <w:sz w:val="20"/>
                <w:szCs w:val="20"/>
                <w:color w:val="auto"/>
              </w:rPr>
            </w:pPr>
            <w:r>
              <w:rPr>
                <w:rFonts w:ascii="Arial" w:cs="Arial" w:eastAsia="Arial" w:hAnsi="Arial"/>
                <w:sz w:val="14"/>
                <w:szCs w:val="14"/>
                <w:color w:val="auto"/>
              </w:rPr>
              <w:t>Available-for-sale securities:</w:t>
            </w:r>
          </w:p>
        </w:tc>
        <w:tc>
          <w:tcPr>
            <w:tcW w:w="1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Purchases</w:t>
            </w:r>
          </w:p>
        </w:tc>
        <w:tc>
          <w:tcPr>
            <w:tcW w:w="180" w:type="dxa"/>
            <w:vAlign w:val="bottom"/>
            <w:tcBorders>
              <w:right w:val="single" w:sz="8" w:color="CCEEFF"/>
            </w:tcBorders>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(9,025.2)</w:t>
            </w:r>
          </w:p>
        </w:tc>
        <w:tc>
          <w:tcPr>
            <w:tcW w:w="140" w:type="dxa"/>
            <w:vAlign w:val="bottom"/>
            <w:tcBorders>
              <w:right w:val="single" w:sz="8" w:color="CCEEFF"/>
            </w:tcBorders>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Borders>
              <w:right w:val="single" w:sz="8" w:color="CCEEFF"/>
            </w:tcBorders>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(9,025.2)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tcPr>
          <w:p>
            <w:pPr>
              <w:ind w:left="140"/>
              <w:spacing w:after="0" w:line="149" w:lineRule="exact"/>
              <w:rPr>
                <w:sz w:val="20"/>
                <w:szCs w:val="20"/>
                <w:color w:val="auto"/>
              </w:rPr>
            </w:pPr>
            <w:r>
              <w:rPr>
                <w:rFonts w:ascii="Arial" w:cs="Arial" w:eastAsia="Arial" w:hAnsi="Arial"/>
                <w:sz w:val="14"/>
                <w:szCs w:val="14"/>
                <w:color w:val="auto"/>
              </w:rPr>
              <w:t>Sales</w:t>
            </w:r>
          </w:p>
        </w:tc>
        <w:tc>
          <w:tcPr>
            <w:tcW w:w="18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1,919.1</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1,919.1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Maturities</w:t>
            </w:r>
          </w:p>
        </w:tc>
        <w:tc>
          <w:tcPr>
            <w:tcW w:w="180" w:type="dxa"/>
            <w:vAlign w:val="bottom"/>
            <w:tcBorders>
              <w:right w:val="single" w:sz="8" w:color="CCEEFF"/>
            </w:tcBorders>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7,359.2</w:t>
            </w:r>
          </w:p>
        </w:tc>
        <w:tc>
          <w:tcPr>
            <w:tcW w:w="8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7,359.2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tcPr>
          <w:p>
            <w:pPr>
              <w:spacing w:after="0" w:line="149" w:lineRule="exact"/>
              <w:rPr>
                <w:sz w:val="20"/>
                <w:szCs w:val="20"/>
                <w:color w:val="auto"/>
              </w:rPr>
            </w:pPr>
            <w:r>
              <w:rPr>
                <w:rFonts w:ascii="Arial" w:cs="Arial" w:eastAsia="Arial" w:hAnsi="Arial"/>
                <w:sz w:val="14"/>
                <w:szCs w:val="14"/>
                <w:color w:val="auto"/>
              </w:rPr>
              <w:t>Mortgage loans acquired or originated</w:t>
            </w:r>
          </w:p>
        </w:tc>
        <w:tc>
          <w:tcPr>
            <w:tcW w:w="18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(2,192.9)</w:t>
            </w:r>
          </w:p>
        </w:tc>
        <w:tc>
          <w:tcPr>
            <w:tcW w:w="14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102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(2,192.9)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Mortgage loans sold or repaid</w:t>
            </w:r>
          </w:p>
        </w:tc>
        <w:tc>
          <w:tcPr>
            <w:tcW w:w="180" w:type="dxa"/>
            <w:vAlign w:val="bottom"/>
            <w:tcBorders>
              <w:right w:val="single" w:sz="8" w:color="CCEEFF"/>
            </w:tcBorders>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2,095.1</w:t>
            </w:r>
          </w:p>
        </w:tc>
        <w:tc>
          <w:tcPr>
            <w:tcW w:w="8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2,095.1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tcPr>
          <w:p>
            <w:pPr>
              <w:spacing w:after="0" w:line="149" w:lineRule="exact"/>
              <w:rPr>
                <w:sz w:val="20"/>
                <w:szCs w:val="20"/>
                <w:color w:val="auto"/>
              </w:rPr>
            </w:pPr>
            <w:r>
              <w:rPr>
                <w:rFonts w:ascii="Arial" w:cs="Arial" w:eastAsia="Arial" w:hAnsi="Arial"/>
                <w:sz w:val="14"/>
                <w:szCs w:val="14"/>
                <w:color w:val="auto"/>
              </w:rPr>
              <w:t>Real estate acquired</w:t>
            </w:r>
          </w:p>
        </w:tc>
        <w:tc>
          <w:tcPr>
            <w:tcW w:w="18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(85.6)</w:t>
            </w:r>
          </w:p>
        </w:tc>
        <w:tc>
          <w:tcPr>
            <w:tcW w:w="14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102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(85.6)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purchases of property and equipment</w:t>
            </w:r>
          </w:p>
        </w:tc>
        <w:tc>
          <w:tcPr>
            <w:tcW w:w="180" w:type="dxa"/>
            <w:vAlign w:val="bottom"/>
            <w:tcBorders>
              <w:right w:val="single" w:sz="8" w:color="CCEEFF"/>
            </w:tcBorders>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(59.4)</w:t>
            </w:r>
          </w:p>
        </w:tc>
        <w:tc>
          <w:tcPr>
            <w:tcW w:w="140" w:type="dxa"/>
            <w:vAlign w:val="bottom"/>
            <w:tcBorders>
              <w:right w:val="single" w:sz="8" w:color="CCEEFF"/>
            </w:tcBorders>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Borders>
              <w:right w:val="single" w:sz="8" w:color="CCEEFF"/>
            </w:tcBorders>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(59.4)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tcPr>
          <w:p>
            <w:pPr>
              <w:spacing w:after="0" w:line="149" w:lineRule="exact"/>
              <w:rPr>
                <w:sz w:val="20"/>
                <w:szCs w:val="20"/>
                <w:color w:val="auto"/>
              </w:rPr>
            </w:pPr>
            <w:r>
              <w:rPr>
                <w:rFonts w:ascii="Arial" w:cs="Arial" w:eastAsia="Arial" w:hAnsi="Arial"/>
                <w:sz w:val="14"/>
                <w:szCs w:val="14"/>
                <w:color w:val="auto"/>
                <w:w w:val="92"/>
              </w:rPr>
              <w:t>Purchases of interests in subsidiaries, net of cash acquired</w:t>
            </w:r>
          </w:p>
        </w:tc>
        <w:tc>
          <w:tcPr>
            <w:tcW w:w="18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(1,268.3)</w:t>
            </w:r>
          </w:p>
        </w:tc>
        <w:tc>
          <w:tcPr>
            <w:tcW w:w="14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102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(1,268.3)</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40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0"/>
              </w:rPr>
              <w:t>Dividends and returns of capital received from (contributions</w:t>
            </w:r>
          </w:p>
        </w:tc>
        <w:tc>
          <w:tcPr>
            <w:tcW w:w="180" w:type="dxa"/>
            <w:vAlign w:val="bottom"/>
            <w:tcBorders>
              <w:right w:val="single" w:sz="8" w:color="CCEEFF"/>
            </w:tcBorders>
            <w:shd w:val="clear" w:color="auto" w:fill="CCEEFF"/>
          </w:tcPr>
          <w:p>
            <w:pPr>
              <w:spacing w:after="0"/>
              <w:rPr>
                <w:sz w:val="11"/>
                <w:szCs w:val="11"/>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319.5</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6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(594.6)</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8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w:t>
            </w:r>
          </w:p>
        </w:tc>
        <w:tc>
          <w:tcPr>
            <w:tcW w:w="140" w:type="dxa"/>
            <w:vAlign w:val="bottom"/>
            <w:tcBorders>
              <w:right w:val="single" w:sz="8" w:color="CCEEFF"/>
            </w:tcBorders>
            <w:shd w:val="clear" w:color="auto" w:fill="CCEEFF"/>
          </w:tcPr>
          <w:p>
            <w:pPr>
              <w:spacing w:after="0"/>
              <w:rPr>
                <w:sz w:val="11"/>
                <w:szCs w:val="11"/>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275.1</w:t>
            </w:r>
          </w:p>
        </w:tc>
        <w:tc>
          <w:tcPr>
            <w:tcW w:w="10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10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40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to) unconsolidated entities</w:t>
            </w:r>
          </w:p>
        </w:tc>
        <w:tc>
          <w:tcPr>
            <w:tcW w:w="180" w:type="dxa"/>
            <w:vAlign w:val="bottom"/>
            <w:tcBorders>
              <w:right w:val="single" w:sz="8" w:color="CCEEFF"/>
            </w:tcBorders>
            <w:shd w:val="clear" w:color="auto" w:fill="CCEEFF"/>
          </w:tcPr>
          <w:p>
            <w:pPr>
              <w:spacing w:after="0"/>
              <w:rPr>
                <w:sz w:val="13"/>
                <w:szCs w:val="13"/>
                <w:color w:val="auto"/>
              </w:rPr>
            </w:pPr>
          </w:p>
        </w:tc>
        <w:tc>
          <w:tcPr>
            <w:tcW w:w="800" w:type="dxa"/>
            <w:vAlign w:val="bottom"/>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vMerge w:val="continue"/>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280" w:type="dxa"/>
            <w:vAlign w:val="bottom"/>
            <w:gridSpan w:val="2"/>
            <w:vMerge w:val="continue"/>
            <w:shd w:val="clear" w:color="auto" w:fill="CCEEFF"/>
          </w:tcPr>
          <w:p>
            <w:pPr>
              <w:spacing w:after="0"/>
              <w:rPr>
                <w:sz w:val="13"/>
                <w:szCs w:val="13"/>
                <w:color w:val="auto"/>
              </w:rPr>
            </w:pPr>
          </w:p>
        </w:tc>
        <w:tc>
          <w:tcPr>
            <w:tcW w:w="140" w:type="dxa"/>
            <w:vAlign w:val="bottom"/>
            <w:tcBorders>
              <w:right w:val="single" w:sz="8" w:color="CCEEFF"/>
            </w:tcBorders>
            <w:shd w:val="clear" w:color="auto" w:fill="CCEEFF"/>
          </w:tcPr>
          <w:p>
            <w:pPr>
              <w:spacing w:after="0"/>
              <w:rPr>
                <w:sz w:val="13"/>
                <w:szCs w:val="13"/>
                <w:color w:val="auto"/>
              </w:rPr>
            </w:pPr>
          </w:p>
        </w:tc>
        <w:tc>
          <w:tcPr>
            <w:tcW w:w="820" w:type="dxa"/>
            <w:vAlign w:val="bottom"/>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tcBorders>
              <w:right w:val="single" w:sz="8" w:color="CCEEFF"/>
            </w:tcBorders>
            <w:shd w:val="clear" w:color="auto" w:fill="CCEEFF"/>
          </w:tcPr>
          <w:p>
            <w:pPr>
              <w:spacing w:after="0"/>
              <w:rPr>
                <w:sz w:val="13"/>
                <w:szCs w:val="13"/>
                <w:color w:val="auto"/>
              </w:rPr>
            </w:pPr>
          </w:p>
        </w:tc>
        <w:tc>
          <w:tcPr>
            <w:tcW w:w="1020" w:type="dxa"/>
            <w:vAlign w:val="bottom"/>
            <w:gridSpan w:val="2"/>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tcPr>
          <w:p>
            <w:pPr>
              <w:spacing w:after="0" w:line="149" w:lineRule="exact"/>
              <w:rPr>
                <w:sz w:val="20"/>
                <w:szCs w:val="20"/>
                <w:color w:val="auto"/>
              </w:rPr>
            </w:pPr>
            <w:r>
              <w:rPr>
                <w:rFonts w:ascii="Arial" w:cs="Arial" w:eastAsia="Arial" w:hAnsi="Arial"/>
                <w:sz w:val="14"/>
                <w:szCs w:val="14"/>
                <w:color w:val="auto"/>
              </w:rPr>
              <w:t>Net change in other investments</w:t>
            </w:r>
          </w:p>
        </w:tc>
        <w:tc>
          <w:tcPr>
            <w:tcW w:w="180" w:type="dxa"/>
            <w:vAlign w:val="bottom"/>
          </w:tcPr>
          <w:p>
            <w:pPr>
              <w:spacing w:after="0"/>
              <w:rPr>
                <w:sz w:val="12"/>
                <w:szCs w:val="12"/>
                <w:color w:val="auto"/>
              </w:rPr>
            </w:pPr>
          </w:p>
        </w:tc>
        <w:tc>
          <w:tcPr>
            <w:tcW w:w="9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(3.1)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(28.7)</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63.5</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31.7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400" w:type="dxa"/>
            <w:vAlign w:val="bottom"/>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340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cash provided by (used in) investing activities</w:t>
            </w:r>
          </w:p>
        </w:tc>
        <w:tc>
          <w:tcPr>
            <w:tcW w:w="180" w:type="dxa"/>
            <w:vAlign w:val="bottom"/>
            <w:tcBorders>
              <w:right w:val="single" w:sz="8" w:color="CCEEFF"/>
            </w:tcBorders>
            <w:shd w:val="clear" w:color="auto" w:fill="CCEEFF"/>
          </w:tcPr>
          <w:p>
            <w:pPr>
              <w:spacing w:after="0"/>
              <w:rPr>
                <w:sz w:val="12"/>
                <w:szCs w:val="12"/>
                <w:color w:val="auto"/>
              </w:rPr>
            </w:pPr>
          </w:p>
        </w:tc>
        <w:tc>
          <w:tcPr>
            <w:tcW w:w="8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316.4</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(623.3)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(1,194.5)</w:t>
            </w:r>
          </w:p>
        </w:tc>
        <w:tc>
          <w:tcPr>
            <w:tcW w:w="140" w:type="dxa"/>
            <w:vAlign w:val="bottom"/>
            <w:tcBorders>
              <w:right w:val="single" w:sz="8" w:color="CCEEFF"/>
            </w:tcBorders>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275.1</w:t>
            </w: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b w:val="1"/>
                <w:bCs w:val="1"/>
                <w:color w:val="auto"/>
              </w:rPr>
              <w:t>(1,226.3)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tcPr>
          <w:p>
            <w:pPr>
              <w:spacing w:after="0" w:line="149" w:lineRule="exact"/>
              <w:rPr>
                <w:sz w:val="20"/>
                <w:szCs w:val="20"/>
                <w:color w:val="auto"/>
              </w:rPr>
            </w:pPr>
            <w:r>
              <w:rPr>
                <w:rFonts w:ascii="Arial" w:cs="Arial" w:eastAsia="Arial" w:hAnsi="Arial"/>
                <w:sz w:val="14"/>
                <w:szCs w:val="14"/>
                <w:b w:val="1"/>
                <w:bCs w:val="1"/>
                <w:color w:val="auto"/>
              </w:rPr>
              <w:t>Financing activities</w:t>
            </w:r>
          </w:p>
        </w:tc>
        <w:tc>
          <w:tcPr>
            <w:tcW w:w="1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Issuance of common stock</w:t>
            </w:r>
          </w:p>
        </w:tc>
        <w:tc>
          <w:tcPr>
            <w:tcW w:w="180" w:type="dxa"/>
            <w:vAlign w:val="bottom"/>
            <w:tcBorders>
              <w:right w:val="single" w:sz="8" w:color="CCEEFF"/>
            </w:tcBorders>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125.8</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tcBorders>
              <w:right w:val="single" w:sz="8" w:color="CCEEFF"/>
            </w:tcBorders>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125.8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tcPr>
          <w:p>
            <w:pPr>
              <w:spacing w:after="0" w:line="149" w:lineRule="exact"/>
              <w:rPr>
                <w:sz w:val="20"/>
                <w:szCs w:val="20"/>
                <w:color w:val="auto"/>
              </w:rPr>
            </w:pPr>
            <w:r>
              <w:rPr>
                <w:rFonts w:ascii="Arial" w:cs="Arial" w:eastAsia="Arial" w:hAnsi="Arial"/>
                <w:sz w:val="14"/>
                <w:szCs w:val="14"/>
                <w:color w:val="auto"/>
              </w:rPr>
              <w:t>Acquisition of treasury stock</w:t>
            </w:r>
          </w:p>
        </w:tc>
        <w:tc>
          <w:tcPr>
            <w:tcW w:w="180" w:type="dxa"/>
            <w:vAlign w:val="bottom"/>
          </w:tcPr>
          <w:p>
            <w:pPr>
              <w:spacing w:after="0"/>
              <w:rPr>
                <w:sz w:val="12"/>
                <w:szCs w:val="12"/>
                <w:color w:val="auto"/>
              </w:rPr>
            </w:pPr>
          </w:p>
        </w:tc>
        <w:tc>
          <w:tcPr>
            <w:tcW w:w="9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(153.6)</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102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(153.6)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Proceeds from financing element derivatives</w:t>
            </w:r>
          </w:p>
        </w:tc>
        <w:tc>
          <w:tcPr>
            <w:tcW w:w="180" w:type="dxa"/>
            <w:vAlign w:val="bottom"/>
            <w:tcBorders>
              <w:right w:val="single" w:sz="8" w:color="CCEEFF"/>
            </w:tcBorders>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47.0</w:t>
            </w:r>
          </w:p>
        </w:tc>
        <w:tc>
          <w:tcPr>
            <w:tcW w:w="8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47.0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tcPr>
          <w:p>
            <w:pPr>
              <w:spacing w:after="0" w:line="149" w:lineRule="exact"/>
              <w:rPr>
                <w:sz w:val="20"/>
                <w:szCs w:val="20"/>
                <w:color w:val="auto"/>
              </w:rPr>
            </w:pPr>
            <w:r>
              <w:rPr>
                <w:rFonts w:ascii="Arial" w:cs="Arial" w:eastAsia="Arial" w:hAnsi="Arial"/>
                <w:sz w:val="14"/>
                <w:szCs w:val="14"/>
                <w:color w:val="auto"/>
              </w:rPr>
              <w:t>Payments for financing element derivatives</w:t>
            </w:r>
          </w:p>
        </w:tc>
        <w:tc>
          <w:tcPr>
            <w:tcW w:w="18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(48.0)</w:t>
            </w:r>
          </w:p>
        </w:tc>
        <w:tc>
          <w:tcPr>
            <w:tcW w:w="14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102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(48.0)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88"/>
              </w:rPr>
              <w:t>Excess tax benefits from share-based payment arrangements</w:t>
            </w:r>
          </w:p>
        </w:tc>
        <w:tc>
          <w:tcPr>
            <w:tcW w:w="180" w:type="dxa"/>
            <w:vAlign w:val="bottom"/>
            <w:tcBorders>
              <w:right w:val="single" w:sz="8" w:color="CCEEFF"/>
            </w:tcBorders>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10.1</w:t>
            </w:r>
          </w:p>
        </w:tc>
        <w:tc>
          <w:tcPr>
            <w:tcW w:w="8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tcPr>
          <w:p>
            <w:pPr>
              <w:spacing w:after="0" w:line="149" w:lineRule="exact"/>
              <w:rPr>
                <w:sz w:val="20"/>
                <w:szCs w:val="20"/>
                <w:color w:val="auto"/>
              </w:rPr>
            </w:pPr>
            <w:r>
              <w:rPr>
                <w:rFonts w:ascii="Arial" w:cs="Arial" w:eastAsia="Arial" w:hAnsi="Arial"/>
                <w:sz w:val="14"/>
                <w:szCs w:val="14"/>
                <w:color w:val="auto"/>
                <w:w w:val="93"/>
              </w:rPr>
              <w:t>Purchase of subsidiary shares from noncontrolling interest</w:t>
            </w:r>
          </w:p>
        </w:tc>
        <w:tc>
          <w:tcPr>
            <w:tcW w:w="18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(52.9)</w:t>
            </w:r>
          </w:p>
        </w:tc>
        <w:tc>
          <w:tcPr>
            <w:tcW w:w="14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102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(52.9)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Sale of subsidiary shares to noncontrolling interest</w:t>
            </w:r>
          </w:p>
        </w:tc>
        <w:tc>
          <w:tcPr>
            <w:tcW w:w="180" w:type="dxa"/>
            <w:vAlign w:val="bottom"/>
            <w:tcBorders>
              <w:right w:val="single" w:sz="8" w:color="CCEEFF"/>
            </w:tcBorders>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31.8</w:t>
            </w:r>
          </w:p>
        </w:tc>
        <w:tc>
          <w:tcPr>
            <w:tcW w:w="8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Borders>
              <w:right w:val="single" w:sz="8" w:color="CCEEFF"/>
            </w:tcBorders>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31.8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tcPr>
          <w:p>
            <w:pPr>
              <w:spacing w:after="0" w:line="149" w:lineRule="exact"/>
              <w:rPr>
                <w:sz w:val="20"/>
                <w:szCs w:val="20"/>
                <w:color w:val="auto"/>
              </w:rPr>
            </w:pPr>
            <w:r>
              <w:rPr>
                <w:rFonts w:ascii="Arial" w:cs="Arial" w:eastAsia="Arial" w:hAnsi="Arial"/>
                <w:sz w:val="14"/>
                <w:szCs w:val="14"/>
                <w:color w:val="auto"/>
              </w:rPr>
              <w:t>Dividends to common stockholders</w:t>
            </w:r>
          </w:p>
        </w:tc>
        <w:tc>
          <w:tcPr>
            <w:tcW w:w="180" w:type="dxa"/>
            <w:vAlign w:val="bottom"/>
          </w:tcPr>
          <w:p>
            <w:pPr>
              <w:spacing w:after="0"/>
              <w:rPr>
                <w:sz w:val="12"/>
                <w:szCs w:val="12"/>
                <w:color w:val="auto"/>
              </w:rPr>
            </w:pPr>
          </w:p>
        </w:tc>
        <w:tc>
          <w:tcPr>
            <w:tcW w:w="90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(288.4)</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102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(288.4)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Dividends to preferred stockholders</w:t>
            </w:r>
          </w:p>
        </w:tc>
        <w:tc>
          <w:tcPr>
            <w:tcW w:w="180" w:type="dxa"/>
            <w:vAlign w:val="bottom"/>
            <w:tcBorders>
              <w:right w:val="single" w:sz="8" w:color="CCEEFF"/>
            </w:tcBorders>
            <w:shd w:val="clear" w:color="auto" w:fill="CCEEFF"/>
          </w:tcPr>
          <w:p>
            <w:pPr>
              <w:spacing w:after="0"/>
              <w:rPr>
                <w:sz w:val="12"/>
                <w:szCs w:val="12"/>
                <w:color w:val="auto"/>
              </w:rPr>
            </w:pPr>
          </w:p>
        </w:tc>
        <w:tc>
          <w:tcPr>
            <w:tcW w:w="9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(33.0)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tcBorders>
              <w:right w:val="single" w:sz="8" w:color="CCEEFF"/>
            </w:tcBorders>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Borders>
              <w:right w:val="single" w:sz="8" w:color="CCEEFF"/>
            </w:tcBorders>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(33.0)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tcPr>
          <w:p>
            <w:pPr>
              <w:spacing w:after="0" w:line="149" w:lineRule="exact"/>
              <w:rPr>
                <w:sz w:val="20"/>
                <w:szCs w:val="20"/>
                <w:color w:val="auto"/>
              </w:rPr>
            </w:pPr>
            <w:r>
              <w:rPr>
                <w:rFonts w:ascii="Arial" w:cs="Arial" w:eastAsia="Arial" w:hAnsi="Arial"/>
                <w:sz w:val="14"/>
                <w:szCs w:val="14"/>
                <w:color w:val="auto"/>
              </w:rPr>
              <w:t>Issuance of long-term debt</w:t>
            </w:r>
          </w:p>
        </w:tc>
        <w:tc>
          <w:tcPr>
            <w:tcW w:w="18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1,122.5</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(1,084.3)</w:t>
            </w:r>
          </w:p>
        </w:tc>
        <w:tc>
          <w:tcPr>
            <w:tcW w:w="12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38.2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Principal repayments of long-term debt</w:t>
            </w:r>
          </w:p>
        </w:tc>
        <w:tc>
          <w:tcPr>
            <w:tcW w:w="180" w:type="dxa"/>
            <w:vAlign w:val="bottom"/>
            <w:tcBorders>
              <w:right w:val="single" w:sz="8" w:color="CCEEFF"/>
            </w:tcBorders>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(218.2)</w:t>
            </w:r>
          </w:p>
        </w:tc>
        <w:tc>
          <w:tcPr>
            <w:tcW w:w="140" w:type="dxa"/>
            <w:vAlign w:val="bottom"/>
            <w:tcBorders>
              <w:right w:val="single" w:sz="8" w:color="CCEEFF"/>
            </w:tcBorders>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Borders>
              <w:right w:val="single" w:sz="8" w:color="CCEEFF"/>
            </w:tcBorders>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(218.2)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tcPr>
          <w:p>
            <w:pPr>
              <w:spacing w:after="0" w:line="149" w:lineRule="exact"/>
              <w:rPr>
                <w:sz w:val="20"/>
                <w:szCs w:val="20"/>
                <w:color w:val="auto"/>
              </w:rPr>
            </w:pPr>
            <w:r>
              <w:rPr>
                <w:rFonts w:ascii="Arial" w:cs="Arial" w:eastAsia="Arial" w:hAnsi="Arial"/>
                <w:sz w:val="14"/>
                <w:szCs w:val="14"/>
                <w:color w:val="auto"/>
                <w:w w:val="94"/>
              </w:rPr>
              <w:t>Net proceeds from (repayments of) short-term borrowings</w:t>
            </w:r>
          </w:p>
        </w:tc>
        <w:tc>
          <w:tcPr>
            <w:tcW w:w="18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(2,122.8)</w:t>
            </w:r>
          </w:p>
        </w:tc>
        <w:tc>
          <w:tcPr>
            <w:tcW w:w="14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2,230.8</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108.0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92"/>
              </w:rPr>
              <w:t>Capital received from (dividends and capital paid to) parent</w:t>
            </w:r>
          </w:p>
        </w:tc>
        <w:tc>
          <w:tcPr>
            <w:tcW w:w="180" w:type="dxa"/>
            <w:vAlign w:val="bottom"/>
            <w:tcBorders>
              <w:right w:val="single" w:sz="8" w:color="CCEEFF"/>
            </w:tcBorders>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(319.5)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594.6</w:t>
            </w:r>
          </w:p>
        </w:tc>
        <w:tc>
          <w:tcPr>
            <w:tcW w:w="8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(275.1)</w:t>
            </w:r>
          </w:p>
        </w:tc>
        <w:tc>
          <w:tcPr>
            <w:tcW w:w="120" w:type="dxa"/>
            <w:vAlign w:val="bottom"/>
            <w:tcBorders>
              <w:right w:val="single" w:sz="8" w:color="CCEEFF"/>
            </w:tcBorders>
            <w:shd w:val="clear" w:color="auto" w:fill="CCEEFF"/>
          </w:tcPr>
          <w:p>
            <w:pPr>
              <w:spacing w:after="0"/>
              <w:rPr>
                <w:sz w:val="12"/>
                <w:szCs w:val="12"/>
                <w:color w:val="auto"/>
              </w:rPr>
            </w:pPr>
          </w:p>
        </w:tc>
        <w:tc>
          <w:tcPr>
            <w:tcW w:w="102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tcPr>
          <w:p>
            <w:pPr>
              <w:spacing w:after="0" w:line="149" w:lineRule="exact"/>
              <w:rPr>
                <w:sz w:val="20"/>
                <w:szCs w:val="20"/>
                <w:color w:val="auto"/>
              </w:rPr>
            </w:pPr>
            <w:r>
              <w:rPr>
                <w:rFonts w:ascii="Arial" w:cs="Arial" w:eastAsia="Arial" w:hAnsi="Arial"/>
                <w:sz w:val="14"/>
                <w:szCs w:val="14"/>
                <w:color w:val="auto"/>
              </w:rPr>
              <w:t>Investment contract deposits</w:t>
            </w:r>
          </w:p>
        </w:tc>
        <w:tc>
          <w:tcPr>
            <w:tcW w:w="18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6,716.3</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6,716.3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Investment contract withdrawals</w:t>
            </w:r>
          </w:p>
        </w:tc>
        <w:tc>
          <w:tcPr>
            <w:tcW w:w="180" w:type="dxa"/>
            <w:vAlign w:val="bottom"/>
            <w:tcBorders>
              <w:right w:val="single" w:sz="8" w:color="CCEEFF"/>
            </w:tcBorders>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(8,852.7)</w:t>
            </w:r>
          </w:p>
        </w:tc>
        <w:tc>
          <w:tcPr>
            <w:tcW w:w="140" w:type="dxa"/>
            <w:vAlign w:val="bottom"/>
            <w:tcBorders>
              <w:right w:val="single" w:sz="8" w:color="CCEEFF"/>
            </w:tcBorders>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Borders>
              <w:right w:val="single" w:sz="8" w:color="CCEEFF"/>
            </w:tcBorders>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(8,852.7)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tcPr>
          <w:p>
            <w:pPr>
              <w:spacing w:after="0" w:line="149" w:lineRule="exact"/>
              <w:rPr>
                <w:sz w:val="20"/>
                <w:szCs w:val="20"/>
                <w:color w:val="auto"/>
              </w:rPr>
            </w:pPr>
            <w:r>
              <w:rPr>
                <w:rFonts w:ascii="Arial" w:cs="Arial" w:eastAsia="Arial" w:hAnsi="Arial"/>
                <w:sz w:val="14"/>
                <w:szCs w:val="14"/>
                <w:color w:val="auto"/>
              </w:rPr>
              <w:t>Net decrease in banking operation deposits</w:t>
            </w:r>
          </w:p>
        </w:tc>
        <w:tc>
          <w:tcPr>
            <w:tcW w:w="180" w:type="dxa"/>
            <w:vAlign w:val="bottom"/>
          </w:tcPr>
          <w:p>
            <w:pPr>
              <w:spacing w:after="0"/>
              <w:rPr>
                <w:sz w:val="12"/>
                <w:szCs w:val="12"/>
                <w:color w:val="auto"/>
              </w:rPr>
            </w:pP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(225.7)</w:t>
            </w:r>
          </w:p>
        </w:tc>
        <w:tc>
          <w:tcPr>
            <w:tcW w:w="140" w:type="dxa"/>
            <w:vAlign w:val="bottom"/>
          </w:tcPr>
          <w:p>
            <w:pPr>
              <w:spacing w:after="0"/>
              <w:rPr>
                <w:sz w:val="12"/>
                <w:szCs w:val="12"/>
                <w:color w:val="auto"/>
              </w:rPr>
            </w:pPr>
          </w:p>
        </w:tc>
        <w:tc>
          <w:tcPr>
            <w:tcW w:w="9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102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(225.7)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w:t>
            </w:r>
          </w:p>
        </w:tc>
        <w:tc>
          <w:tcPr>
            <w:tcW w:w="180" w:type="dxa"/>
            <w:vAlign w:val="bottom"/>
            <w:tcBorders>
              <w:right w:val="single" w:sz="8" w:color="CCEEFF"/>
            </w:tcBorders>
            <w:shd w:val="clear" w:color="auto" w:fill="CCEEFF"/>
          </w:tcPr>
          <w:p>
            <w:pPr>
              <w:spacing w:after="0"/>
              <w:rPr>
                <w:sz w:val="12"/>
                <w:szCs w:val="12"/>
                <w:color w:val="auto"/>
              </w:rPr>
            </w:pPr>
          </w:p>
        </w:tc>
        <w:tc>
          <w:tcPr>
            <w:tcW w:w="9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(5.0)</w:t>
            </w:r>
          </w:p>
        </w:tc>
        <w:tc>
          <w:tcPr>
            <w:tcW w:w="140" w:type="dxa"/>
            <w:vAlign w:val="bottom"/>
            <w:tcBorders>
              <w:right w:val="single" w:sz="8" w:color="CCEEFF"/>
            </w:tcBorders>
            <w:shd w:val="clear" w:color="auto" w:fill="CCEEFF"/>
          </w:tcPr>
          <w:p>
            <w:pPr>
              <w:spacing w:after="0"/>
              <w:rPr>
                <w:sz w:val="12"/>
                <w:szCs w:val="12"/>
                <w:color w:val="auto"/>
              </w:rPr>
            </w:pPr>
          </w:p>
        </w:tc>
        <w:tc>
          <w:tcPr>
            <w:tcW w:w="9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Borders>
              <w:right w:val="single" w:sz="8" w:color="CCEEFF"/>
            </w:tcBorders>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(5.0)</w:t>
            </w:r>
          </w:p>
        </w:tc>
        <w:tc>
          <w:tcPr>
            <w:tcW w:w="0" w:type="dxa"/>
            <w:vAlign w:val="bottom"/>
          </w:tcPr>
          <w:p>
            <w:pPr>
              <w:spacing w:after="0"/>
              <w:rPr>
                <w:sz w:val="1"/>
                <w:szCs w:val="1"/>
                <w:color w:val="auto"/>
              </w:rPr>
            </w:pPr>
          </w:p>
        </w:tc>
      </w:tr>
      <w:tr>
        <w:trPr>
          <w:trHeight w:val="142"/>
        </w:trPr>
        <w:tc>
          <w:tcPr>
            <w:tcW w:w="3420" w:type="dxa"/>
            <w:vAlign w:val="bottom"/>
            <w:gridSpan w:val="2"/>
          </w:tcPr>
          <w:p>
            <w:pPr>
              <w:spacing w:after="0" w:line="142" w:lineRule="exact"/>
              <w:rPr>
                <w:sz w:val="20"/>
                <w:szCs w:val="20"/>
                <w:color w:val="auto"/>
              </w:rPr>
            </w:pPr>
            <w:r>
              <w:rPr>
                <w:rFonts w:ascii="Arial" w:cs="Arial" w:eastAsia="Arial" w:hAnsi="Arial"/>
                <w:sz w:val="14"/>
                <w:szCs w:val="14"/>
                <w:color w:val="auto"/>
              </w:rPr>
              <w:t>Net cash used in financing activities</w:t>
            </w:r>
          </w:p>
        </w:tc>
        <w:tc>
          <w:tcPr>
            <w:tcW w:w="180" w:type="dxa"/>
            <w:vAlign w:val="bottom"/>
          </w:tcPr>
          <w:p>
            <w:pPr>
              <w:spacing w:after="0"/>
              <w:rPr>
                <w:sz w:val="12"/>
                <w:szCs w:val="12"/>
                <w:color w:val="auto"/>
              </w:rPr>
            </w:pPr>
          </w:p>
        </w:tc>
        <w:tc>
          <w:tcPr>
            <w:tcW w:w="8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(349.2)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(319.5)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12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(3,003.0)</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871.4</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(2,800.3)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40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increase (decrease) in cash and cash equivalents</w:t>
            </w:r>
          </w:p>
        </w:tc>
        <w:tc>
          <w:tcPr>
            <w:tcW w:w="180" w:type="dxa"/>
            <w:vAlign w:val="bottom"/>
            <w:tcBorders>
              <w:right w:val="single" w:sz="8" w:color="CCEEFF"/>
            </w:tcBorders>
            <w:shd w:val="clear" w:color="auto" w:fill="CCEEFF"/>
          </w:tcPr>
          <w:p>
            <w:pPr>
              <w:spacing w:after="0"/>
              <w:rPr>
                <w:sz w:val="12"/>
                <w:szCs w:val="12"/>
                <w:color w:val="auto"/>
              </w:rPr>
            </w:pPr>
          </w:p>
        </w:tc>
        <w:tc>
          <w:tcPr>
            <w:tcW w:w="90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(75.6)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76.2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(1,857.3)</w:t>
            </w:r>
          </w:p>
        </w:tc>
        <w:tc>
          <w:tcPr>
            <w:tcW w:w="140" w:type="dxa"/>
            <w:vAlign w:val="bottom"/>
            <w:tcBorders>
              <w:right w:val="single" w:sz="8" w:color="CCEEFF"/>
            </w:tcBorders>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51.3</w:t>
            </w:r>
          </w:p>
        </w:tc>
        <w:tc>
          <w:tcPr>
            <w:tcW w:w="10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b w:val="1"/>
                <w:bCs w:val="1"/>
                <w:color w:val="auto"/>
              </w:rPr>
              <w:t>(1,805.4)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0" w:type="dxa"/>
            <w:vAlign w:val="bottom"/>
          </w:tcPr>
          <w:p>
            <w:pPr>
              <w:spacing w:after="0" w:line="149" w:lineRule="exact"/>
              <w:rPr>
                <w:sz w:val="20"/>
                <w:szCs w:val="20"/>
                <w:color w:val="auto"/>
              </w:rPr>
            </w:pPr>
            <w:r>
              <w:rPr>
                <w:rFonts w:ascii="Arial" w:cs="Arial" w:eastAsia="Arial" w:hAnsi="Arial"/>
                <w:sz w:val="14"/>
                <w:szCs w:val="14"/>
                <w:color w:val="auto"/>
              </w:rPr>
              <w:t>Cash and cash equivalents at beginning of period</w:t>
            </w:r>
          </w:p>
        </w:tc>
        <w:tc>
          <w:tcPr>
            <w:tcW w:w="1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207.1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612.5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4,241.3</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(883.7)</w:t>
            </w:r>
          </w:p>
        </w:tc>
        <w:tc>
          <w:tcPr>
            <w:tcW w:w="12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4,177.2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400" w:type="dxa"/>
            <w:vAlign w:val="bottom"/>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340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Cash and cash equivalents at end of period</w:t>
            </w:r>
          </w:p>
        </w:tc>
        <w:tc>
          <w:tcPr>
            <w:tcW w:w="180" w:type="dxa"/>
            <w:vAlign w:val="bottom"/>
            <w:tcBorders>
              <w:right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8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131.5</w:t>
            </w:r>
          </w:p>
        </w:tc>
        <w:tc>
          <w:tcPr>
            <w:tcW w:w="10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688.7</w:t>
            </w:r>
          </w:p>
        </w:tc>
        <w:tc>
          <w:tcPr>
            <w:tcW w:w="10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2,384.0</w:t>
            </w:r>
          </w:p>
        </w:tc>
        <w:tc>
          <w:tcPr>
            <w:tcW w:w="8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9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b w:val="1"/>
                <w:bCs w:val="1"/>
                <w:color w:val="auto"/>
              </w:rPr>
              <w:t>(832.4)</w:t>
            </w:r>
          </w:p>
        </w:tc>
        <w:tc>
          <w:tcPr>
            <w:tcW w:w="120" w:type="dxa"/>
            <w:vAlign w:val="bottom"/>
            <w:tcBorders>
              <w:right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2,371.8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203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360"/>
          </w:cols>
          <w:pgMar w:left="240" w:top="131" w:right="1299" w:bottom="1440" w:gutter="0" w:footer="0" w:header="0"/>
        </w:sectPr>
      </w:pPr>
    </w:p>
    <w:bookmarkStart w:id="207" w:name="page208"/>
    <w:bookmarkEnd w:id="20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21. Condensed Consolidating Financial Information — (continued)</w:t>
      </w:r>
    </w:p>
    <w:p>
      <w:pPr>
        <w:spacing w:after="0" w:line="200" w:lineRule="exact"/>
        <w:rPr>
          <w:sz w:val="20"/>
          <w:szCs w:val="20"/>
          <w:color w:val="auto"/>
        </w:rPr>
      </w:pPr>
    </w:p>
    <w:p>
      <w:pPr>
        <w:spacing w:after="0" w:line="241"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Condensed Consolidating Statements of Cash Flows</w:t>
      </w:r>
    </w:p>
    <w:p>
      <w:pPr>
        <w:spacing w:after="0" w:line="21" w:lineRule="exact"/>
        <w:rPr>
          <w:sz w:val="20"/>
          <w:szCs w:val="20"/>
          <w:color w:val="auto"/>
        </w:rPr>
      </w:pPr>
    </w:p>
    <w:p>
      <w:pPr>
        <w:jc w:val="center"/>
        <w:ind w:right="-1019"/>
        <w:spacing w:after="0"/>
        <w:rPr>
          <w:sz w:val="20"/>
          <w:szCs w:val="20"/>
          <w:color w:val="auto"/>
        </w:rPr>
      </w:pPr>
      <w:r>
        <w:rPr>
          <w:rFonts w:ascii="Arial" w:cs="Arial" w:eastAsia="Arial" w:hAnsi="Arial"/>
          <w:sz w:val="18"/>
          <w:szCs w:val="18"/>
          <w:b w:val="1"/>
          <w:bCs w:val="1"/>
          <w:color w:val="auto"/>
        </w:rPr>
        <w:t>For the year ended December 31, 2012</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5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Principal Life</w:t>
            </w:r>
          </w:p>
        </w:tc>
        <w:tc>
          <w:tcPr>
            <w:tcW w:w="2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Principal</w:t>
            </w:r>
          </w:p>
        </w:tc>
        <w:tc>
          <w:tcPr>
            <w:tcW w:w="8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Principal</w:t>
            </w:r>
          </w:p>
        </w:tc>
        <w:tc>
          <w:tcPr>
            <w:tcW w:w="80" w:type="dxa"/>
            <w:vAlign w:val="bottom"/>
          </w:tcPr>
          <w:p>
            <w:pPr>
              <w:spacing w:after="0"/>
              <w:rPr>
                <w:sz w:val="12"/>
                <w:szCs w:val="12"/>
                <w:color w:val="auto"/>
              </w:rPr>
            </w:pPr>
          </w:p>
        </w:tc>
        <w:tc>
          <w:tcPr>
            <w:tcW w:w="13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Insurance</w:t>
            </w: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Principal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Financial</w:t>
            </w:r>
          </w:p>
        </w:tc>
        <w:tc>
          <w:tcPr>
            <w:tcW w:w="8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Financial</w:t>
            </w:r>
          </w:p>
        </w:tc>
        <w:tc>
          <w:tcPr>
            <w:tcW w:w="80" w:type="dxa"/>
            <w:vAlign w:val="bottom"/>
          </w:tcPr>
          <w:p>
            <w:pPr>
              <w:spacing w:after="0"/>
              <w:rPr>
                <w:sz w:val="12"/>
                <w:szCs w:val="12"/>
                <w:color w:val="auto"/>
              </w:rPr>
            </w:pPr>
          </w:p>
        </w:tc>
        <w:tc>
          <w:tcPr>
            <w:tcW w:w="13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Company and</w:t>
            </w: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Financial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Group, Inc.</w:t>
            </w:r>
          </w:p>
        </w:tc>
        <w:tc>
          <w:tcPr>
            <w:tcW w:w="80" w:type="dxa"/>
            <w:vAlign w:val="bottom"/>
          </w:tcPr>
          <w:p>
            <w:pPr>
              <w:spacing w:after="0"/>
              <w:rPr>
                <w:sz w:val="12"/>
                <w:szCs w:val="12"/>
                <w:color w:val="auto"/>
              </w:rPr>
            </w:pPr>
          </w:p>
        </w:tc>
        <w:tc>
          <w:tcPr>
            <w:tcW w:w="10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4"/>
              </w:rPr>
              <w:t>Services, Inc.</w:t>
            </w:r>
          </w:p>
        </w:tc>
        <w:tc>
          <w:tcPr>
            <w:tcW w:w="80" w:type="dxa"/>
            <w:vAlign w:val="bottom"/>
          </w:tcPr>
          <w:p>
            <w:pPr>
              <w:spacing w:after="0"/>
              <w:rPr>
                <w:sz w:val="12"/>
                <w:szCs w:val="12"/>
                <w:color w:val="auto"/>
              </w:rPr>
            </w:pPr>
          </w:p>
        </w:tc>
        <w:tc>
          <w:tcPr>
            <w:tcW w:w="13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Other Subsidiaries</w:t>
            </w: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Group, Inc.</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520" w:type="dxa"/>
            <w:vAlign w:val="bottom"/>
          </w:tcPr>
          <w:p>
            <w:pPr>
              <w:spacing w:after="0"/>
              <w:rPr>
                <w:sz w:val="14"/>
                <w:szCs w:val="14"/>
                <w:color w:val="auto"/>
              </w:rPr>
            </w:pPr>
          </w:p>
        </w:tc>
        <w:tc>
          <w:tcPr>
            <w:tcW w:w="102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9"/>
              </w:rPr>
              <w:t>Parent Only</w:t>
            </w:r>
          </w:p>
        </w:tc>
        <w:tc>
          <w:tcPr>
            <w:tcW w:w="80" w:type="dxa"/>
            <w:vAlign w:val="bottom"/>
          </w:tcPr>
          <w:p>
            <w:pPr>
              <w:spacing w:after="0"/>
              <w:rPr>
                <w:sz w:val="14"/>
                <w:szCs w:val="14"/>
                <w:color w:val="auto"/>
              </w:rPr>
            </w:pPr>
          </w:p>
        </w:tc>
        <w:tc>
          <w:tcPr>
            <w:tcW w:w="10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Only</w:t>
            </w:r>
          </w:p>
        </w:tc>
        <w:tc>
          <w:tcPr>
            <w:tcW w:w="80" w:type="dxa"/>
            <w:vAlign w:val="bottom"/>
          </w:tcPr>
          <w:p>
            <w:pPr>
              <w:spacing w:after="0"/>
              <w:rPr>
                <w:sz w:val="14"/>
                <w:szCs w:val="14"/>
                <w:color w:val="auto"/>
              </w:rPr>
            </w:pPr>
          </w:p>
        </w:tc>
        <w:tc>
          <w:tcPr>
            <w:tcW w:w="13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7"/>
              </w:rPr>
              <w:t>Combined</w:t>
            </w:r>
          </w:p>
        </w:tc>
        <w:tc>
          <w:tcPr>
            <w:tcW w:w="104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w w:val="93"/>
              </w:rPr>
              <w:t>Eliminations</w:t>
            </w:r>
          </w:p>
        </w:tc>
        <w:tc>
          <w:tcPr>
            <w:tcW w:w="108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5"/>
              </w:rPr>
              <w:t>Consolidated</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52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tcPr>
          <w:p>
            <w:pPr>
              <w:jc w:val="center"/>
              <w:ind w:right="32"/>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160" w:type="dxa"/>
            <w:vAlign w:val="bottom"/>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Operating activities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Net cash provided by (used in) operating activities</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204.8</w:t>
            </w:r>
          </w:p>
        </w:tc>
        <w:tc>
          <w:tcPr>
            <w:tcW w:w="160" w:type="dxa"/>
            <w:vAlign w:val="bottom"/>
          </w:tcPr>
          <w:p>
            <w:pPr>
              <w:spacing w:after="0"/>
              <w:rPr>
                <w:sz w:val="12"/>
                <w:szCs w:val="12"/>
                <w:color w:val="auto"/>
              </w:rPr>
            </w:pP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10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(1,145.0)</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1,762.0</w:t>
            </w:r>
          </w:p>
        </w:tc>
        <w:tc>
          <w:tcPr>
            <w:tcW w:w="160" w:type="dxa"/>
            <w:vAlign w:val="bottom"/>
          </w:tcPr>
          <w:p>
            <w:pPr>
              <w:spacing w:after="0"/>
              <w:rPr>
                <w:sz w:val="12"/>
                <w:szCs w:val="12"/>
                <w:color w:val="auto"/>
              </w:rPr>
            </w:pPr>
          </w:p>
        </w:tc>
        <w:tc>
          <w:tcPr>
            <w:tcW w:w="240" w:type="dxa"/>
            <w:vAlign w:val="bottom"/>
          </w:tcPr>
          <w:p>
            <w:pPr>
              <w:jc w:val="right"/>
              <w:ind w:right="124"/>
              <w:spacing w:after="0"/>
              <w:rPr>
                <w:sz w:val="20"/>
                <w:szCs w:val="20"/>
                <w:color w:val="auto"/>
              </w:rPr>
            </w:pPr>
            <w:r>
              <w:rPr>
                <w:rFonts w:ascii="Arial" w:cs="Arial" w:eastAsia="Arial" w:hAnsi="Arial"/>
                <w:sz w:val="10"/>
                <w:szCs w:val="10"/>
                <w:color w:val="auto"/>
                <w:w w:val="71"/>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2,259.0</w:t>
            </w:r>
          </w:p>
        </w:tc>
        <w:tc>
          <w:tcPr>
            <w:tcW w:w="160" w:type="dxa"/>
            <w:vAlign w:val="bottom"/>
          </w:tcPr>
          <w:p>
            <w:pPr>
              <w:spacing w:after="0"/>
              <w:rPr>
                <w:sz w:val="12"/>
                <w:szCs w:val="12"/>
                <w:color w:val="auto"/>
              </w:rPr>
            </w:pPr>
          </w:p>
        </w:tc>
        <w:tc>
          <w:tcPr>
            <w:tcW w:w="10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3,080.8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Investing activities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Available-for-sale securities:</w:t>
            </w:r>
          </w:p>
        </w:tc>
        <w:tc>
          <w:tcPr>
            <w:tcW w:w="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Purchases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(8,263.9)</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(8,263.9)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ind w:left="140"/>
              <w:spacing w:after="0" w:line="149" w:lineRule="exact"/>
              <w:rPr>
                <w:sz w:val="20"/>
                <w:szCs w:val="20"/>
                <w:color w:val="auto"/>
              </w:rPr>
            </w:pPr>
            <w:r>
              <w:rPr>
                <w:rFonts w:ascii="Arial" w:cs="Arial" w:eastAsia="Arial" w:hAnsi="Arial"/>
                <w:sz w:val="14"/>
                <w:szCs w:val="14"/>
                <w:color w:val="auto"/>
              </w:rPr>
              <w:t>Sales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1,303.7</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1,303.7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Maturities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6,647.5</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6,647.5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Mortgage loans acquired or originated</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(2,538.4)</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(2,538.4)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Mortgage loans sold or repaid</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1,668.0</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1,668.0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Real estate acquired</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(151.8)</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(151.8)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purchases of property and equipment</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(38.9)</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(38.9)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w w:val="95"/>
              </w:rPr>
              <w:t>Purchases of interests in subsidiaries, net of cash acquired</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(80.4)</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(80.4)</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52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3"/>
              </w:rPr>
              <w:t>Dividends and returns of capital received from (contributions</w:t>
            </w: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52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to) unconsolidated entities</w:t>
            </w:r>
          </w:p>
        </w:tc>
        <w:tc>
          <w:tcPr>
            <w:tcW w:w="80" w:type="dxa"/>
            <w:vAlign w:val="bottom"/>
            <w:shd w:val="clear" w:color="auto" w:fill="CCEEFF"/>
          </w:tcPr>
          <w:p>
            <w:pPr>
              <w:spacing w:after="0"/>
              <w:rPr>
                <w:sz w:val="13"/>
                <w:szCs w:val="13"/>
                <w:color w:val="auto"/>
              </w:rPr>
            </w:pPr>
          </w:p>
        </w:tc>
        <w:tc>
          <w:tcPr>
            <w:tcW w:w="94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(759.2)</w:t>
            </w:r>
          </w:p>
        </w:tc>
        <w:tc>
          <w:tcPr>
            <w:tcW w:w="8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381.0</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36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3"/>
                <w:szCs w:val="13"/>
                <w:color w:val="auto"/>
              </w:rPr>
            </w:pPr>
          </w:p>
        </w:tc>
        <w:tc>
          <w:tcPr>
            <w:tcW w:w="6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378.2</w:t>
            </w:r>
          </w:p>
        </w:tc>
        <w:tc>
          <w:tcPr>
            <w:tcW w:w="1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8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Net change in other investments</w:t>
            </w:r>
          </w:p>
        </w:tc>
        <w:tc>
          <w:tcPr>
            <w:tcW w:w="8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(0.2)</w:t>
            </w:r>
          </w:p>
        </w:tc>
        <w:tc>
          <w:tcPr>
            <w:tcW w:w="80" w:type="dxa"/>
            <w:vAlign w:val="bottom"/>
          </w:tcPr>
          <w:p>
            <w:pPr>
              <w:spacing w:after="0"/>
              <w:rPr>
                <w:sz w:val="12"/>
                <w:szCs w:val="12"/>
                <w:color w:val="auto"/>
              </w:rPr>
            </w:pPr>
          </w:p>
        </w:tc>
        <w:tc>
          <w:tcPr>
            <w:tcW w:w="10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(35.1)</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(121.8)</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(157.1)</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5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35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cash provided by (used in) investing activities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(759.4)</w:t>
            </w: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345.9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color w:val="auto"/>
              </w:rPr>
              <w:t>(1,576.0)</w:t>
            </w: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378.2</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color w:val="auto"/>
              </w:rPr>
              <w:t>(1,611.3)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b w:val="1"/>
                <w:bCs w:val="1"/>
                <w:color w:val="auto"/>
              </w:rPr>
              <w:t>Financing activities</w:t>
            </w:r>
          </w:p>
        </w:tc>
        <w:tc>
          <w:tcPr>
            <w:tcW w:w="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Issuance of common stock</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Acquisition of treasury stock</w:t>
            </w:r>
          </w:p>
        </w:tc>
        <w:tc>
          <w:tcPr>
            <w:tcW w:w="8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(272.7)</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36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(272.7)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Proceeds from financing element derivatives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51.8</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51.8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Payments for financing element derivatives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(49.9)</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(49.9)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91"/>
              </w:rPr>
              <w:t>Excess tax benefits from share-based payment arrangements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10.8</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Dividends to common stockholders</w:t>
            </w:r>
          </w:p>
        </w:tc>
        <w:tc>
          <w:tcPr>
            <w:tcW w:w="8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(231.3)</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36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(231.3)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Dividends to preferred stockholders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(33.0)</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(33.0)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Issuance of long-term debt</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1,483.9</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9.5</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1,493.4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Principal repayments of long-term debt</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(440.8)</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(9.8)</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(450.6)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w w:val="98"/>
              </w:rPr>
              <w:t>Net proceeds from (repayments of) short-term borrowings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(50.0)</w:t>
            </w: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2,240.8</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(2,259.6)</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(68.8)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95"/>
              </w:rPr>
              <w:t>Capital received from (dividends and capital paid to) parent</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759.2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(381.0)</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(378.2)</w:t>
            </w: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Investment contract deposits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6,900.4</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6,900.4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Investment contract withdrawals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(7,522.6)</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(7,522.6)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Net increase in banking operation deposits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32.0</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32.0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(14.6)</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(14.6)</w:t>
            </w:r>
          </w:p>
        </w:tc>
        <w:tc>
          <w:tcPr>
            <w:tcW w:w="0" w:type="dxa"/>
            <w:vAlign w:val="bottom"/>
          </w:tcPr>
          <w:p>
            <w:pPr>
              <w:spacing w:after="0"/>
              <w:rPr>
                <w:sz w:val="1"/>
                <w:szCs w:val="1"/>
                <w:color w:val="auto"/>
              </w:rPr>
            </w:pPr>
          </w:p>
        </w:tc>
      </w:tr>
      <w:tr>
        <w:trPr>
          <w:trHeight w:val="142"/>
        </w:trPr>
        <w:tc>
          <w:tcPr>
            <w:tcW w:w="3540" w:type="dxa"/>
            <w:vAlign w:val="bottom"/>
            <w:gridSpan w:val="2"/>
          </w:tcPr>
          <w:p>
            <w:pPr>
              <w:spacing w:after="0" w:line="142" w:lineRule="exact"/>
              <w:rPr>
                <w:sz w:val="20"/>
                <w:szCs w:val="20"/>
                <w:color w:val="auto"/>
              </w:rPr>
            </w:pPr>
            <w:r>
              <w:rPr>
                <w:rFonts w:ascii="Arial" w:cs="Arial" w:eastAsia="Arial" w:hAnsi="Arial"/>
                <w:sz w:val="14"/>
                <w:szCs w:val="14"/>
                <w:color w:val="auto"/>
              </w:rPr>
              <w:t>Net cash provided by (used in) financing activities</w:t>
            </w:r>
          </w:p>
        </w:tc>
        <w:tc>
          <w:tcPr>
            <w:tcW w:w="8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535.0</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709.2</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12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1,267.4</w:t>
            </w:r>
          </w:p>
        </w:tc>
        <w:tc>
          <w:tcPr>
            <w:tcW w:w="160" w:type="dxa"/>
            <w:vAlign w:val="bottom"/>
          </w:tcPr>
          <w:p>
            <w:pPr>
              <w:spacing w:after="0"/>
              <w:rPr>
                <w:sz w:val="12"/>
                <w:szCs w:val="12"/>
                <w:color w:val="auto"/>
              </w:rPr>
            </w:pPr>
          </w:p>
        </w:tc>
        <w:tc>
          <w:tcPr>
            <w:tcW w:w="240" w:type="dxa"/>
            <w:vAlign w:val="bottom"/>
            <w:tcBorders>
              <w:top w:val="single" w:sz="8" w:color="auto"/>
              <w:bottom w:val="single" w:sz="8" w:color="auto"/>
            </w:tcBorders>
          </w:tcPr>
          <w:p>
            <w:pPr>
              <w:spacing w:after="0"/>
              <w:rPr>
                <w:sz w:val="12"/>
                <w:szCs w:val="12"/>
                <w:color w:val="auto"/>
              </w:rPr>
            </w:pPr>
          </w:p>
        </w:tc>
        <w:tc>
          <w:tcPr>
            <w:tcW w:w="6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(2,637.8)</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(126.2)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5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increase (decrease) in cash and cash equivalents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(19.6)</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(89.9)</w:t>
            </w: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1,453.4</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(0.6)</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1,343.3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Cash and cash equivalents at beginning of period</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226.7</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702.4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2,787.9</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(883.1)</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2,833.9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5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35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Cash and cash equivalents at end of period</w:t>
            </w:r>
          </w:p>
        </w:tc>
        <w:tc>
          <w:tcPr>
            <w:tcW w:w="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207.1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612.5</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12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4,241.3</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jc w:val="right"/>
              <w:ind w:right="124"/>
              <w:spacing w:after="0"/>
              <w:rPr>
                <w:sz w:val="20"/>
                <w:szCs w:val="20"/>
                <w:color w:val="auto"/>
              </w:rPr>
            </w:pPr>
            <w:r>
              <w:rPr>
                <w:rFonts w:ascii="Arial" w:cs="Arial" w:eastAsia="Arial" w:hAnsi="Arial"/>
                <w:sz w:val="10"/>
                <w:szCs w:val="10"/>
                <w:color w:val="auto"/>
                <w:w w:val="71"/>
              </w:rPr>
              <w:t>$</w:t>
            </w:r>
          </w:p>
        </w:tc>
        <w:tc>
          <w:tcPr>
            <w:tcW w:w="8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(883.7)</w:t>
            </w:r>
          </w:p>
        </w:tc>
        <w:tc>
          <w:tcPr>
            <w:tcW w:w="1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4,177.2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204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360"/>
          </w:cols>
          <w:pgMar w:left="240" w:top="132" w:right="1299" w:bottom="1440" w:gutter="0" w:footer="0" w:header="0"/>
        </w:sectPr>
      </w:pPr>
    </w:p>
    <w:bookmarkStart w:id="208" w:name="page209"/>
    <w:bookmarkEnd w:id="20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Notes to Consolidated Financial Statements — (continued)</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21. Condensed Consolidating Financial Information — (continued)</w:t>
      </w:r>
    </w:p>
    <w:p>
      <w:pPr>
        <w:spacing w:after="0" w:line="225" w:lineRule="exact"/>
        <w:rPr>
          <w:sz w:val="20"/>
          <w:szCs w:val="20"/>
          <w:color w:val="auto"/>
        </w:rPr>
      </w:pPr>
    </w:p>
    <w:p>
      <w:pPr>
        <w:jc w:val="center"/>
        <w:ind w:right="-1059"/>
        <w:spacing w:after="0"/>
        <w:rPr>
          <w:sz w:val="20"/>
          <w:szCs w:val="20"/>
          <w:color w:val="auto"/>
        </w:rPr>
      </w:pPr>
      <w:r>
        <w:rPr>
          <w:rFonts w:ascii="Arial" w:cs="Arial" w:eastAsia="Arial" w:hAnsi="Arial"/>
          <w:sz w:val="18"/>
          <w:szCs w:val="18"/>
          <w:b w:val="1"/>
          <w:bCs w:val="1"/>
          <w:color w:val="auto"/>
        </w:rPr>
        <w:t>Condensed Consolidating Statements of Cash Flows</w:t>
      </w:r>
    </w:p>
    <w:p>
      <w:pPr>
        <w:spacing w:after="0" w:line="21" w:lineRule="exact"/>
        <w:rPr>
          <w:sz w:val="20"/>
          <w:szCs w:val="20"/>
          <w:color w:val="auto"/>
        </w:rPr>
      </w:pPr>
    </w:p>
    <w:p>
      <w:pPr>
        <w:jc w:val="center"/>
        <w:ind w:right="-1019"/>
        <w:spacing w:after="0"/>
        <w:rPr>
          <w:sz w:val="20"/>
          <w:szCs w:val="20"/>
          <w:color w:val="auto"/>
        </w:rPr>
      </w:pPr>
      <w:r>
        <w:rPr>
          <w:rFonts w:ascii="Arial" w:cs="Arial" w:eastAsia="Arial" w:hAnsi="Arial"/>
          <w:sz w:val="18"/>
          <w:szCs w:val="18"/>
          <w:b w:val="1"/>
          <w:bCs w:val="1"/>
          <w:color w:val="auto"/>
        </w:rPr>
        <w:t>For the year ended December 31, 2011</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5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Principal Life</w:t>
            </w:r>
          </w:p>
        </w:tc>
        <w:tc>
          <w:tcPr>
            <w:tcW w:w="2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Principal</w:t>
            </w:r>
          </w:p>
        </w:tc>
        <w:tc>
          <w:tcPr>
            <w:tcW w:w="8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Principal</w:t>
            </w:r>
          </w:p>
        </w:tc>
        <w:tc>
          <w:tcPr>
            <w:tcW w:w="80" w:type="dxa"/>
            <w:vAlign w:val="bottom"/>
          </w:tcPr>
          <w:p>
            <w:pPr>
              <w:spacing w:after="0"/>
              <w:rPr>
                <w:sz w:val="12"/>
                <w:szCs w:val="12"/>
                <w:color w:val="auto"/>
              </w:rPr>
            </w:pPr>
          </w:p>
        </w:tc>
        <w:tc>
          <w:tcPr>
            <w:tcW w:w="13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Insurance</w:t>
            </w: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Principal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Financial</w:t>
            </w:r>
          </w:p>
        </w:tc>
        <w:tc>
          <w:tcPr>
            <w:tcW w:w="8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Financial</w:t>
            </w:r>
          </w:p>
        </w:tc>
        <w:tc>
          <w:tcPr>
            <w:tcW w:w="80" w:type="dxa"/>
            <w:vAlign w:val="bottom"/>
          </w:tcPr>
          <w:p>
            <w:pPr>
              <w:spacing w:after="0"/>
              <w:rPr>
                <w:sz w:val="12"/>
                <w:szCs w:val="12"/>
                <w:color w:val="auto"/>
              </w:rPr>
            </w:pPr>
          </w:p>
        </w:tc>
        <w:tc>
          <w:tcPr>
            <w:tcW w:w="13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Company and</w:t>
            </w: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Financial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Group, Inc.</w:t>
            </w:r>
          </w:p>
        </w:tc>
        <w:tc>
          <w:tcPr>
            <w:tcW w:w="80" w:type="dxa"/>
            <w:vAlign w:val="bottom"/>
          </w:tcPr>
          <w:p>
            <w:pPr>
              <w:spacing w:after="0"/>
              <w:rPr>
                <w:sz w:val="12"/>
                <w:szCs w:val="12"/>
                <w:color w:val="auto"/>
              </w:rPr>
            </w:pPr>
          </w:p>
        </w:tc>
        <w:tc>
          <w:tcPr>
            <w:tcW w:w="10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4"/>
              </w:rPr>
              <w:t>Services, Inc.</w:t>
            </w:r>
          </w:p>
        </w:tc>
        <w:tc>
          <w:tcPr>
            <w:tcW w:w="80" w:type="dxa"/>
            <w:vAlign w:val="bottom"/>
          </w:tcPr>
          <w:p>
            <w:pPr>
              <w:spacing w:after="0"/>
              <w:rPr>
                <w:sz w:val="12"/>
                <w:szCs w:val="12"/>
                <w:color w:val="auto"/>
              </w:rPr>
            </w:pPr>
          </w:p>
        </w:tc>
        <w:tc>
          <w:tcPr>
            <w:tcW w:w="13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Other Subsidiaries</w:t>
            </w: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Group, Inc.</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520" w:type="dxa"/>
            <w:vAlign w:val="bottom"/>
          </w:tcPr>
          <w:p>
            <w:pPr>
              <w:spacing w:after="0"/>
              <w:rPr>
                <w:sz w:val="14"/>
                <w:szCs w:val="14"/>
                <w:color w:val="auto"/>
              </w:rPr>
            </w:pPr>
          </w:p>
        </w:tc>
        <w:tc>
          <w:tcPr>
            <w:tcW w:w="102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9"/>
              </w:rPr>
              <w:t>Parent Only</w:t>
            </w:r>
          </w:p>
        </w:tc>
        <w:tc>
          <w:tcPr>
            <w:tcW w:w="80" w:type="dxa"/>
            <w:vAlign w:val="bottom"/>
          </w:tcPr>
          <w:p>
            <w:pPr>
              <w:spacing w:after="0"/>
              <w:rPr>
                <w:sz w:val="14"/>
                <w:szCs w:val="14"/>
                <w:color w:val="auto"/>
              </w:rPr>
            </w:pPr>
          </w:p>
        </w:tc>
        <w:tc>
          <w:tcPr>
            <w:tcW w:w="10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Only</w:t>
            </w:r>
          </w:p>
        </w:tc>
        <w:tc>
          <w:tcPr>
            <w:tcW w:w="80" w:type="dxa"/>
            <w:vAlign w:val="bottom"/>
          </w:tcPr>
          <w:p>
            <w:pPr>
              <w:spacing w:after="0"/>
              <w:rPr>
                <w:sz w:val="14"/>
                <w:szCs w:val="14"/>
                <w:color w:val="auto"/>
              </w:rPr>
            </w:pPr>
          </w:p>
        </w:tc>
        <w:tc>
          <w:tcPr>
            <w:tcW w:w="13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7"/>
              </w:rPr>
              <w:t>Combined</w:t>
            </w:r>
          </w:p>
        </w:tc>
        <w:tc>
          <w:tcPr>
            <w:tcW w:w="104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w w:val="93"/>
              </w:rPr>
              <w:t>Eliminations</w:t>
            </w:r>
          </w:p>
        </w:tc>
        <w:tc>
          <w:tcPr>
            <w:tcW w:w="108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5"/>
              </w:rPr>
              <w:t>Consolidated</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52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tcPr>
          <w:p>
            <w:pPr>
              <w:jc w:val="center"/>
              <w:ind w:right="32"/>
              <w:spacing w:after="0" w:line="142" w:lineRule="exact"/>
              <w:rPr>
                <w:sz w:val="20"/>
                <w:szCs w:val="20"/>
                <w:color w:val="auto"/>
              </w:rPr>
            </w:pPr>
            <w:r>
              <w:rPr>
                <w:rFonts w:ascii="Arial" w:cs="Arial" w:eastAsia="Arial" w:hAnsi="Arial"/>
                <w:sz w:val="14"/>
                <w:szCs w:val="14"/>
                <w:b w:val="1"/>
                <w:bCs w:val="1"/>
                <w:i w:val="1"/>
                <w:iCs w:val="1"/>
                <w:color w:val="auto"/>
                <w:w w:val="89"/>
              </w:rPr>
              <w:t>(in millions)</w:t>
            </w:r>
          </w:p>
        </w:tc>
        <w:tc>
          <w:tcPr>
            <w:tcW w:w="160" w:type="dxa"/>
            <w:vAlign w:val="bottom"/>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Operating activities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Net cash provided by (used in) operating activities</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(73.3)</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70.5</w:t>
            </w:r>
          </w:p>
        </w:tc>
        <w:tc>
          <w:tcPr>
            <w:tcW w:w="160" w:type="dxa"/>
            <w:vAlign w:val="bottom"/>
          </w:tcPr>
          <w:p>
            <w:pPr>
              <w:spacing w:after="0"/>
              <w:rPr>
                <w:sz w:val="12"/>
                <w:szCs w:val="12"/>
                <w:color w:val="auto"/>
              </w:rPr>
            </w:pP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2,795.0</w:t>
            </w:r>
          </w:p>
        </w:tc>
        <w:tc>
          <w:tcPr>
            <w:tcW w:w="160" w:type="dxa"/>
            <w:vAlign w:val="bottom"/>
          </w:tcPr>
          <w:p>
            <w:pPr>
              <w:spacing w:after="0"/>
              <w:rPr>
                <w:sz w:val="12"/>
                <w:szCs w:val="12"/>
                <w:color w:val="auto"/>
              </w:rPr>
            </w:pPr>
          </w:p>
        </w:tc>
        <w:tc>
          <w:tcPr>
            <w:tcW w:w="240" w:type="dxa"/>
            <w:vAlign w:val="bottom"/>
          </w:tcPr>
          <w:p>
            <w:pPr>
              <w:jc w:val="right"/>
              <w:ind w:right="124"/>
              <w:spacing w:after="0"/>
              <w:rPr>
                <w:sz w:val="20"/>
                <w:szCs w:val="20"/>
                <w:color w:val="auto"/>
              </w:rPr>
            </w:pPr>
            <w:r>
              <w:rPr>
                <w:rFonts w:ascii="Arial" w:cs="Arial" w:eastAsia="Arial" w:hAnsi="Arial"/>
                <w:sz w:val="10"/>
                <w:szCs w:val="10"/>
                <w:color w:val="auto"/>
                <w:w w:val="71"/>
              </w:rPr>
              <w:t>$</w:t>
            </w: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(78.9)</w:t>
            </w:r>
          </w:p>
        </w:tc>
        <w:tc>
          <w:tcPr>
            <w:tcW w:w="10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2,713.3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Investing activities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Available-for-sale securities:</w:t>
            </w:r>
          </w:p>
        </w:tc>
        <w:tc>
          <w:tcPr>
            <w:tcW w:w="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Purchases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(4.4)</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(6,738.0)</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(6,742.4)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ind w:left="140"/>
              <w:spacing w:after="0" w:line="149" w:lineRule="exact"/>
              <w:rPr>
                <w:sz w:val="20"/>
                <w:szCs w:val="20"/>
                <w:color w:val="auto"/>
              </w:rPr>
            </w:pPr>
            <w:r>
              <w:rPr>
                <w:rFonts w:ascii="Arial" w:cs="Arial" w:eastAsia="Arial" w:hAnsi="Arial"/>
                <w:sz w:val="14"/>
                <w:szCs w:val="14"/>
                <w:color w:val="auto"/>
              </w:rPr>
              <w:t>Sales</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200.0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780.7</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980.7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Maturities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5,756.4</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5,760.8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Mortgage loans acquired or originated</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(1,484.9)</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(1,484.9)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Mortgage loans sold or repaid</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1,793.1</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1,793.1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Real estate acquired</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(129.9)</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(129.9)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purchases of property and equipment</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(56.9)</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(56.9)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w w:val="95"/>
              </w:rPr>
              <w:t>Purchases of interests in subsidiaries, net of cash acquired</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(270.5)</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(270.5)</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52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Dividends and returns of capital received from</w:t>
            </w: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52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unconsolidated entities</w:t>
            </w:r>
          </w:p>
        </w:tc>
        <w:tc>
          <w:tcPr>
            <w:tcW w:w="8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506.5</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624.1</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36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(1,130.6)</w:t>
            </w:r>
          </w:p>
        </w:tc>
        <w:tc>
          <w:tcPr>
            <w:tcW w:w="100" w:type="dxa"/>
            <w:vAlign w:val="bottom"/>
            <w:shd w:val="clear" w:color="auto" w:fill="CCEEFF"/>
          </w:tcPr>
          <w:p>
            <w:pPr>
              <w:spacing w:after="0"/>
              <w:rPr>
                <w:sz w:val="13"/>
                <w:szCs w:val="13"/>
                <w:color w:val="auto"/>
              </w:rPr>
            </w:pPr>
          </w:p>
        </w:tc>
        <w:tc>
          <w:tcPr>
            <w:tcW w:w="98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Net change in other investments</w:t>
            </w:r>
          </w:p>
        </w:tc>
        <w:tc>
          <w:tcPr>
            <w:tcW w:w="8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(0.2)</w:t>
            </w:r>
          </w:p>
        </w:tc>
        <w:tc>
          <w:tcPr>
            <w:tcW w:w="80" w:type="dxa"/>
            <w:vAlign w:val="bottom"/>
          </w:tcPr>
          <w:p>
            <w:pPr>
              <w:spacing w:after="0"/>
              <w:rPr>
                <w:sz w:val="12"/>
                <w:szCs w:val="12"/>
                <w:color w:val="auto"/>
              </w:rPr>
            </w:pPr>
          </w:p>
        </w:tc>
        <w:tc>
          <w:tcPr>
            <w:tcW w:w="10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(5.4)</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(46.5)</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(52.1)</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5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35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cash provided by (used in) investing activities</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706.3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618.7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color w:val="auto"/>
              </w:rPr>
              <w:t>(396.5)</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(1,130.6)</w:t>
            </w: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color w:val="auto"/>
              </w:rPr>
              <w:t>(202.1)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b w:val="1"/>
                <w:bCs w:val="1"/>
                <w:color w:val="auto"/>
              </w:rPr>
              <w:t>Financing activities</w:t>
            </w:r>
          </w:p>
        </w:tc>
        <w:tc>
          <w:tcPr>
            <w:tcW w:w="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Issuance of common stock</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Acquisition of treasury stock</w:t>
            </w:r>
          </w:p>
        </w:tc>
        <w:tc>
          <w:tcPr>
            <w:tcW w:w="8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(556.4)</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36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(556.4)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Proceeds from financing element derivatives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75.9</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75.9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Payments for financing element derivatives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(46.5)</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(46.5)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91"/>
              </w:rPr>
              <w:t>Excess tax benefits from share-based payment arrangements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Dividends to common stockholders</w:t>
            </w:r>
          </w:p>
        </w:tc>
        <w:tc>
          <w:tcPr>
            <w:tcW w:w="8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(213.7)</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36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(213.7)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Dividends to preferred stockholders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(33.0)</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(33.0)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Principal repayments of long-term debt</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(12.2)</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(12.2)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98"/>
              </w:rPr>
              <w:t>Net proceeds from (repayments of) short-term borrowings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(27.5)</w:t>
            </w: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30.7</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Dividends and capital paid to parent</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(506.5)</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(624.1)</w:t>
            </w:r>
          </w:p>
        </w:tc>
        <w:tc>
          <w:tcPr>
            <w:tcW w:w="2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1,130.6</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Investment contract deposits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6,302.1</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6,302.1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Investment contract withdrawals</w:t>
            </w:r>
          </w:p>
        </w:tc>
        <w:tc>
          <w:tcPr>
            <w:tcW w:w="80" w:type="dxa"/>
            <w:vAlign w:val="bottom"/>
          </w:tcPr>
          <w:p>
            <w:pPr>
              <w:spacing w:after="0"/>
              <w:rPr>
                <w:sz w:val="12"/>
                <w:szCs w:val="12"/>
                <w:color w:val="auto"/>
              </w:rPr>
            </w:pPr>
          </w:p>
        </w:tc>
        <w:tc>
          <w:tcPr>
            <w:tcW w:w="9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(7,079.0)</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(7,079.0)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decrease in banking operation deposits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(18.5)</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(18.5)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tcPr>
          <w:p>
            <w:pPr>
              <w:spacing w:after="0" w:line="149" w:lineRule="exact"/>
              <w:rPr>
                <w:sz w:val="20"/>
                <w:szCs w:val="20"/>
                <w:color w:val="auto"/>
              </w:rPr>
            </w:pPr>
            <w:r>
              <w:rPr>
                <w:rFonts w:ascii="Arial" w:cs="Arial" w:eastAsia="Arial" w:hAnsi="Arial"/>
                <w:sz w:val="14"/>
                <w:szCs w:val="14"/>
                <w:color w:val="auto"/>
              </w:rPr>
              <w:t>Other</w:t>
            </w:r>
          </w:p>
        </w:tc>
        <w:tc>
          <w:tcPr>
            <w:tcW w:w="8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(4.5)</w:t>
            </w:r>
          </w:p>
        </w:tc>
        <w:tc>
          <w:tcPr>
            <w:tcW w:w="24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(4.5)</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5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35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cash used in financing activities</w:t>
            </w:r>
          </w:p>
        </w:tc>
        <w:tc>
          <w:tcPr>
            <w:tcW w:w="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(777.2)</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(506.5)</w:t>
            </w:r>
          </w:p>
        </w:tc>
        <w:tc>
          <w:tcPr>
            <w:tcW w:w="8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color w:val="auto"/>
              </w:rPr>
              <w:t>(1,432.3)</w:t>
            </w: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1,161.3</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color w:val="auto"/>
              </w:rPr>
              <w:t>(1,554.7)</w:t>
            </w:r>
          </w:p>
        </w:tc>
        <w:tc>
          <w:tcPr>
            <w:tcW w:w="0" w:type="dxa"/>
            <w:vAlign w:val="bottom"/>
          </w:tcPr>
          <w:p>
            <w:pPr>
              <w:spacing w:after="0"/>
              <w:rPr>
                <w:sz w:val="1"/>
                <w:szCs w:val="1"/>
                <w:color w:val="auto"/>
              </w:rPr>
            </w:pPr>
          </w:p>
        </w:tc>
      </w:tr>
      <w:tr>
        <w:trPr>
          <w:trHeight w:val="142"/>
        </w:trPr>
        <w:tc>
          <w:tcPr>
            <w:tcW w:w="3540" w:type="dxa"/>
            <w:vAlign w:val="bottom"/>
            <w:gridSpan w:val="2"/>
          </w:tcPr>
          <w:p>
            <w:pPr>
              <w:spacing w:after="0" w:line="142" w:lineRule="exact"/>
              <w:rPr>
                <w:sz w:val="20"/>
                <w:szCs w:val="20"/>
                <w:color w:val="auto"/>
              </w:rPr>
            </w:pPr>
            <w:r>
              <w:rPr>
                <w:rFonts w:ascii="Arial" w:cs="Arial" w:eastAsia="Arial" w:hAnsi="Arial"/>
                <w:sz w:val="14"/>
                <w:szCs w:val="14"/>
                <w:color w:val="auto"/>
              </w:rPr>
              <w:t>Net increase (decrease) in cash and cash equivalents</w:t>
            </w:r>
          </w:p>
        </w:tc>
        <w:tc>
          <w:tcPr>
            <w:tcW w:w="8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(144.2)</w:t>
            </w: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182.7</w:t>
            </w: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966.2</w:t>
            </w:r>
          </w:p>
        </w:tc>
        <w:tc>
          <w:tcPr>
            <w:tcW w:w="160" w:type="dxa"/>
            <w:vAlign w:val="bottom"/>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(48.2)</w:t>
            </w: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956.5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and cash equivalents at beginning of period</w:t>
            </w:r>
          </w:p>
        </w:tc>
        <w:tc>
          <w:tcPr>
            <w:tcW w:w="8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370.9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519.7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1,821.7</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(834.9)</w:t>
            </w:r>
          </w:p>
        </w:tc>
        <w:tc>
          <w:tcPr>
            <w:tcW w:w="1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1,877.4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3540" w:type="dxa"/>
            <w:vAlign w:val="bottom"/>
            <w:gridSpan w:val="2"/>
          </w:tcPr>
          <w:p>
            <w:pPr>
              <w:spacing w:after="0" w:line="142" w:lineRule="exact"/>
              <w:rPr>
                <w:sz w:val="20"/>
                <w:szCs w:val="20"/>
                <w:color w:val="auto"/>
              </w:rPr>
            </w:pPr>
            <w:r>
              <w:rPr>
                <w:rFonts w:ascii="Arial" w:cs="Arial" w:eastAsia="Arial" w:hAnsi="Arial"/>
                <w:sz w:val="14"/>
                <w:szCs w:val="14"/>
                <w:color w:val="auto"/>
              </w:rPr>
              <w:t>Cash and cash equivalents at end of period</w:t>
            </w: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226.7</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702.4</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12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2,787.9</w:t>
            </w:r>
          </w:p>
        </w:tc>
        <w:tc>
          <w:tcPr>
            <w:tcW w:w="160" w:type="dxa"/>
            <w:vAlign w:val="bottom"/>
          </w:tcPr>
          <w:p>
            <w:pPr>
              <w:spacing w:after="0"/>
              <w:rPr>
                <w:sz w:val="12"/>
                <w:szCs w:val="12"/>
                <w:color w:val="auto"/>
              </w:rPr>
            </w:pPr>
          </w:p>
        </w:tc>
        <w:tc>
          <w:tcPr>
            <w:tcW w:w="240" w:type="dxa"/>
            <w:vAlign w:val="bottom"/>
            <w:tcBorders>
              <w:top w:val="single" w:sz="8" w:color="auto"/>
              <w:bottom w:val="single" w:sz="8" w:color="auto"/>
            </w:tcBorders>
          </w:tcPr>
          <w:p>
            <w:pPr>
              <w:jc w:val="right"/>
              <w:ind w:right="124"/>
              <w:spacing w:after="0"/>
              <w:rPr>
                <w:sz w:val="20"/>
                <w:szCs w:val="20"/>
                <w:color w:val="auto"/>
              </w:rPr>
            </w:pPr>
            <w:r>
              <w:rPr>
                <w:rFonts w:ascii="Arial" w:cs="Arial" w:eastAsia="Arial" w:hAnsi="Arial"/>
                <w:sz w:val="10"/>
                <w:szCs w:val="10"/>
                <w:color w:val="auto"/>
                <w:w w:val="71"/>
              </w:rPr>
              <w:t>$</w:t>
            </w:r>
          </w:p>
        </w:tc>
        <w:tc>
          <w:tcPr>
            <w:tcW w:w="6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(883.1)</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2,833.9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205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360"/>
          </w:cols>
          <w:pgMar w:left="240" w:top="131" w:right="1299" w:bottom="1440" w:gutter="0" w:footer="0" w:header="0"/>
        </w:sectPr>
      </w:pPr>
    </w:p>
    <w:bookmarkStart w:id="209" w:name="page210"/>
    <w:bookmarkEnd w:id="20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5"/>
          <w:szCs w:val="15"/>
          <w:b w:val="1"/>
          <w:bCs w:val="1"/>
          <w:color w:val="auto"/>
        </w:rPr>
        <w:t>Changes in and Disagreements with Accountants on Accounting and Financial Disclosure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None.</w:t>
      </w:r>
    </w:p>
    <w:p>
      <w:pPr>
        <w:spacing w:after="0" w:line="219" w:lineRule="exact"/>
        <w:rPr>
          <w:sz w:val="20"/>
          <w:szCs w:val="20"/>
          <w:color w:val="auto"/>
        </w:rPr>
      </w:pPr>
    </w:p>
    <w:p>
      <w:pPr>
        <w:spacing w:after="0"/>
        <w:tabs>
          <w:tab w:leader="none" w:pos="820" w:val="left"/>
        </w:tabs>
        <w:rPr>
          <w:sz w:val="20"/>
          <w:szCs w:val="20"/>
          <w:color w:val="auto"/>
        </w:rPr>
      </w:pPr>
      <w:r>
        <w:rPr>
          <w:rFonts w:ascii="Arial" w:cs="Arial" w:eastAsia="Arial" w:hAnsi="Arial"/>
          <w:sz w:val="18"/>
          <w:szCs w:val="18"/>
          <w:b w:val="1"/>
          <w:bCs w:val="1"/>
          <w:color w:val="auto"/>
        </w:rPr>
        <w:t>Item 9A.</w:t>
      </w:r>
      <w:r>
        <w:rPr>
          <w:sz w:val="20"/>
          <w:szCs w:val="20"/>
          <w:color w:val="auto"/>
        </w:rPr>
        <w:tab/>
      </w:r>
      <w:r>
        <w:rPr>
          <w:rFonts w:ascii="Arial" w:cs="Arial" w:eastAsia="Arial" w:hAnsi="Arial"/>
          <w:sz w:val="15"/>
          <w:szCs w:val="15"/>
          <w:b w:val="1"/>
          <w:bCs w:val="1"/>
          <w:color w:val="auto"/>
        </w:rPr>
        <w:t>Controls and Procedures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Management's Report on Internal Control Over Financial Reporting</w:t>
      </w:r>
    </w:p>
    <w:p>
      <w:pPr>
        <w:spacing w:after="0" w:line="231" w:lineRule="exact"/>
        <w:rPr>
          <w:sz w:val="20"/>
          <w:szCs w:val="20"/>
          <w:color w:val="auto"/>
        </w:rPr>
      </w:pPr>
    </w:p>
    <w:p>
      <w:pPr>
        <w:jc w:val="both"/>
        <w:ind w:firstLine="567"/>
        <w:spacing w:after="0" w:line="289" w:lineRule="auto"/>
        <w:rPr>
          <w:sz w:val="20"/>
          <w:szCs w:val="20"/>
          <w:color w:val="auto"/>
        </w:rPr>
      </w:pPr>
      <w:r>
        <w:rPr>
          <w:rFonts w:ascii="Arial" w:cs="Arial" w:eastAsia="Arial" w:hAnsi="Arial"/>
          <w:sz w:val="16"/>
          <w:szCs w:val="16"/>
          <w:color w:val="auto"/>
        </w:rPr>
        <w:t>Management of Principal Financial Group, Inc. is responsible for establishing and maintaining adequate internal control over financial reporting. A company's internal control over financial reporting is a process designed to provide reasonable assurance regarding the reliability of financial reporting and the preparation of financial statements for external purposes in accordance with U.S.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U.S.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72" w:lineRule="exact"/>
        <w:rPr>
          <w:sz w:val="20"/>
          <w:szCs w:val="20"/>
          <w:color w:val="auto"/>
        </w:rPr>
      </w:pPr>
    </w:p>
    <w:p>
      <w:pPr>
        <w:jc w:val="both"/>
        <w:ind w:firstLine="400"/>
        <w:spacing w:after="0" w:line="259"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94" w:lineRule="exact"/>
        <w:rPr>
          <w:sz w:val="20"/>
          <w:szCs w:val="20"/>
          <w:color w:val="auto"/>
        </w:rPr>
      </w:pPr>
    </w:p>
    <w:p>
      <w:pPr>
        <w:jc w:val="both"/>
        <w:ind w:firstLine="490"/>
        <w:spacing w:after="0" w:line="298" w:lineRule="auto"/>
        <w:rPr>
          <w:sz w:val="20"/>
          <w:szCs w:val="20"/>
          <w:color w:val="auto"/>
        </w:rPr>
      </w:pPr>
      <w:r>
        <w:rPr>
          <w:rFonts w:ascii="Arial" w:cs="Arial" w:eastAsia="Arial" w:hAnsi="Arial"/>
          <w:sz w:val="16"/>
          <w:szCs w:val="16"/>
          <w:color w:val="auto"/>
        </w:rPr>
        <w:t xml:space="preserve">Under the supervision and with the participation of management, including our Chief Executive Officer, Larry D. Zimpleman, and our Chief Financial Officer, Terrance J. Lillis, we conducted an evaluation of the effectiveness of our internal control over financial reporting based on criteria established in the </w:t>
      </w:r>
      <w:r>
        <w:rPr>
          <w:rFonts w:ascii="Arial" w:cs="Arial" w:eastAsia="Arial" w:hAnsi="Arial"/>
          <w:sz w:val="16"/>
          <w:szCs w:val="16"/>
          <w:i w:val="1"/>
          <w:iCs w:val="1"/>
          <w:color w:val="auto"/>
        </w:rPr>
        <w:t xml:space="preserve">Internal Control — Integrated Framework </w:t>
      </w:r>
      <w:r>
        <w:rPr>
          <w:rFonts w:ascii="Arial" w:cs="Arial" w:eastAsia="Arial" w:hAnsi="Arial"/>
          <w:sz w:val="16"/>
          <w:szCs w:val="16"/>
          <w:color w:val="auto"/>
        </w:rPr>
        <w:t>issued by the Committee of Sponsoring Organizations of the Treadway Commission (1992 Framework). Based on our</w:t>
      </w:r>
      <w:r>
        <w:rPr>
          <w:rFonts w:ascii="Arial" w:cs="Arial" w:eastAsia="Arial" w:hAnsi="Arial"/>
          <w:sz w:val="16"/>
          <w:szCs w:val="16"/>
          <w:i w:val="1"/>
          <w:iCs w:val="1"/>
          <w:color w:val="auto"/>
        </w:rPr>
        <w:t xml:space="preserve"> </w:t>
      </w:r>
      <w:r>
        <w:rPr>
          <w:rFonts w:ascii="Arial" w:cs="Arial" w:eastAsia="Arial" w:hAnsi="Arial"/>
          <w:sz w:val="16"/>
          <w:szCs w:val="16"/>
          <w:color w:val="auto"/>
        </w:rPr>
        <w:t>evaluation, management has concluded that Principal Financial Group, Inc.'s internal control over financial reporting was effective as of December 31, 2013.</w:t>
      </w:r>
    </w:p>
    <w:p>
      <w:pPr>
        <w:spacing w:after="0" w:line="167" w:lineRule="exact"/>
        <w:rPr>
          <w:sz w:val="20"/>
          <w:szCs w:val="20"/>
          <w:color w:val="auto"/>
        </w:rPr>
      </w:pPr>
    </w:p>
    <w:p>
      <w:pPr>
        <w:jc w:val="both"/>
        <w:ind w:firstLine="358"/>
        <w:spacing w:after="0" w:line="259" w:lineRule="auto"/>
        <w:rPr>
          <w:sz w:val="20"/>
          <w:szCs w:val="20"/>
          <w:color w:val="auto"/>
        </w:rPr>
      </w:pPr>
      <w:r>
        <w:rPr>
          <w:rFonts w:ascii="Arial" w:cs="Arial" w:eastAsia="Arial" w:hAnsi="Arial"/>
          <w:sz w:val="18"/>
          <w:szCs w:val="18"/>
          <w:color w:val="auto"/>
        </w:rPr>
        <w:t>Ernst &amp; Young LLP, the independent registered public accounting firm that audited our financial statements included in this annual report on Form 10-K, has issued its report on the effectiveness of our internal control over financial reporting. The report is included in Item 8. "Financial Statements and Supplementary Data."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231" w:lineRule="exact"/>
        <w:rPr>
          <w:sz w:val="20"/>
          <w:szCs w:val="20"/>
          <w:color w:val="auto"/>
        </w:rPr>
      </w:pPr>
    </w:p>
    <w:p>
      <w:pPr>
        <w:jc w:val="both"/>
        <w:ind w:firstLine="470"/>
        <w:spacing w:after="0" w:line="268" w:lineRule="auto"/>
        <w:rPr>
          <w:sz w:val="20"/>
          <w:szCs w:val="20"/>
          <w:color w:val="auto"/>
        </w:rPr>
      </w:pPr>
      <w:r>
        <w:rPr>
          <w:rFonts w:ascii="Arial" w:cs="Arial" w:eastAsia="Arial" w:hAnsi="Arial"/>
          <w:sz w:val="18"/>
          <w:szCs w:val="18"/>
          <w:color w:val="auto"/>
        </w:rPr>
        <w:t>There was no change in our internal control over financial reporting during our last fiscal quarter that has materially affected, or is reasonably likely to materially affect, our internal control over financial reporting.</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Disclosure Controls and Procedures</w:t>
      </w:r>
    </w:p>
    <w:p>
      <w:pPr>
        <w:spacing w:after="0" w:line="231" w:lineRule="exact"/>
        <w:rPr>
          <w:sz w:val="20"/>
          <w:szCs w:val="20"/>
          <w:color w:val="auto"/>
        </w:rPr>
      </w:pPr>
    </w:p>
    <w:p>
      <w:pPr>
        <w:jc w:val="both"/>
        <w:ind w:firstLine="386"/>
        <w:spacing w:after="0" w:line="298" w:lineRule="auto"/>
        <w:rPr>
          <w:sz w:val="20"/>
          <w:szCs w:val="20"/>
          <w:color w:val="auto"/>
        </w:rPr>
      </w:pPr>
      <w:r>
        <w:rPr>
          <w:rFonts w:ascii="Arial" w:cs="Arial" w:eastAsia="Arial" w:hAnsi="Arial"/>
          <w:sz w:val="16"/>
          <w:szCs w:val="16"/>
          <w:color w:val="auto"/>
        </w:rPr>
        <w:t>In order to ensure that the information that we must disclose in our filings with the SEC is recorded, processed, summarized and reported on a timely basis, we have adopted disclosure controls and procedures. Disclosure controls and procedures include, without limitation, controls and procedures designed to ensure that information required to be disclosed by us in the reports that we file with or submit to the SEC is accumulated and communicated to our management, including our Chief Executive Officer and our Chief Financial Officer, as appropriate to allow timely decisions regarding required disclosure.</w:t>
      </w:r>
    </w:p>
    <w:p>
      <w:pPr>
        <w:spacing w:after="0" w:line="167" w:lineRule="exact"/>
        <w:rPr>
          <w:sz w:val="20"/>
          <w:szCs w:val="20"/>
          <w:color w:val="auto"/>
        </w:rPr>
      </w:pPr>
    </w:p>
    <w:p>
      <w:pPr>
        <w:jc w:val="both"/>
        <w:ind w:firstLine="403"/>
        <w:spacing w:after="0" w:line="268" w:lineRule="auto"/>
        <w:rPr>
          <w:sz w:val="20"/>
          <w:szCs w:val="20"/>
          <w:color w:val="auto"/>
        </w:rPr>
      </w:pPr>
      <w:r>
        <w:rPr>
          <w:rFonts w:ascii="Arial" w:cs="Arial" w:eastAsia="Arial" w:hAnsi="Arial"/>
          <w:sz w:val="18"/>
          <w:szCs w:val="18"/>
          <w:color w:val="auto"/>
        </w:rPr>
        <w:t>Our Chief Executive Officer, Larry D. Zimpleman, and our Chief Financial Officer, Terrance J. Lillis, have reviewed and evaluated our disclosure controls and procedures as of December 31, 2013, and have concluded that our disclosure controls and procedures are effective.</w:t>
      </w:r>
    </w:p>
    <w:p>
      <w:pPr>
        <w:spacing w:after="0" w:line="180"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Item 9B.</w:t>
      </w:r>
      <w:r>
        <w:rPr>
          <w:sz w:val="20"/>
          <w:szCs w:val="20"/>
          <w:color w:val="auto"/>
        </w:rPr>
        <w:tab/>
      </w:r>
      <w:r>
        <w:rPr>
          <w:rFonts w:ascii="Arial" w:cs="Arial" w:eastAsia="Arial" w:hAnsi="Arial"/>
          <w:sz w:val="16"/>
          <w:szCs w:val="16"/>
          <w:b w:val="1"/>
          <w:bCs w:val="1"/>
          <w:color w:val="auto"/>
        </w:rPr>
        <w:t>Other Information</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10" w:name="page211"/>
    <w:bookmarkEnd w:id="21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III</w:t>
      </w:r>
    </w:p>
    <w:p>
      <w:pPr>
        <w:spacing w:after="0" w:line="225"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5"/>
          <w:szCs w:val="15"/>
          <w:b w:val="1"/>
          <w:bCs w:val="1"/>
          <w:color w:val="auto"/>
        </w:rPr>
        <w:t>Directors, Executive Officers and Corporate Governance</w:t>
      </w:r>
    </w:p>
    <w:p>
      <w:pPr>
        <w:spacing w:after="0" w:line="231" w:lineRule="exact"/>
        <w:rPr>
          <w:sz w:val="20"/>
          <w:szCs w:val="20"/>
          <w:color w:val="auto"/>
        </w:rPr>
      </w:pPr>
    </w:p>
    <w:p>
      <w:pPr>
        <w:jc w:val="both"/>
        <w:ind w:firstLine="453"/>
        <w:spacing w:after="0" w:line="290" w:lineRule="auto"/>
        <w:rPr>
          <w:sz w:val="20"/>
          <w:szCs w:val="20"/>
          <w:color w:val="auto"/>
        </w:rPr>
      </w:pPr>
      <w:r>
        <w:rPr>
          <w:rFonts w:ascii="Arial" w:cs="Arial" w:eastAsia="Arial" w:hAnsi="Arial"/>
          <w:sz w:val="16"/>
          <w:szCs w:val="16"/>
          <w:color w:val="auto"/>
        </w:rPr>
        <w:t xml:space="preserve">The information called for by Item 10 pertaining to directors is set forth in Principal Financial Group, Inc.'s proxy statement relating to the 2014 annual stockholders meeting (the "Proxy Statement"), which will be filed with the SEC on or about April 7, 2014, under the captions, "Election of Directors," "Corporate Governance," and "Security Ownership of Certain Beneficial Owners and Management — Section 16(a) Beneficial Ownership Reporting Compliance." Such information is incorporated herein by reference. The information called for by Item 10 pertaining to executive officers can be found in Part I of this Form 10-K under the caption, "Executive Officers of the Registrant." The Company has adopted a code of ethics that applies to our principal executive officer, principal financial officer and principal accounting officer. The code of ethics has been posted on our Internet website, found at </w:t>
      </w:r>
      <w:r>
        <w:rPr>
          <w:rFonts w:ascii="Arial" w:cs="Arial" w:eastAsia="Arial" w:hAnsi="Arial"/>
          <w:sz w:val="16"/>
          <w:szCs w:val="16"/>
          <w:i w:val="1"/>
          <w:iCs w:val="1"/>
          <w:color w:val="auto"/>
        </w:rPr>
        <w:t>www.principal.com</w:t>
      </w:r>
      <w:r>
        <w:rPr>
          <w:rFonts w:ascii="Arial" w:cs="Arial" w:eastAsia="Arial" w:hAnsi="Arial"/>
          <w:sz w:val="16"/>
          <w:szCs w:val="16"/>
          <w:color w:val="auto"/>
        </w:rPr>
        <w:t>. We intend to satisfy disclosure requirements regarding amendments to, or waivers from, any provision of our code of ethics on our website.</w:t>
      </w:r>
    </w:p>
    <w:p>
      <w:pPr>
        <w:spacing w:after="0" w:line="166"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Item 11.</w:t>
      </w:r>
      <w:r>
        <w:rPr>
          <w:sz w:val="20"/>
          <w:szCs w:val="20"/>
          <w:color w:val="auto"/>
        </w:rPr>
        <w:tab/>
      </w:r>
      <w:r>
        <w:rPr>
          <w:rFonts w:ascii="Arial" w:cs="Arial" w:eastAsia="Arial" w:hAnsi="Arial"/>
          <w:sz w:val="15"/>
          <w:szCs w:val="15"/>
          <w:b w:val="1"/>
          <w:bCs w:val="1"/>
          <w:color w:val="auto"/>
        </w:rPr>
        <w:t>Executive Compensation</w:t>
      </w:r>
    </w:p>
    <w:p>
      <w:pPr>
        <w:spacing w:after="0" w:line="231" w:lineRule="exact"/>
        <w:rPr>
          <w:sz w:val="20"/>
          <w:szCs w:val="20"/>
          <w:color w:val="auto"/>
        </w:rPr>
      </w:pPr>
    </w:p>
    <w:p>
      <w:pPr>
        <w:jc w:val="both"/>
        <w:ind w:firstLine="348"/>
        <w:spacing w:after="0" w:line="268" w:lineRule="auto"/>
        <w:rPr>
          <w:sz w:val="20"/>
          <w:szCs w:val="20"/>
          <w:color w:val="auto"/>
        </w:rPr>
      </w:pPr>
      <w:r>
        <w:rPr>
          <w:rFonts w:ascii="Arial" w:cs="Arial" w:eastAsia="Arial" w:hAnsi="Arial"/>
          <w:sz w:val="18"/>
          <w:szCs w:val="18"/>
          <w:color w:val="auto"/>
        </w:rPr>
        <w:t>The information called for by Item 11 pertaining to executive compensation is set forth in the Proxy Statement under the caption, "Executive Compensation," and is incorporated herein by reference.</w:t>
      </w:r>
    </w:p>
    <w:p>
      <w:pPr>
        <w:spacing w:after="0" w:line="180"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12.</w:t>
      </w:r>
      <w:r>
        <w:rPr>
          <w:sz w:val="20"/>
          <w:szCs w:val="20"/>
          <w:color w:val="auto"/>
        </w:rPr>
        <w:tab/>
      </w:r>
      <w:r>
        <w:rPr>
          <w:rFonts w:ascii="Arial" w:cs="Arial" w:eastAsia="Arial" w:hAnsi="Arial"/>
          <w:sz w:val="16"/>
          <w:szCs w:val="16"/>
          <w:b w:val="1"/>
          <w:bCs w:val="1"/>
          <w:color w:val="auto"/>
        </w:rPr>
        <w:t>Security Ownership of Certain Beneficial Owners and Management and Related Stockholder Matters</w:t>
      </w:r>
    </w:p>
    <w:p>
      <w:pPr>
        <w:spacing w:after="0" w:line="231" w:lineRule="exact"/>
        <w:rPr>
          <w:sz w:val="20"/>
          <w:szCs w:val="20"/>
          <w:color w:val="auto"/>
        </w:rPr>
      </w:pPr>
    </w:p>
    <w:p>
      <w:pPr>
        <w:jc w:val="both"/>
        <w:ind w:firstLine="456"/>
        <w:spacing w:after="0" w:line="332" w:lineRule="auto"/>
        <w:rPr>
          <w:sz w:val="20"/>
          <w:szCs w:val="20"/>
          <w:color w:val="auto"/>
        </w:rPr>
      </w:pPr>
      <w:r>
        <w:rPr>
          <w:rFonts w:ascii="Arial" w:cs="Arial" w:eastAsia="Arial" w:hAnsi="Arial"/>
          <w:sz w:val="16"/>
          <w:szCs w:val="16"/>
          <w:color w:val="auto"/>
        </w:rPr>
        <w:t>The information called for by Item 12 pertaining to security ownership of certain beneficial owners and management is set forth in the Proxy Statement under the caption, "Security Ownership of Certain Beneficial Owners and Management," and is incorporated herein by reference.</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Compensation Plan Information</w:t>
      </w:r>
    </w:p>
    <w:p>
      <w:pPr>
        <w:spacing w:after="0" w:line="225" w:lineRule="exact"/>
        <w:rPr>
          <w:sz w:val="20"/>
          <w:szCs w:val="20"/>
          <w:color w:val="auto"/>
        </w:rPr>
      </w:pPr>
    </w:p>
    <w:p>
      <w:pPr>
        <w:jc w:val="both"/>
        <w:ind w:firstLine="390"/>
        <w:spacing w:after="0" w:line="294" w:lineRule="auto"/>
        <w:rPr>
          <w:sz w:val="20"/>
          <w:szCs w:val="20"/>
          <w:color w:val="auto"/>
        </w:rPr>
      </w:pPr>
      <w:r>
        <w:rPr>
          <w:rFonts w:ascii="Arial" w:cs="Arial" w:eastAsia="Arial" w:hAnsi="Arial"/>
          <w:sz w:val="16"/>
          <w:szCs w:val="16"/>
          <w:color w:val="auto"/>
        </w:rPr>
        <w:t>In general, we have three compensation plans under which our equity securities are authorized for issuance to employees or directors (not including our tax qualified pension plans): the Principal Financial Group, Inc. Amended and Restated 2010 Stock Incentive Plan, the Principal Financial Group, Inc. Employee Stock Purchase Plan and the Principal Financial Group, Inc. 2005 Directors Stock Plan. The following table shows the number of shares of Common Stock issuable upon exercise of options outstanding at December 31, 2013, the weighted average exercise price of those options and the number of shares of Common Stock remaining available for future issuance at December 31, 2013, excluding shares issuable upon exercise of outstanding options.</w:t>
      </w:r>
    </w:p>
    <w:p>
      <w:pPr>
        <w:spacing w:after="0" w:line="153"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280" w:type="dxa"/>
            <w:vAlign w:val="bottom"/>
          </w:tcPr>
          <w:p>
            <w:pPr>
              <w:spacing w:after="0"/>
              <w:rPr>
                <w:sz w:val="14"/>
                <w:szCs w:val="14"/>
                <w:color w:val="auto"/>
              </w:rPr>
            </w:pPr>
          </w:p>
        </w:tc>
        <w:tc>
          <w:tcPr>
            <w:tcW w:w="1500" w:type="dxa"/>
            <w:vAlign w:val="bottom"/>
          </w:tcPr>
          <w:p>
            <w:pPr>
              <w:jc w:val="center"/>
              <w:spacing w:after="0"/>
              <w:rPr>
                <w:sz w:val="20"/>
                <w:szCs w:val="20"/>
                <w:color w:val="auto"/>
              </w:rPr>
            </w:pPr>
            <w:r>
              <w:rPr>
                <w:rFonts w:ascii="Arial" w:cs="Arial" w:eastAsia="Arial" w:hAnsi="Arial"/>
                <w:sz w:val="14"/>
                <w:szCs w:val="14"/>
                <w:b w:val="1"/>
                <w:bCs w:val="1"/>
                <w:color w:val="auto"/>
                <w:w w:val="93"/>
              </w:rPr>
              <w:t>(a)</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(b)</w:t>
            </w:r>
          </w:p>
        </w:tc>
        <w:tc>
          <w:tcPr>
            <w:tcW w:w="168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1"/>
              </w:rPr>
              <w:t>(c)</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28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8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6"/>
              </w:rPr>
              <w:t>Number of securities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28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7"/>
              </w:rPr>
              <w:t>remaining available for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280" w:type="dxa"/>
            <w:vAlign w:val="bottom"/>
          </w:tcPr>
          <w:p>
            <w:pPr>
              <w:spacing w:after="0"/>
              <w:rPr>
                <w:sz w:val="12"/>
                <w:szCs w:val="12"/>
                <w:color w:val="auto"/>
              </w:rPr>
            </w:pPr>
          </w:p>
        </w:tc>
        <w:tc>
          <w:tcPr>
            <w:tcW w:w="15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Number of securities</w:t>
            </w:r>
          </w:p>
        </w:tc>
        <w:tc>
          <w:tcPr>
            <w:tcW w:w="160" w:type="dxa"/>
            <w:vAlign w:val="bottom"/>
          </w:tcPr>
          <w:p>
            <w:pPr>
              <w:spacing w:after="0"/>
              <w:rPr>
                <w:sz w:val="12"/>
                <w:szCs w:val="12"/>
                <w:color w:val="auto"/>
              </w:rPr>
            </w:pPr>
          </w:p>
        </w:tc>
        <w:tc>
          <w:tcPr>
            <w:tcW w:w="136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6"/>
              </w:rPr>
              <w:t>Weighted-average</w:t>
            </w:r>
          </w:p>
        </w:tc>
        <w:tc>
          <w:tcPr>
            <w:tcW w:w="16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6"/>
              </w:rPr>
              <w:t>future issuance under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280" w:type="dxa"/>
            <w:vAlign w:val="bottom"/>
          </w:tcPr>
          <w:p>
            <w:pPr>
              <w:spacing w:after="0"/>
              <w:rPr>
                <w:sz w:val="12"/>
                <w:szCs w:val="12"/>
                <w:color w:val="auto"/>
              </w:rPr>
            </w:pPr>
          </w:p>
        </w:tc>
        <w:tc>
          <w:tcPr>
            <w:tcW w:w="15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to be issued upon</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3"/>
              </w:rPr>
              <w:t>exercise price of</w:t>
            </w:r>
          </w:p>
        </w:tc>
        <w:tc>
          <w:tcPr>
            <w:tcW w:w="16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4"/>
              </w:rPr>
              <w:t>equity compensation</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280" w:type="dxa"/>
            <w:vAlign w:val="bottom"/>
          </w:tcPr>
          <w:p>
            <w:pPr>
              <w:spacing w:after="0"/>
              <w:rPr>
                <w:sz w:val="12"/>
                <w:szCs w:val="12"/>
                <w:color w:val="auto"/>
              </w:rPr>
            </w:pPr>
          </w:p>
        </w:tc>
        <w:tc>
          <w:tcPr>
            <w:tcW w:w="15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exercise of outstanding</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4"/>
              </w:rPr>
              <w:t>outstanding</w:t>
            </w:r>
          </w:p>
        </w:tc>
        <w:tc>
          <w:tcPr>
            <w:tcW w:w="16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plans (excluding</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280" w:type="dxa"/>
            <w:vAlign w:val="bottom"/>
          </w:tcPr>
          <w:p>
            <w:pPr>
              <w:spacing w:after="0"/>
              <w:rPr>
                <w:sz w:val="12"/>
                <w:szCs w:val="12"/>
                <w:color w:val="auto"/>
              </w:rPr>
            </w:pPr>
          </w:p>
        </w:tc>
        <w:tc>
          <w:tcPr>
            <w:tcW w:w="15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options, warrants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options, warrants</w:t>
            </w:r>
          </w:p>
        </w:tc>
        <w:tc>
          <w:tcPr>
            <w:tcW w:w="168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4"/>
              </w:rPr>
              <w:t>securities reflected</w:t>
            </w:r>
          </w:p>
        </w:tc>
        <w:tc>
          <w:tcPr>
            <w:tcW w:w="0" w:type="dxa"/>
            <w:vAlign w:val="bottom"/>
          </w:tcPr>
          <w:p>
            <w:pPr>
              <w:spacing w:after="0"/>
              <w:rPr>
                <w:sz w:val="1"/>
                <w:szCs w:val="1"/>
                <w:color w:val="auto"/>
              </w:rPr>
            </w:pPr>
          </w:p>
        </w:tc>
      </w:tr>
      <w:tr>
        <w:trPr>
          <w:trHeight w:val="161"/>
        </w:trPr>
        <w:tc>
          <w:tcPr>
            <w:tcW w:w="4440" w:type="dxa"/>
            <w:vAlign w:val="bottom"/>
            <w:gridSpan w:val="4"/>
          </w:tcPr>
          <w:p>
            <w:pPr>
              <w:spacing w:after="0"/>
              <w:rPr>
                <w:sz w:val="20"/>
                <w:szCs w:val="20"/>
                <w:color w:val="auto"/>
              </w:rPr>
            </w:pPr>
            <w:r>
              <w:rPr>
                <w:rFonts w:ascii="Arial" w:cs="Arial" w:eastAsia="Arial" w:hAnsi="Arial"/>
                <w:sz w:val="14"/>
                <w:szCs w:val="14"/>
                <w:b w:val="1"/>
                <w:bCs w:val="1"/>
                <w:color w:val="auto"/>
              </w:rPr>
              <w:t>Plan Category</w:t>
            </w:r>
          </w:p>
        </w:tc>
        <w:tc>
          <w:tcPr>
            <w:tcW w:w="1500" w:type="dxa"/>
            <w:vAlign w:val="bottom"/>
          </w:tcPr>
          <w:p>
            <w:pPr>
              <w:jc w:val="center"/>
              <w:spacing w:after="0"/>
              <w:rPr>
                <w:sz w:val="20"/>
                <w:szCs w:val="20"/>
                <w:color w:val="auto"/>
              </w:rPr>
            </w:pPr>
            <w:r>
              <w:rPr>
                <w:rFonts w:ascii="Arial" w:cs="Arial" w:eastAsia="Arial" w:hAnsi="Arial"/>
                <w:sz w:val="14"/>
                <w:szCs w:val="14"/>
                <w:b w:val="1"/>
                <w:bCs w:val="1"/>
                <w:color w:val="auto"/>
                <w:w w:val="88"/>
              </w:rPr>
              <w:t>and rights</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5"/>
              </w:rPr>
              <w:t>and rights</w:t>
            </w:r>
          </w:p>
        </w:tc>
        <w:tc>
          <w:tcPr>
            <w:tcW w:w="168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9"/>
              </w:rPr>
              <w:t>in column (a))</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280" w:type="dxa"/>
            <w:vAlign w:val="bottom"/>
          </w:tcPr>
          <w:p>
            <w:pPr>
              <w:spacing w:after="0" w:line="20" w:lineRule="exact"/>
              <w:rPr>
                <w:sz w:val="1"/>
                <w:szCs w:val="1"/>
                <w:color w:val="auto"/>
              </w:rPr>
            </w:pPr>
          </w:p>
        </w:tc>
        <w:tc>
          <w:tcPr>
            <w:tcW w:w="1500" w:type="dxa"/>
            <w:vAlign w:val="bottom"/>
            <w:tcBorders>
              <w:right w:val="single" w:sz="8" w:color="auto"/>
            </w:tcBorders>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4420" w:type="dxa"/>
            <w:vAlign w:val="bottom"/>
            <w:gridSpan w:val="3"/>
            <w:shd w:val="clear" w:color="auto" w:fill="CCEEFF"/>
          </w:tcPr>
          <w:p>
            <w:pPr>
              <w:spacing w:after="0" w:line="142" w:lineRule="exact"/>
              <w:rPr>
                <w:sz w:val="20"/>
                <w:szCs w:val="20"/>
                <w:color w:val="auto"/>
              </w:rPr>
            </w:pPr>
            <w:r>
              <w:rPr>
                <w:rFonts w:ascii="Arial" w:cs="Arial" w:eastAsia="Arial" w:hAnsi="Arial"/>
                <w:sz w:val="14"/>
                <w:szCs w:val="14"/>
                <w:color w:val="auto"/>
              </w:rPr>
              <w:t>Equity compensation plans approved by our stockholders (1)</w:t>
            </w:r>
          </w:p>
        </w:tc>
        <w:tc>
          <w:tcPr>
            <w:tcW w:w="1500" w:type="dxa"/>
            <w:vAlign w:val="bottom"/>
            <w:tcBorders>
              <w:right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14,303,948</w:t>
            </w:r>
          </w:p>
        </w:tc>
        <w:tc>
          <w:tcPr>
            <w:tcW w:w="1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81"/>
              </w:rPr>
              <w:t>(2)</w:t>
            </w:r>
          </w:p>
        </w:tc>
        <w:tc>
          <w:tcPr>
            <w:tcW w:w="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128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41.37 (3)</w:t>
            </w:r>
          </w:p>
        </w:tc>
        <w:tc>
          <w:tcPr>
            <w:tcW w:w="168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11,781,992 (4)</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4420" w:type="dxa"/>
            <w:vAlign w:val="bottom"/>
            <w:gridSpan w:val="3"/>
          </w:tcPr>
          <w:p>
            <w:pPr>
              <w:spacing w:after="0"/>
              <w:rPr>
                <w:sz w:val="20"/>
                <w:szCs w:val="20"/>
                <w:color w:val="auto"/>
              </w:rPr>
            </w:pPr>
            <w:r>
              <w:rPr>
                <w:rFonts w:ascii="Arial" w:cs="Arial" w:eastAsia="Arial" w:hAnsi="Arial"/>
                <w:sz w:val="14"/>
                <w:szCs w:val="14"/>
                <w:color w:val="auto"/>
              </w:rPr>
              <w:t>Equity compensation plans not approved by our stockholders</w:t>
            </w:r>
          </w:p>
        </w:tc>
        <w:tc>
          <w:tcPr>
            <w:tcW w:w="1500" w:type="dxa"/>
            <w:vAlign w:val="bottom"/>
          </w:tcPr>
          <w:p>
            <w:pPr>
              <w:jc w:val="right"/>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n/a</w:t>
            </w:r>
          </w:p>
        </w:tc>
        <w:tc>
          <w:tcPr>
            <w:tcW w:w="168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82"/>
        </w:trPr>
        <w:tc>
          <w:tcPr>
            <w:tcW w:w="20" w:type="dxa"/>
            <w:vAlign w:val="bottom"/>
            <w:tcBorders>
              <w:bottom w:val="single" w:sz="8" w:color="auto"/>
            </w:tcBorders>
          </w:tcPr>
          <w:p>
            <w:pPr>
              <w:spacing w:after="0"/>
              <w:rPr>
                <w:sz w:val="7"/>
                <w:szCs w:val="7"/>
                <w:color w:val="auto"/>
              </w:rPr>
            </w:pPr>
          </w:p>
        </w:tc>
        <w:tc>
          <w:tcPr>
            <w:tcW w:w="880" w:type="dxa"/>
            <w:vAlign w:val="bottom"/>
            <w:tcBorders>
              <w:bottom w:val="single" w:sz="8" w:color="auto"/>
            </w:tcBorders>
          </w:tcPr>
          <w:p>
            <w:pPr>
              <w:spacing w:after="0"/>
              <w:rPr>
                <w:sz w:val="7"/>
                <w:szCs w:val="7"/>
                <w:color w:val="auto"/>
              </w:rPr>
            </w:pPr>
          </w:p>
        </w:tc>
        <w:tc>
          <w:tcPr>
            <w:tcW w:w="260" w:type="dxa"/>
            <w:vAlign w:val="bottom"/>
            <w:tcBorders>
              <w:bottom w:val="single" w:sz="8" w:color="auto"/>
            </w:tcBorders>
          </w:tcPr>
          <w:p>
            <w:pPr>
              <w:spacing w:after="0"/>
              <w:rPr>
                <w:sz w:val="7"/>
                <w:szCs w:val="7"/>
                <w:color w:val="auto"/>
              </w:rPr>
            </w:pPr>
          </w:p>
        </w:tc>
        <w:tc>
          <w:tcPr>
            <w:tcW w:w="3280" w:type="dxa"/>
            <w:vAlign w:val="bottom"/>
          </w:tcPr>
          <w:p>
            <w:pPr>
              <w:spacing w:after="0"/>
              <w:rPr>
                <w:sz w:val="7"/>
                <w:szCs w:val="7"/>
                <w:color w:val="auto"/>
              </w:rPr>
            </w:pPr>
          </w:p>
        </w:tc>
        <w:tc>
          <w:tcPr>
            <w:tcW w:w="150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52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jc w:val="both"/>
        <w:ind w:left="1680" w:hanging="531"/>
        <w:spacing w:after="0" w:line="270" w:lineRule="auto"/>
        <w:tabs>
          <w:tab w:leader="none" w:pos="1680" w:val="left"/>
        </w:tabs>
        <w:numPr>
          <w:ilvl w:val="0"/>
          <w:numId w:val="85"/>
        </w:numPr>
        <w:rPr>
          <w:rFonts w:ascii="Arial" w:cs="Arial" w:eastAsia="Arial" w:hAnsi="Arial"/>
          <w:sz w:val="12"/>
          <w:szCs w:val="12"/>
          <w:color w:val="auto"/>
        </w:rPr>
      </w:pPr>
      <w:r>
        <w:rPr>
          <w:rFonts w:ascii="Arial" w:cs="Arial" w:eastAsia="Arial" w:hAnsi="Arial"/>
          <w:sz w:val="12"/>
          <w:szCs w:val="12"/>
          <w:color w:val="auto"/>
        </w:rPr>
        <w:t>The Principal Financial Group, Inc. Employee Stock Purchase Plan, the Principal Financial Group, Inc. Stock Incentive Plan and the Principal Financial Group, Inc. Directors Stock Plan were each approved by our sole stockholder, Principal Mutual Holding Company, prior to our initial public offering of Common Stock on October 22, 2001. Subsequently, the Principal Financial Group, Inc. 2005 Stock Incentive Plan and the Principal Financial Group, Inc. 2005 Directors Stock Plan were each approved by our stockholders on May 17, 2005. An amendment to the Principal Financial Group, Inc. Employee Stock Purchase Plan to increase the number of shares available for issuance under the plan was approved on May 19, 2009. On May 18, 2010, our shareholders approved the 2010 Stock Incentive Plan, which replaced the 2005 Stock Incentive Plan. The 2010 Stock Incentive Plan was subsequently renamed the Amended and Restated 2010 Stock Incentive Plan.</w:t>
      </w:r>
    </w:p>
    <w:p>
      <w:pPr>
        <w:spacing w:after="0" w:line="94" w:lineRule="exact"/>
        <w:rPr>
          <w:rFonts w:ascii="Arial" w:cs="Arial" w:eastAsia="Arial" w:hAnsi="Arial"/>
          <w:sz w:val="12"/>
          <w:szCs w:val="12"/>
          <w:color w:val="auto"/>
        </w:rPr>
      </w:pPr>
    </w:p>
    <w:p>
      <w:pPr>
        <w:jc w:val="both"/>
        <w:ind w:left="1680" w:hanging="531"/>
        <w:spacing w:after="0" w:line="230" w:lineRule="auto"/>
        <w:tabs>
          <w:tab w:leader="none" w:pos="1680" w:val="left"/>
        </w:tabs>
        <w:numPr>
          <w:ilvl w:val="0"/>
          <w:numId w:val="85"/>
        </w:numPr>
        <w:rPr>
          <w:rFonts w:ascii="Arial" w:cs="Arial" w:eastAsia="Arial" w:hAnsi="Arial"/>
          <w:sz w:val="14"/>
          <w:szCs w:val="14"/>
          <w:color w:val="auto"/>
        </w:rPr>
      </w:pPr>
      <w:r>
        <w:rPr>
          <w:rFonts w:ascii="Arial" w:cs="Arial" w:eastAsia="Arial" w:hAnsi="Arial"/>
          <w:sz w:val="14"/>
          <w:szCs w:val="14"/>
          <w:color w:val="auto"/>
        </w:rPr>
        <w:t>Includes 9,621,663 options outstanding under the employee stock incentive plans, 3,770 options outstanding under the directors stock plans, 1,089,053 performance shares under the employee stock incentive plans, 3,288,175 restricted stock units under the employee stock incentive plans, 255,448 restricted stock units under the directors stock plans and 45,839 other stock-based awards under the Directors 2005 Stock Plan for obligations under the Deferred Compensation Plan for Non-Employee Directors of Principal Financial Group, Inc.</w:t>
      </w:r>
    </w:p>
    <w:p>
      <w:pPr>
        <w:spacing w:after="0" w:line="112" w:lineRule="exact"/>
        <w:rPr>
          <w:rFonts w:ascii="Arial" w:cs="Arial" w:eastAsia="Arial" w:hAnsi="Arial"/>
          <w:sz w:val="14"/>
          <w:szCs w:val="14"/>
          <w:color w:val="auto"/>
        </w:rPr>
      </w:pPr>
    </w:p>
    <w:p>
      <w:pPr>
        <w:ind w:left="1680" w:hanging="531"/>
        <w:spacing w:after="0"/>
        <w:tabs>
          <w:tab w:leader="none" w:pos="1680" w:val="left"/>
        </w:tabs>
        <w:numPr>
          <w:ilvl w:val="0"/>
          <w:numId w:val="85"/>
        </w:numPr>
        <w:rPr>
          <w:rFonts w:ascii="Arial" w:cs="Arial" w:eastAsia="Arial" w:hAnsi="Arial"/>
          <w:sz w:val="12"/>
          <w:szCs w:val="12"/>
          <w:color w:val="auto"/>
        </w:rPr>
      </w:pPr>
      <w:r>
        <w:rPr>
          <w:rFonts w:ascii="Arial" w:cs="Arial" w:eastAsia="Arial" w:hAnsi="Arial"/>
          <w:sz w:val="12"/>
          <w:szCs w:val="12"/>
          <w:color w:val="auto"/>
        </w:rPr>
        <w:t>The weighted-average exercise price relates only to outstanding stock options, not to outstanding performance shares, restricted stock units or other stock-based awards.</w:t>
      </w:r>
    </w:p>
    <w:p>
      <w:pPr>
        <w:spacing w:after="0" w:line="145" w:lineRule="exact"/>
        <w:rPr>
          <w:rFonts w:ascii="Arial" w:cs="Arial" w:eastAsia="Arial" w:hAnsi="Arial"/>
          <w:sz w:val="12"/>
          <w:szCs w:val="12"/>
          <w:color w:val="auto"/>
        </w:rPr>
      </w:pPr>
    </w:p>
    <w:p>
      <w:pPr>
        <w:jc w:val="both"/>
        <w:ind w:left="1680" w:hanging="531"/>
        <w:spacing w:after="0" w:line="230" w:lineRule="auto"/>
        <w:tabs>
          <w:tab w:leader="none" w:pos="1680" w:val="left"/>
        </w:tabs>
        <w:numPr>
          <w:ilvl w:val="0"/>
          <w:numId w:val="85"/>
        </w:numPr>
        <w:rPr>
          <w:rFonts w:ascii="Arial" w:cs="Arial" w:eastAsia="Arial" w:hAnsi="Arial"/>
          <w:sz w:val="14"/>
          <w:szCs w:val="14"/>
          <w:color w:val="auto"/>
        </w:rPr>
      </w:pPr>
      <w:r>
        <w:rPr>
          <w:rFonts w:ascii="Arial" w:cs="Arial" w:eastAsia="Arial" w:hAnsi="Arial"/>
          <w:sz w:val="14"/>
          <w:szCs w:val="14"/>
          <w:color w:val="auto"/>
        </w:rPr>
        <w:t>This number includes 5,243,208 shares remaining for issuance under the Employee Stock Purchase Plan, 6,376,411 shares available for issuance in respect of future awards of stock options, stock appreciation rights, restricted stock, restricted stock units, performance shares, performance units and other stock-based awards under the 2010 Stock Incentive Plan and 162,373 shares available for issuance in respect of future awards of stock options, restricted stock, restricted stock units and other stock-based awards under the 2005 Directors Stock Plan.</w:t>
      </w:r>
    </w:p>
    <w:p>
      <w:pPr>
        <w:spacing w:after="0" w:line="190"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13.</w:t>
      </w:r>
      <w:r>
        <w:rPr>
          <w:sz w:val="20"/>
          <w:szCs w:val="20"/>
          <w:color w:val="auto"/>
        </w:rPr>
        <w:tab/>
      </w:r>
      <w:r>
        <w:rPr>
          <w:rFonts w:ascii="Arial" w:cs="Arial" w:eastAsia="Arial" w:hAnsi="Arial"/>
          <w:sz w:val="15"/>
          <w:szCs w:val="15"/>
          <w:b w:val="1"/>
          <w:bCs w:val="1"/>
          <w:color w:val="auto"/>
        </w:rPr>
        <w:t>Certain Relationships and Related Transactions, and Director Independence</w:t>
      </w:r>
    </w:p>
    <w:p>
      <w:pPr>
        <w:spacing w:after="0" w:line="231" w:lineRule="exact"/>
        <w:rPr>
          <w:sz w:val="20"/>
          <w:szCs w:val="20"/>
          <w:color w:val="auto"/>
        </w:rPr>
      </w:pPr>
    </w:p>
    <w:p>
      <w:pPr>
        <w:jc w:val="both"/>
        <w:ind w:firstLine="473"/>
        <w:spacing w:after="0" w:line="259" w:lineRule="auto"/>
        <w:rPr>
          <w:sz w:val="20"/>
          <w:szCs w:val="20"/>
          <w:color w:val="auto"/>
        </w:rPr>
      </w:pPr>
      <w:r>
        <w:rPr>
          <w:rFonts w:ascii="Arial" w:cs="Arial" w:eastAsia="Arial" w:hAnsi="Arial"/>
          <w:sz w:val="18"/>
          <w:szCs w:val="18"/>
          <w:color w:val="auto"/>
        </w:rPr>
        <w:t>The information called for by Item 13 pertaining to certain relationships and related transactions is set forth in the Proxy Statement under the captions, "Corporate Governance — Director Independence," and "Corporate Governance — Certain Relationships and Related Transactions," and is incorporated herein by reference.</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11" w:name="page212"/>
    <w:bookmarkEnd w:id="21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5"/>
          <w:szCs w:val="15"/>
          <w:b w:val="1"/>
          <w:bCs w:val="1"/>
          <w:color w:val="auto"/>
        </w:rPr>
        <w:t>Principal Accounting Fees and Services</w:t>
      </w:r>
    </w:p>
    <w:p>
      <w:pPr>
        <w:spacing w:after="0" w:line="231" w:lineRule="exact"/>
        <w:rPr>
          <w:sz w:val="20"/>
          <w:szCs w:val="20"/>
          <w:color w:val="auto"/>
        </w:rPr>
      </w:pPr>
    </w:p>
    <w:p>
      <w:pPr>
        <w:ind w:firstLine="362"/>
        <w:spacing w:after="0" w:line="268" w:lineRule="auto"/>
        <w:rPr>
          <w:sz w:val="20"/>
          <w:szCs w:val="20"/>
          <w:color w:val="auto"/>
        </w:rPr>
      </w:pPr>
      <w:r>
        <w:rPr>
          <w:rFonts w:ascii="Arial" w:cs="Arial" w:eastAsia="Arial" w:hAnsi="Arial"/>
          <w:sz w:val="18"/>
          <w:szCs w:val="18"/>
          <w:color w:val="auto"/>
        </w:rPr>
        <w:t>The information called for by Item 14 pertaining to principal accounting fees and services is set forth in the Proxy Statement under the caption, "Ratification of Appointment of Independent Registered Public Accountants," and is incorporated herein by reference.</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12" w:name="page213"/>
    <w:bookmarkEnd w:id="21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IV</w:t>
      </w:r>
    </w:p>
    <w:p>
      <w:pPr>
        <w:spacing w:after="0" w:line="225"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15.</w:t>
      </w:r>
      <w:r>
        <w:rPr>
          <w:sz w:val="20"/>
          <w:szCs w:val="20"/>
          <w:color w:val="auto"/>
        </w:rPr>
        <w:tab/>
      </w:r>
      <w:r>
        <w:rPr>
          <w:rFonts w:ascii="Arial" w:cs="Arial" w:eastAsia="Arial" w:hAnsi="Arial"/>
          <w:sz w:val="15"/>
          <w:szCs w:val="15"/>
          <w:b w:val="1"/>
          <w:bCs w:val="1"/>
          <w:color w:val="auto"/>
        </w:rPr>
        <w:t>Exhibits and Financial Statement Schedules</w:t>
      </w:r>
    </w:p>
    <w:p>
      <w:pPr>
        <w:spacing w:after="0" w:line="245" w:lineRule="exact"/>
        <w:rPr>
          <w:sz w:val="20"/>
          <w:szCs w:val="20"/>
          <w:color w:val="auto"/>
        </w:rPr>
      </w:pPr>
    </w:p>
    <w:p>
      <w:pPr>
        <w:ind w:left="1080" w:hanging="532"/>
        <w:spacing w:after="0"/>
        <w:tabs>
          <w:tab w:leader="none" w:pos="1080" w:val="left"/>
        </w:tabs>
        <w:numPr>
          <w:ilvl w:val="0"/>
          <w:numId w:val="86"/>
        </w:numPr>
        <w:rPr>
          <w:rFonts w:ascii="Arial" w:cs="Arial" w:eastAsia="Arial" w:hAnsi="Arial"/>
          <w:sz w:val="18"/>
          <w:szCs w:val="18"/>
          <w:color w:val="auto"/>
        </w:rPr>
      </w:pPr>
      <w:r>
        <w:rPr>
          <w:rFonts w:ascii="Arial" w:cs="Arial" w:eastAsia="Arial" w:hAnsi="Arial"/>
          <w:sz w:val="18"/>
          <w:szCs w:val="18"/>
          <w:color w:val="auto"/>
        </w:rPr>
        <w:t>Documents filed as part of this report.</w:t>
      </w:r>
    </w:p>
    <w:p>
      <w:pPr>
        <w:spacing w:after="0" w:line="200" w:lineRule="exact"/>
        <w:rPr>
          <w:rFonts w:ascii="Arial" w:cs="Arial" w:eastAsia="Arial" w:hAnsi="Arial"/>
          <w:sz w:val="18"/>
          <w:szCs w:val="18"/>
          <w:color w:val="auto"/>
        </w:rPr>
      </w:pPr>
    </w:p>
    <w:p>
      <w:pPr>
        <w:spacing w:after="0" w:line="268" w:lineRule="exact"/>
        <w:rPr>
          <w:rFonts w:ascii="Arial" w:cs="Arial" w:eastAsia="Arial" w:hAnsi="Arial"/>
          <w:sz w:val="18"/>
          <w:szCs w:val="18"/>
          <w:color w:val="auto"/>
        </w:rPr>
      </w:pPr>
    </w:p>
    <w:p>
      <w:pPr>
        <w:ind w:left="1620" w:hanging="532"/>
        <w:spacing w:after="0"/>
        <w:tabs>
          <w:tab w:leader="none" w:pos="1620" w:val="left"/>
        </w:tabs>
        <w:numPr>
          <w:ilvl w:val="1"/>
          <w:numId w:val="86"/>
        </w:numPr>
        <w:rPr>
          <w:rFonts w:ascii="Arial" w:cs="Arial" w:eastAsia="Arial" w:hAnsi="Arial"/>
          <w:sz w:val="18"/>
          <w:szCs w:val="18"/>
          <w:color w:val="auto"/>
        </w:rPr>
      </w:pPr>
      <w:r>
        <w:rPr>
          <w:rFonts w:ascii="Arial" w:cs="Arial" w:eastAsia="Arial" w:hAnsi="Arial"/>
          <w:sz w:val="18"/>
          <w:szCs w:val="18"/>
          <w:color w:val="auto"/>
        </w:rPr>
        <w:t>Financial Statements (see Item 8. Financial Statements and Supplementary Data)</w:t>
      </w:r>
    </w:p>
    <w:p>
      <w:pPr>
        <w:spacing w:after="0" w:line="225" w:lineRule="exact"/>
        <w:rPr>
          <w:rFonts w:ascii="Arial" w:cs="Arial" w:eastAsia="Arial" w:hAnsi="Arial"/>
          <w:sz w:val="18"/>
          <w:szCs w:val="18"/>
          <w:color w:val="auto"/>
        </w:rPr>
      </w:pPr>
    </w:p>
    <w:p>
      <w:pPr>
        <w:ind w:left="1620"/>
        <w:spacing w:after="0"/>
        <w:rPr>
          <w:rFonts w:ascii="Arial" w:cs="Arial" w:eastAsia="Arial" w:hAnsi="Arial"/>
          <w:sz w:val="18"/>
          <w:szCs w:val="18"/>
          <w:color w:val="auto"/>
        </w:rPr>
      </w:pPr>
      <w:r>
        <w:rPr>
          <w:rFonts w:ascii="Arial" w:cs="Arial" w:eastAsia="Arial" w:hAnsi="Arial"/>
          <w:sz w:val="18"/>
          <w:szCs w:val="18"/>
          <w:color w:val="auto"/>
        </w:rPr>
        <w:t>Report of Independent Registered Public Accounting Firm on Internal Control over Financial Reporting</w:t>
      </w:r>
    </w:p>
    <w:p>
      <w:pPr>
        <w:spacing w:after="0" w:line="225" w:lineRule="exact"/>
        <w:rPr>
          <w:rFonts w:ascii="Arial" w:cs="Arial" w:eastAsia="Arial" w:hAnsi="Arial"/>
          <w:sz w:val="18"/>
          <w:szCs w:val="18"/>
          <w:color w:val="auto"/>
        </w:rPr>
      </w:pPr>
    </w:p>
    <w:p>
      <w:pPr>
        <w:ind w:left="1620" w:right="5660"/>
        <w:spacing w:after="0" w:line="252" w:lineRule="auto"/>
        <w:rPr>
          <w:rFonts w:ascii="Arial" w:cs="Arial" w:eastAsia="Arial" w:hAnsi="Arial"/>
          <w:sz w:val="18"/>
          <w:szCs w:val="18"/>
          <w:color w:val="auto"/>
        </w:rPr>
      </w:pPr>
      <w:r>
        <w:rPr>
          <w:rFonts w:ascii="Arial" w:cs="Arial" w:eastAsia="Arial" w:hAnsi="Arial"/>
          <w:sz w:val="18"/>
          <w:szCs w:val="18"/>
          <w:color w:val="auto"/>
        </w:rPr>
        <w:t>Report of Independent Registered Public Accounting Firm Audited Consolidated Financial Statements Consolidated Statements of Financial Position Consolidated Statements of Operations</w:t>
      </w:r>
    </w:p>
    <w:p>
      <w:pPr>
        <w:spacing w:after="0" w:line="1" w:lineRule="exact"/>
        <w:rPr>
          <w:rFonts w:ascii="Arial" w:cs="Arial" w:eastAsia="Arial" w:hAnsi="Arial"/>
          <w:sz w:val="18"/>
          <w:szCs w:val="18"/>
          <w:color w:val="auto"/>
        </w:rPr>
      </w:pPr>
    </w:p>
    <w:p>
      <w:pPr>
        <w:ind w:left="1620" w:right="6120"/>
        <w:spacing w:after="0" w:line="281" w:lineRule="auto"/>
        <w:rPr>
          <w:rFonts w:ascii="Arial" w:cs="Arial" w:eastAsia="Arial" w:hAnsi="Arial"/>
          <w:sz w:val="18"/>
          <w:szCs w:val="18"/>
          <w:color w:val="auto"/>
        </w:rPr>
      </w:pPr>
      <w:r>
        <w:rPr>
          <w:rFonts w:ascii="Arial" w:cs="Arial" w:eastAsia="Arial" w:hAnsi="Arial"/>
          <w:sz w:val="16"/>
          <w:szCs w:val="16"/>
          <w:color w:val="auto"/>
        </w:rPr>
        <w:t>Consolidated Statements of Comprehensive Income Consolidated Statements of Stockholders' Equity Consolidated Statements of Cash Flows</w:t>
      </w:r>
    </w:p>
    <w:p>
      <w:pPr>
        <w:spacing w:after="0" w:line="2" w:lineRule="exact"/>
        <w:rPr>
          <w:rFonts w:ascii="Arial" w:cs="Arial" w:eastAsia="Arial" w:hAnsi="Arial"/>
          <w:sz w:val="18"/>
          <w:szCs w:val="18"/>
          <w:color w:val="auto"/>
        </w:rPr>
      </w:pPr>
    </w:p>
    <w:p>
      <w:pPr>
        <w:ind w:left="1620"/>
        <w:spacing w:after="0"/>
        <w:rPr>
          <w:rFonts w:ascii="Arial" w:cs="Arial" w:eastAsia="Arial" w:hAnsi="Arial"/>
          <w:sz w:val="18"/>
          <w:szCs w:val="18"/>
          <w:color w:val="auto"/>
        </w:rPr>
      </w:pPr>
      <w:r>
        <w:rPr>
          <w:rFonts w:ascii="Arial" w:cs="Arial" w:eastAsia="Arial" w:hAnsi="Arial"/>
          <w:sz w:val="18"/>
          <w:szCs w:val="18"/>
          <w:color w:val="auto"/>
        </w:rPr>
        <w:t>Notes to Consolidated Financial Statements</w:t>
      </w:r>
    </w:p>
    <w:p>
      <w:pPr>
        <w:spacing w:after="0" w:line="232" w:lineRule="exact"/>
        <w:rPr>
          <w:rFonts w:ascii="Arial" w:cs="Arial" w:eastAsia="Arial" w:hAnsi="Arial"/>
          <w:sz w:val="18"/>
          <w:szCs w:val="18"/>
          <w:color w:val="auto"/>
        </w:rPr>
      </w:pPr>
    </w:p>
    <w:p>
      <w:pPr>
        <w:ind w:left="1620" w:hanging="532"/>
        <w:spacing w:after="0"/>
        <w:tabs>
          <w:tab w:leader="none" w:pos="1620" w:val="left"/>
        </w:tabs>
        <w:numPr>
          <w:ilvl w:val="1"/>
          <w:numId w:val="86"/>
        </w:numPr>
        <w:rPr>
          <w:rFonts w:ascii="Arial" w:cs="Arial" w:eastAsia="Arial" w:hAnsi="Arial"/>
          <w:sz w:val="18"/>
          <w:szCs w:val="18"/>
          <w:color w:val="auto"/>
        </w:rPr>
      </w:pPr>
      <w:r>
        <w:rPr>
          <w:rFonts w:ascii="Arial" w:cs="Arial" w:eastAsia="Arial" w:hAnsi="Arial"/>
          <w:sz w:val="18"/>
          <w:szCs w:val="18"/>
          <w:color w:val="auto"/>
        </w:rPr>
        <w:t>Report of Independent Registered Public Accounting Firm on Schedules</w:t>
      </w:r>
    </w:p>
    <w:p>
      <w:pPr>
        <w:spacing w:after="0" w:line="225" w:lineRule="exact"/>
        <w:rPr>
          <w:rFonts w:ascii="Arial" w:cs="Arial" w:eastAsia="Arial" w:hAnsi="Arial"/>
          <w:sz w:val="18"/>
          <w:szCs w:val="18"/>
          <w:color w:val="auto"/>
        </w:rPr>
      </w:pPr>
    </w:p>
    <w:p>
      <w:pPr>
        <w:ind w:left="1620" w:right="3760"/>
        <w:spacing w:after="0" w:line="284" w:lineRule="auto"/>
        <w:rPr>
          <w:rFonts w:ascii="Arial" w:cs="Arial" w:eastAsia="Arial" w:hAnsi="Arial"/>
          <w:sz w:val="18"/>
          <w:szCs w:val="18"/>
          <w:color w:val="auto"/>
        </w:rPr>
      </w:pPr>
      <w:r>
        <w:rPr>
          <w:rFonts w:ascii="Arial" w:cs="Arial" w:eastAsia="Arial" w:hAnsi="Arial"/>
          <w:sz w:val="16"/>
          <w:szCs w:val="16"/>
          <w:color w:val="auto"/>
        </w:rPr>
        <w:t>Schedule I — Summary of Investments — Other Than Investments in Related Parties Schedule II — Condensed Financial Information of Registrant (Parent Only) Schedule III — Supplementary Insurance Information</w:t>
      </w:r>
    </w:p>
    <w:p>
      <w:pPr>
        <w:spacing w:after="0" w:line="1" w:lineRule="exact"/>
        <w:rPr>
          <w:rFonts w:ascii="Arial" w:cs="Arial" w:eastAsia="Arial" w:hAnsi="Arial"/>
          <w:sz w:val="18"/>
          <w:szCs w:val="18"/>
          <w:color w:val="auto"/>
        </w:rPr>
      </w:pPr>
    </w:p>
    <w:p>
      <w:pPr>
        <w:ind w:left="1620"/>
        <w:spacing w:after="0"/>
        <w:rPr>
          <w:rFonts w:ascii="Arial" w:cs="Arial" w:eastAsia="Arial" w:hAnsi="Arial"/>
          <w:sz w:val="18"/>
          <w:szCs w:val="18"/>
          <w:color w:val="auto"/>
        </w:rPr>
      </w:pPr>
      <w:r>
        <w:rPr>
          <w:rFonts w:ascii="Arial" w:cs="Arial" w:eastAsia="Arial" w:hAnsi="Arial"/>
          <w:sz w:val="18"/>
          <w:szCs w:val="18"/>
          <w:color w:val="auto"/>
        </w:rPr>
        <w:t>Schedule IV — Reinsurance</w:t>
      </w:r>
    </w:p>
    <w:p>
      <w:pPr>
        <w:spacing w:after="0" w:line="218" w:lineRule="exact"/>
        <w:rPr>
          <w:rFonts w:ascii="Arial" w:cs="Arial" w:eastAsia="Arial" w:hAnsi="Arial"/>
          <w:sz w:val="18"/>
          <w:szCs w:val="18"/>
          <w:color w:val="auto"/>
        </w:rPr>
      </w:pPr>
    </w:p>
    <w:p>
      <w:pPr>
        <w:ind w:left="1620"/>
        <w:spacing w:after="0" w:line="268" w:lineRule="auto"/>
        <w:rPr>
          <w:rFonts w:ascii="Arial" w:cs="Arial" w:eastAsia="Arial" w:hAnsi="Arial"/>
          <w:sz w:val="18"/>
          <w:szCs w:val="18"/>
          <w:color w:val="auto"/>
        </w:rPr>
      </w:pPr>
      <w:r>
        <w:rPr>
          <w:rFonts w:ascii="Arial" w:cs="Arial" w:eastAsia="Arial" w:hAnsi="Arial"/>
          <w:sz w:val="18"/>
          <w:szCs w:val="18"/>
          <w:color w:val="auto"/>
        </w:rPr>
        <w:t>All other schedules for which provision is made in the applicable accounting regulation of the Securities and Exchange Commission are not required under the related instructions or are inapplicable and therefore have been omitted.</w:t>
      </w:r>
    </w:p>
    <w:p>
      <w:pPr>
        <w:spacing w:after="0" w:line="199" w:lineRule="exact"/>
        <w:rPr>
          <w:rFonts w:ascii="Arial" w:cs="Arial" w:eastAsia="Arial" w:hAnsi="Arial"/>
          <w:sz w:val="18"/>
          <w:szCs w:val="18"/>
          <w:color w:val="auto"/>
        </w:rPr>
      </w:pPr>
    </w:p>
    <w:p>
      <w:pPr>
        <w:ind w:left="1620" w:hanging="532"/>
        <w:spacing w:after="0"/>
        <w:tabs>
          <w:tab w:leader="none" w:pos="1620" w:val="left"/>
        </w:tabs>
        <w:numPr>
          <w:ilvl w:val="1"/>
          <w:numId w:val="86"/>
        </w:numPr>
        <w:rPr>
          <w:rFonts w:ascii="Arial" w:cs="Arial" w:eastAsia="Arial" w:hAnsi="Arial"/>
          <w:sz w:val="18"/>
          <w:szCs w:val="18"/>
          <w:color w:val="auto"/>
        </w:rPr>
      </w:pPr>
      <w:r>
        <w:rPr>
          <w:rFonts w:ascii="Arial" w:cs="Arial" w:eastAsia="Arial" w:hAnsi="Arial"/>
          <w:sz w:val="18"/>
          <w:szCs w:val="18"/>
          <w:color w:val="auto"/>
        </w:rPr>
        <w:t>Exhibits — Please refer to the Exhibit Index on page 220.</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13" w:name="page214"/>
    <w:bookmarkEnd w:id="21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60"/>
        <w:spacing w:after="0"/>
        <w:rPr>
          <w:sz w:val="20"/>
          <w:szCs w:val="20"/>
          <w:color w:val="auto"/>
        </w:rPr>
      </w:pPr>
      <w:r>
        <w:rPr>
          <w:rFonts w:ascii="Arial" w:cs="Arial" w:eastAsia="Arial" w:hAnsi="Arial"/>
          <w:sz w:val="18"/>
          <w:szCs w:val="18"/>
          <w:b w:val="1"/>
          <w:bCs w:val="1"/>
          <w:color w:val="auto"/>
        </w:rPr>
        <w:t>Signatures</w:t>
      </w:r>
    </w:p>
    <w:p>
      <w:pPr>
        <w:spacing w:after="0" w:line="231" w:lineRule="exact"/>
        <w:rPr>
          <w:sz w:val="20"/>
          <w:szCs w:val="20"/>
          <w:color w:val="auto"/>
        </w:rPr>
      </w:pPr>
    </w:p>
    <w:p>
      <w:pPr>
        <w:ind w:right="40" w:firstLine="441"/>
        <w:spacing w:after="0" w:line="268"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186"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PRINCIPAL FINANCIAL GROUP, INC.</w:t>
      </w:r>
    </w:p>
    <w:p>
      <w:pPr>
        <w:spacing w:after="0" w:line="252" w:lineRule="exact"/>
        <w:rPr>
          <w:sz w:val="20"/>
          <w:szCs w:val="20"/>
          <w:color w:val="auto"/>
        </w:rPr>
      </w:pPr>
    </w:p>
    <w:p>
      <w:pPr>
        <w:spacing w:after="0"/>
        <w:tabs>
          <w:tab w:leader="none" w:pos="5680" w:val="left"/>
          <w:tab w:leader="none" w:pos="6260" w:val="left"/>
        </w:tabs>
        <w:rPr>
          <w:sz w:val="20"/>
          <w:szCs w:val="20"/>
          <w:color w:val="auto"/>
        </w:rPr>
      </w:pPr>
      <w:r>
        <w:rPr>
          <w:rFonts w:ascii="Arial" w:cs="Arial" w:eastAsia="Arial" w:hAnsi="Arial"/>
          <w:sz w:val="18"/>
          <w:szCs w:val="18"/>
          <w:color w:val="auto"/>
        </w:rPr>
        <w:t>Dated: February 12, 2014</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TERRANCE J. LILLIS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71120</wp:posOffset>
            </wp:positionV>
            <wp:extent cx="3275965" cy="889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3275965" cy="8890"/>
                    </a:xfrm>
                    <a:prstGeom prst="rect">
                      <a:avLst/>
                    </a:prstGeom>
                    <a:noFill/>
                  </pic:spPr>
                </pic:pic>
              </a:graphicData>
            </a:graphic>
          </wp:anchor>
        </w:drawing>
      </w:r>
    </w:p>
    <w:p>
      <w:pPr>
        <w:spacing w:after="0" w:line="178"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Terrance J. Lillis</w:t>
      </w:r>
    </w:p>
    <w:p>
      <w:pPr>
        <w:spacing w:after="0" w:line="15"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Senior Vice President and Chief Financial Officer</w:t>
      </w:r>
    </w:p>
    <w:p>
      <w:pPr>
        <w:spacing w:after="0" w:line="219" w:lineRule="exact"/>
        <w:rPr>
          <w:sz w:val="20"/>
          <w:szCs w:val="20"/>
          <w:color w:val="auto"/>
        </w:rPr>
      </w:pPr>
    </w:p>
    <w:p>
      <w:pPr>
        <w:ind w:right="20" w:firstLine="390"/>
        <w:spacing w:after="0" w:line="268"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capacities and on the date indicated.</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color w:val="auto"/>
        </w:rPr>
        <w:t>Dated: February 12, 2014</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460" w:type="dxa"/>
            <w:vAlign w:val="bottom"/>
          </w:tcPr>
          <w:p>
            <w:pPr>
              <w:spacing w:after="0"/>
              <w:rPr>
                <w:sz w:val="20"/>
                <w:szCs w:val="20"/>
                <w:color w:val="auto"/>
              </w:rPr>
            </w:pPr>
            <w:r>
              <w:rPr>
                <w:rFonts w:ascii="Arial" w:cs="Arial" w:eastAsia="Arial" w:hAnsi="Arial"/>
                <w:sz w:val="18"/>
                <w:szCs w:val="18"/>
                <w:color w:val="auto"/>
              </w:rPr>
              <w:t>By</w:t>
            </w:r>
          </w:p>
        </w:tc>
        <w:tc>
          <w:tcPr>
            <w:tcW w:w="4640" w:type="dxa"/>
            <w:vAlign w:val="bottom"/>
          </w:tcPr>
          <w:p>
            <w:pPr>
              <w:spacing w:after="0"/>
              <w:rPr>
                <w:sz w:val="20"/>
                <w:szCs w:val="20"/>
                <w:color w:val="auto"/>
              </w:rPr>
            </w:pPr>
            <w:r>
              <w:rPr>
                <w:rFonts w:ascii="Arial" w:cs="Arial" w:eastAsia="Arial" w:hAnsi="Arial"/>
                <w:sz w:val="18"/>
                <w:szCs w:val="18"/>
                <w:color w:val="auto"/>
              </w:rPr>
              <w:t>/s/ LARRY D. ZIMPLEMAN</w:t>
            </w:r>
          </w:p>
        </w:tc>
        <w:tc>
          <w:tcPr>
            <w:tcW w:w="520" w:type="dxa"/>
            <w:vAlign w:val="bottom"/>
          </w:tcPr>
          <w:p>
            <w:pPr>
              <w:spacing w:after="0"/>
              <w:rPr>
                <w:sz w:val="19"/>
                <w:szCs w:val="19"/>
                <w:color w:val="auto"/>
              </w:rPr>
            </w:pPr>
          </w:p>
        </w:tc>
        <w:tc>
          <w:tcPr>
            <w:tcW w:w="660" w:type="dxa"/>
            <w:vAlign w:val="bottom"/>
          </w:tcPr>
          <w:p>
            <w:pPr>
              <w:ind w:left="160"/>
              <w:spacing w:after="0"/>
              <w:rPr>
                <w:sz w:val="20"/>
                <w:szCs w:val="20"/>
                <w:color w:val="auto"/>
              </w:rPr>
            </w:pPr>
            <w:r>
              <w:rPr>
                <w:rFonts w:ascii="Arial" w:cs="Arial" w:eastAsia="Arial" w:hAnsi="Arial"/>
                <w:sz w:val="18"/>
                <w:szCs w:val="18"/>
                <w:color w:val="auto"/>
              </w:rPr>
              <w:t>By</w:t>
            </w:r>
          </w:p>
        </w:tc>
        <w:tc>
          <w:tcPr>
            <w:tcW w:w="5140" w:type="dxa"/>
            <w:vAlign w:val="bottom"/>
          </w:tcPr>
          <w:p>
            <w:pPr>
              <w:spacing w:after="0"/>
              <w:rPr>
                <w:sz w:val="20"/>
                <w:szCs w:val="20"/>
                <w:color w:val="auto"/>
              </w:rPr>
            </w:pPr>
            <w:r>
              <w:rPr>
                <w:rFonts w:ascii="Arial" w:cs="Arial" w:eastAsia="Arial" w:hAnsi="Arial"/>
                <w:sz w:val="18"/>
                <w:szCs w:val="18"/>
                <w:color w:val="auto"/>
              </w:rPr>
              <w:t>/s/ DENNIS H. FERRO</w:t>
            </w:r>
          </w:p>
        </w:tc>
        <w:tc>
          <w:tcPr>
            <w:tcW w:w="20" w:type="dxa"/>
            <w:vAlign w:val="bottom"/>
          </w:tcPr>
          <w:p>
            <w:pPr>
              <w:spacing w:after="0"/>
              <w:rPr>
                <w:sz w:val="19"/>
                <w:szCs w:val="19"/>
                <w:color w:val="auto"/>
              </w:rPr>
            </w:pPr>
          </w:p>
        </w:tc>
      </w:tr>
      <w:tr>
        <w:trPr>
          <w:trHeight w:val="97"/>
        </w:trPr>
        <w:tc>
          <w:tcPr>
            <w:tcW w:w="460" w:type="dxa"/>
            <w:vAlign w:val="bottom"/>
          </w:tcPr>
          <w:p>
            <w:pPr>
              <w:spacing w:after="0"/>
              <w:rPr>
                <w:sz w:val="8"/>
                <w:szCs w:val="8"/>
                <w:color w:val="auto"/>
              </w:rPr>
            </w:pPr>
          </w:p>
        </w:tc>
        <w:tc>
          <w:tcPr>
            <w:tcW w:w="464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tcPr>
          <w:p>
            <w:pPr>
              <w:spacing w:after="0"/>
              <w:rPr>
                <w:sz w:val="8"/>
                <w:szCs w:val="8"/>
                <w:color w:val="auto"/>
              </w:rPr>
            </w:pPr>
          </w:p>
        </w:tc>
        <w:tc>
          <w:tcPr>
            <w:tcW w:w="660" w:type="dxa"/>
            <w:vAlign w:val="bottom"/>
          </w:tcPr>
          <w:p>
            <w:pPr>
              <w:spacing w:after="0"/>
              <w:rPr>
                <w:sz w:val="8"/>
                <w:szCs w:val="8"/>
                <w:color w:val="auto"/>
              </w:rPr>
            </w:pPr>
          </w:p>
        </w:tc>
        <w:tc>
          <w:tcPr>
            <w:tcW w:w="514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r>
      <w:tr>
        <w:trPr>
          <w:trHeight w:val="282"/>
        </w:trPr>
        <w:tc>
          <w:tcPr>
            <w:tcW w:w="460" w:type="dxa"/>
            <w:vAlign w:val="bottom"/>
          </w:tcPr>
          <w:p>
            <w:pPr>
              <w:spacing w:after="0"/>
              <w:rPr>
                <w:sz w:val="24"/>
                <w:szCs w:val="24"/>
                <w:color w:val="auto"/>
              </w:rPr>
            </w:pPr>
          </w:p>
        </w:tc>
        <w:tc>
          <w:tcPr>
            <w:tcW w:w="4640" w:type="dxa"/>
            <w:vAlign w:val="bottom"/>
          </w:tcPr>
          <w:p>
            <w:pPr>
              <w:spacing w:after="0"/>
              <w:rPr>
                <w:sz w:val="20"/>
                <w:szCs w:val="20"/>
                <w:color w:val="auto"/>
              </w:rPr>
            </w:pPr>
            <w:r>
              <w:rPr>
                <w:rFonts w:ascii="Arial" w:cs="Arial" w:eastAsia="Arial" w:hAnsi="Arial"/>
                <w:sz w:val="18"/>
                <w:szCs w:val="18"/>
                <w:color w:val="auto"/>
              </w:rPr>
              <w:t>Larry D. Zimpleman</w:t>
            </w:r>
          </w:p>
        </w:tc>
        <w:tc>
          <w:tcPr>
            <w:tcW w:w="5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Dennis H. Ferro</w:t>
            </w:r>
          </w:p>
        </w:tc>
        <w:tc>
          <w:tcPr>
            <w:tcW w:w="20" w:type="dxa"/>
            <w:vAlign w:val="bottom"/>
          </w:tcPr>
          <w:p>
            <w:pPr>
              <w:spacing w:after="0"/>
              <w:rPr>
                <w:sz w:val="24"/>
                <w:szCs w:val="24"/>
                <w:color w:val="auto"/>
              </w:rPr>
            </w:pPr>
          </w:p>
        </w:tc>
      </w:tr>
      <w:tr>
        <w:trPr>
          <w:trHeight w:val="222"/>
        </w:trPr>
        <w:tc>
          <w:tcPr>
            <w:tcW w:w="460" w:type="dxa"/>
            <w:vAlign w:val="bottom"/>
          </w:tcPr>
          <w:p>
            <w:pPr>
              <w:spacing w:after="0"/>
              <w:rPr>
                <w:sz w:val="19"/>
                <w:szCs w:val="19"/>
                <w:color w:val="auto"/>
              </w:rPr>
            </w:pPr>
          </w:p>
        </w:tc>
        <w:tc>
          <w:tcPr>
            <w:tcW w:w="4640" w:type="dxa"/>
            <w:vAlign w:val="bottom"/>
          </w:tcPr>
          <w:p>
            <w:pPr>
              <w:spacing w:after="0"/>
              <w:rPr>
                <w:sz w:val="20"/>
                <w:szCs w:val="20"/>
                <w:color w:val="auto"/>
              </w:rPr>
            </w:pPr>
            <w:r>
              <w:rPr>
                <w:rFonts w:ascii="Arial" w:cs="Arial" w:eastAsia="Arial" w:hAnsi="Arial"/>
                <w:sz w:val="18"/>
                <w:szCs w:val="18"/>
                <w:color w:val="auto"/>
              </w:rPr>
              <w:t>Chairman, President, Chief Executive Officer and Director</w:t>
            </w:r>
          </w:p>
        </w:tc>
        <w:tc>
          <w:tcPr>
            <w:tcW w:w="5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Director</w:t>
            </w:r>
          </w:p>
        </w:tc>
        <w:tc>
          <w:tcPr>
            <w:tcW w:w="20" w:type="dxa"/>
            <w:vAlign w:val="bottom"/>
          </w:tcPr>
          <w:p>
            <w:pPr>
              <w:spacing w:after="0"/>
              <w:rPr>
                <w:sz w:val="19"/>
                <w:szCs w:val="19"/>
                <w:color w:val="auto"/>
              </w:rPr>
            </w:pPr>
          </w:p>
        </w:tc>
      </w:tr>
      <w:tr>
        <w:trPr>
          <w:trHeight w:val="459"/>
        </w:trPr>
        <w:tc>
          <w:tcPr>
            <w:tcW w:w="460" w:type="dxa"/>
            <w:vAlign w:val="bottom"/>
          </w:tcPr>
          <w:p>
            <w:pPr>
              <w:spacing w:after="0"/>
              <w:rPr>
                <w:sz w:val="20"/>
                <w:szCs w:val="20"/>
                <w:color w:val="auto"/>
              </w:rPr>
            </w:pPr>
            <w:r>
              <w:rPr>
                <w:rFonts w:ascii="Arial" w:cs="Arial" w:eastAsia="Arial" w:hAnsi="Arial"/>
                <w:sz w:val="18"/>
                <w:szCs w:val="18"/>
                <w:color w:val="auto"/>
              </w:rPr>
              <w:t>By</w:t>
            </w:r>
          </w:p>
        </w:tc>
        <w:tc>
          <w:tcPr>
            <w:tcW w:w="4640" w:type="dxa"/>
            <w:vAlign w:val="bottom"/>
          </w:tcPr>
          <w:p>
            <w:pPr>
              <w:spacing w:after="0"/>
              <w:rPr>
                <w:sz w:val="20"/>
                <w:szCs w:val="20"/>
                <w:color w:val="auto"/>
              </w:rPr>
            </w:pPr>
            <w:r>
              <w:rPr>
                <w:rFonts w:ascii="Arial" w:cs="Arial" w:eastAsia="Arial" w:hAnsi="Arial"/>
                <w:sz w:val="18"/>
                <w:szCs w:val="18"/>
                <w:color w:val="auto"/>
              </w:rPr>
              <w:t>/s/ TERRANCE J. LILLIS</w:t>
            </w:r>
          </w:p>
        </w:tc>
        <w:tc>
          <w:tcPr>
            <w:tcW w:w="520" w:type="dxa"/>
            <w:vAlign w:val="bottom"/>
          </w:tcPr>
          <w:p>
            <w:pPr>
              <w:spacing w:after="0"/>
              <w:rPr>
                <w:sz w:val="24"/>
                <w:szCs w:val="24"/>
                <w:color w:val="auto"/>
              </w:rPr>
            </w:pPr>
          </w:p>
        </w:tc>
        <w:tc>
          <w:tcPr>
            <w:tcW w:w="660" w:type="dxa"/>
            <w:vAlign w:val="bottom"/>
          </w:tcPr>
          <w:p>
            <w:pPr>
              <w:ind w:left="160"/>
              <w:spacing w:after="0"/>
              <w:rPr>
                <w:sz w:val="20"/>
                <w:szCs w:val="20"/>
                <w:color w:val="auto"/>
              </w:rPr>
            </w:pPr>
            <w:r>
              <w:rPr>
                <w:rFonts w:ascii="Arial" w:cs="Arial" w:eastAsia="Arial" w:hAnsi="Arial"/>
                <w:sz w:val="18"/>
                <w:szCs w:val="18"/>
                <w:color w:val="auto"/>
              </w:rPr>
              <w:t>By</w:t>
            </w:r>
          </w:p>
        </w:tc>
        <w:tc>
          <w:tcPr>
            <w:tcW w:w="5140" w:type="dxa"/>
            <w:vAlign w:val="bottom"/>
          </w:tcPr>
          <w:p>
            <w:pPr>
              <w:spacing w:after="0"/>
              <w:rPr>
                <w:sz w:val="20"/>
                <w:szCs w:val="20"/>
                <w:color w:val="auto"/>
              </w:rPr>
            </w:pPr>
            <w:r>
              <w:rPr>
                <w:rFonts w:ascii="Arial" w:cs="Arial" w:eastAsia="Arial" w:hAnsi="Arial"/>
                <w:sz w:val="18"/>
                <w:szCs w:val="18"/>
                <w:color w:val="auto"/>
              </w:rPr>
              <w:t>/s/ C. DANIEL GELATT, JR.</w:t>
            </w:r>
          </w:p>
        </w:tc>
        <w:tc>
          <w:tcPr>
            <w:tcW w:w="20" w:type="dxa"/>
            <w:vAlign w:val="bottom"/>
          </w:tcPr>
          <w:p>
            <w:pPr>
              <w:spacing w:after="0"/>
              <w:rPr>
                <w:sz w:val="24"/>
                <w:szCs w:val="24"/>
                <w:color w:val="auto"/>
              </w:rPr>
            </w:pPr>
          </w:p>
        </w:tc>
      </w:tr>
      <w:tr>
        <w:trPr>
          <w:trHeight w:val="97"/>
        </w:trPr>
        <w:tc>
          <w:tcPr>
            <w:tcW w:w="460" w:type="dxa"/>
            <w:vAlign w:val="bottom"/>
          </w:tcPr>
          <w:p>
            <w:pPr>
              <w:spacing w:after="0"/>
              <w:rPr>
                <w:sz w:val="8"/>
                <w:szCs w:val="8"/>
                <w:color w:val="auto"/>
              </w:rPr>
            </w:pPr>
          </w:p>
        </w:tc>
        <w:tc>
          <w:tcPr>
            <w:tcW w:w="464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tcPr>
          <w:p>
            <w:pPr>
              <w:spacing w:after="0"/>
              <w:rPr>
                <w:sz w:val="8"/>
                <w:szCs w:val="8"/>
                <w:color w:val="auto"/>
              </w:rPr>
            </w:pPr>
          </w:p>
        </w:tc>
        <w:tc>
          <w:tcPr>
            <w:tcW w:w="660" w:type="dxa"/>
            <w:vAlign w:val="bottom"/>
          </w:tcPr>
          <w:p>
            <w:pPr>
              <w:spacing w:after="0"/>
              <w:rPr>
                <w:sz w:val="8"/>
                <w:szCs w:val="8"/>
                <w:color w:val="auto"/>
              </w:rPr>
            </w:pPr>
          </w:p>
        </w:tc>
        <w:tc>
          <w:tcPr>
            <w:tcW w:w="514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r>
      <w:tr>
        <w:trPr>
          <w:trHeight w:val="282"/>
        </w:trPr>
        <w:tc>
          <w:tcPr>
            <w:tcW w:w="460" w:type="dxa"/>
            <w:vAlign w:val="bottom"/>
          </w:tcPr>
          <w:p>
            <w:pPr>
              <w:spacing w:after="0"/>
              <w:rPr>
                <w:sz w:val="24"/>
                <w:szCs w:val="24"/>
                <w:color w:val="auto"/>
              </w:rPr>
            </w:pPr>
          </w:p>
        </w:tc>
        <w:tc>
          <w:tcPr>
            <w:tcW w:w="4640" w:type="dxa"/>
            <w:vAlign w:val="bottom"/>
          </w:tcPr>
          <w:p>
            <w:pPr>
              <w:spacing w:after="0"/>
              <w:rPr>
                <w:sz w:val="20"/>
                <w:szCs w:val="20"/>
                <w:color w:val="auto"/>
              </w:rPr>
            </w:pPr>
            <w:r>
              <w:rPr>
                <w:rFonts w:ascii="Arial" w:cs="Arial" w:eastAsia="Arial" w:hAnsi="Arial"/>
                <w:sz w:val="18"/>
                <w:szCs w:val="18"/>
                <w:color w:val="auto"/>
              </w:rPr>
              <w:t>Terrance J. Lillis</w:t>
            </w:r>
          </w:p>
        </w:tc>
        <w:tc>
          <w:tcPr>
            <w:tcW w:w="5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C. Daniel Gelatt, Jr.</w:t>
            </w:r>
          </w:p>
        </w:tc>
        <w:tc>
          <w:tcPr>
            <w:tcW w:w="20" w:type="dxa"/>
            <w:vAlign w:val="bottom"/>
          </w:tcPr>
          <w:p>
            <w:pPr>
              <w:spacing w:after="0"/>
              <w:rPr>
                <w:sz w:val="24"/>
                <w:szCs w:val="24"/>
                <w:color w:val="auto"/>
              </w:rPr>
            </w:pPr>
          </w:p>
        </w:tc>
      </w:tr>
      <w:tr>
        <w:trPr>
          <w:trHeight w:val="216"/>
        </w:trPr>
        <w:tc>
          <w:tcPr>
            <w:tcW w:w="460" w:type="dxa"/>
            <w:vAlign w:val="bottom"/>
          </w:tcPr>
          <w:p>
            <w:pPr>
              <w:spacing w:after="0"/>
              <w:rPr>
                <w:sz w:val="18"/>
                <w:szCs w:val="18"/>
                <w:color w:val="auto"/>
              </w:rPr>
            </w:pPr>
          </w:p>
        </w:tc>
        <w:tc>
          <w:tcPr>
            <w:tcW w:w="4640" w:type="dxa"/>
            <w:vAlign w:val="bottom"/>
          </w:tcPr>
          <w:p>
            <w:pPr>
              <w:spacing w:after="0"/>
              <w:rPr>
                <w:sz w:val="20"/>
                <w:szCs w:val="20"/>
                <w:color w:val="auto"/>
              </w:rPr>
            </w:pPr>
            <w:r>
              <w:rPr>
                <w:rFonts w:ascii="Arial" w:cs="Arial" w:eastAsia="Arial" w:hAnsi="Arial"/>
                <w:sz w:val="18"/>
                <w:szCs w:val="18"/>
                <w:color w:val="auto"/>
              </w:rPr>
              <w:t>Senior Vice President and Chief Financial Officer</w:t>
            </w:r>
          </w:p>
        </w:tc>
        <w:tc>
          <w:tcPr>
            <w:tcW w:w="5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Director</w:t>
            </w:r>
          </w:p>
        </w:tc>
        <w:tc>
          <w:tcPr>
            <w:tcW w:w="20" w:type="dxa"/>
            <w:vAlign w:val="bottom"/>
          </w:tcPr>
          <w:p>
            <w:pPr>
              <w:spacing w:after="0"/>
              <w:rPr>
                <w:sz w:val="18"/>
                <w:szCs w:val="18"/>
                <w:color w:val="auto"/>
              </w:rPr>
            </w:pPr>
          </w:p>
        </w:tc>
      </w:tr>
      <w:tr>
        <w:trPr>
          <w:trHeight w:val="216"/>
        </w:trPr>
        <w:tc>
          <w:tcPr>
            <w:tcW w:w="460" w:type="dxa"/>
            <w:vAlign w:val="bottom"/>
          </w:tcPr>
          <w:p>
            <w:pPr>
              <w:spacing w:after="0"/>
              <w:rPr>
                <w:sz w:val="18"/>
                <w:szCs w:val="18"/>
                <w:color w:val="auto"/>
              </w:rPr>
            </w:pPr>
          </w:p>
        </w:tc>
        <w:tc>
          <w:tcPr>
            <w:tcW w:w="4640" w:type="dxa"/>
            <w:vAlign w:val="bottom"/>
          </w:tcPr>
          <w:p>
            <w:pPr>
              <w:spacing w:after="0"/>
              <w:rPr>
                <w:sz w:val="20"/>
                <w:szCs w:val="20"/>
                <w:color w:val="auto"/>
              </w:rPr>
            </w:pPr>
            <w:r>
              <w:rPr>
                <w:rFonts w:ascii="Arial" w:cs="Arial" w:eastAsia="Arial" w:hAnsi="Arial"/>
                <w:sz w:val="18"/>
                <w:szCs w:val="18"/>
                <w:color w:val="auto"/>
              </w:rPr>
              <w:t>(Principal Financial Officer and</w:t>
            </w:r>
          </w:p>
        </w:tc>
        <w:tc>
          <w:tcPr>
            <w:tcW w:w="5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514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22"/>
        </w:trPr>
        <w:tc>
          <w:tcPr>
            <w:tcW w:w="460" w:type="dxa"/>
            <w:vAlign w:val="bottom"/>
          </w:tcPr>
          <w:p>
            <w:pPr>
              <w:spacing w:after="0"/>
              <w:rPr>
                <w:sz w:val="19"/>
                <w:szCs w:val="19"/>
                <w:color w:val="auto"/>
              </w:rPr>
            </w:pPr>
          </w:p>
        </w:tc>
        <w:tc>
          <w:tcPr>
            <w:tcW w:w="4640" w:type="dxa"/>
            <w:vAlign w:val="bottom"/>
          </w:tcPr>
          <w:p>
            <w:pPr>
              <w:spacing w:after="0"/>
              <w:rPr>
                <w:sz w:val="20"/>
                <w:szCs w:val="20"/>
                <w:color w:val="auto"/>
              </w:rPr>
            </w:pPr>
            <w:r>
              <w:rPr>
                <w:rFonts w:ascii="Arial" w:cs="Arial" w:eastAsia="Arial" w:hAnsi="Arial"/>
                <w:sz w:val="18"/>
                <w:szCs w:val="18"/>
                <w:color w:val="auto"/>
              </w:rPr>
              <w:t>Chief Accounting Officer)</w:t>
            </w:r>
          </w:p>
        </w:tc>
        <w:tc>
          <w:tcPr>
            <w:tcW w:w="5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14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459"/>
        </w:trPr>
        <w:tc>
          <w:tcPr>
            <w:tcW w:w="460" w:type="dxa"/>
            <w:vAlign w:val="bottom"/>
          </w:tcPr>
          <w:p>
            <w:pPr>
              <w:spacing w:after="0"/>
              <w:rPr>
                <w:sz w:val="20"/>
                <w:szCs w:val="20"/>
                <w:color w:val="auto"/>
              </w:rPr>
            </w:pPr>
            <w:r>
              <w:rPr>
                <w:rFonts w:ascii="Arial" w:cs="Arial" w:eastAsia="Arial" w:hAnsi="Arial"/>
                <w:sz w:val="18"/>
                <w:szCs w:val="18"/>
                <w:color w:val="auto"/>
              </w:rPr>
              <w:t>By</w:t>
            </w:r>
          </w:p>
        </w:tc>
        <w:tc>
          <w:tcPr>
            <w:tcW w:w="4640" w:type="dxa"/>
            <w:vAlign w:val="bottom"/>
          </w:tcPr>
          <w:p>
            <w:pPr>
              <w:spacing w:after="0"/>
              <w:rPr>
                <w:sz w:val="20"/>
                <w:szCs w:val="20"/>
                <w:color w:val="auto"/>
              </w:rPr>
            </w:pPr>
            <w:r>
              <w:rPr>
                <w:rFonts w:ascii="Arial" w:cs="Arial" w:eastAsia="Arial" w:hAnsi="Arial"/>
                <w:sz w:val="18"/>
                <w:szCs w:val="18"/>
                <w:color w:val="auto"/>
              </w:rPr>
              <w:t>/s/ BETSY J. BERNARD</w:t>
            </w:r>
          </w:p>
        </w:tc>
        <w:tc>
          <w:tcPr>
            <w:tcW w:w="520" w:type="dxa"/>
            <w:vAlign w:val="bottom"/>
          </w:tcPr>
          <w:p>
            <w:pPr>
              <w:spacing w:after="0"/>
              <w:rPr>
                <w:sz w:val="24"/>
                <w:szCs w:val="24"/>
                <w:color w:val="auto"/>
              </w:rPr>
            </w:pPr>
          </w:p>
        </w:tc>
        <w:tc>
          <w:tcPr>
            <w:tcW w:w="660" w:type="dxa"/>
            <w:vAlign w:val="bottom"/>
          </w:tcPr>
          <w:p>
            <w:pPr>
              <w:ind w:left="160"/>
              <w:spacing w:after="0"/>
              <w:rPr>
                <w:sz w:val="20"/>
                <w:szCs w:val="20"/>
                <w:color w:val="auto"/>
              </w:rPr>
            </w:pPr>
            <w:r>
              <w:rPr>
                <w:rFonts w:ascii="Arial" w:cs="Arial" w:eastAsia="Arial" w:hAnsi="Arial"/>
                <w:sz w:val="18"/>
                <w:szCs w:val="18"/>
                <w:color w:val="auto"/>
              </w:rPr>
              <w:t>By</w:t>
            </w:r>
          </w:p>
        </w:tc>
        <w:tc>
          <w:tcPr>
            <w:tcW w:w="5140" w:type="dxa"/>
            <w:vAlign w:val="bottom"/>
          </w:tcPr>
          <w:p>
            <w:pPr>
              <w:spacing w:after="0"/>
              <w:rPr>
                <w:sz w:val="20"/>
                <w:szCs w:val="20"/>
                <w:color w:val="auto"/>
              </w:rPr>
            </w:pPr>
            <w:r>
              <w:rPr>
                <w:rFonts w:ascii="Arial" w:cs="Arial" w:eastAsia="Arial" w:hAnsi="Arial"/>
                <w:sz w:val="18"/>
                <w:szCs w:val="18"/>
                <w:color w:val="auto"/>
              </w:rPr>
              <w:t>/s/ SANDRA L. HELTON</w:t>
            </w:r>
          </w:p>
        </w:tc>
        <w:tc>
          <w:tcPr>
            <w:tcW w:w="20" w:type="dxa"/>
            <w:vAlign w:val="bottom"/>
          </w:tcPr>
          <w:p>
            <w:pPr>
              <w:spacing w:after="0"/>
              <w:rPr>
                <w:sz w:val="24"/>
                <w:szCs w:val="24"/>
                <w:color w:val="auto"/>
              </w:rPr>
            </w:pPr>
          </w:p>
        </w:tc>
      </w:tr>
      <w:tr>
        <w:trPr>
          <w:trHeight w:val="97"/>
        </w:trPr>
        <w:tc>
          <w:tcPr>
            <w:tcW w:w="460" w:type="dxa"/>
            <w:vAlign w:val="bottom"/>
          </w:tcPr>
          <w:p>
            <w:pPr>
              <w:spacing w:after="0"/>
              <w:rPr>
                <w:sz w:val="8"/>
                <w:szCs w:val="8"/>
                <w:color w:val="auto"/>
              </w:rPr>
            </w:pPr>
          </w:p>
        </w:tc>
        <w:tc>
          <w:tcPr>
            <w:tcW w:w="464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tcPr>
          <w:p>
            <w:pPr>
              <w:spacing w:after="0"/>
              <w:rPr>
                <w:sz w:val="8"/>
                <w:szCs w:val="8"/>
                <w:color w:val="auto"/>
              </w:rPr>
            </w:pPr>
          </w:p>
        </w:tc>
        <w:tc>
          <w:tcPr>
            <w:tcW w:w="660" w:type="dxa"/>
            <w:vAlign w:val="bottom"/>
          </w:tcPr>
          <w:p>
            <w:pPr>
              <w:spacing w:after="0"/>
              <w:rPr>
                <w:sz w:val="8"/>
                <w:szCs w:val="8"/>
                <w:color w:val="auto"/>
              </w:rPr>
            </w:pPr>
          </w:p>
        </w:tc>
        <w:tc>
          <w:tcPr>
            <w:tcW w:w="514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r>
      <w:tr>
        <w:trPr>
          <w:trHeight w:val="282"/>
        </w:trPr>
        <w:tc>
          <w:tcPr>
            <w:tcW w:w="460" w:type="dxa"/>
            <w:vAlign w:val="bottom"/>
          </w:tcPr>
          <w:p>
            <w:pPr>
              <w:spacing w:after="0"/>
              <w:rPr>
                <w:sz w:val="24"/>
                <w:szCs w:val="24"/>
                <w:color w:val="auto"/>
              </w:rPr>
            </w:pPr>
          </w:p>
        </w:tc>
        <w:tc>
          <w:tcPr>
            <w:tcW w:w="4640" w:type="dxa"/>
            <w:vAlign w:val="bottom"/>
          </w:tcPr>
          <w:p>
            <w:pPr>
              <w:spacing w:after="0"/>
              <w:rPr>
                <w:sz w:val="20"/>
                <w:szCs w:val="20"/>
                <w:color w:val="auto"/>
              </w:rPr>
            </w:pPr>
            <w:r>
              <w:rPr>
                <w:rFonts w:ascii="Arial" w:cs="Arial" w:eastAsia="Arial" w:hAnsi="Arial"/>
                <w:sz w:val="18"/>
                <w:szCs w:val="18"/>
                <w:color w:val="auto"/>
              </w:rPr>
              <w:t>Betsy J. Bernard</w:t>
            </w:r>
          </w:p>
        </w:tc>
        <w:tc>
          <w:tcPr>
            <w:tcW w:w="5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Sandra L. Helton</w:t>
            </w:r>
          </w:p>
        </w:tc>
        <w:tc>
          <w:tcPr>
            <w:tcW w:w="20" w:type="dxa"/>
            <w:vAlign w:val="bottom"/>
          </w:tcPr>
          <w:p>
            <w:pPr>
              <w:spacing w:after="0"/>
              <w:rPr>
                <w:sz w:val="24"/>
                <w:szCs w:val="24"/>
                <w:color w:val="auto"/>
              </w:rPr>
            </w:pPr>
          </w:p>
        </w:tc>
      </w:tr>
      <w:tr>
        <w:trPr>
          <w:trHeight w:val="222"/>
        </w:trPr>
        <w:tc>
          <w:tcPr>
            <w:tcW w:w="460" w:type="dxa"/>
            <w:vAlign w:val="bottom"/>
          </w:tcPr>
          <w:p>
            <w:pPr>
              <w:spacing w:after="0"/>
              <w:rPr>
                <w:sz w:val="19"/>
                <w:szCs w:val="19"/>
                <w:color w:val="auto"/>
              </w:rPr>
            </w:pPr>
          </w:p>
        </w:tc>
        <w:tc>
          <w:tcPr>
            <w:tcW w:w="4640" w:type="dxa"/>
            <w:vAlign w:val="bottom"/>
          </w:tcPr>
          <w:p>
            <w:pPr>
              <w:spacing w:after="0"/>
              <w:rPr>
                <w:sz w:val="20"/>
                <w:szCs w:val="20"/>
                <w:color w:val="auto"/>
              </w:rPr>
            </w:pPr>
            <w:r>
              <w:rPr>
                <w:rFonts w:ascii="Arial" w:cs="Arial" w:eastAsia="Arial" w:hAnsi="Arial"/>
                <w:sz w:val="18"/>
                <w:szCs w:val="18"/>
                <w:color w:val="auto"/>
              </w:rPr>
              <w:t>Director</w:t>
            </w:r>
          </w:p>
        </w:tc>
        <w:tc>
          <w:tcPr>
            <w:tcW w:w="5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Director</w:t>
            </w:r>
          </w:p>
        </w:tc>
        <w:tc>
          <w:tcPr>
            <w:tcW w:w="20" w:type="dxa"/>
            <w:vAlign w:val="bottom"/>
          </w:tcPr>
          <w:p>
            <w:pPr>
              <w:spacing w:after="0"/>
              <w:rPr>
                <w:sz w:val="19"/>
                <w:szCs w:val="19"/>
                <w:color w:val="auto"/>
              </w:rPr>
            </w:pPr>
          </w:p>
        </w:tc>
      </w:tr>
      <w:tr>
        <w:trPr>
          <w:trHeight w:val="459"/>
        </w:trPr>
        <w:tc>
          <w:tcPr>
            <w:tcW w:w="460" w:type="dxa"/>
            <w:vAlign w:val="bottom"/>
          </w:tcPr>
          <w:p>
            <w:pPr>
              <w:spacing w:after="0"/>
              <w:rPr>
                <w:sz w:val="20"/>
                <w:szCs w:val="20"/>
                <w:color w:val="auto"/>
              </w:rPr>
            </w:pPr>
            <w:r>
              <w:rPr>
                <w:rFonts w:ascii="Arial" w:cs="Arial" w:eastAsia="Arial" w:hAnsi="Arial"/>
                <w:sz w:val="18"/>
                <w:szCs w:val="18"/>
                <w:color w:val="auto"/>
              </w:rPr>
              <w:t>By</w:t>
            </w:r>
          </w:p>
        </w:tc>
        <w:tc>
          <w:tcPr>
            <w:tcW w:w="4640" w:type="dxa"/>
            <w:vAlign w:val="bottom"/>
          </w:tcPr>
          <w:p>
            <w:pPr>
              <w:spacing w:after="0"/>
              <w:rPr>
                <w:sz w:val="20"/>
                <w:szCs w:val="20"/>
                <w:color w:val="auto"/>
              </w:rPr>
            </w:pPr>
            <w:r>
              <w:rPr>
                <w:rFonts w:ascii="Arial" w:cs="Arial" w:eastAsia="Arial" w:hAnsi="Arial"/>
                <w:sz w:val="18"/>
                <w:szCs w:val="18"/>
                <w:color w:val="auto"/>
              </w:rPr>
              <w:t>/s/ JOCELYN CARTER-MILLER</w:t>
            </w:r>
          </w:p>
        </w:tc>
        <w:tc>
          <w:tcPr>
            <w:tcW w:w="520" w:type="dxa"/>
            <w:vAlign w:val="bottom"/>
          </w:tcPr>
          <w:p>
            <w:pPr>
              <w:spacing w:after="0"/>
              <w:rPr>
                <w:sz w:val="24"/>
                <w:szCs w:val="24"/>
                <w:color w:val="auto"/>
              </w:rPr>
            </w:pPr>
          </w:p>
        </w:tc>
        <w:tc>
          <w:tcPr>
            <w:tcW w:w="660" w:type="dxa"/>
            <w:vAlign w:val="bottom"/>
          </w:tcPr>
          <w:p>
            <w:pPr>
              <w:ind w:left="160"/>
              <w:spacing w:after="0"/>
              <w:rPr>
                <w:sz w:val="20"/>
                <w:szCs w:val="20"/>
                <w:color w:val="auto"/>
              </w:rPr>
            </w:pPr>
            <w:r>
              <w:rPr>
                <w:rFonts w:ascii="Arial" w:cs="Arial" w:eastAsia="Arial" w:hAnsi="Arial"/>
                <w:sz w:val="18"/>
                <w:szCs w:val="18"/>
                <w:color w:val="auto"/>
              </w:rPr>
              <w:t>By</w:t>
            </w:r>
          </w:p>
        </w:tc>
        <w:tc>
          <w:tcPr>
            <w:tcW w:w="5140" w:type="dxa"/>
            <w:vAlign w:val="bottom"/>
          </w:tcPr>
          <w:p>
            <w:pPr>
              <w:spacing w:after="0"/>
              <w:rPr>
                <w:sz w:val="20"/>
                <w:szCs w:val="20"/>
                <w:color w:val="auto"/>
              </w:rPr>
            </w:pPr>
            <w:r>
              <w:rPr>
                <w:rFonts w:ascii="Arial" w:cs="Arial" w:eastAsia="Arial" w:hAnsi="Arial"/>
                <w:sz w:val="18"/>
                <w:szCs w:val="18"/>
                <w:color w:val="auto"/>
              </w:rPr>
              <w:t>/s/ RICHARD L. KEYSER</w:t>
            </w:r>
          </w:p>
        </w:tc>
        <w:tc>
          <w:tcPr>
            <w:tcW w:w="20" w:type="dxa"/>
            <w:vAlign w:val="bottom"/>
          </w:tcPr>
          <w:p>
            <w:pPr>
              <w:spacing w:after="0"/>
              <w:rPr>
                <w:sz w:val="24"/>
                <w:szCs w:val="24"/>
                <w:color w:val="auto"/>
              </w:rPr>
            </w:pPr>
          </w:p>
        </w:tc>
      </w:tr>
      <w:tr>
        <w:trPr>
          <w:trHeight w:val="97"/>
        </w:trPr>
        <w:tc>
          <w:tcPr>
            <w:tcW w:w="460" w:type="dxa"/>
            <w:vAlign w:val="bottom"/>
          </w:tcPr>
          <w:p>
            <w:pPr>
              <w:spacing w:after="0"/>
              <w:rPr>
                <w:sz w:val="8"/>
                <w:szCs w:val="8"/>
                <w:color w:val="auto"/>
              </w:rPr>
            </w:pPr>
          </w:p>
        </w:tc>
        <w:tc>
          <w:tcPr>
            <w:tcW w:w="464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tcPr>
          <w:p>
            <w:pPr>
              <w:spacing w:after="0"/>
              <w:rPr>
                <w:sz w:val="8"/>
                <w:szCs w:val="8"/>
                <w:color w:val="auto"/>
              </w:rPr>
            </w:pPr>
          </w:p>
        </w:tc>
        <w:tc>
          <w:tcPr>
            <w:tcW w:w="660" w:type="dxa"/>
            <w:vAlign w:val="bottom"/>
          </w:tcPr>
          <w:p>
            <w:pPr>
              <w:spacing w:after="0"/>
              <w:rPr>
                <w:sz w:val="8"/>
                <w:szCs w:val="8"/>
                <w:color w:val="auto"/>
              </w:rPr>
            </w:pPr>
          </w:p>
        </w:tc>
        <w:tc>
          <w:tcPr>
            <w:tcW w:w="514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r>
      <w:tr>
        <w:trPr>
          <w:trHeight w:val="282"/>
        </w:trPr>
        <w:tc>
          <w:tcPr>
            <w:tcW w:w="460" w:type="dxa"/>
            <w:vAlign w:val="bottom"/>
          </w:tcPr>
          <w:p>
            <w:pPr>
              <w:spacing w:after="0"/>
              <w:rPr>
                <w:sz w:val="24"/>
                <w:szCs w:val="24"/>
                <w:color w:val="auto"/>
              </w:rPr>
            </w:pPr>
          </w:p>
        </w:tc>
        <w:tc>
          <w:tcPr>
            <w:tcW w:w="4640" w:type="dxa"/>
            <w:vAlign w:val="bottom"/>
          </w:tcPr>
          <w:p>
            <w:pPr>
              <w:spacing w:after="0"/>
              <w:rPr>
                <w:sz w:val="20"/>
                <w:szCs w:val="20"/>
                <w:color w:val="auto"/>
              </w:rPr>
            </w:pPr>
            <w:r>
              <w:rPr>
                <w:rFonts w:ascii="Arial" w:cs="Arial" w:eastAsia="Arial" w:hAnsi="Arial"/>
                <w:sz w:val="18"/>
                <w:szCs w:val="18"/>
                <w:color w:val="auto"/>
              </w:rPr>
              <w:t>Jocelyn Carter-Miller</w:t>
            </w:r>
          </w:p>
        </w:tc>
        <w:tc>
          <w:tcPr>
            <w:tcW w:w="5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Richard L. Keyser</w:t>
            </w:r>
          </w:p>
        </w:tc>
        <w:tc>
          <w:tcPr>
            <w:tcW w:w="20" w:type="dxa"/>
            <w:vAlign w:val="bottom"/>
          </w:tcPr>
          <w:p>
            <w:pPr>
              <w:spacing w:after="0"/>
              <w:rPr>
                <w:sz w:val="24"/>
                <w:szCs w:val="24"/>
                <w:color w:val="auto"/>
              </w:rPr>
            </w:pPr>
          </w:p>
        </w:tc>
      </w:tr>
      <w:tr>
        <w:trPr>
          <w:trHeight w:val="222"/>
        </w:trPr>
        <w:tc>
          <w:tcPr>
            <w:tcW w:w="460" w:type="dxa"/>
            <w:vAlign w:val="bottom"/>
          </w:tcPr>
          <w:p>
            <w:pPr>
              <w:spacing w:after="0"/>
              <w:rPr>
                <w:sz w:val="19"/>
                <w:szCs w:val="19"/>
                <w:color w:val="auto"/>
              </w:rPr>
            </w:pPr>
          </w:p>
        </w:tc>
        <w:tc>
          <w:tcPr>
            <w:tcW w:w="4640" w:type="dxa"/>
            <w:vAlign w:val="bottom"/>
          </w:tcPr>
          <w:p>
            <w:pPr>
              <w:spacing w:after="0"/>
              <w:rPr>
                <w:sz w:val="20"/>
                <w:szCs w:val="20"/>
                <w:color w:val="auto"/>
              </w:rPr>
            </w:pPr>
            <w:r>
              <w:rPr>
                <w:rFonts w:ascii="Arial" w:cs="Arial" w:eastAsia="Arial" w:hAnsi="Arial"/>
                <w:sz w:val="18"/>
                <w:szCs w:val="18"/>
                <w:color w:val="auto"/>
              </w:rPr>
              <w:t>Director</w:t>
            </w:r>
          </w:p>
        </w:tc>
        <w:tc>
          <w:tcPr>
            <w:tcW w:w="5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Director</w:t>
            </w:r>
          </w:p>
        </w:tc>
        <w:tc>
          <w:tcPr>
            <w:tcW w:w="20" w:type="dxa"/>
            <w:vAlign w:val="bottom"/>
          </w:tcPr>
          <w:p>
            <w:pPr>
              <w:spacing w:after="0"/>
              <w:rPr>
                <w:sz w:val="19"/>
                <w:szCs w:val="19"/>
                <w:color w:val="auto"/>
              </w:rPr>
            </w:pPr>
          </w:p>
        </w:tc>
      </w:tr>
      <w:tr>
        <w:trPr>
          <w:trHeight w:val="459"/>
        </w:trPr>
        <w:tc>
          <w:tcPr>
            <w:tcW w:w="460" w:type="dxa"/>
            <w:vAlign w:val="bottom"/>
          </w:tcPr>
          <w:p>
            <w:pPr>
              <w:spacing w:after="0"/>
              <w:rPr>
                <w:sz w:val="20"/>
                <w:szCs w:val="20"/>
                <w:color w:val="auto"/>
              </w:rPr>
            </w:pPr>
            <w:r>
              <w:rPr>
                <w:rFonts w:ascii="Arial" w:cs="Arial" w:eastAsia="Arial" w:hAnsi="Arial"/>
                <w:sz w:val="18"/>
                <w:szCs w:val="18"/>
                <w:color w:val="auto"/>
              </w:rPr>
              <w:t>By</w:t>
            </w:r>
          </w:p>
        </w:tc>
        <w:tc>
          <w:tcPr>
            <w:tcW w:w="4640" w:type="dxa"/>
            <w:vAlign w:val="bottom"/>
          </w:tcPr>
          <w:p>
            <w:pPr>
              <w:spacing w:after="0"/>
              <w:rPr>
                <w:sz w:val="20"/>
                <w:szCs w:val="20"/>
                <w:color w:val="auto"/>
              </w:rPr>
            </w:pPr>
            <w:r>
              <w:rPr>
                <w:rFonts w:ascii="Arial" w:cs="Arial" w:eastAsia="Arial" w:hAnsi="Arial"/>
                <w:sz w:val="18"/>
                <w:szCs w:val="18"/>
                <w:color w:val="auto"/>
              </w:rPr>
              <w:t>/s/ GARY E. COSTLEY</w:t>
            </w:r>
          </w:p>
        </w:tc>
        <w:tc>
          <w:tcPr>
            <w:tcW w:w="520" w:type="dxa"/>
            <w:vAlign w:val="bottom"/>
          </w:tcPr>
          <w:p>
            <w:pPr>
              <w:spacing w:after="0"/>
              <w:rPr>
                <w:sz w:val="24"/>
                <w:szCs w:val="24"/>
                <w:color w:val="auto"/>
              </w:rPr>
            </w:pPr>
          </w:p>
        </w:tc>
        <w:tc>
          <w:tcPr>
            <w:tcW w:w="660" w:type="dxa"/>
            <w:vAlign w:val="bottom"/>
          </w:tcPr>
          <w:p>
            <w:pPr>
              <w:ind w:left="160"/>
              <w:spacing w:after="0"/>
              <w:rPr>
                <w:sz w:val="20"/>
                <w:szCs w:val="20"/>
                <w:color w:val="auto"/>
              </w:rPr>
            </w:pPr>
            <w:r>
              <w:rPr>
                <w:rFonts w:ascii="Arial" w:cs="Arial" w:eastAsia="Arial" w:hAnsi="Arial"/>
                <w:sz w:val="18"/>
                <w:szCs w:val="18"/>
                <w:color w:val="auto"/>
              </w:rPr>
              <w:t>By</w:t>
            </w:r>
          </w:p>
        </w:tc>
        <w:tc>
          <w:tcPr>
            <w:tcW w:w="5140" w:type="dxa"/>
            <w:vAlign w:val="bottom"/>
          </w:tcPr>
          <w:p>
            <w:pPr>
              <w:spacing w:after="0"/>
              <w:rPr>
                <w:sz w:val="20"/>
                <w:szCs w:val="20"/>
                <w:color w:val="auto"/>
              </w:rPr>
            </w:pPr>
            <w:r>
              <w:rPr>
                <w:rFonts w:ascii="Arial" w:cs="Arial" w:eastAsia="Arial" w:hAnsi="Arial"/>
                <w:sz w:val="18"/>
                <w:szCs w:val="18"/>
                <w:color w:val="auto"/>
              </w:rPr>
              <w:t>/s/ LUCA MAESTRI</w:t>
            </w:r>
          </w:p>
        </w:tc>
        <w:tc>
          <w:tcPr>
            <w:tcW w:w="20" w:type="dxa"/>
            <w:vAlign w:val="bottom"/>
          </w:tcPr>
          <w:p>
            <w:pPr>
              <w:spacing w:after="0"/>
              <w:rPr>
                <w:sz w:val="24"/>
                <w:szCs w:val="24"/>
                <w:color w:val="auto"/>
              </w:rPr>
            </w:pPr>
          </w:p>
        </w:tc>
      </w:tr>
      <w:tr>
        <w:trPr>
          <w:trHeight w:val="97"/>
        </w:trPr>
        <w:tc>
          <w:tcPr>
            <w:tcW w:w="460" w:type="dxa"/>
            <w:vAlign w:val="bottom"/>
          </w:tcPr>
          <w:p>
            <w:pPr>
              <w:spacing w:after="0"/>
              <w:rPr>
                <w:sz w:val="8"/>
                <w:szCs w:val="8"/>
                <w:color w:val="auto"/>
              </w:rPr>
            </w:pPr>
          </w:p>
        </w:tc>
        <w:tc>
          <w:tcPr>
            <w:tcW w:w="464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tcPr>
          <w:p>
            <w:pPr>
              <w:spacing w:after="0"/>
              <w:rPr>
                <w:sz w:val="8"/>
                <w:szCs w:val="8"/>
                <w:color w:val="auto"/>
              </w:rPr>
            </w:pPr>
          </w:p>
        </w:tc>
        <w:tc>
          <w:tcPr>
            <w:tcW w:w="660" w:type="dxa"/>
            <w:vAlign w:val="bottom"/>
          </w:tcPr>
          <w:p>
            <w:pPr>
              <w:spacing w:after="0"/>
              <w:rPr>
                <w:sz w:val="8"/>
                <w:szCs w:val="8"/>
                <w:color w:val="auto"/>
              </w:rPr>
            </w:pPr>
          </w:p>
        </w:tc>
        <w:tc>
          <w:tcPr>
            <w:tcW w:w="514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r>
      <w:tr>
        <w:trPr>
          <w:trHeight w:val="282"/>
        </w:trPr>
        <w:tc>
          <w:tcPr>
            <w:tcW w:w="460" w:type="dxa"/>
            <w:vAlign w:val="bottom"/>
          </w:tcPr>
          <w:p>
            <w:pPr>
              <w:spacing w:after="0"/>
              <w:rPr>
                <w:sz w:val="24"/>
                <w:szCs w:val="24"/>
                <w:color w:val="auto"/>
              </w:rPr>
            </w:pPr>
          </w:p>
        </w:tc>
        <w:tc>
          <w:tcPr>
            <w:tcW w:w="4640" w:type="dxa"/>
            <w:vAlign w:val="bottom"/>
          </w:tcPr>
          <w:p>
            <w:pPr>
              <w:spacing w:after="0"/>
              <w:rPr>
                <w:sz w:val="20"/>
                <w:szCs w:val="20"/>
                <w:color w:val="auto"/>
              </w:rPr>
            </w:pPr>
            <w:r>
              <w:rPr>
                <w:rFonts w:ascii="Arial" w:cs="Arial" w:eastAsia="Arial" w:hAnsi="Arial"/>
                <w:sz w:val="18"/>
                <w:szCs w:val="18"/>
                <w:color w:val="auto"/>
              </w:rPr>
              <w:t>Gary E. Costley</w:t>
            </w:r>
          </w:p>
        </w:tc>
        <w:tc>
          <w:tcPr>
            <w:tcW w:w="5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Luca Maestri</w:t>
            </w:r>
          </w:p>
        </w:tc>
        <w:tc>
          <w:tcPr>
            <w:tcW w:w="20" w:type="dxa"/>
            <w:vAlign w:val="bottom"/>
          </w:tcPr>
          <w:p>
            <w:pPr>
              <w:spacing w:after="0"/>
              <w:rPr>
                <w:sz w:val="24"/>
                <w:szCs w:val="24"/>
                <w:color w:val="auto"/>
              </w:rPr>
            </w:pPr>
          </w:p>
        </w:tc>
      </w:tr>
      <w:tr>
        <w:trPr>
          <w:trHeight w:val="222"/>
        </w:trPr>
        <w:tc>
          <w:tcPr>
            <w:tcW w:w="460" w:type="dxa"/>
            <w:vAlign w:val="bottom"/>
          </w:tcPr>
          <w:p>
            <w:pPr>
              <w:spacing w:after="0"/>
              <w:rPr>
                <w:sz w:val="19"/>
                <w:szCs w:val="19"/>
                <w:color w:val="auto"/>
              </w:rPr>
            </w:pPr>
          </w:p>
        </w:tc>
        <w:tc>
          <w:tcPr>
            <w:tcW w:w="4640" w:type="dxa"/>
            <w:vAlign w:val="bottom"/>
          </w:tcPr>
          <w:p>
            <w:pPr>
              <w:spacing w:after="0"/>
              <w:rPr>
                <w:sz w:val="20"/>
                <w:szCs w:val="20"/>
                <w:color w:val="auto"/>
              </w:rPr>
            </w:pPr>
            <w:r>
              <w:rPr>
                <w:rFonts w:ascii="Arial" w:cs="Arial" w:eastAsia="Arial" w:hAnsi="Arial"/>
                <w:sz w:val="18"/>
                <w:szCs w:val="18"/>
                <w:color w:val="auto"/>
              </w:rPr>
              <w:t>Director</w:t>
            </w:r>
          </w:p>
        </w:tc>
        <w:tc>
          <w:tcPr>
            <w:tcW w:w="5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Director</w:t>
            </w:r>
          </w:p>
        </w:tc>
        <w:tc>
          <w:tcPr>
            <w:tcW w:w="20" w:type="dxa"/>
            <w:vAlign w:val="bottom"/>
          </w:tcPr>
          <w:p>
            <w:pPr>
              <w:spacing w:after="0"/>
              <w:rPr>
                <w:sz w:val="19"/>
                <w:szCs w:val="19"/>
                <w:color w:val="auto"/>
              </w:rPr>
            </w:pPr>
          </w:p>
        </w:tc>
      </w:tr>
      <w:tr>
        <w:trPr>
          <w:trHeight w:val="459"/>
        </w:trPr>
        <w:tc>
          <w:tcPr>
            <w:tcW w:w="460" w:type="dxa"/>
            <w:vAlign w:val="bottom"/>
          </w:tcPr>
          <w:p>
            <w:pPr>
              <w:spacing w:after="0"/>
              <w:rPr>
                <w:sz w:val="20"/>
                <w:szCs w:val="20"/>
                <w:color w:val="auto"/>
              </w:rPr>
            </w:pPr>
            <w:r>
              <w:rPr>
                <w:rFonts w:ascii="Arial" w:cs="Arial" w:eastAsia="Arial" w:hAnsi="Arial"/>
                <w:sz w:val="18"/>
                <w:szCs w:val="18"/>
                <w:color w:val="auto"/>
              </w:rPr>
              <w:t>By</w:t>
            </w:r>
          </w:p>
        </w:tc>
        <w:tc>
          <w:tcPr>
            <w:tcW w:w="4640" w:type="dxa"/>
            <w:vAlign w:val="bottom"/>
          </w:tcPr>
          <w:p>
            <w:pPr>
              <w:spacing w:after="0"/>
              <w:rPr>
                <w:sz w:val="20"/>
                <w:szCs w:val="20"/>
                <w:color w:val="auto"/>
              </w:rPr>
            </w:pPr>
            <w:r>
              <w:rPr>
                <w:rFonts w:ascii="Arial" w:cs="Arial" w:eastAsia="Arial" w:hAnsi="Arial"/>
                <w:sz w:val="18"/>
                <w:szCs w:val="18"/>
                <w:color w:val="auto"/>
              </w:rPr>
              <w:t>/s/ MICHAEL T. DAN</w:t>
            </w:r>
          </w:p>
        </w:tc>
        <w:tc>
          <w:tcPr>
            <w:tcW w:w="520" w:type="dxa"/>
            <w:vAlign w:val="bottom"/>
          </w:tcPr>
          <w:p>
            <w:pPr>
              <w:spacing w:after="0"/>
              <w:rPr>
                <w:sz w:val="24"/>
                <w:szCs w:val="24"/>
                <w:color w:val="auto"/>
              </w:rPr>
            </w:pPr>
          </w:p>
        </w:tc>
        <w:tc>
          <w:tcPr>
            <w:tcW w:w="660" w:type="dxa"/>
            <w:vAlign w:val="bottom"/>
          </w:tcPr>
          <w:p>
            <w:pPr>
              <w:ind w:left="160"/>
              <w:spacing w:after="0"/>
              <w:rPr>
                <w:sz w:val="20"/>
                <w:szCs w:val="20"/>
                <w:color w:val="auto"/>
              </w:rPr>
            </w:pPr>
            <w:r>
              <w:rPr>
                <w:rFonts w:ascii="Arial" w:cs="Arial" w:eastAsia="Arial" w:hAnsi="Arial"/>
                <w:sz w:val="18"/>
                <w:szCs w:val="18"/>
                <w:color w:val="auto"/>
              </w:rPr>
              <w:t>By</w:t>
            </w:r>
          </w:p>
        </w:tc>
        <w:tc>
          <w:tcPr>
            <w:tcW w:w="5140" w:type="dxa"/>
            <w:vAlign w:val="bottom"/>
          </w:tcPr>
          <w:p>
            <w:pPr>
              <w:spacing w:after="0"/>
              <w:rPr>
                <w:sz w:val="20"/>
                <w:szCs w:val="20"/>
                <w:color w:val="auto"/>
              </w:rPr>
            </w:pPr>
            <w:r>
              <w:rPr>
                <w:rFonts w:ascii="Arial" w:cs="Arial" w:eastAsia="Arial" w:hAnsi="Arial"/>
                <w:sz w:val="18"/>
                <w:szCs w:val="18"/>
                <w:color w:val="auto"/>
              </w:rPr>
              <w:t>/s/ ELIZABETH E. TALLETT</w:t>
            </w:r>
          </w:p>
        </w:tc>
        <w:tc>
          <w:tcPr>
            <w:tcW w:w="20" w:type="dxa"/>
            <w:vAlign w:val="bottom"/>
          </w:tcPr>
          <w:p>
            <w:pPr>
              <w:spacing w:after="0"/>
              <w:rPr>
                <w:sz w:val="24"/>
                <w:szCs w:val="24"/>
                <w:color w:val="auto"/>
              </w:rPr>
            </w:pPr>
          </w:p>
        </w:tc>
      </w:tr>
      <w:tr>
        <w:trPr>
          <w:trHeight w:val="97"/>
        </w:trPr>
        <w:tc>
          <w:tcPr>
            <w:tcW w:w="460" w:type="dxa"/>
            <w:vAlign w:val="bottom"/>
          </w:tcPr>
          <w:p>
            <w:pPr>
              <w:spacing w:after="0"/>
              <w:rPr>
                <w:sz w:val="8"/>
                <w:szCs w:val="8"/>
                <w:color w:val="auto"/>
              </w:rPr>
            </w:pPr>
          </w:p>
        </w:tc>
        <w:tc>
          <w:tcPr>
            <w:tcW w:w="464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tcPr>
          <w:p>
            <w:pPr>
              <w:spacing w:after="0"/>
              <w:rPr>
                <w:sz w:val="8"/>
                <w:szCs w:val="8"/>
                <w:color w:val="auto"/>
              </w:rPr>
            </w:pPr>
          </w:p>
        </w:tc>
        <w:tc>
          <w:tcPr>
            <w:tcW w:w="660" w:type="dxa"/>
            <w:vAlign w:val="bottom"/>
          </w:tcPr>
          <w:p>
            <w:pPr>
              <w:spacing w:after="0"/>
              <w:rPr>
                <w:sz w:val="8"/>
                <w:szCs w:val="8"/>
                <w:color w:val="auto"/>
              </w:rPr>
            </w:pPr>
          </w:p>
        </w:tc>
        <w:tc>
          <w:tcPr>
            <w:tcW w:w="514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r>
      <w:tr>
        <w:trPr>
          <w:trHeight w:val="282"/>
        </w:trPr>
        <w:tc>
          <w:tcPr>
            <w:tcW w:w="460" w:type="dxa"/>
            <w:vAlign w:val="bottom"/>
          </w:tcPr>
          <w:p>
            <w:pPr>
              <w:spacing w:after="0"/>
              <w:rPr>
                <w:sz w:val="24"/>
                <w:szCs w:val="24"/>
                <w:color w:val="auto"/>
              </w:rPr>
            </w:pPr>
          </w:p>
        </w:tc>
        <w:tc>
          <w:tcPr>
            <w:tcW w:w="4640" w:type="dxa"/>
            <w:vAlign w:val="bottom"/>
          </w:tcPr>
          <w:p>
            <w:pPr>
              <w:spacing w:after="0"/>
              <w:rPr>
                <w:sz w:val="20"/>
                <w:szCs w:val="20"/>
                <w:color w:val="auto"/>
              </w:rPr>
            </w:pPr>
            <w:r>
              <w:rPr>
                <w:rFonts w:ascii="Arial" w:cs="Arial" w:eastAsia="Arial" w:hAnsi="Arial"/>
                <w:sz w:val="18"/>
                <w:szCs w:val="18"/>
                <w:color w:val="auto"/>
              </w:rPr>
              <w:t>Michael T. Dan</w:t>
            </w:r>
          </w:p>
        </w:tc>
        <w:tc>
          <w:tcPr>
            <w:tcW w:w="5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Elizabeth E. Tallett</w:t>
            </w:r>
          </w:p>
        </w:tc>
        <w:tc>
          <w:tcPr>
            <w:tcW w:w="20" w:type="dxa"/>
            <w:vAlign w:val="bottom"/>
          </w:tcPr>
          <w:p>
            <w:pPr>
              <w:spacing w:after="0"/>
              <w:rPr>
                <w:sz w:val="24"/>
                <w:szCs w:val="24"/>
                <w:color w:val="auto"/>
              </w:rPr>
            </w:pPr>
          </w:p>
        </w:tc>
      </w:tr>
      <w:tr>
        <w:trPr>
          <w:trHeight w:val="222"/>
        </w:trPr>
        <w:tc>
          <w:tcPr>
            <w:tcW w:w="460" w:type="dxa"/>
            <w:vAlign w:val="bottom"/>
          </w:tcPr>
          <w:p>
            <w:pPr>
              <w:spacing w:after="0"/>
              <w:rPr>
                <w:sz w:val="19"/>
                <w:szCs w:val="19"/>
                <w:color w:val="auto"/>
              </w:rPr>
            </w:pPr>
          </w:p>
        </w:tc>
        <w:tc>
          <w:tcPr>
            <w:tcW w:w="4640" w:type="dxa"/>
            <w:vAlign w:val="bottom"/>
          </w:tcPr>
          <w:p>
            <w:pPr>
              <w:spacing w:after="0"/>
              <w:rPr>
                <w:sz w:val="20"/>
                <w:szCs w:val="20"/>
                <w:color w:val="auto"/>
              </w:rPr>
            </w:pPr>
            <w:r>
              <w:rPr>
                <w:rFonts w:ascii="Arial" w:cs="Arial" w:eastAsia="Arial" w:hAnsi="Arial"/>
                <w:sz w:val="18"/>
                <w:szCs w:val="18"/>
                <w:color w:val="auto"/>
              </w:rPr>
              <w:t>Director</w:t>
            </w:r>
          </w:p>
        </w:tc>
        <w:tc>
          <w:tcPr>
            <w:tcW w:w="5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Director</w:t>
            </w:r>
          </w:p>
        </w:tc>
        <w:tc>
          <w:tcPr>
            <w:tcW w:w="20" w:type="dxa"/>
            <w:vAlign w:val="bottom"/>
          </w:tcPr>
          <w:p>
            <w:pPr>
              <w:spacing w:after="0"/>
              <w:rPr>
                <w:sz w:val="19"/>
                <w:szCs w:val="19"/>
                <w:color w:val="auto"/>
              </w:rPr>
            </w:pPr>
          </w:p>
        </w:tc>
      </w:tr>
      <w:tr>
        <w:trPr>
          <w:trHeight w:val="432"/>
        </w:trPr>
        <w:tc>
          <w:tcPr>
            <w:tcW w:w="460" w:type="dxa"/>
            <w:vAlign w:val="bottom"/>
          </w:tcPr>
          <w:p>
            <w:pPr>
              <w:spacing w:after="0"/>
              <w:rPr>
                <w:sz w:val="24"/>
                <w:szCs w:val="24"/>
                <w:color w:val="auto"/>
              </w:rPr>
            </w:pPr>
          </w:p>
        </w:tc>
        <w:tc>
          <w:tcPr>
            <w:tcW w:w="4640" w:type="dxa"/>
            <w:vAlign w:val="bottom"/>
          </w:tcPr>
          <w:p>
            <w:pPr>
              <w:spacing w:after="0"/>
              <w:rPr>
                <w:sz w:val="24"/>
                <w:szCs w:val="24"/>
                <w:color w:val="auto"/>
              </w:rPr>
            </w:pPr>
          </w:p>
        </w:tc>
        <w:tc>
          <w:tcPr>
            <w:tcW w:w="1180" w:type="dxa"/>
            <w:vAlign w:val="bottom"/>
            <w:gridSpan w:val="2"/>
          </w:tcPr>
          <w:p>
            <w:pPr>
              <w:jc w:val="right"/>
              <w:ind w:right="352"/>
              <w:spacing w:after="0"/>
              <w:rPr>
                <w:sz w:val="20"/>
                <w:szCs w:val="20"/>
                <w:color w:val="auto"/>
              </w:rPr>
            </w:pPr>
            <w:r>
              <w:rPr>
                <w:rFonts w:ascii="Arial" w:cs="Arial" w:eastAsia="Arial" w:hAnsi="Arial"/>
                <w:sz w:val="18"/>
                <w:szCs w:val="18"/>
                <w:color w:val="auto"/>
              </w:rPr>
              <w:t>210</w:t>
            </w:r>
          </w:p>
        </w:tc>
        <w:tc>
          <w:tcPr>
            <w:tcW w:w="51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28"/>
        </w:trPr>
        <w:tc>
          <w:tcPr>
            <w:tcW w:w="460" w:type="dxa"/>
            <w:vAlign w:val="bottom"/>
            <w:tcBorders>
              <w:bottom w:val="single" w:sz="8" w:color="808080"/>
            </w:tcBorders>
          </w:tcPr>
          <w:p>
            <w:pPr>
              <w:spacing w:after="0"/>
              <w:rPr>
                <w:sz w:val="19"/>
                <w:szCs w:val="19"/>
                <w:color w:val="auto"/>
              </w:rPr>
            </w:pPr>
          </w:p>
        </w:tc>
        <w:tc>
          <w:tcPr>
            <w:tcW w:w="4640" w:type="dxa"/>
            <w:vAlign w:val="bottom"/>
            <w:tcBorders>
              <w:bottom w:val="single" w:sz="8" w:color="808080"/>
            </w:tcBorders>
          </w:tcPr>
          <w:p>
            <w:pPr>
              <w:spacing w:after="0"/>
              <w:rPr>
                <w:sz w:val="19"/>
                <w:szCs w:val="19"/>
                <w:color w:val="auto"/>
              </w:rPr>
            </w:pPr>
          </w:p>
        </w:tc>
        <w:tc>
          <w:tcPr>
            <w:tcW w:w="52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5140" w:type="dxa"/>
            <w:vAlign w:val="bottom"/>
            <w:tcBorders>
              <w:bottom w:val="single" w:sz="8" w:color="808080"/>
            </w:tcBorders>
          </w:tcPr>
          <w:p>
            <w:pPr>
              <w:spacing w:after="0"/>
              <w:rPr>
                <w:sz w:val="19"/>
                <w:szCs w:val="19"/>
                <w:color w:val="auto"/>
              </w:rPr>
            </w:pPr>
          </w:p>
        </w:tc>
        <w:tc>
          <w:tcPr>
            <w:tcW w:w="20" w:type="dxa"/>
            <w:vAlign w:val="bottom"/>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40"/>
          </w:cols>
          <w:pgMar w:left="240" w:top="131" w:right="219" w:bottom="1440" w:gutter="0" w:footer="0" w:header="0"/>
        </w:sectPr>
      </w:pPr>
    </w:p>
    <w:bookmarkStart w:id="214" w:name="page215"/>
    <w:bookmarkEnd w:id="21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The Board to Directors and Stockholders</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Group, Inc.</w:t>
      </w:r>
    </w:p>
    <w:p>
      <w:pPr>
        <w:spacing w:after="0" w:line="219" w:lineRule="exact"/>
        <w:rPr>
          <w:sz w:val="20"/>
          <w:szCs w:val="20"/>
          <w:color w:val="auto"/>
        </w:rPr>
      </w:pPr>
    </w:p>
    <w:p>
      <w:pPr>
        <w:jc w:val="both"/>
        <w:ind w:firstLine="386"/>
        <w:spacing w:after="0" w:line="298" w:lineRule="auto"/>
        <w:rPr>
          <w:sz w:val="20"/>
          <w:szCs w:val="20"/>
          <w:color w:val="auto"/>
        </w:rPr>
      </w:pPr>
      <w:r>
        <w:rPr>
          <w:rFonts w:ascii="Arial" w:cs="Arial" w:eastAsia="Arial" w:hAnsi="Arial"/>
          <w:sz w:val="16"/>
          <w:szCs w:val="16"/>
          <w:color w:val="auto"/>
        </w:rPr>
        <w:t>We have audited the consolidated financial statements of Principal Financial Group, Inc. ("the Company") as of December 31, 2013 and 2012, and for each of the three years in the period ended December 31, 2013, and have issued our report thereon dated February 12, 2014 (included elsewhere in this Form 10-K). Our audits also included the financial statement schedules listed in the Index at Item 15.a.2. of this Form 10-K. These schedules are the responsibility of the Company's management. Our responsibility is to express an opinion on these schedules based on our audits.</w:t>
      </w:r>
    </w:p>
    <w:p>
      <w:pPr>
        <w:spacing w:after="0" w:line="167" w:lineRule="exact"/>
        <w:rPr>
          <w:sz w:val="20"/>
          <w:szCs w:val="20"/>
          <w:color w:val="auto"/>
        </w:rPr>
      </w:pPr>
    </w:p>
    <w:p>
      <w:pPr>
        <w:jc w:val="both"/>
        <w:ind w:firstLine="424"/>
        <w:spacing w:after="0" w:line="268" w:lineRule="auto"/>
        <w:rPr>
          <w:sz w:val="20"/>
          <w:szCs w:val="20"/>
          <w:color w:val="auto"/>
        </w:rPr>
      </w:pPr>
      <w:r>
        <w:rPr>
          <w:rFonts w:ascii="Arial" w:cs="Arial" w:eastAsia="Arial" w:hAnsi="Arial"/>
          <w:sz w:val="18"/>
          <w:szCs w:val="18"/>
          <w:color w:val="auto"/>
        </w:rPr>
        <w:t>In our opinion, the financial statement schedules referred to above, when considered in relation to the basic financial statements taken as a whole, present fairly in all material respects the information set forth therein.</w:t>
      </w:r>
    </w:p>
    <w:p>
      <w:pPr>
        <w:spacing w:after="0" w:line="186" w:lineRule="exact"/>
        <w:rPr>
          <w:sz w:val="20"/>
          <w:szCs w:val="20"/>
          <w:color w:val="auto"/>
        </w:rPr>
      </w:pPr>
    </w:p>
    <w:p>
      <w:pPr>
        <w:ind w:left="5800"/>
        <w:spacing w:after="0"/>
        <w:rPr>
          <w:sz w:val="20"/>
          <w:szCs w:val="20"/>
          <w:color w:val="auto"/>
        </w:rPr>
      </w:pPr>
      <w:r>
        <w:rPr>
          <w:rFonts w:ascii="Arial" w:cs="Arial" w:eastAsia="Arial" w:hAnsi="Arial"/>
          <w:sz w:val="18"/>
          <w:szCs w:val="18"/>
          <w:color w:val="auto"/>
        </w:rPr>
        <w:t>/s/ ERNST &amp;</w:t>
      </w:r>
    </w:p>
    <w:p>
      <w:pPr>
        <w:spacing w:after="0" w:line="15" w:lineRule="exact"/>
        <w:rPr>
          <w:sz w:val="20"/>
          <w:szCs w:val="20"/>
          <w:color w:val="auto"/>
        </w:rPr>
      </w:pPr>
    </w:p>
    <w:p>
      <w:pPr>
        <w:ind w:left="5800"/>
        <w:spacing w:after="0"/>
        <w:rPr>
          <w:sz w:val="20"/>
          <w:szCs w:val="20"/>
          <w:color w:val="auto"/>
        </w:rPr>
      </w:pPr>
      <w:r>
        <w:rPr>
          <w:rFonts w:ascii="Arial" w:cs="Arial" w:eastAsia="Arial" w:hAnsi="Arial"/>
          <w:sz w:val="18"/>
          <w:szCs w:val="18"/>
          <w:color w:val="auto"/>
        </w:rPr>
        <w:t>YOUNG LLP</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Des Moines, IA</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February 12, 2014</w:t>
      </w: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15" w:name="page216"/>
    <w:bookmarkEnd w:id="21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Schedule I — Summary of Investments — Other Than Investments in Related Parties</w:t>
      </w:r>
    </w:p>
    <w:p>
      <w:pPr>
        <w:spacing w:after="0" w:line="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As of December 31, 2013</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50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5"/>
              </w:rPr>
              <w:t>Amount as</w:t>
            </w:r>
          </w:p>
        </w:tc>
      </w:tr>
      <w:tr>
        <w:trPr>
          <w:trHeight w:val="149"/>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50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4"/>
              </w:rPr>
              <w:t>shown in the</w:t>
            </w:r>
          </w:p>
        </w:tc>
      </w:tr>
      <w:tr>
        <w:trPr>
          <w:trHeight w:val="149"/>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50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5"/>
              </w:rPr>
              <w:t>Consolidated</w:t>
            </w:r>
          </w:p>
        </w:tc>
      </w:tr>
      <w:tr>
        <w:trPr>
          <w:trHeight w:val="149"/>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50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4"/>
              </w:rPr>
              <w:t>Statement of</w:t>
            </w:r>
          </w:p>
        </w:tc>
      </w:tr>
      <w:tr>
        <w:trPr>
          <w:trHeight w:val="149"/>
        </w:trPr>
        <w:tc>
          <w:tcPr>
            <w:tcW w:w="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50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8"/>
              </w:rPr>
              <w:t>Financial</w:t>
            </w:r>
          </w:p>
        </w:tc>
      </w:tr>
      <w:tr>
        <w:trPr>
          <w:trHeight w:val="161"/>
        </w:trPr>
        <w:tc>
          <w:tcPr>
            <w:tcW w:w="6220" w:type="dxa"/>
            <w:vAlign w:val="bottom"/>
            <w:gridSpan w:val="3"/>
          </w:tcPr>
          <w:p>
            <w:pPr>
              <w:spacing w:after="0"/>
              <w:rPr>
                <w:sz w:val="20"/>
                <w:szCs w:val="20"/>
                <w:color w:val="auto"/>
              </w:rPr>
            </w:pPr>
            <w:r>
              <w:rPr>
                <w:rFonts w:ascii="Arial" w:cs="Arial" w:eastAsia="Arial" w:hAnsi="Arial"/>
                <w:sz w:val="14"/>
                <w:szCs w:val="14"/>
                <w:b w:val="1"/>
                <w:bCs w:val="1"/>
                <w:color w:val="auto"/>
              </w:rPr>
              <w:t>Type of Investment</w:t>
            </w: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jc w:val="right"/>
              <w:ind w:right="152"/>
              <w:spacing w:after="0"/>
              <w:rPr>
                <w:sz w:val="20"/>
                <w:szCs w:val="20"/>
                <w:color w:val="auto"/>
              </w:rPr>
            </w:pPr>
            <w:r>
              <w:rPr>
                <w:rFonts w:ascii="Arial" w:cs="Arial" w:eastAsia="Arial" w:hAnsi="Arial"/>
                <w:sz w:val="14"/>
                <w:szCs w:val="14"/>
                <w:b w:val="1"/>
                <w:bCs w:val="1"/>
                <w:color w:val="auto"/>
                <w:w w:val="96"/>
              </w:rPr>
              <w:t>Cost</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gridSpan w:val="2"/>
          </w:tcPr>
          <w:p>
            <w:pPr>
              <w:ind w:left="100"/>
              <w:spacing w:after="0"/>
              <w:rPr>
                <w:sz w:val="20"/>
                <w:szCs w:val="20"/>
                <w:color w:val="auto"/>
              </w:rPr>
            </w:pPr>
            <w:r>
              <w:rPr>
                <w:rFonts w:ascii="Arial" w:cs="Arial" w:eastAsia="Arial" w:hAnsi="Arial"/>
                <w:sz w:val="14"/>
                <w:szCs w:val="14"/>
                <w:b w:val="1"/>
                <w:bCs w:val="1"/>
                <w:color w:val="auto"/>
              </w:rPr>
              <w:t>Value</w:t>
            </w: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3"/>
              </w:rPr>
              <w:t>Position</w:t>
            </w:r>
          </w:p>
        </w:tc>
      </w:tr>
      <w:tr>
        <w:trPr>
          <w:trHeight w:val="142"/>
        </w:trPr>
        <w:tc>
          <w:tcPr>
            <w:tcW w:w="20" w:type="dxa"/>
            <w:vAlign w:val="bottom"/>
          </w:tcPr>
          <w:p>
            <w:pPr>
              <w:spacing w:after="0"/>
              <w:rPr>
                <w:sz w:val="12"/>
                <w:szCs w:val="12"/>
                <w:color w:val="auto"/>
              </w:rPr>
            </w:pPr>
          </w:p>
        </w:tc>
        <w:tc>
          <w:tcPr>
            <w:tcW w:w="1120" w:type="dxa"/>
            <w:vAlign w:val="bottom"/>
            <w:tcBorders>
              <w:top w:val="single" w:sz="8" w:color="auto"/>
            </w:tcBorders>
          </w:tcPr>
          <w:p>
            <w:pPr>
              <w:spacing w:after="0"/>
              <w:rPr>
                <w:sz w:val="12"/>
                <w:szCs w:val="12"/>
                <w:color w:val="auto"/>
              </w:rPr>
            </w:pPr>
          </w:p>
        </w:tc>
        <w:tc>
          <w:tcPr>
            <w:tcW w:w="50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6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i w:val="1"/>
                <w:iCs w:val="1"/>
                <w:color w:val="auto"/>
                <w:w w:val="76"/>
              </w:rPr>
              <w:t>(in millions)</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0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U.S Treasury securities and obligations of U.S government corporations and agencies</w:t>
            </w:r>
          </w:p>
        </w:tc>
        <w:tc>
          <w:tcPr>
            <w:tcW w:w="300" w:type="dxa"/>
            <w:vAlign w:val="bottom"/>
            <w:gridSpan w:val="3"/>
          </w:tcPr>
          <w:p>
            <w:pPr>
              <w:jc w:val="right"/>
              <w:ind w:right="57"/>
              <w:spacing w:after="0" w:line="149" w:lineRule="exact"/>
              <w:rPr>
                <w:sz w:val="20"/>
                <w:szCs w:val="20"/>
                <w:color w:val="auto"/>
              </w:rPr>
            </w:pPr>
            <w:r>
              <w:rPr>
                <w:rFonts w:ascii="Arial" w:cs="Arial" w:eastAsia="Arial" w:hAnsi="Arial"/>
                <w:sz w:val="14"/>
                <w:szCs w:val="14"/>
                <w:b w:val="1"/>
                <w:bCs w:val="1"/>
                <w:color w:val="auto"/>
              </w:rPr>
              <w:t>$</w:t>
            </w: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818.2</w:t>
            </w:r>
          </w:p>
        </w:tc>
        <w:tc>
          <w:tcPr>
            <w:tcW w:w="24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780.5</w:t>
            </w:r>
          </w:p>
        </w:tc>
        <w:tc>
          <w:tcPr>
            <w:tcW w:w="120" w:type="dxa"/>
            <w:vAlign w:val="bottom"/>
          </w:tcPr>
          <w:p>
            <w:pPr>
              <w:spacing w:after="0"/>
              <w:rPr>
                <w:sz w:val="12"/>
                <w:szCs w:val="12"/>
                <w:color w:val="auto"/>
              </w:rPr>
            </w:pPr>
          </w:p>
        </w:tc>
        <w:tc>
          <w:tcPr>
            <w:tcW w:w="1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780.5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0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States, municipalities and political subdivisions</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3,622.8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3,658.0</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3,658.0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0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Foreign governments</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853.2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996.8</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996.8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0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Public utilities</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4,846.6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4,424.0</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4,424.0</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0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Redeemable preferred stock</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37.8</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41.2</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41.2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0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All other corporate bonds</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95"/>
              </w:rPr>
              <w:t>25,396.2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27,453.8</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27,453.8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0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Residential mortgage-backed securities</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2,799.1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2,845.2</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2,845.2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0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Commercial mortgage-backed securities</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4,078.0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4,026.4</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4,026.4</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0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Collateralized debt obligations</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391.9</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363.4</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363.4</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0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Other debt obligations</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4,157.5</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6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4,167.8</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8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4,167.8</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6200" w:type="dxa"/>
            <w:vAlign w:val="bottom"/>
            <w:gridSpan w:val="2"/>
          </w:tcPr>
          <w:p>
            <w:pPr>
              <w:ind w:left="280"/>
              <w:spacing w:after="0" w:line="142" w:lineRule="exact"/>
              <w:rPr>
                <w:sz w:val="20"/>
                <w:szCs w:val="20"/>
                <w:color w:val="auto"/>
              </w:rPr>
            </w:pPr>
            <w:r>
              <w:rPr>
                <w:rFonts w:ascii="Arial" w:cs="Arial" w:eastAsia="Arial" w:hAnsi="Arial"/>
                <w:sz w:val="14"/>
                <w:szCs w:val="14"/>
                <w:color w:val="auto"/>
              </w:rPr>
              <w:t>Total fixed maturities, available-for-sale</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2" w:lineRule="exact"/>
              <w:rPr>
                <w:sz w:val="20"/>
                <w:szCs w:val="20"/>
                <w:color w:val="auto"/>
              </w:rPr>
            </w:pPr>
            <w:r>
              <w:rPr>
                <w:rFonts w:ascii="Arial" w:cs="Arial" w:eastAsia="Arial" w:hAnsi="Arial"/>
                <w:sz w:val="14"/>
                <w:szCs w:val="14"/>
                <w:b w:val="1"/>
                <w:bCs w:val="1"/>
                <w:color w:val="auto"/>
                <w:w w:val="95"/>
              </w:rPr>
              <w:t>47,001.3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48,757.1</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48,757.1</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Fixed maturities, trading</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563.1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563.1</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563.1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00" w:type="dxa"/>
            <w:vAlign w:val="bottom"/>
            <w:gridSpan w:val="2"/>
          </w:tcPr>
          <w:p>
            <w:pPr>
              <w:spacing w:after="0" w:line="149" w:lineRule="exact"/>
              <w:rPr>
                <w:sz w:val="20"/>
                <w:szCs w:val="20"/>
                <w:color w:val="auto"/>
              </w:rPr>
            </w:pPr>
            <w:r>
              <w:rPr>
                <w:rFonts w:ascii="Arial" w:cs="Arial" w:eastAsia="Arial" w:hAnsi="Arial"/>
                <w:sz w:val="14"/>
                <w:szCs w:val="14"/>
                <w:color w:val="auto"/>
              </w:rPr>
              <w:t>Equity securities, available-for-sale:</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0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Banks, trust and insurance companies</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60.8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51.1</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51.1</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0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Industrial, miscellaneous and all other</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7.7</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10.2</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0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Non-redeemable preferred stock</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45.3</w:t>
            </w:r>
          </w:p>
        </w:tc>
        <w:tc>
          <w:tcPr>
            <w:tcW w:w="16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6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49.2</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8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49.2</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6200" w:type="dxa"/>
            <w:vAlign w:val="bottom"/>
            <w:gridSpan w:val="2"/>
          </w:tcPr>
          <w:p>
            <w:pPr>
              <w:ind w:left="280"/>
              <w:spacing w:after="0" w:line="142" w:lineRule="exact"/>
              <w:rPr>
                <w:sz w:val="20"/>
                <w:szCs w:val="20"/>
                <w:color w:val="auto"/>
              </w:rPr>
            </w:pPr>
            <w:r>
              <w:rPr>
                <w:rFonts w:ascii="Arial" w:cs="Arial" w:eastAsia="Arial" w:hAnsi="Arial"/>
                <w:sz w:val="14"/>
                <w:szCs w:val="14"/>
                <w:color w:val="auto"/>
              </w:rPr>
              <w:t>Total equity securities, available-for-sale</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113.8</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110.5</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110.5</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Equity securities, trading</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716.9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716.9</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716.9</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00" w:type="dxa"/>
            <w:vAlign w:val="bottom"/>
            <w:gridSpan w:val="2"/>
          </w:tcPr>
          <w:p>
            <w:pPr>
              <w:spacing w:after="0" w:line="149" w:lineRule="exact"/>
              <w:rPr>
                <w:sz w:val="20"/>
                <w:szCs w:val="20"/>
                <w:color w:val="auto"/>
              </w:rPr>
            </w:pPr>
            <w:r>
              <w:rPr>
                <w:rFonts w:ascii="Arial" w:cs="Arial" w:eastAsia="Arial" w:hAnsi="Arial"/>
                <w:sz w:val="14"/>
                <w:szCs w:val="14"/>
                <w:color w:val="auto"/>
              </w:rPr>
              <w:t>Mortgage loans (1)</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95"/>
              </w:rPr>
              <w:t>11,603.3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ind w:left="220"/>
              <w:spacing w:after="0" w:line="149" w:lineRule="exact"/>
              <w:rPr>
                <w:sz w:val="20"/>
                <w:szCs w:val="20"/>
                <w:color w:val="auto"/>
              </w:rPr>
            </w:pPr>
            <w:r>
              <w:rPr>
                <w:rFonts w:ascii="Arial" w:cs="Arial" w:eastAsia="Arial" w:hAnsi="Arial"/>
                <w:sz w:val="14"/>
                <w:szCs w:val="14"/>
                <w:b w:val="1"/>
                <w:bCs w:val="1"/>
                <w:color w:val="auto"/>
              </w:rPr>
              <w:t>XXXX</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11,533.6</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Real estate, net:</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0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Real estate acquired in satisfaction of debt</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213.6</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ind w:left="220"/>
              <w:spacing w:after="0" w:line="149" w:lineRule="exact"/>
              <w:rPr>
                <w:sz w:val="20"/>
                <w:szCs w:val="20"/>
                <w:color w:val="auto"/>
              </w:rPr>
            </w:pPr>
            <w:r>
              <w:rPr>
                <w:rFonts w:ascii="Arial" w:cs="Arial" w:eastAsia="Arial" w:hAnsi="Arial"/>
                <w:sz w:val="14"/>
                <w:szCs w:val="14"/>
                <w:b w:val="1"/>
                <w:bCs w:val="1"/>
                <w:color w:val="auto"/>
              </w:rPr>
              <w:t>XXXX</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213.8</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0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Other real estate</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1,058.0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ind w:left="220"/>
              <w:spacing w:after="0" w:line="149" w:lineRule="exact"/>
              <w:rPr>
                <w:sz w:val="20"/>
                <w:szCs w:val="20"/>
                <w:color w:val="auto"/>
              </w:rPr>
            </w:pPr>
            <w:r>
              <w:rPr>
                <w:rFonts w:ascii="Arial" w:cs="Arial" w:eastAsia="Arial" w:hAnsi="Arial"/>
                <w:sz w:val="14"/>
                <w:szCs w:val="14"/>
                <w:b w:val="1"/>
                <w:bCs w:val="1"/>
                <w:color w:val="auto"/>
              </w:rPr>
              <w:t>XXXX</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1,057.8</w:t>
            </w: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00" w:type="dxa"/>
            <w:vAlign w:val="bottom"/>
            <w:gridSpan w:val="2"/>
          </w:tcPr>
          <w:p>
            <w:pPr>
              <w:spacing w:after="0" w:line="149" w:lineRule="exact"/>
              <w:rPr>
                <w:sz w:val="20"/>
                <w:szCs w:val="20"/>
                <w:color w:val="auto"/>
              </w:rPr>
            </w:pPr>
            <w:r>
              <w:rPr>
                <w:rFonts w:ascii="Arial" w:cs="Arial" w:eastAsia="Arial" w:hAnsi="Arial"/>
                <w:sz w:val="14"/>
                <w:szCs w:val="14"/>
                <w:color w:val="auto"/>
              </w:rPr>
              <w:t>Policy loans</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859.7</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ind w:left="220"/>
              <w:spacing w:after="0" w:line="149" w:lineRule="exact"/>
              <w:rPr>
                <w:sz w:val="20"/>
                <w:szCs w:val="20"/>
                <w:color w:val="auto"/>
              </w:rPr>
            </w:pPr>
            <w:r>
              <w:rPr>
                <w:rFonts w:ascii="Arial" w:cs="Arial" w:eastAsia="Arial" w:hAnsi="Arial"/>
                <w:sz w:val="14"/>
                <w:szCs w:val="14"/>
                <w:b w:val="1"/>
                <w:bCs w:val="1"/>
                <w:color w:val="auto"/>
              </w:rPr>
              <w:t>XXXX</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859.7</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2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Other investments (2)</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1,542.0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ind w:left="220"/>
              <w:spacing w:after="0" w:line="149" w:lineRule="exact"/>
              <w:rPr>
                <w:sz w:val="20"/>
                <w:szCs w:val="20"/>
                <w:color w:val="auto"/>
              </w:rPr>
            </w:pPr>
            <w:r>
              <w:rPr>
                <w:rFonts w:ascii="Arial" w:cs="Arial" w:eastAsia="Arial" w:hAnsi="Arial"/>
                <w:sz w:val="14"/>
                <w:szCs w:val="14"/>
                <w:b w:val="1"/>
                <w:bCs w:val="1"/>
                <w:color w:val="auto"/>
              </w:rPr>
              <w:t>XXXX</w:t>
            </w:r>
          </w:p>
        </w:tc>
        <w:tc>
          <w:tcPr>
            <w:tcW w:w="40" w:type="dxa"/>
            <w:vAlign w:val="bottom"/>
            <w:shd w:val="clear" w:color="auto" w:fill="CCEEFF"/>
          </w:tcPr>
          <w:p>
            <w:pPr>
              <w:spacing w:after="0"/>
              <w:rPr>
                <w:sz w:val="12"/>
                <w:szCs w:val="12"/>
                <w:color w:val="auto"/>
              </w:rPr>
            </w:pPr>
          </w:p>
        </w:tc>
        <w:tc>
          <w:tcPr>
            <w:tcW w:w="60" w:type="dxa"/>
            <w:vAlign w:val="bottom"/>
            <w:tcBorders>
              <w:bottom w:val="single" w:sz="8" w:color="auto"/>
            </w:tcBorders>
            <w:shd w:val="clear" w:color="auto" w:fill="CCEEFF"/>
          </w:tcPr>
          <w:p>
            <w:pPr>
              <w:spacing w:after="0"/>
              <w:rPr>
                <w:sz w:val="12"/>
                <w:szCs w:val="12"/>
                <w:color w:val="auto"/>
              </w:rPr>
            </w:pPr>
          </w:p>
        </w:tc>
        <w:tc>
          <w:tcPr>
            <w:tcW w:w="8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2,944.4</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6200" w:type="dxa"/>
            <w:vAlign w:val="bottom"/>
            <w:gridSpan w:val="2"/>
          </w:tcPr>
          <w:p>
            <w:pPr>
              <w:ind w:left="140"/>
              <w:spacing w:after="0" w:line="142" w:lineRule="exact"/>
              <w:rPr>
                <w:sz w:val="20"/>
                <w:szCs w:val="20"/>
                <w:color w:val="auto"/>
              </w:rPr>
            </w:pPr>
            <w:r>
              <w:rPr>
                <w:rFonts w:ascii="Arial" w:cs="Arial" w:eastAsia="Arial" w:hAnsi="Arial"/>
                <w:sz w:val="14"/>
                <w:szCs w:val="14"/>
                <w:color w:val="auto"/>
              </w:rPr>
              <w:t>Total investments</w:t>
            </w:r>
          </w:p>
        </w:tc>
        <w:tc>
          <w:tcPr>
            <w:tcW w:w="160" w:type="dxa"/>
            <w:vAlign w:val="bottom"/>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jc w:val="right"/>
              <w:ind w:right="57"/>
              <w:spacing w:after="0"/>
              <w:rPr>
                <w:sz w:val="20"/>
                <w:szCs w:val="20"/>
                <w:color w:val="auto"/>
              </w:rPr>
            </w:pPr>
            <w:r>
              <w:rPr>
                <w:rFonts w:ascii="Arial" w:cs="Arial" w:eastAsia="Arial" w:hAnsi="Arial"/>
                <w:sz w:val="5"/>
                <w:szCs w:val="5"/>
                <w:b w:val="1"/>
                <w:bCs w:val="1"/>
                <w:color w:val="auto"/>
                <w:w w:val="70"/>
              </w:rPr>
              <w:t>$</w:t>
            </w:r>
          </w:p>
        </w:tc>
        <w:tc>
          <w:tcPr>
            <w:tcW w:w="5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5"/>
              </w:rPr>
              <w:t>63,671.7</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ind w:left="220"/>
              <w:spacing w:after="0" w:line="142" w:lineRule="exact"/>
              <w:rPr>
                <w:sz w:val="20"/>
                <w:szCs w:val="20"/>
                <w:color w:val="auto"/>
              </w:rPr>
            </w:pPr>
            <w:r>
              <w:rPr>
                <w:rFonts w:ascii="Arial" w:cs="Arial" w:eastAsia="Arial" w:hAnsi="Arial"/>
                <w:sz w:val="14"/>
                <w:szCs w:val="14"/>
                <w:b w:val="1"/>
                <w:bCs w:val="1"/>
                <w:color w:val="auto"/>
              </w:rPr>
              <w:t>XXXX</w:t>
            </w:r>
          </w:p>
        </w:tc>
        <w:tc>
          <w:tcPr>
            <w:tcW w:w="40" w:type="dxa"/>
            <w:vAlign w:val="bottom"/>
          </w:tcPr>
          <w:p>
            <w:pPr>
              <w:spacing w:after="0"/>
              <w:rPr>
                <w:sz w:val="12"/>
                <w:szCs w:val="12"/>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8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66,756.9</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50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5080" w:type="dxa"/>
            <w:vAlign w:val="bottom"/>
          </w:tcPr>
          <w:p>
            <w:pPr>
              <w:spacing w:after="0"/>
              <w:rPr>
                <w:sz w:val="7"/>
                <w:szCs w:val="7"/>
                <w:color w:val="auto"/>
              </w:rPr>
            </w:pPr>
          </w:p>
        </w:tc>
        <w:tc>
          <w:tcPr>
            <w:tcW w:w="160" w:type="dxa"/>
            <w:vAlign w:val="bottom"/>
          </w:tcPr>
          <w:p>
            <w:pPr>
              <w:spacing w:after="0"/>
              <w:rPr>
                <w:sz w:val="7"/>
                <w:szCs w:val="7"/>
                <w:color w:val="auto"/>
              </w:rPr>
            </w:pPr>
          </w:p>
        </w:tc>
        <w:tc>
          <w:tcPr>
            <w:tcW w:w="20" w:type="dxa"/>
            <w:vAlign w:val="bottom"/>
          </w:tcPr>
          <w:p>
            <w:pPr>
              <w:spacing w:after="0"/>
              <w:rPr>
                <w:sz w:val="7"/>
                <w:szCs w:val="7"/>
                <w:color w:val="auto"/>
              </w:rPr>
            </w:pPr>
          </w:p>
        </w:tc>
        <w:tc>
          <w:tcPr>
            <w:tcW w:w="120" w:type="dxa"/>
            <w:vAlign w:val="bottom"/>
          </w:tcPr>
          <w:p>
            <w:pPr>
              <w:spacing w:after="0"/>
              <w:rPr>
                <w:sz w:val="7"/>
                <w:szCs w:val="7"/>
                <w:color w:val="auto"/>
              </w:rPr>
            </w:pPr>
          </w:p>
        </w:tc>
        <w:tc>
          <w:tcPr>
            <w:tcW w:w="54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62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840" w:type="dxa"/>
            <w:vAlign w:val="bottom"/>
          </w:tcPr>
          <w:p>
            <w:pPr>
              <w:spacing w:after="0"/>
              <w:rPr>
                <w:sz w:val="7"/>
                <w:szCs w:val="7"/>
                <w:color w:val="auto"/>
              </w:rPr>
            </w:pPr>
          </w:p>
        </w:tc>
        <w:tc>
          <w:tcPr>
            <w:tcW w:w="160" w:type="dxa"/>
            <w:vAlign w:val="bottom"/>
          </w:tcPr>
          <w:p>
            <w:pPr>
              <w:spacing w:after="0"/>
              <w:rPr>
                <w:sz w:val="7"/>
                <w:szCs w:val="7"/>
                <w:color w:val="auto"/>
              </w:rPr>
            </w:pPr>
          </w:p>
        </w:tc>
      </w:tr>
    </w:tbl>
    <w:p>
      <w:pPr>
        <w:spacing w:after="0" w:line="192" w:lineRule="exact"/>
        <w:rPr>
          <w:sz w:val="20"/>
          <w:szCs w:val="20"/>
          <w:color w:val="auto"/>
        </w:rPr>
      </w:pPr>
    </w:p>
    <w:p>
      <w:pPr>
        <w:ind w:left="1680" w:hanging="531"/>
        <w:spacing w:after="0" w:line="239" w:lineRule="auto"/>
        <w:tabs>
          <w:tab w:leader="none" w:pos="1680" w:val="left"/>
        </w:tabs>
        <w:numPr>
          <w:ilvl w:val="0"/>
          <w:numId w:val="87"/>
        </w:numPr>
        <w:rPr>
          <w:rFonts w:ascii="Arial" w:cs="Arial" w:eastAsia="Arial" w:hAnsi="Arial"/>
          <w:sz w:val="14"/>
          <w:szCs w:val="14"/>
          <w:color w:val="auto"/>
        </w:rPr>
      </w:pPr>
      <w:r>
        <w:rPr>
          <w:rFonts w:ascii="Arial" w:cs="Arial" w:eastAsia="Arial" w:hAnsi="Arial"/>
          <w:sz w:val="14"/>
          <w:szCs w:val="14"/>
          <w:color w:val="auto"/>
        </w:rPr>
        <w:t>The amount shown in the Consolidated Statement of Financial Position for mortgage loans differs from cost as mortgage loans are generally reported at cost adjusted for amortization of premiums and accrual of discounts, computed using the interest method and net of valuation allowances.</w:t>
      </w:r>
    </w:p>
    <w:p>
      <w:pPr>
        <w:spacing w:after="0" w:line="111" w:lineRule="exact"/>
        <w:rPr>
          <w:rFonts w:ascii="Arial" w:cs="Arial" w:eastAsia="Arial" w:hAnsi="Arial"/>
          <w:sz w:val="14"/>
          <w:szCs w:val="14"/>
          <w:color w:val="auto"/>
        </w:rPr>
      </w:pPr>
    </w:p>
    <w:p>
      <w:pPr>
        <w:jc w:val="both"/>
        <w:ind w:left="1680" w:hanging="531"/>
        <w:spacing w:after="0" w:line="288" w:lineRule="auto"/>
        <w:tabs>
          <w:tab w:leader="none" w:pos="1680" w:val="left"/>
        </w:tabs>
        <w:numPr>
          <w:ilvl w:val="0"/>
          <w:numId w:val="87"/>
        </w:numPr>
        <w:rPr>
          <w:rFonts w:ascii="Arial" w:cs="Arial" w:eastAsia="Arial" w:hAnsi="Arial"/>
          <w:sz w:val="12"/>
          <w:szCs w:val="12"/>
          <w:color w:val="auto"/>
        </w:rPr>
      </w:pPr>
      <w:r>
        <w:rPr>
          <w:rFonts w:ascii="Arial" w:cs="Arial" w:eastAsia="Arial" w:hAnsi="Arial"/>
          <w:sz w:val="12"/>
          <w:szCs w:val="12"/>
          <w:color w:val="auto"/>
        </w:rPr>
        <w:t>The amount shown in the Consolidated Statement of Financial Position for other investments differs from cost due to accumulated earnings from minority interests in unconsolidated entities and properties owned jointly with venture partners and operated by the partners. Other investments also includes derivative assets and certain seed money investments, which are reported at fair value, and commercial mortgage loans of consolidated VIEs for which the fair value option was elected.</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16" w:name="page217"/>
    <w:bookmarkEnd w:id="21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Schedule II — Condensed Financial Information of Registrant (Parent Only)</w:t>
      </w:r>
    </w:p>
    <w:p>
      <w:pPr>
        <w:spacing w:after="0" w:line="225" w:lineRule="exact"/>
        <w:rPr>
          <w:sz w:val="20"/>
          <w:szCs w:val="20"/>
          <w:color w:val="auto"/>
        </w:rPr>
      </w:pPr>
    </w:p>
    <w:p>
      <w:pPr>
        <w:ind w:left="4480"/>
        <w:spacing w:after="0"/>
        <w:rPr>
          <w:sz w:val="20"/>
          <w:szCs w:val="20"/>
          <w:color w:val="auto"/>
        </w:rPr>
      </w:pPr>
      <w:r>
        <w:rPr>
          <w:rFonts w:ascii="Arial" w:cs="Arial" w:eastAsia="Arial" w:hAnsi="Arial"/>
          <w:sz w:val="18"/>
          <w:szCs w:val="18"/>
          <w:b w:val="1"/>
          <w:bCs w:val="1"/>
          <w:color w:val="auto"/>
        </w:rPr>
        <w:t>Statements of Financial Position</w:t>
      </w:r>
    </w:p>
    <w:p>
      <w:pPr>
        <w:spacing w:after="0" w:line="227"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4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60" w:type="dxa"/>
            <w:vAlign w:val="bottom"/>
            <w:gridSpan w:val="6"/>
          </w:tcPr>
          <w:p>
            <w:pPr>
              <w:jc w:val="right"/>
              <w:ind w:right="54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4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52"/>
              <w:spacing w:after="0" w:line="142" w:lineRule="exact"/>
              <w:rPr>
                <w:sz w:val="20"/>
                <w:szCs w:val="20"/>
                <w:color w:val="auto"/>
              </w:rPr>
            </w:pPr>
            <w:r>
              <w:rPr>
                <w:rFonts w:ascii="Arial" w:cs="Arial" w:eastAsia="Arial" w:hAnsi="Arial"/>
                <w:sz w:val="14"/>
                <w:szCs w:val="14"/>
                <w:b w:val="1"/>
                <w:bCs w:val="1"/>
                <w:color w:val="auto"/>
              </w:rPr>
              <w:t>2013</w:t>
            </w:r>
          </w:p>
        </w:tc>
        <w:tc>
          <w:tcPr>
            <w:tcW w:w="8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52"/>
              <w:spacing w:after="0" w:line="142" w:lineRule="exact"/>
              <w:rPr>
                <w:sz w:val="20"/>
                <w:szCs w:val="20"/>
                <w:color w:val="auto"/>
              </w:rPr>
            </w:pPr>
            <w:r>
              <w:rPr>
                <w:rFonts w:ascii="Arial" w:cs="Arial" w:eastAsia="Arial" w:hAnsi="Arial"/>
                <w:sz w:val="14"/>
                <w:szCs w:val="14"/>
                <w:b w:val="1"/>
                <w:bCs w:val="1"/>
                <w:color w:val="auto"/>
              </w:rPr>
              <w:t>2012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4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ind w:right="52"/>
              <w:spacing w:after="0" w:line="142" w:lineRule="exact"/>
              <w:rPr>
                <w:sz w:val="20"/>
                <w:szCs w:val="20"/>
                <w:color w:val="auto"/>
              </w:rPr>
            </w:pPr>
            <w:r>
              <w:rPr>
                <w:rFonts w:ascii="Arial" w:cs="Arial" w:eastAsia="Arial" w:hAnsi="Arial"/>
                <w:sz w:val="14"/>
                <w:szCs w:val="14"/>
                <w:b w:val="1"/>
                <w:bCs w:val="1"/>
                <w:i w:val="1"/>
                <w:iCs w:val="1"/>
                <w:color w:val="auto"/>
              </w:rPr>
              <w:t>(in</w:t>
            </w:r>
          </w:p>
        </w:tc>
        <w:tc>
          <w:tcPr>
            <w:tcW w:w="840" w:type="dxa"/>
            <w:vAlign w:val="bottom"/>
            <w:gridSpan w:val="4"/>
          </w:tcPr>
          <w:p>
            <w:pPr>
              <w:jc w:val="right"/>
              <w:ind w:right="352"/>
              <w:spacing w:after="0"/>
              <w:rPr>
                <w:sz w:val="20"/>
                <w:szCs w:val="20"/>
                <w:color w:val="auto"/>
              </w:rPr>
            </w:pPr>
            <w:r>
              <w:rPr>
                <w:rFonts w:ascii="Arial" w:cs="Arial" w:eastAsia="Arial" w:hAnsi="Arial"/>
                <w:sz w:val="12"/>
                <w:szCs w:val="12"/>
                <w:b w:val="1"/>
                <w:bCs w:val="1"/>
                <w:i w:val="1"/>
                <w:iCs w:val="1"/>
                <w:color w:val="auto"/>
                <w:w w:val="80"/>
              </w:rPr>
              <w:t>millions)</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20" w:type="dxa"/>
            <w:vAlign w:val="bottom"/>
          </w:tcPr>
          <w:p>
            <w:pPr>
              <w:spacing w:after="0" w:line="149" w:lineRule="exact"/>
              <w:rPr>
                <w:sz w:val="20"/>
                <w:szCs w:val="20"/>
                <w:color w:val="auto"/>
              </w:rPr>
            </w:pPr>
            <w:r>
              <w:rPr>
                <w:rFonts w:ascii="Arial" w:cs="Arial" w:eastAsia="Arial" w:hAnsi="Arial"/>
                <w:sz w:val="14"/>
                <w:szCs w:val="14"/>
                <w:color w:val="auto"/>
              </w:rPr>
              <w:t>Fixed maturities, trading</w:t>
            </w:r>
          </w:p>
        </w:tc>
        <w:tc>
          <w:tcPr>
            <w:tcW w:w="140" w:type="dxa"/>
            <w:vAlign w:val="bottom"/>
            <w:gridSpan w:val="2"/>
          </w:tcPr>
          <w:p>
            <w:pPr>
              <w:jc w:val="right"/>
              <w:ind w:right="57"/>
              <w:spacing w:after="0"/>
              <w:rPr>
                <w:sz w:val="20"/>
                <w:szCs w:val="20"/>
                <w:color w:val="auto"/>
              </w:rPr>
            </w:pPr>
            <w:r>
              <w:rPr>
                <w:rFonts w:ascii="Arial" w:cs="Arial" w:eastAsia="Arial" w:hAnsi="Arial"/>
                <w:sz w:val="10"/>
                <w:szCs w:val="10"/>
                <w:b w:val="1"/>
                <w:bCs w:val="1"/>
                <w:color w:val="auto"/>
                <w:w w:val="71"/>
              </w:rPr>
              <w:t>$</w:t>
            </w:r>
          </w:p>
        </w:tc>
        <w:tc>
          <w:tcPr>
            <w:tcW w:w="640" w:type="dxa"/>
            <w:vAlign w:val="bottom"/>
            <w:gridSpan w:val="2"/>
          </w:tcPr>
          <w:p>
            <w:pPr>
              <w:jc w:val="right"/>
              <w:ind w:right="38"/>
              <w:spacing w:after="0" w:line="149" w:lineRule="exact"/>
              <w:rPr>
                <w:sz w:val="20"/>
                <w:szCs w:val="20"/>
                <w:color w:val="auto"/>
              </w:rPr>
            </w:pPr>
            <w:r>
              <w:rPr>
                <w:rFonts w:ascii="Arial" w:cs="Arial" w:eastAsia="Arial" w:hAnsi="Arial"/>
                <w:sz w:val="14"/>
                <w:szCs w:val="14"/>
                <w:b w:val="1"/>
                <w:bCs w:val="1"/>
                <w:color w:val="auto"/>
              </w:rPr>
              <w:t>—</w:t>
            </w:r>
          </w:p>
        </w:tc>
        <w:tc>
          <w:tcPr>
            <w:tcW w:w="20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10.5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and cash equivalents</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131.5</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207.1</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20" w:type="dxa"/>
            <w:vAlign w:val="bottom"/>
          </w:tcPr>
          <w:p>
            <w:pPr>
              <w:spacing w:after="0" w:line="149" w:lineRule="exact"/>
              <w:rPr>
                <w:sz w:val="20"/>
                <w:szCs w:val="20"/>
                <w:color w:val="auto"/>
              </w:rPr>
            </w:pPr>
            <w:r>
              <w:rPr>
                <w:rFonts w:ascii="Arial" w:cs="Arial" w:eastAsia="Arial" w:hAnsi="Arial"/>
                <w:sz w:val="14"/>
                <w:szCs w:val="14"/>
                <w:color w:val="auto"/>
              </w:rPr>
              <w:t>Other investments</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9.3</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11.1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Income taxes receivable</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35.8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20" w:type="dxa"/>
            <w:vAlign w:val="bottom"/>
          </w:tcPr>
          <w:p>
            <w:pPr>
              <w:spacing w:after="0" w:line="149" w:lineRule="exact"/>
              <w:rPr>
                <w:sz w:val="20"/>
                <w:szCs w:val="20"/>
                <w:color w:val="auto"/>
              </w:rPr>
            </w:pPr>
            <w:r>
              <w:rPr>
                <w:rFonts w:ascii="Arial" w:cs="Arial" w:eastAsia="Arial" w:hAnsi="Arial"/>
                <w:sz w:val="14"/>
                <w:szCs w:val="14"/>
                <w:color w:val="auto"/>
              </w:rPr>
              <w:t>Deferred income taxes</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17.2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20.6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Amounts receivable from subsidiary</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0.8</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20" w:type="dxa"/>
            <w:vAlign w:val="bottom"/>
          </w:tcPr>
          <w:p>
            <w:pPr>
              <w:spacing w:after="0" w:line="149" w:lineRule="exact"/>
              <w:rPr>
                <w:sz w:val="20"/>
                <w:szCs w:val="20"/>
                <w:color w:val="auto"/>
              </w:rPr>
            </w:pPr>
            <w:r>
              <w:rPr>
                <w:rFonts w:ascii="Arial" w:cs="Arial" w:eastAsia="Arial" w:hAnsi="Arial"/>
                <w:sz w:val="14"/>
                <w:szCs w:val="14"/>
                <w:color w:val="auto"/>
              </w:rPr>
              <w:t>Other assets</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20.8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Investment in subsidiary</w:t>
            </w:r>
          </w:p>
        </w:tc>
        <w:tc>
          <w:tcPr>
            <w:tcW w:w="2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95"/>
              </w:rPr>
              <w:t>11,956.2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5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w w:val="99"/>
              </w:rPr>
              <w:t>11,853.3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420" w:type="dxa"/>
            <w:vAlign w:val="bottom"/>
          </w:tcPr>
          <w:p>
            <w:pPr>
              <w:ind w:left="280"/>
              <w:spacing w:after="0" w:line="142" w:lineRule="exact"/>
              <w:rPr>
                <w:sz w:val="20"/>
                <w:szCs w:val="20"/>
                <w:color w:val="auto"/>
              </w:rPr>
            </w:pPr>
            <w:r>
              <w:rPr>
                <w:rFonts w:ascii="Arial" w:cs="Arial" w:eastAsia="Arial" w:hAnsi="Arial"/>
                <w:sz w:val="14"/>
                <w:szCs w:val="14"/>
                <w:color w:val="auto"/>
              </w:rPr>
              <w:t>Total assets</w:t>
            </w:r>
          </w:p>
        </w:tc>
        <w:tc>
          <w:tcPr>
            <w:tcW w:w="20" w:type="dxa"/>
            <w:vAlign w:val="bottom"/>
          </w:tcPr>
          <w:p>
            <w:pPr>
              <w:spacing w:after="0"/>
              <w:rPr>
                <w:sz w:val="12"/>
                <w:szCs w:val="12"/>
                <w:color w:val="auto"/>
              </w:rPr>
            </w:pPr>
          </w:p>
        </w:tc>
        <w:tc>
          <w:tcPr>
            <w:tcW w:w="120" w:type="dxa"/>
            <w:vAlign w:val="bottom"/>
            <w:tcBorders>
              <w:bottom w:val="single" w:sz="8" w:color="auto"/>
            </w:tcBorders>
          </w:tcPr>
          <w:p>
            <w:pPr>
              <w:jc w:val="right"/>
              <w:ind w:right="57"/>
              <w:spacing w:after="0"/>
              <w:rPr>
                <w:sz w:val="20"/>
                <w:szCs w:val="20"/>
                <w:color w:val="auto"/>
              </w:rPr>
            </w:pPr>
            <w:r>
              <w:rPr>
                <w:rFonts w:ascii="Arial" w:cs="Arial" w:eastAsia="Arial" w:hAnsi="Arial"/>
                <w:sz w:val="5"/>
                <w:szCs w:val="5"/>
                <w:b w:val="1"/>
                <w:bCs w:val="1"/>
                <w:color w:val="auto"/>
                <w:w w:val="70"/>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5"/>
              </w:rPr>
              <w:t>12,156.2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99"/>
              </w:rPr>
              <w:t>12,160.1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4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7420" w:type="dxa"/>
            <w:vAlign w:val="bottom"/>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Liabilities</w:t>
            </w: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20" w:type="dxa"/>
            <w:vAlign w:val="bottom"/>
          </w:tcPr>
          <w:p>
            <w:pPr>
              <w:spacing w:after="0" w:line="149" w:lineRule="exact"/>
              <w:rPr>
                <w:sz w:val="20"/>
                <w:szCs w:val="20"/>
                <w:color w:val="auto"/>
              </w:rPr>
            </w:pPr>
            <w:r>
              <w:rPr>
                <w:rFonts w:ascii="Arial" w:cs="Arial" w:eastAsia="Arial" w:hAnsi="Arial"/>
                <w:sz w:val="14"/>
                <w:szCs w:val="14"/>
                <w:color w:val="auto"/>
              </w:rPr>
              <w:t>Amounts payable to subsidiary</w:t>
            </w:r>
          </w:p>
        </w:tc>
        <w:tc>
          <w:tcPr>
            <w:tcW w:w="140" w:type="dxa"/>
            <w:vAlign w:val="bottom"/>
            <w:gridSpan w:val="2"/>
          </w:tcPr>
          <w:p>
            <w:pPr>
              <w:jc w:val="right"/>
              <w:ind w:right="57"/>
              <w:spacing w:after="0"/>
              <w:rPr>
                <w:sz w:val="20"/>
                <w:szCs w:val="20"/>
                <w:color w:val="auto"/>
              </w:rPr>
            </w:pPr>
            <w:r>
              <w:rPr>
                <w:rFonts w:ascii="Arial" w:cs="Arial" w:eastAsia="Arial" w:hAnsi="Arial"/>
                <w:sz w:val="10"/>
                <w:szCs w:val="10"/>
                <w:b w:val="1"/>
                <w:bCs w:val="1"/>
                <w:color w:val="auto"/>
                <w:w w:val="71"/>
              </w:rPr>
              <w:t>$</w:t>
            </w: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w:t>
            </w:r>
          </w:p>
        </w:tc>
        <w:tc>
          <w:tcPr>
            <w:tcW w:w="80" w:type="dxa"/>
            <w:vAlign w:val="bottom"/>
          </w:tcPr>
          <w:p>
            <w:pPr>
              <w:spacing w:after="0"/>
              <w:rPr>
                <w:sz w:val="12"/>
                <w:szCs w:val="12"/>
                <w:color w:val="auto"/>
              </w:rPr>
            </w:pPr>
          </w:p>
        </w:tc>
        <w:tc>
          <w:tcPr>
            <w:tcW w:w="20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2.1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Long-term debt</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2,448.8</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2,448.6</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20" w:type="dxa"/>
            <w:vAlign w:val="bottom"/>
          </w:tcPr>
          <w:p>
            <w:pPr>
              <w:spacing w:after="0" w:line="149" w:lineRule="exact"/>
              <w:rPr>
                <w:sz w:val="20"/>
                <w:szCs w:val="20"/>
                <w:color w:val="auto"/>
              </w:rPr>
            </w:pPr>
            <w:r>
              <w:rPr>
                <w:rFonts w:ascii="Arial" w:cs="Arial" w:eastAsia="Arial" w:hAnsi="Arial"/>
                <w:sz w:val="14"/>
                <w:szCs w:val="14"/>
                <w:color w:val="auto"/>
              </w:rPr>
              <w:t>Accrued investment payable</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21.8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22.3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liabilities</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38"/>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420" w:type="dxa"/>
            <w:vAlign w:val="bottom"/>
          </w:tcPr>
          <w:p>
            <w:pPr>
              <w:ind w:left="140"/>
              <w:spacing w:after="0" w:line="142" w:lineRule="exact"/>
              <w:rPr>
                <w:sz w:val="20"/>
                <w:szCs w:val="20"/>
                <w:color w:val="auto"/>
              </w:rPr>
            </w:pPr>
            <w:r>
              <w:rPr>
                <w:rFonts w:ascii="Arial" w:cs="Arial" w:eastAsia="Arial" w:hAnsi="Arial"/>
                <w:sz w:val="14"/>
                <w:szCs w:val="14"/>
                <w:color w:val="auto"/>
              </w:rPr>
              <w:t>Total liabilities</w:t>
            </w:r>
          </w:p>
        </w:tc>
        <w:tc>
          <w:tcPr>
            <w:tcW w:w="2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2,472.0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2,476.7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Stockholders' equity</w:t>
            </w: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7420" w:type="dxa"/>
            <w:vAlign w:val="bottom"/>
          </w:tcPr>
          <w:p>
            <w:pPr>
              <w:spacing w:after="0" w:line="138" w:lineRule="exact"/>
              <w:rPr>
                <w:sz w:val="20"/>
                <w:szCs w:val="20"/>
                <w:color w:val="auto"/>
              </w:rPr>
            </w:pPr>
            <w:r>
              <w:rPr>
                <w:rFonts w:ascii="Arial" w:cs="Arial" w:eastAsia="Arial" w:hAnsi="Arial"/>
                <w:sz w:val="14"/>
                <w:szCs w:val="14"/>
                <w:color w:val="auto"/>
                <w:w w:val="92"/>
              </w:rPr>
              <w:t>Series A preferred stock, par value $0.01 per share with liquidation preference of $100 per share — 3.0 million shares authorized,</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gridSpan w:val="2"/>
            <w:vMerge w:val="restart"/>
          </w:tcPr>
          <w:p>
            <w:pPr>
              <w:jc w:val="right"/>
              <w:ind w:right="38"/>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420" w:type="dxa"/>
            <w:vAlign w:val="bottom"/>
          </w:tcPr>
          <w:p>
            <w:pPr>
              <w:ind w:left="140"/>
              <w:spacing w:after="0" w:line="159" w:lineRule="exact"/>
              <w:rPr>
                <w:sz w:val="20"/>
                <w:szCs w:val="20"/>
                <w:color w:val="auto"/>
              </w:rPr>
            </w:pPr>
            <w:r>
              <w:rPr>
                <w:rFonts w:ascii="Arial" w:cs="Arial" w:eastAsia="Arial" w:hAnsi="Arial"/>
                <w:sz w:val="14"/>
                <w:szCs w:val="14"/>
                <w:color w:val="auto"/>
              </w:rPr>
              <w:t>issued and outstanding in 2013 and 2012</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gridSpan w:val="2"/>
            <w:vMerge w:val="continue"/>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20" w:type="dxa"/>
            <w:vAlign w:val="bottom"/>
            <w:gridSpan w:val="2"/>
          </w:tcPr>
          <w:p>
            <w:pPr>
              <w:jc w:val="right"/>
              <w:ind w:right="160"/>
              <w:spacing w:after="0" w:line="15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742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2"/>
              </w:rPr>
              <w:t>Series B preferred stock, par value $0.01 per share with liquidation preference of $25 per share — 10.0 million shares authorized,</w:t>
            </w: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rPr>
              <w:t>0.1</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42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issued and outstanding in 2013 and 2012</w:t>
            </w:r>
          </w:p>
        </w:tc>
        <w:tc>
          <w:tcPr>
            <w:tcW w:w="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60" w:type="dxa"/>
            <w:vAlign w:val="bottom"/>
            <w:vMerge w:val="continue"/>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0.1</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7420" w:type="dxa"/>
            <w:vAlign w:val="bottom"/>
          </w:tcPr>
          <w:p>
            <w:pPr>
              <w:spacing w:after="0" w:line="138" w:lineRule="exact"/>
              <w:rPr>
                <w:sz w:val="20"/>
                <w:szCs w:val="20"/>
                <w:color w:val="auto"/>
              </w:rPr>
            </w:pPr>
            <w:r>
              <w:rPr>
                <w:rFonts w:ascii="Arial" w:cs="Arial" w:eastAsia="Arial" w:hAnsi="Arial"/>
                <w:sz w:val="14"/>
                <w:szCs w:val="14"/>
                <w:color w:val="auto"/>
                <w:w w:val="94"/>
              </w:rPr>
              <w:t>Common stock, par value $.01 per share — 2,500 million shares authorized, 459.3 million and 453.5 million shares issued, and</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4.6</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420" w:type="dxa"/>
            <w:vAlign w:val="bottom"/>
          </w:tcPr>
          <w:p>
            <w:pPr>
              <w:ind w:left="140"/>
              <w:spacing w:after="0" w:line="159" w:lineRule="exact"/>
              <w:rPr>
                <w:sz w:val="20"/>
                <w:szCs w:val="20"/>
                <w:color w:val="auto"/>
              </w:rPr>
            </w:pPr>
            <w:r>
              <w:rPr>
                <w:rFonts w:ascii="Arial" w:cs="Arial" w:eastAsia="Arial" w:hAnsi="Arial"/>
                <w:sz w:val="14"/>
                <w:szCs w:val="14"/>
                <w:color w:val="auto"/>
              </w:rPr>
              <w:t>295.2 million and 293.8 million shares outstanding in 2013 and 2012</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60" w:type="dxa"/>
            <w:vAlign w:val="bottom"/>
            <w:vMerge w:val="continue"/>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60" w:type="dxa"/>
            <w:vAlign w:val="bottom"/>
          </w:tcPr>
          <w:p>
            <w:pPr>
              <w:jc w:val="right"/>
              <w:spacing w:after="0" w:line="159" w:lineRule="exact"/>
              <w:rPr>
                <w:sz w:val="20"/>
                <w:szCs w:val="20"/>
                <w:color w:val="auto"/>
              </w:rPr>
            </w:pPr>
            <w:r>
              <w:rPr>
                <w:rFonts w:ascii="Arial" w:cs="Arial" w:eastAsia="Arial" w:hAnsi="Arial"/>
                <w:sz w:val="14"/>
                <w:szCs w:val="14"/>
                <w:color w:val="auto"/>
              </w:rPr>
              <w:t>4.5</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Additional paid-in capital</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9,798.9</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9,730.9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20" w:type="dxa"/>
            <w:vAlign w:val="bottom"/>
          </w:tcPr>
          <w:p>
            <w:pPr>
              <w:spacing w:after="0" w:line="149" w:lineRule="exact"/>
              <w:rPr>
                <w:sz w:val="20"/>
                <w:szCs w:val="20"/>
                <w:color w:val="auto"/>
              </w:rPr>
            </w:pPr>
            <w:r>
              <w:rPr>
                <w:rFonts w:ascii="Arial" w:cs="Arial" w:eastAsia="Arial" w:hAnsi="Arial"/>
                <w:sz w:val="14"/>
                <w:szCs w:val="14"/>
                <w:color w:val="auto"/>
              </w:rPr>
              <w:t>Retained earnings</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5,405.4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4,862.0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Accumulated other comprehensive income</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183.2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640.3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20" w:type="dxa"/>
            <w:vAlign w:val="bottom"/>
          </w:tcPr>
          <w:p>
            <w:pPr>
              <w:spacing w:after="0" w:line="149" w:lineRule="exact"/>
              <w:rPr>
                <w:sz w:val="20"/>
                <w:szCs w:val="20"/>
                <w:color w:val="auto"/>
              </w:rPr>
            </w:pPr>
            <w:r>
              <w:rPr>
                <w:rFonts w:ascii="Arial" w:cs="Arial" w:eastAsia="Arial" w:hAnsi="Arial"/>
                <w:sz w:val="14"/>
                <w:szCs w:val="14"/>
                <w:color w:val="auto"/>
              </w:rPr>
              <w:t>Treasury stock, at cost (164.1 million and 159.7 million shares in 2013 and 2012)</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(5,708.0)</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(5,554.4)</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42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stockholders' equity attributable to Principal Financial Group, Inc.</w:t>
            </w:r>
          </w:p>
        </w:tc>
        <w:tc>
          <w:tcPr>
            <w:tcW w:w="20" w:type="dxa"/>
            <w:vAlign w:val="bottom"/>
            <w:shd w:val="clear" w:color="auto" w:fill="CCEEFF"/>
          </w:tcPr>
          <w:p>
            <w:pPr>
              <w:spacing w:after="0"/>
              <w:rPr>
                <w:sz w:val="12"/>
                <w:szCs w:val="12"/>
                <w:color w:val="auto"/>
              </w:rPr>
            </w:pPr>
          </w:p>
        </w:tc>
        <w:tc>
          <w:tcPr>
            <w:tcW w:w="120" w:type="dxa"/>
            <w:vAlign w:val="bottom"/>
            <w:tcBorders>
              <w:top w:val="single" w:sz="8" w:color="auto"/>
              <w:bottom w:val="single" w:sz="8" w:color="auto"/>
            </w:tcBorders>
            <w:shd w:val="clear" w:color="auto" w:fill="CCEEFF"/>
          </w:tcPr>
          <w:p>
            <w:pPr>
              <w:spacing w:after="0"/>
              <w:rPr>
                <w:sz w:val="12"/>
                <w:szCs w:val="12"/>
                <w:color w:val="auto"/>
              </w:rPr>
            </w:pPr>
          </w:p>
        </w:tc>
        <w:tc>
          <w:tcPr>
            <w:tcW w:w="56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9,684.2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tcBorders>
              <w:top w:val="single" w:sz="8" w:color="auto"/>
              <w:bottom w:val="single" w:sz="8" w:color="auto"/>
            </w:tcBorders>
            <w:shd w:val="clear" w:color="auto" w:fill="CCEEFF"/>
          </w:tcPr>
          <w:p>
            <w:pPr>
              <w:spacing w:after="0"/>
              <w:rPr>
                <w:sz w:val="12"/>
                <w:szCs w:val="12"/>
                <w:color w:val="auto"/>
              </w:rPr>
            </w:pPr>
          </w:p>
        </w:tc>
        <w:tc>
          <w:tcPr>
            <w:tcW w:w="56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9,683.4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420" w:type="dxa"/>
            <w:vAlign w:val="bottom"/>
          </w:tcPr>
          <w:p>
            <w:pPr>
              <w:ind w:left="280"/>
              <w:spacing w:after="0" w:line="142" w:lineRule="exact"/>
              <w:rPr>
                <w:sz w:val="20"/>
                <w:szCs w:val="20"/>
                <w:color w:val="auto"/>
              </w:rPr>
            </w:pPr>
            <w:r>
              <w:rPr>
                <w:rFonts w:ascii="Arial" w:cs="Arial" w:eastAsia="Arial" w:hAnsi="Arial"/>
                <w:sz w:val="14"/>
                <w:szCs w:val="14"/>
                <w:color w:val="auto"/>
              </w:rPr>
              <w:t>Total liabilities and stockholders' equity</w:t>
            </w:r>
          </w:p>
        </w:tc>
        <w:tc>
          <w:tcPr>
            <w:tcW w:w="2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jc w:val="right"/>
              <w:ind w:right="57"/>
              <w:spacing w:after="0"/>
              <w:rPr>
                <w:sz w:val="20"/>
                <w:szCs w:val="20"/>
                <w:color w:val="auto"/>
              </w:rPr>
            </w:pPr>
            <w:r>
              <w:rPr>
                <w:rFonts w:ascii="Arial" w:cs="Arial" w:eastAsia="Arial" w:hAnsi="Arial"/>
                <w:sz w:val="5"/>
                <w:szCs w:val="5"/>
                <w:b w:val="1"/>
                <w:bCs w:val="1"/>
                <w:color w:val="auto"/>
                <w:w w:val="70"/>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5"/>
              </w:rPr>
              <w:t>12,156.2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5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99"/>
              </w:rPr>
              <w:t>12,160.1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4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25"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213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217" w:name="page218"/>
    <w:bookmarkEnd w:id="21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4740"/>
        <w:spacing w:after="0"/>
        <w:rPr>
          <w:sz w:val="20"/>
          <w:szCs w:val="20"/>
          <w:color w:val="auto"/>
        </w:rPr>
      </w:pPr>
      <w:r>
        <w:rPr>
          <w:rFonts w:ascii="Arial" w:cs="Arial" w:eastAsia="Arial" w:hAnsi="Arial"/>
          <w:sz w:val="18"/>
          <w:szCs w:val="18"/>
          <w:b w:val="1"/>
          <w:bCs w:val="1"/>
          <w:color w:val="auto"/>
        </w:rPr>
        <w:t>Statements of Operations</w:t>
      </w:r>
    </w:p>
    <w:p>
      <w:pPr>
        <w:spacing w:after="0" w:line="227"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9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160" w:type="dxa"/>
            <w:vAlign w:val="bottom"/>
            <w:gridSpan w:val="11"/>
          </w:tcPr>
          <w:p>
            <w:pPr>
              <w:jc w:val="right"/>
              <w:ind w:right="220"/>
              <w:spacing w:after="0"/>
              <w:rPr>
                <w:sz w:val="20"/>
                <w:szCs w:val="20"/>
                <w:color w:val="auto"/>
              </w:rPr>
            </w:pPr>
            <w:r>
              <w:rPr>
                <w:rFonts w:ascii="Arial" w:cs="Arial" w:eastAsia="Arial" w:hAnsi="Arial"/>
                <w:sz w:val="14"/>
                <w:szCs w:val="14"/>
                <w:b w:val="1"/>
                <w:bCs w:val="1"/>
                <w:color w:val="auto"/>
                <w:w w:val="87"/>
              </w:rPr>
              <w:t>For the year ended December 31,</w:t>
            </w:r>
          </w:p>
        </w:tc>
      </w:tr>
      <w:tr>
        <w:trPr>
          <w:trHeight w:val="142"/>
        </w:trPr>
        <w:tc>
          <w:tcPr>
            <w:tcW w:w="20" w:type="dxa"/>
            <w:vAlign w:val="bottom"/>
          </w:tcPr>
          <w:p>
            <w:pPr>
              <w:spacing w:after="0"/>
              <w:rPr>
                <w:sz w:val="12"/>
                <w:szCs w:val="12"/>
                <w:color w:val="auto"/>
              </w:rPr>
            </w:pPr>
          </w:p>
        </w:tc>
        <w:tc>
          <w:tcPr>
            <w:tcW w:w="69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89"/>
              </w:rPr>
              <w:t>2013</w:t>
            </w:r>
          </w:p>
        </w:tc>
        <w:tc>
          <w:tcPr>
            <w:tcW w:w="8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80" w:type="dxa"/>
            <w:vAlign w:val="bottom"/>
            <w:tcBorders>
              <w:top w:val="single" w:sz="8" w:color="auto"/>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96"/>
              </w:rPr>
              <w:t>2012</w:t>
            </w: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89"/>
              </w:rPr>
              <w:t>2011</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69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gridSpan w:val="3"/>
          </w:tcPr>
          <w:p>
            <w:pPr>
              <w:jc w:val="right"/>
              <w:spacing w:after="0" w:line="142" w:lineRule="exact"/>
              <w:rPr>
                <w:sz w:val="20"/>
                <w:szCs w:val="20"/>
                <w:color w:val="auto"/>
              </w:rPr>
            </w:pPr>
            <w:r>
              <w:rPr>
                <w:rFonts w:ascii="Arial" w:cs="Arial" w:eastAsia="Arial" w:hAnsi="Arial"/>
                <w:sz w:val="14"/>
                <w:szCs w:val="14"/>
                <w:b w:val="1"/>
                <w:bCs w:val="1"/>
                <w:i w:val="1"/>
                <w:iCs w:val="1"/>
                <w:color w:val="auto"/>
                <w:w w:val="81"/>
              </w:rPr>
              <w:t>(in millions)</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94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Revenues</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940" w:type="dxa"/>
            <w:vAlign w:val="bottom"/>
          </w:tcPr>
          <w:p>
            <w:pPr>
              <w:spacing w:after="0" w:line="149" w:lineRule="exact"/>
              <w:rPr>
                <w:sz w:val="20"/>
                <w:szCs w:val="20"/>
                <w:color w:val="auto"/>
              </w:rPr>
            </w:pPr>
            <w:r>
              <w:rPr>
                <w:rFonts w:ascii="Arial" w:cs="Arial" w:eastAsia="Arial" w:hAnsi="Arial"/>
                <w:sz w:val="14"/>
                <w:szCs w:val="14"/>
                <w:color w:val="auto"/>
              </w:rPr>
              <w:t>Fees and other revenues</w:t>
            </w:r>
          </w:p>
        </w:tc>
        <w:tc>
          <w:tcPr>
            <w:tcW w:w="100" w:type="dxa"/>
            <w:vAlign w:val="bottom"/>
            <w:gridSpan w:val="2"/>
          </w:tcPr>
          <w:p>
            <w:pPr>
              <w:jc w:val="right"/>
              <w:spacing w:after="0"/>
              <w:rPr>
                <w:sz w:val="20"/>
                <w:szCs w:val="20"/>
                <w:color w:val="auto"/>
              </w:rPr>
            </w:pPr>
            <w:r>
              <w:rPr>
                <w:rFonts w:ascii="Arial" w:cs="Arial" w:eastAsia="Arial" w:hAnsi="Arial"/>
                <w:sz w:val="10"/>
                <w:szCs w:val="10"/>
                <w:b w:val="1"/>
                <w:bCs w:val="1"/>
                <w:color w:val="auto"/>
                <w:w w:val="71"/>
              </w:rPr>
              <w:t>$</w:t>
            </w:r>
          </w:p>
        </w:tc>
        <w:tc>
          <w:tcPr>
            <w:tcW w:w="540" w:type="dxa"/>
            <w:vAlign w:val="bottom"/>
            <w:gridSpan w:val="2"/>
          </w:tcPr>
          <w:p>
            <w:pPr>
              <w:jc w:val="right"/>
              <w:ind w:right="80"/>
              <w:spacing w:after="0" w:line="149" w:lineRule="exact"/>
              <w:rPr>
                <w:sz w:val="20"/>
                <w:szCs w:val="20"/>
                <w:color w:val="auto"/>
              </w:rPr>
            </w:pPr>
            <w:r>
              <w:rPr>
                <w:rFonts w:ascii="Arial" w:cs="Arial" w:eastAsia="Arial" w:hAnsi="Arial"/>
                <w:sz w:val="14"/>
                <w:szCs w:val="14"/>
                <w:b w:val="1"/>
                <w:bCs w:val="1"/>
                <w:color w:val="auto"/>
              </w:rPr>
              <w:t>—</w:t>
            </w:r>
          </w:p>
        </w:tc>
        <w:tc>
          <w:tcPr>
            <w:tcW w:w="1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480" w:type="dxa"/>
            <w:vAlign w:val="bottom"/>
          </w:tcPr>
          <w:p>
            <w:pPr>
              <w:jc w:val="right"/>
              <w:spacing w:after="0" w:line="149" w:lineRule="exact"/>
              <w:rPr>
                <w:sz w:val="20"/>
                <w:szCs w:val="20"/>
                <w:color w:val="auto"/>
              </w:rPr>
            </w:pPr>
            <w:r>
              <w:rPr>
                <w:rFonts w:ascii="Arial" w:cs="Arial" w:eastAsia="Arial" w:hAnsi="Arial"/>
                <w:sz w:val="14"/>
                <w:szCs w:val="14"/>
                <w:color w:val="auto"/>
              </w:rPr>
              <w:t>0.5</w:t>
            </w:r>
          </w:p>
        </w:tc>
        <w:tc>
          <w:tcPr>
            <w:tcW w:w="100" w:type="dxa"/>
            <w:vAlign w:val="bottom"/>
          </w:tcPr>
          <w:p>
            <w:pPr>
              <w:spacing w:after="0"/>
              <w:rPr>
                <w:sz w:val="12"/>
                <w:szCs w:val="12"/>
                <w:color w:val="auto"/>
              </w:rPr>
            </w:pP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0.2</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investment income (loss)</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0.4</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(12.0)</w:t>
            </w:r>
          </w:p>
        </w:tc>
      </w:tr>
      <w:tr>
        <w:trPr>
          <w:trHeight w:val="149"/>
        </w:trPr>
        <w:tc>
          <w:tcPr>
            <w:tcW w:w="20" w:type="dxa"/>
            <w:vAlign w:val="bottom"/>
          </w:tcPr>
          <w:p>
            <w:pPr>
              <w:spacing w:after="0"/>
              <w:rPr>
                <w:sz w:val="12"/>
                <w:szCs w:val="12"/>
                <w:color w:val="auto"/>
              </w:rPr>
            </w:pPr>
          </w:p>
        </w:tc>
        <w:tc>
          <w:tcPr>
            <w:tcW w:w="6940" w:type="dxa"/>
            <w:vAlign w:val="bottom"/>
          </w:tcPr>
          <w:p>
            <w:pPr>
              <w:spacing w:after="0" w:line="149" w:lineRule="exact"/>
              <w:rPr>
                <w:sz w:val="20"/>
                <w:szCs w:val="20"/>
                <w:color w:val="auto"/>
              </w:rPr>
            </w:pPr>
            <w:r>
              <w:rPr>
                <w:rFonts w:ascii="Arial" w:cs="Arial" w:eastAsia="Arial" w:hAnsi="Arial"/>
                <w:sz w:val="14"/>
                <w:szCs w:val="14"/>
                <w:color w:val="auto"/>
              </w:rPr>
              <w:t>Net realized capital gains</w:t>
            </w:r>
          </w:p>
        </w:tc>
        <w:tc>
          <w:tcPr>
            <w:tcW w:w="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6.3</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0.3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694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 revenues</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6.7</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3.8</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(11.8)</w:t>
            </w:r>
          </w:p>
        </w:tc>
      </w:tr>
      <w:tr>
        <w:trPr>
          <w:trHeight w:val="311"/>
        </w:trPr>
        <w:tc>
          <w:tcPr>
            <w:tcW w:w="6960" w:type="dxa"/>
            <w:vAlign w:val="bottom"/>
            <w:gridSpan w:val="2"/>
          </w:tcPr>
          <w:p>
            <w:pPr>
              <w:spacing w:after="0"/>
              <w:rPr>
                <w:sz w:val="20"/>
                <w:szCs w:val="20"/>
                <w:color w:val="auto"/>
              </w:rPr>
            </w:pPr>
            <w:r>
              <w:rPr>
                <w:rFonts w:ascii="Arial" w:cs="Arial" w:eastAsia="Arial" w:hAnsi="Arial"/>
                <w:sz w:val="14"/>
                <w:szCs w:val="14"/>
                <w:b w:val="1"/>
                <w:bCs w:val="1"/>
                <w:color w:val="auto"/>
              </w:rPr>
              <w:t>Expenses</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149"/>
        </w:trPr>
        <w:tc>
          <w:tcPr>
            <w:tcW w:w="20" w:type="dxa"/>
            <w:vAlign w:val="bottom"/>
          </w:tcPr>
          <w:p>
            <w:pPr>
              <w:spacing w:after="0"/>
              <w:rPr>
                <w:sz w:val="12"/>
                <w:szCs w:val="12"/>
                <w:color w:val="auto"/>
              </w:rPr>
            </w:pPr>
          </w:p>
        </w:tc>
        <w:tc>
          <w:tcPr>
            <w:tcW w:w="6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operating costs and expenses</w:t>
            </w:r>
          </w:p>
        </w:tc>
        <w:tc>
          <w:tcPr>
            <w:tcW w:w="2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4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140.5</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4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170.2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4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116.0</w:t>
            </w:r>
          </w:p>
        </w:tc>
        <w:tc>
          <w:tcPr>
            <w:tcW w:w="160" w:type="dxa"/>
            <w:vAlign w:val="bottom"/>
            <w:shd w:val="clear" w:color="auto" w:fill="CCEEFF"/>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6940" w:type="dxa"/>
            <w:vAlign w:val="bottom"/>
          </w:tcPr>
          <w:p>
            <w:pPr>
              <w:ind w:left="140"/>
              <w:spacing w:after="0" w:line="142" w:lineRule="exact"/>
              <w:rPr>
                <w:sz w:val="20"/>
                <w:szCs w:val="20"/>
                <w:color w:val="auto"/>
              </w:rPr>
            </w:pPr>
            <w:r>
              <w:rPr>
                <w:rFonts w:ascii="Arial" w:cs="Arial" w:eastAsia="Arial" w:hAnsi="Arial"/>
                <w:sz w:val="14"/>
                <w:szCs w:val="14"/>
                <w:color w:val="auto"/>
              </w:rPr>
              <w:t>Total expenses</w:t>
            </w:r>
          </w:p>
        </w:tc>
        <w:tc>
          <w:tcPr>
            <w:tcW w:w="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140.5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170.2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116.0</w:t>
            </w: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694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Losses before income taxes</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b w:val="1"/>
                <w:bCs w:val="1"/>
                <w:color w:val="auto"/>
              </w:rPr>
              <w:t>(133.8)</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(166.4)</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(127.8)</w:t>
            </w:r>
          </w:p>
        </w:tc>
      </w:tr>
      <w:tr>
        <w:trPr>
          <w:trHeight w:val="149"/>
        </w:trPr>
        <w:tc>
          <w:tcPr>
            <w:tcW w:w="20" w:type="dxa"/>
            <w:vAlign w:val="bottom"/>
          </w:tcPr>
          <w:p>
            <w:pPr>
              <w:spacing w:after="0"/>
              <w:rPr>
                <w:sz w:val="12"/>
                <w:szCs w:val="12"/>
                <w:color w:val="auto"/>
              </w:rPr>
            </w:pPr>
          </w:p>
        </w:tc>
        <w:tc>
          <w:tcPr>
            <w:tcW w:w="6940" w:type="dxa"/>
            <w:vAlign w:val="bottom"/>
          </w:tcPr>
          <w:p>
            <w:pPr>
              <w:spacing w:after="0" w:line="149" w:lineRule="exact"/>
              <w:rPr>
                <w:sz w:val="20"/>
                <w:szCs w:val="20"/>
                <w:color w:val="auto"/>
              </w:rPr>
            </w:pPr>
            <w:r>
              <w:rPr>
                <w:rFonts w:ascii="Arial" w:cs="Arial" w:eastAsia="Arial" w:hAnsi="Arial"/>
                <w:sz w:val="14"/>
                <w:szCs w:val="14"/>
                <w:color w:val="auto"/>
              </w:rPr>
              <w:t>Income tax benefits</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gridSpan w:val="2"/>
          </w:tcPr>
          <w:p>
            <w:pPr>
              <w:jc w:val="right"/>
              <w:ind w:right="40"/>
              <w:spacing w:after="0" w:line="149" w:lineRule="exact"/>
              <w:rPr>
                <w:sz w:val="20"/>
                <w:szCs w:val="20"/>
                <w:color w:val="auto"/>
              </w:rPr>
            </w:pPr>
            <w:r>
              <w:rPr>
                <w:rFonts w:ascii="Arial" w:cs="Arial" w:eastAsia="Arial" w:hAnsi="Arial"/>
                <w:sz w:val="14"/>
                <w:szCs w:val="14"/>
                <w:b w:val="1"/>
                <w:bCs w:val="1"/>
                <w:color w:val="auto"/>
              </w:rPr>
              <w:t>(54.0)</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(67.6)</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(50.4)</w:t>
            </w:r>
          </w:p>
        </w:tc>
      </w:tr>
      <w:tr>
        <w:trPr>
          <w:trHeight w:val="149"/>
        </w:trPr>
        <w:tc>
          <w:tcPr>
            <w:tcW w:w="20" w:type="dxa"/>
            <w:vAlign w:val="bottom"/>
          </w:tcPr>
          <w:p>
            <w:pPr>
              <w:spacing w:after="0"/>
              <w:rPr>
                <w:sz w:val="12"/>
                <w:szCs w:val="12"/>
                <w:color w:val="auto"/>
              </w:rPr>
            </w:pPr>
          </w:p>
        </w:tc>
        <w:tc>
          <w:tcPr>
            <w:tcW w:w="6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Equity in the net income of subsidiaries</w:t>
            </w:r>
          </w:p>
        </w:tc>
        <w:tc>
          <w:tcPr>
            <w:tcW w:w="2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4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992.5</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4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905.4</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4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715.7</w:t>
            </w:r>
          </w:p>
        </w:tc>
        <w:tc>
          <w:tcPr>
            <w:tcW w:w="160" w:type="dxa"/>
            <w:vAlign w:val="bottom"/>
            <w:shd w:val="clear" w:color="auto" w:fill="CCEEFF"/>
          </w:tcPr>
          <w:p>
            <w:pPr>
              <w:spacing w:after="0"/>
              <w:rPr>
                <w:sz w:val="12"/>
                <w:szCs w:val="12"/>
                <w:color w:val="auto"/>
              </w:rPr>
            </w:pPr>
          </w:p>
        </w:tc>
      </w:tr>
      <w:tr>
        <w:trPr>
          <w:trHeight w:val="142"/>
        </w:trPr>
        <w:tc>
          <w:tcPr>
            <w:tcW w:w="6960" w:type="dxa"/>
            <w:vAlign w:val="bottom"/>
            <w:gridSpan w:val="2"/>
          </w:tcPr>
          <w:p>
            <w:pPr>
              <w:spacing w:after="0" w:line="142" w:lineRule="exact"/>
              <w:rPr>
                <w:sz w:val="20"/>
                <w:szCs w:val="20"/>
                <w:color w:val="auto"/>
              </w:rPr>
            </w:pPr>
            <w:r>
              <w:rPr>
                <w:rFonts w:ascii="Arial" w:cs="Arial" w:eastAsia="Arial" w:hAnsi="Arial"/>
                <w:sz w:val="14"/>
                <w:szCs w:val="14"/>
                <w:color w:val="auto"/>
              </w:rPr>
              <w:t>Net income attributable to Principal Financial Group, Inc.</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912.7</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spacing w:after="0" w:line="142" w:lineRule="exact"/>
              <w:rPr>
                <w:sz w:val="20"/>
                <w:szCs w:val="20"/>
                <w:color w:val="auto"/>
              </w:rPr>
            </w:pPr>
            <w:r>
              <w:rPr>
                <w:rFonts w:ascii="Arial" w:cs="Arial" w:eastAsia="Arial" w:hAnsi="Arial"/>
                <w:sz w:val="14"/>
                <w:szCs w:val="14"/>
                <w:color w:val="auto"/>
              </w:rPr>
              <w:t>806.6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2" w:lineRule="exact"/>
              <w:rPr>
                <w:sz w:val="20"/>
                <w:szCs w:val="20"/>
                <w:color w:val="auto"/>
              </w:rPr>
            </w:pPr>
            <w:r>
              <w:rPr>
                <w:rFonts w:ascii="Arial" w:cs="Arial" w:eastAsia="Arial" w:hAnsi="Arial"/>
                <w:sz w:val="14"/>
                <w:szCs w:val="14"/>
                <w:color w:val="auto"/>
              </w:rPr>
              <w:t>638.3</w:t>
            </w: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Preferred stock dividends</w:t>
            </w:r>
          </w:p>
        </w:tc>
        <w:tc>
          <w:tcPr>
            <w:tcW w:w="2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4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33.0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4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33.0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4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33.0</w:t>
            </w:r>
          </w:p>
        </w:tc>
        <w:tc>
          <w:tcPr>
            <w:tcW w:w="160" w:type="dxa"/>
            <w:vAlign w:val="bottom"/>
            <w:shd w:val="clear" w:color="auto" w:fill="CCEEFF"/>
          </w:tcPr>
          <w:p>
            <w:pPr>
              <w:spacing w:after="0"/>
              <w:rPr>
                <w:sz w:val="12"/>
                <w:szCs w:val="12"/>
                <w:color w:val="auto"/>
              </w:rPr>
            </w:pPr>
          </w:p>
        </w:tc>
      </w:tr>
      <w:tr>
        <w:trPr>
          <w:trHeight w:val="142"/>
        </w:trPr>
        <w:tc>
          <w:tcPr>
            <w:tcW w:w="6960" w:type="dxa"/>
            <w:vAlign w:val="bottom"/>
            <w:gridSpan w:val="2"/>
          </w:tcPr>
          <w:p>
            <w:pPr>
              <w:spacing w:after="0" w:line="142" w:lineRule="exact"/>
              <w:rPr>
                <w:sz w:val="20"/>
                <w:szCs w:val="20"/>
                <w:color w:val="auto"/>
              </w:rPr>
            </w:pPr>
            <w:r>
              <w:rPr>
                <w:rFonts w:ascii="Arial" w:cs="Arial" w:eastAsia="Arial" w:hAnsi="Arial"/>
                <w:sz w:val="14"/>
                <w:szCs w:val="14"/>
                <w:color w:val="auto"/>
              </w:rPr>
              <w:t>Net income available to common stockholders</w:t>
            </w:r>
          </w:p>
        </w:tc>
        <w:tc>
          <w:tcPr>
            <w:tcW w:w="2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5"/>
                <w:szCs w:val="5"/>
                <w:b w:val="1"/>
                <w:bCs w:val="1"/>
                <w:color w:val="auto"/>
                <w:w w:val="70"/>
              </w:rPr>
              <w:t>$</w:t>
            </w:r>
          </w:p>
        </w:tc>
        <w:tc>
          <w:tcPr>
            <w:tcW w:w="4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879.7</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773.6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605.3</w:t>
            </w:r>
          </w:p>
        </w:tc>
        <w:tc>
          <w:tcPr>
            <w:tcW w:w="160" w:type="dxa"/>
            <w:vAlign w:val="bottom"/>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69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25"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214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218" w:name="page219"/>
    <w:bookmarkEnd w:id="21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4720"/>
        <w:spacing w:after="0"/>
        <w:rPr>
          <w:sz w:val="20"/>
          <w:szCs w:val="20"/>
          <w:color w:val="auto"/>
        </w:rPr>
      </w:pPr>
      <w:r>
        <w:rPr>
          <w:rFonts w:ascii="Arial" w:cs="Arial" w:eastAsia="Arial" w:hAnsi="Arial"/>
          <w:sz w:val="18"/>
          <w:szCs w:val="18"/>
          <w:b w:val="1"/>
          <w:bCs w:val="1"/>
          <w:color w:val="auto"/>
        </w:rPr>
        <w:t>Statements of Cash Flows</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88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20" w:type="dxa"/>
            <w:vAlign w:val="bottom"/>
            <w:gridSpan w:val="8"/>
          </w:tcPr>
          <w:p>
            <w:pPr>
              <w:jc w:val="center"/>
              <w:ind w:left="292"/>
              <w:spacing w:after="0"/>
              <w:rPr>
                <w:sz w:val="20"/>
                <w:szCs w:val="20"/>
                <w:color w:val="auto"/>
              </w:rPr>
            </w:pPr>
            <w:r>
              <w:rPr>
                <w:rFonts w:ascii="Arial" w:cs="Arial" w:eastAsia="Arial" w:hAnsi="Arial"/>
                <w:sz w:val="14"/>
                <w:szCs w:val="14"/>
                <w:b w:val="1"/>
                <w:bCs w:val="1"/>
                <w:color w:val="auto"/>
                <w:w w:val="86"/>
              </w:rPr>
              <w:t>For the year ended</w:t>
            </w:r>
          </w:p>
        </w:tc>
        <w:tc>
          <w:tcPr>
            <w:tcW w:w="4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588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gridSpan w:val="4"/>
          </w:tcPr>
          <w:p>
            <w:pPr>
              <w:jc w:val="center"/>
              <w:ind w:right="20"/>
              <w:spacing w:after="0"/>
              <w:rPr>
                <w:sz w:val="20"/>
                <w:szCs w:val="20"/>
                <w:color w:val="auto"/>
              </w:rPr>
            </w:pPr>
            <w:r>
              <w:rPr>
                <w:rFonts w:ascii="Arial" w:cs="Arial" w:eastAsia="Arial" w:hAnsi="Arial"/>
                <w:sz w:val="14"/>
                <w:szCs w:val="14"/>
                <w:b w:val="1"/>
                <w:bCs w:val="1"/>
                <w:color w:val="auto"/>
                <w:w w:val="85"/>
              </w:rPr>
              <w:t>December 31,</w:t>
            </w:r>
          </w:p>
        </w:tc>
        <w:tc>
          <w:tcPr>
            <w:tcW w:w="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88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96"/>
              </w:rPr>
              <w:t>2013</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center"/>
              <w:ind w:right="52"/>
              <w:spacing w:after="0" w:line="142" w:lineRule="exact"/>
              <w:rPr>
                <w:sz w:val="20"/>
                <w:szCs w:val="20"/>
                <w:color w:val="auto"/>
              </w:rPr>
            </w:pPr>
            <w:r>
              <w:rPr>
                <w:rFonts w:ascii="Arial" w:cs="Arial" w:eastAsia="Arial" w:hAnsi="Arial"/>
                <w:sz w:val="14"/>
                <w:szCs w:val="14"/>
                <w:b w:val="1"/>
                <w:bCs w:val="1"/>
                <w:color w:val="auto"/>
                <w:w w:val="89"/>
              </w:rPr>
              <w:t>2012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w w:val="89"/>
              </w:rPr>
              <w:t>2011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88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40" w:type="dxa"/>
            <w:vAlign w:val="bottom"/>
            <w:gridSpan w:val="3"/>
          </w:tcPr>
          <w:p>
            <w:pPr>
              <w:jc w:val="center"/>
              <w:ind w:left="12"/>
              <w:spacing w:after="0" w:line="142" w:lineRule="exact"/>
              <w:rPr>
                <w:sz w:val="20"/>
                <w:szCs w:val="20"/>
                <w:color w:val="auto"/>
              </w:rPr>
            </w:pPr>
            <w:r>
              <w:rPr>
                <w:rFonts w:ascii="Arial" w:cs="Arial" w:eastAsia="Arial" w:hAnsi="Arial"/>
                <w:sz w:val="14"/>
                <w:szCs w:val="14"/>
                <w:b w:val="1"/>
                <w:bCs w:val="1"/>
                <w:i w:val="1"/>
                <w:iCs w:val="1"/>
                <w:color w:val="auto"/>
                <w:w w:val="83"/>
              </w:rPr>
              <w:t>(in millions)</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Operating activities</w:t>
            </w:r>
          </w:p>
        </w:tc>
        <w:tc>
          <w:tcPr>
            <w:tcW w:w="10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tcPr>
          <w:p>
            <w:pPr>
              <w:spacing w:after="0" w:line="149" w:lineRule="exact"/>
              <w:rPr>
                <w:sz w:val="20"/>
                <w:szCs w:val="20"/>
                <w:color w:val="auto"/>
              </w:rPr>
            </w:pPr>
            <w:r>
              <w:rPr>
                <w:rFonts w:ascii="Arial" w:cs="Arial" w:eastAsia="Arial" w:hAnsi="Arial"/>
                <w:sz w:val="14"/>
                <w:szCs w:val="14"/>
                <w:color w:val="auto"/>
              </w:rPr>
              <w:t>Net income</w:t>
            </w:r>
          </w:p>
        </w:tc>
        <w:tc>
          <w:tcPr>
            <w:tcW w:w="1100" w:type="dxa"/>
            <w:vAlign w:val="bottom"/>
            <w:gridSpan w:val="2"/>
          </w:tcPr>
          <w:p>
            <w:pPr>
              <w:jc w:val="right"/>
              <w:ind w:right="40"/>
              <w:spacing w:after="0" w:line="149" w:lineRule="exact"/>
              <w:rPr>
                <w:sz w:val="20"/>
                <w:szCs w:val="20"/>
                <w:color w:val="auto"/>
              </w:rPr>
            </w:pPr>
            <w:r>
              <w:rPr>
                <w:rFonts w:ascii="Arial" w:cs="Arial" w:eastAsia="Arial" w:hAnsi="Arial"/>
                <w:sz w:val="14"/>
                <w:szCs w:val="14"/>
                <w:b w:val="1"/>
                <w:bCs w:val="1"/>
                <w:color w:val="auto"/>
              </w:rPr>
              <w:t>$</w:t>
            </w:r>
          </w:p>
        </w:tc>
        <w:tc>
          <w:tcPr>
            <w:tcW w:w="4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912.7</w:t>
            </w:r>
          </w:p>
        </w:tc>
        <w:tc>
          <w:tcPr>
            <w:tcW w:w="40" w:type="dxa"/>
            <w:vAlign w:val="bottom"/>
          </w:tcPr>
          <w:p>
            <w:pPr>
              <w:spacing w:after="0"/>
              <w:rPr>
                <w:sz w:val="12"/>
                <w:szCs w:val="12"/>
                <w:color w:val="auto"/>
              </w:rPr>
            </w:pPr>
          </w:p>
        </w:tc>
        <w:tc>
          <w:tcPr>
            <w:tcW w:w="22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806.6</w:t>
            </w:r>
          </w:p>
        </w:tc>
        <w:tc>
          <w:tcPr>
            <w:tcW w:w="100" w:type="dxa"/>
            <w:vAlign w:val="bottom"/>
          </w:tcPr>
          <w:p>
            <w:pPr>
              <w:spacing w:after="0"/>
              <w:rPr>
                <w:sz w:val="12"/>
                <w:szCs w:val="12"/>
                <w:color w:val="auto"/>
              </w:rPr>
            </w:pPr>
          </w:p>
        </w:tc>
        <w:tc>
          <w:tcPr>
            <w:tcW w:w="16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638.3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Adjustments to reconcile net income to net cash provided by (used in) operating activities:</w:t>
            </w:r>
          </w:p>
        </w:tc>
        <w:tc>
          <w:tcPr>
            <w:tcW w:w="10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tcPr>
          <w:p>
            <w:pPr>
              <w:ind w:left="140"/>
              <w:spacing w:after="0" w:line="149" w:lineRule="exact"/>
              <w:rPr>
                <w:sz w:val="20"/>
                <w:szCs w:val="20"/>
                <w:color w:val="auto"/>
              </w:rPr>
            </w:pPr>
            <w:r>
              <w:rPr>
                <w:rFonts w:ascii="Arial" w:cs="Arial" w:eastAsia="Arial" w:hAnsi="Arial"/>
                <w:sz w:val="14"/>
                <w:szCs w:val="14"/>
                <w:color w:val="auto"/>
              </w:rPr>
              <w:t>Equity in the net income of subsidiaries</w:t>
            </w: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(992.5)</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(905.4)</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(715.7)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Net realized capital gains</w:t>
            </w:r>
          </w:p>
        </w:tc>
        <w:tc>
          <w:tcPr>
            <w:tcW w:w="10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(6.3)</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(0.3)</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tcPr>
          <w:p>
            <w:pPr>
              <w:ind w:left="140"/>
              <w:spacing w:after="0" w:line="149" w:lineRule="exact"/>
              <w:rPr>
                <w:sz w:val="20"/>
                <w:szCs w:val="20"/>
                <w:color w:val="auto"/>
              </w:rPr>
            </w:pPr>
            <w:r>
              <w:rPr>
                <w:rFonts w:ascii="Arial" w:cs="Arial" w:eastAsia="Arial" w:hAnsi="Arial"/>
                <w:sz w:val="14"/>
                <w:szCs w:val="14"/>
                <w:color w:val="auto"/>
              </w:rPr>
              <w:t>Net cash flows for trading securities</w:t>
            </w: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10.4</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258.2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21.7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Current and deferred income tax benefits</w:t>
            </w:r>
          </w:p>
        </w:tc>
        <w:tc>
          <w:tcPr>
            <w:tcW w:w="10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12.6</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(2.3)</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tcPr>
          <w:p>
            <w:pPr>
              <w:ind w:left="140"/>
              <w:spacing w:after="0" w:line="149" w:lineRule="exact"/>
              <w:rPr>
                <w:sz w:val="20"/>
                <w:szCs w:val="20"/>
                <w:color w:val="auto"/>
              </w:rPr>
            </w:pPr>
            <w:r>
              <w:rPr>
                <w:rFonts w:ascii="Arial" w:cs="Arial" w:eastAsia="Arial" w:hAnsi="Arial"/>
                <w:sz w:val="14"/>
                <w:szCs w:val="14"/>
                <w:color w:val="auto"/>
              </w:rPr>
              <w:t>Stock-based compensation</w:t>
            </w: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2.2</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2.2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1.6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Other</w:t>
            </w:r>
          </w:p>
        </w:tc>
        <w:tc>
          <w:tcPr>
            <w:tcW w:w="10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18.1</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45.8</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(15.5)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880" w:type="dxa"/>
            <w:vAlign w:val="bottom"/>
            <w:vMerge w:val="restart"/>
          </w:tcPr>
          <w:p>
            <w:pPr>
              <w:ind w:left="280"/>
              <w:spacing w:after="0"/>
              <w:rPr>
                <w:sz w:val="20"/>
                <w:szCs w:val="20"/>
                <w:color w:val="auto"/>
              </w:rPr>
            </w:pPr>
            <w:r>
              <w:rPr>
                <w:rFonts w:ascii="Arial" w:cs="Arial" w:eastAsia="Arial" w:hAnsi="Arial"/>
                <w:sz w:val="14"/>
                <w:szCs w:val="14"/>
                <w:color w:val="auto"/>
              </w:rPr>
              <w:t>Net cash provided by (used in) operating activities</w:t>
            </w:r>
          </w:p>
        </w:tc>
        <w:tc>
          <w:tcPr>
            <w:tcW w:w="10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5880" w:type="dxa"/>
            <w:vAlign w:val="bottom"/>
            <w:vMerge w:val="continue"/>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gridSpan w:val="2"/>
          </w:tcPr>
          <w:p>
            <w:pPr>
              <w:jc w:val="right"/>
              <w:ind w:right="20"/>
              <w:spacing w:after="0" w:line="142" w:lineRule="exact"/>
              <w:rPr>
                <w:sz w:val="20"/>
                <w:szCs w:val="20"/>
                <w:color w:val="auto"/>
              </w:rPr>
            </w:pPr>
            <w:r>
              <w:rPr>
                <w:rFonts w:ascii="Arial" w:cs="Arial" w:eastAsia="Arial" w:hAnsi="Arial"/>
                <w:sz w:val="14"/>
                <w:szCs w:val="14"/>
                <w:b w:val="1"/>
                <w:bCs w:val="1"/>
                <w:color w:val="auto"/>
              </w:rPr>
              <w:t>(42.8)</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2" w:lineRule="exact"/>
              <w:rPr>
                <w:sz w:val="20"/>
                <w:szCs w:val="20"/>
                <w:color w:val="auto"/>
              </w:rPr>
            </w:pPr>
            <w:r>
              <w:rPr>
                <w:rFonts w:ascii="Arial" w:cs="Arial" w:eastAsia="Arial" w:hAnsi="Arial"/>
                <w:sz w:val="14"/>
                <w:szCs w:val="14"/>
                <w:color w:val="auto"/>
              </w:rPr>
              <w:t>204.8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(73.3)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Investing activities</w:t>
            </w:r>
          </w:p>
        </w:tc>
        <w:tc>
          <w:tcPr>
            <w:tcW w:w="10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tcPr>
          <w:p>
            <w:pPr>
              <w:spacing w:after="0" w:line="149" w:lineRule="exact"/>
              <w:rPr>
                <w:sz w:val="20"/>
                <w:szCs w:val="20"/>
                <w:color w:val="auto"/>
              </w:rPr>
            </w:pPr>
            <w:r>
              <w:rPr>
                <w:rFonts w:ascii="Arial" w:cs="Arial" w:eastAsia="Arial" w:hAnsi="Arial"/>
                <w:sz w:val="14"/>
                <w:szCs w:val="14"/>
                <w:color w:val="auto"/>
              </w:rPr>
              <w:t>Available-for-sale securities:</w:t>
            </w: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Purchases</w:t>
            </w:r>
          </w:p>
        </w:tc>
        <w:tc>
          <w:tcPr>
            <w:tcW w:w="10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(4.4)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tcPr>
          <w:p>
            <w:pPr>
              <w:ind w:left="140"/>
              <w:spacing w:after="0" w:line="149" w:lineRule="exact"/>
              <w:rPr>
                <w:sz w:val="20"/>
                <w:szCs w:val="20"/>
                <w:color w:val="auto"/>
              </w:rPr>
            </w:pPr>
            <w:r>
              <w:rPr>
                <w:rFonts w:ascii="Arial" w:cs="Arial" w:eastAsia="Arial" w:hAnsi="Arial"/>
                <w:sz w:val="14"/>
                <w:szCs w:val="14"/>
                <w:color w:val="auto"/>
              </w:rPr>
              <w:t>Sales</w:t>
            </w: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200.0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Maturities</w:t>
            </w:r>
          </w:p>
        </w:tc>
        <w:tc>
          <w:tcPr>
            <w:tcW w:w="10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tcPr>
          <w:p>
            <w:pPr>
              <w:spacing w:after="0" w:line="149" w:lineRule="exact"/>
              <w:rPr>
                <w:sz w:val="20"/>
                <w:szCs w:val="20"/>
                <w:color w:val="auto"/>
              </w:rPr>
            </w:pPr>
            <w:r>
              <w:rPr>
                <w:rFonts w:ascii="Arial" w:cs="Arial" w:eastAsia="Arial" w:hAnsi="Arial"/>
                <w:sz w:val="14"/>
                <w:szCs w:val="14"/>
                <w:color w:val="auto"/>
              </w:rPr>
              <w:t>Net change in other investments</w:t>
            </w: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(3.1)</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(0.2)</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Dividends and returns of capital received from (contributions to) unconsolidated entity</w:t>
            </w:r>
          </w:p>
        </w:tc>
        <w:tc>
          <w:tcPr>
            <w:tcW w:w="10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319.5</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(759.2)</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506.5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880" w:type="dxa"/>
            <w:vAlign w:val="bottom"/>
            <w:vMerge w:val="restart"/>
          </w:tcPr>
          <w:p>
            <w:pPr>
              <w:ind w:left="280"/>
              <w:spacing w:after="0"/>
              <w:rPr>
                <w:sz w:val="20"/>
                <w:szCs w:val="20"/>
                <w:color w:val="auto"/>
              </w:rPr>
            </w:pPr>
            <w:r>
              <w:rPr>
                <w:rFonts w:ascii="Arial" w:cs="Arial" w:eastAsia="Arial" w:hAnsi="Arial"/>
                <w:sz w:val="14"/>
                <w:szCs w:val="14"/>
                <w:color w:val="auto"/>
              </w:rPr>
              <w:t>Net cash provided by (used in) investing activities</w:t>
            </w:r>
          </w:p>
        </w:tc>
        <w:tc>
          <w:tcPr>
            <w:tcW w:w="10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5880" w:type="dxa"/>
            <w:vAlign w:val="bottom"/>
            <w:vMerge w:val="continue"/>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316.4</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jc w:val="right"/>
              <w:ind w:right="60"/>
              <w:spacing w:after="0" w:line="142" w:lineRule="exact"/>
              <w:rPr>
                <w:sz w:val="20"/>
                <w:szCs w:val="20"/>
                <w:color w:val="auto"/>
              </w:rPr>
            </w:pPr>
            <w:r>
              <w:rPr>
                <w:rFonts w:ascii="Arial" w:cs="Arial" w:eastAsia="Arial" w:hAnsi="Arial"/>
                <w:sz w:val="14"/>
                <w:szCs w:val="14"/>
                <w:color w:val="auto"/>
              </w:rPr>
              <w:t>(759.4)</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2" w:lineRule="exact"/>
              <w:rPr>
                <w:sz w:val="20"/>
                <w:szCs w:val="20"/>
                <w:color w:val="auto"/>
              </w:rPr>
            </w:pPr>
            <w:r>
              <w:rPr>
                <w:rFonts w:ascii="Arial" w:cs="Arial" w:eastAsia="Arial" w:hAnsi="Arial"/>
                <w:sz w:val="14"/>
                <w:szCs w:val="14"/>
                <w:color w:val="auto"/>
              </w:rPr>
              <w:t>706.3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Financing activities</w:t>
            </w:r>
          </w:p>
        </w:tc>
        <w:tc>
          <w:tcPr>
            <w:tcW w:w="10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tcPr>
          <w:p>
            <w:pPr>
              <w:spacing w:after="0" w:line="149" w:lineRule="exact"/>
              <w:rPr>
                <w:sz w:val="20"/>
                <w:szCs w:val="20"/>
                <w:color w:val="auto"/>
              </w:rPr>
            </w:pPr>
            <w:r>
              <w:rPr>
                <w:rFonts w:ascii="Arial" w:cs="Arial" w:eastAsia="Arial" w:hAnsi="Arial"/>
                <w:sz w:val="14"/>
                <w:szCs w:val="14"/>
                <w:color w:val="auto"/>
              </w:rPr>
              <w:t>Issuance of common stock</w:t>
            </w: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125.8</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28.9</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25.9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Acquisition of treasury stock</w:t>
            </w:r>
          </w:p>
        </w:tc>
        <w:tc>
          <w:tcPr>
            <w:tcW w:w="10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(153.6)</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(272.7)</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(556.4)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tcPr>
          <w:p>
            <w:pPr>
              <w:spacing w:after="0" w:line="149" w:lineRule="exact"/>
              <w:rPr>
                <w:sz w:val="20"/>
                <w:szCs w:val="20"/>
                <w:color w:val="auto"/>
              </w:rPr>
            </w:pPr>
            <w:r>
              <w:rPr>
                <w:rFonts w:ascii="Arial" w:cs="Arial" w:eastAsia="Arial" w:hAnsi="Arial"/>
                <w:sz w:val="14"/>
                <w:szCs w:val="14"/>
                <w:color w:val="auto"/>
              </w:rPr>
              <w:t>Dividends to common stockholders</w:t>
            </w: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rPr>
              <w:t>(288.4)</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(231.3)</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(213.7)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Dividends to preferred stockholders</w:t>
            </w:r>
          </w:p>
        </w:tc>
        <w:tc>
          <w:tcPr>
            <w:tcW w:w="10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(33.0)</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(33.0)</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(33.0)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tcPr>
          <w:p>
            <w:pPr>
              <w:spacing w:after="0" w:line="149" w:lineRule="exact"/>
              <w:rPr>
                <w:sz w:val="20"/>
                <w:szCs w:val="20"/>
                <w:color w:val="auto"/>
              </w:rPr>
            </w:pPr>
            <w:r>
              <w:rPr>
                <w:rFonts w:ascii="Arial" w:cs="Arial" w:eastAsia="Arial" w:hAnsi="Arial"/>
                <w:sz w:val="14"/>
                <w:szCs w:val="14"/>
                <w:color w:val="auto"/>
              </w:rPr>
              <w:t>Principal repayments of long term debt</w:t>
            </w: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gridSpan w:val="2"/>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(440.8)</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Issuance of long-term debt</w:t>
            </w:r>
          </w:p>
        </w:tc>
        <w:tc>
          <w:tcPr>
            <w:tcW w:w="10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1,483.9</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880" w:type="dxa"/>
            <w:vAlign w:val="bottom"/>
          </w:tcPr>
          <w:p>
            <w:pPr>
              <w:ind w:left="280"/>
              <w:spacing w:after="0" w:line="142" w:lineRule="exact"/>
              <w:rPr>
                <w:sz w:val="20"/>
                <w:szCs w:val="20"/>
                <w:color w:val="auto"/>
              </w:rPr>
            </w:pPr>
            <w:r>
              <w:rPr>
                <w:rFonts w:ascii="Arial" w:cs="Arial" w:eastAsia="Arial" w:hAnsi="Arial"/>
                <w:sz w:val="14"/>
                <w:szCs w:val="14"/>
                <w:color w:val="auto"/>
              </w:rPr>
              <w:t>Net cash provided by (used in) financing activities</w:t>
            </w:r>
          </w:p>
        </w:tc>
        <w:tc>
          <w:tcPr>
            <w:tcW w:w="100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(349.2)</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535.0</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99"/>
              </w:rPr>
              <w:t>(777.2)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8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Net decrease in cash and cash equivalents</w:t>
            </w:r>
          </w:p>
        </w:tc>
        <w:tc>
          <w:tcPr>
            <w:tcW w:w="10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b w:val="1"/>
                <w:bCs w:val="1"/>
                <w:color w:val="auto"/>
              </w:rPr>
              <w:t>(75.6)</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(19.6)</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(144.2)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80" w:type="dxa"/>
            <w:vAlign w:val="bottom"/>
          </w:tcPr>
          <w:p>
            <w:pPr>
              <w:spacing w:after="0" w:line="149" w:lineRule="exact"/>
              <w:rPr>
                <w:sz w:val="20"/>
                <w:szCs w:val="20"/>
                <w:color w:val="auto"/>
              </w:rPr>
            </w:pPr>
            <w:r>
              <w:rPr>
                <w:rFonts w:ascii="Arial" w:cs="Arial" w:eastAsia="Arial" w:hAnsi="Arial"/>
                <w:sz w:val="14"/>
                <w:szCs w:val="14"/>
                <w:color w:val="auto"/>
              </w:rPr>
              <w:t>Cash and cash equivalents at beginning of year</w:t>
            </w:r>
          </w:p>
        </w:tc>
        <w:tc>
          <w:tcPr>
            <w:tcW w:w="100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207.1</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226.7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370.9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8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Cash and cash equivalents at end of year</w:t>
            </w:r>
          </w:p>
        </w:tc>
        <w:tc>
          <w:tcPr>
            <w:tcW w:w="110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b w:val="1"/>
                <w:bCs w:val="1"/>
                <w:color w:val="auto"/>
              </w:rPr>
              <w:t>$</w:t>
            </w:r>
          </w:p>
        </w:tc>
        <w:tc>
          <w:tcPr>
            <w:tcW w:w="4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131.5</w:t>
            </w:r>
          </w:p>
        </w:tc>
        <w:tc>
          <w:tcPr>
            <w:tcW w:w="40" w:type="dxa"/>
            <w:vAlign w:val="bottom"/>
            <w:shd w:val="clear" w:color="auto" w:fill="CCEEFF"/>
          </w:tcPr>
          <w:p>
            <w:pPr>
              <w:spacing w:after="0"/>
              <w:rPr>
                <w:sz w:val="12"/>
                <w:szCs w:val="12"/>
                <w:color w:val="auto"/>
              </w:rPr>
            </w:pPr>
          </w:p>
        </w:tc>
        <w:tc>
          <w:tcPr>
            <w:tcW w:w="22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207.1</w:t>
            </w:r>
          </w:p>
        </w:tc>
        <w:tc>
          <w:tcPr>
            <w:tcW w:w="10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226.7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88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25"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215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219" w:name="page220"/>
    <w:bookmarkEnd w:id="21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Basis of Presentation</w:t>
      </w:r>
    </w:p>
    <w:p>
      <w:pPr>
        <w:spacing w:after="0" w:line="231" w:lineRule="exact"/>
        <w:rPr>
          <w:sz w:val="20"/>
          <w:szCs w:val="20"/>
          <w:color w:val="auto"/>
        </w:rPr>
      </w:pPr>
    </w:p>
    <w:p>
      <w:pPr>
        <w:jc w:val="both"/>
        <w:ind w:firstLine="448"/>
        <w:spacing w:after="0" w:line="268" w:lineRule="auto"/>
        <w:rPr>
          <w:sz w:val="20"/>
          <w:szCs w:val="20"/>
          <w:color w:val="auto"/>
        </w:rPr>
      </w:pPr>
      <w:r>
        <w:rPr>
          <w:rFonts w:ascii="Arial" w:cs="Arial" w:eastAsia="Arial" w:hAnsi="Arial"/>
          <w:sz w:val="18"/>
          <w:szCs w:val="18"/>
          <w:color w:val="auto"/>
        </w:rPr>
        <w:t>The accompanying condensed financial statement should be read in conjunction with the consolidated financial statements and notes thereto of Principal Financial Group, Inc.</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 the parent company only financial statements, our investments in subsidiaries are stated as cost plus equity in undistributed earnings of subsidiaries.</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Cash Dividends and Returns of Capital Received from (Capital Contributed to) Unconsolidated Entity</w:t>
      </w:r>
    </w:p>
    <w:p>
      <w:pPr>
        <w:spacing w:after="0" w:line="231" w:lineRule="exact"/>
        <w:rPr>
          <w:sz w:val="20"/>
          <w:szCs w:val="20"/>
          <w:color w:val="auto"/>
        </w:rPr>
      </w:pPr>
    </w:p>
    <w:p>
      <w:pPr>
        <w:jc w:val="both"/>
        <w:ind w:right="20" w:firstLine="475"/>
        <w:spacing w:after="0" w:line="259" w:lineRule="auto"/>
        <w:rPr>
          <w:sz w:val="20"/>
          <w:szCs w:val="20"/>
          <w:color w:val="auto"/>
        </w:rPr>
      </w:pPr>
      <w:r>
        <w:rPr>
          <w:rFonts w:ascii="Arial" w:cs="Arial" w:eastAsia="Arial" w:hAnsi="Arial"/>
          <w:sz w:val="18"/>
          <w:szCs w:val="18"/>
          <w:color w:val="auto"/>
        </w:rPr>
        <w:t>The parent company received cash dividends and returns of capital totaling $319.5 million in 2013 from its unconsolidated entity. The parent company contributed capital of $759.2 million to its unconsolidated entity in 2012. In 2011, the parent company received cash dividends and returns of capital totaling $506.5 million.</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20" w:name="page221"/>
    <w:bookmarkEnd w:id="22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Schedule III — Supplementary Insurance Information</w:t>
      </w:r>
    </w:p>
    <w:p>
      <w:pPr>
        <w:spacing w:after="0" w:line="21"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As of December 31, 2013 and 2012 and for each of the years ended December 31, 2013, 2012 and 2011</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87"/>
              </w:rPr>
              <w:t>Contractholder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90"/>
              </w:rPr>
              <w:t>Deferred</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6"/>
              </w:rPr>
              <w:t>Future policy</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7"/>
              </w:rPr>
              <w:t>and other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6"/>
              </w:rPr>
              <w:t>acquisition</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4"/>
              </w:rPr>
              <w:t>benefits and</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6"/>
              </w:rPr>
              <w:t>policyholder</w:t>
            </w:r>
          </w:p>
        </w:tc>
        <w:tc>
          <w:tcPr>
            <w:tcW w:w="0" w:type="dxa"/>
            <w:vAlign w:val="bottom"/>
          </w:tcPr>
          <w:p>
            <w:pPr>
              <w:spacing w:after="0"/>
              <w:rPr>
                <w:sz w:val="1"/>
                <w:szCs w:val="1"/>
                <w:color w:val="auto"/>
              </w:rPr>
            </w:pPr>
          </w:p>
        </w:tc>
      </w:tr>
      <w:tr>
        <w:trPr>
          <w:trHeight w:val="161"/>
        </w:trPr>
        <w:tc>
          <w:tcPr>
            <w:tcW w:w="5740" w:type="dxa"/>
            <w:vAlign w:val="bottom"/>
            <w:gridSpan w:val="2"/>
          </w:tcPr>
          <w:p>
            <w:pPr>
              <w:spacing w:after="0"/>
              <w:rPr>
                <w:sz w:val="20"/>
                <w:szCs w:val="20"/>
                <w:color w:val="auto"/>
              </w:rPr>
            </w:pPr>
            <w:r>
              <w:rPr>
                <w:rFonts w:ascii="Arial" w:cs="Arial" w:eastAsia="Arial" w:hAnsi="Arial"/>
                <w:sz w:val="14"/>
                <w:szCs w:val="14"/>
                <w:b w:val="1"/>
                <w:bCs w:val="1"/>
                <w:color w:val="auto"/>
              </w:rPr>
              <w:t>Segment</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jc w:val="center"/>
              <w:ind w:right="12"/>
              <w:spacing w:after="0"/>
              <w:rPr>
                <w:sz w:val="20"/>
                <w:szCs w:val="20"/>
                <w:color w:val="auto"/>
              </w:rPr>
            </w:pPr>
            <w:r>
              <w:rPr>
                <w:rFonts w:ascii="Arial" w:cs="Arial" w:eastAsia="Arial" w:hAnsi="Arial"/>
                <w:sz w:val="14"/>
                <w:szCs w:val="14"/>
                <w:b w:val="1"/>
                <w:bCs w:val="1"/>
                <w:color w:val="auto"/>
                <w:w w:val="76"/>
              </w:rPr>
              <w:t>costs</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tcPr>
          <w:p>
            <w:pPr>
              <w:jc w:val="center"/>
              <w:ind w:right="32"/>
              <w:spacing w:after="0"/>
              <w:rPr>
                <w:sz w:val="20"/>
                <w:szCs w:val="20"/>
                <w:color w:val="auto"/>
              </w:rPr>
            </w:pPr>
            <w:r>
              <w:rPr>
                <w:rFonts w:ascii="Arial" w:cs="Arial" w:eastAsia="Arial" w:hAnsi="Arial"/>
                <w:sz w:val="14"/>
                <w:szCs w:val="14"/>
                <w:b w:val="1"/>
                <w:bCs w:val="1"/>
                <w:color w:val="auto"/>
                <w:w w:val="82"/>
              </w:rPr>
              <w:t>claims</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3"/>
              </w:rPr>
              <w:t>funds</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7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shd w:val="clear" w:color="auto" w:fill="CCEEFF"/>
          </w:tcPr>
          <w:p>
            <w:pPr>
              <w:jc w:val="right"/>
              <w:ind w:right="5352"/>
              <w:spacing w:after="0" w:line="149" w:lineRule="exact"/>
              <w:rPr>
                <w:sz w:val="20"/>
                <w:szCs w:val="20"/>
                <w:color w:val="auto"/>
              </w:rPr>
            </w:pPr>
            <w:r>
              <w:rPr>
                <w:rFonts w:ascii="Arial" w:cs="Arial" w:eastAsia="Arial" w:hAnsi="Arial"/>
                <w:sz w:val="14"/>
                <w:szCs w:val="14"/>
                <w:b w:val="1"/>
                <w:bCs w:val="1"/>
                <w:color w:val="auto"/>
                <w:w w:val="78"/>
              </w:rPr>
              <w:t>2013: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spacing w:after="0" w:line="149" w:lineRule="exact"/>
              <w:rPr>
                <w:sz w:val="20"/>
                <w:szCs w:val="20"/>
                <w:color w:val="auto"/>
              </w:rPr>
            </w:pPr>
            <w:r>
              <w:rPr>
                <w:rFonts w:ascii="Arial" w:cs="Arial" w:eastAsia="Arial" w:hAnsi="Arial"/>
                <w:sz w:val="14"/>
                <w:szCs w:val="14"/>
                <w:color w:val="auto"/>
              </w:rPr>
              <w:t>Retirement and Investor Services</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7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848.9</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9,975.6</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30,537.5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Principal Global Investors</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spacing w:after="0" w:line="149" w:lineRule="exact"/>
              <w:rPr>
                <w:sz w:val="20"/>
                <w:szCs w:val="20"/>
                <w:color w:val="auto"/>
              </w:rPr>
            </w:pPr>
            <w:r>
              <w:rPr>
                <w:rFonts w:ascii="Arial" w:cs="Arial" w:eastAsia="Arial" w:hAnsi="Arial"/>
                <w:sz w:val="14"/>
                <w:szCs w:val="14"/>
                <w:color w:val="auto"/>
              </w:rPr>
              <w:t>Principal International</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228.2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4,220.2</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172.2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U.S. Insurance Solutions</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1,999.9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8,389.0</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6,293.9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spacing w:after="0" w:line="149" w:lineRule="exact"/>
              <w:rPr>
                <w:sz w:val="20"/>
                <w:szCs w:val="20"/>
                <w:color w:val="auto"/>
              </w:rPr>
            </w:pPr>
            <w:r>
              <w:rPr>
                <w:rFonts w:ascii="Arial" w:cs="Arial" w:eastAsia="Arial" w:hAnsi="Arial"/>
                <w:sz w:val="14"/>
                <w:szCs w:val="14"/>
                <w:color w:val="auto"/>
              </w:rPr>
              <w:t>Corporate</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41.4</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(286.4)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5720" w:type="dxa"/>
            <w:vAlign w:val="bottom"/>
            <w:shd w:val="clear" w:color="auto" w:fill="CCEEFF"/>
          </w:tcPr>
          <w:p>
            <w:pPr>
              <w:ind w:left="140"/>
              <w:spacing w:after="0" w:line="142" w:lineRule="exact"/>
              <w:rPr>
                <w:sz w:val="20"/>
                <w:szCs w:val="20"/>
                <w:color w:val="auto"/>
              </w:rPr>
            </w:pPr>
            <w:r>
              <w:rPr>
                <w:rFonts w:ascii="Arial" w:cs="Arial" w:eastAsia="Arial" w:hAnsi="Arial"/>
                <w:sz w:val="14"/>
                <w:szCs w:val="14"/>
                <w:color w:val="auto"/>
              </w:rPr>
              <w:t>Total</w:t>
            </w:r>
          </w:p>
        </w:tc>
        <w:tc>
          <w:tcPr>
            <w:tcW w:w="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7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3,077.0</w:t>
            </w:r>
          </w:p>
        </w:tc>
        <w:tc>
          <w:tcPr>
            <w:tcW w:w="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8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22,626.2</w:t>
            </w:r>
          </w:p>
        </w:tc>
        <w:tc>
          <w:tcPr>
            <w:tcW w:w="2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9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36,717.2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5740" w:type="dxa"/>
            <w:vAlign w:val="bottom"/>
            <w:gridSpan w:val="2"/>
            <w:vMerge w:val="restart"/>
          </w:tcPr>
          <w:p>
            <w:pPr>
              <w:jc w:val="right"/>
              <w:ind w:right="5352"/>
              <w:spacing w:after="0"/>
              <w:rPr>
                <w:sz w:val="20"/>
                <w:szCs w:val="20"/>
                <w:color w:val="auto"/>
              </w:rPr>
            </w:pPr>
            <w:r>
              <w:rPr>
                <w:rFonts w:ascii="Arial" w:cs="Arial" w:eastAsia="Arial" w:hAnsi="Arial"/>
                <w:sz w:val="14"/>
                <w:szCs w:val="14"/>
                <w:b w:val="1"/>
                <w:bCs w:val="1"/>
                <w:color w:val="auto"/>
                <w:w w:val="83"/>
              </w:rPr>
              <w:t>2012:</w:t>
            </w: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5740" w:type="dxa"/>
            <w:vAlign w:val="bottom"/>
            <w:gridSpan w:val="2"/>
            <w:vMerge w:val="continue"/>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Retirement and Investor Services</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699.4</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9,702.7</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32,801.4</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spacing w:after="0" w:line="149" w:lineRule="exact"/>
              <w:rPr>
                <w:sz w:val="20"/>
                <w:szCs w:val="20"/>
                <w:color w:val="auto"/>
              </w:rPr>
            </w:pPr>
            <w:r>
              <w:rPr>
                <w:rFonts w:ascii="Arial" w:cs="Arial" w:eastAsia="Arial" w:hAnsi="Arial"/>
                <w:sz w:val="14"/>
                <w:szCs w:val="14"/>
                <w:color w:val="auto"/>
              </w:rPr>
              <w:t>Principal Global Investors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Principal International</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195.3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4,435.5</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108.5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spacing w:after="0" w:line="149" w:lineRule="exact"/>
              <w:rPr>
                <w:sz w:val="20"/>
                <w:szCs w:val="20"/>
                <w:color w:val="auto"/>
              </w:rPr>
            </w:pPr>
            <w:r>
              <w:rPr>
                <w:rFonts w:ascii="Arial" w:cs="Arial" w:eastAsia="Arial" w:hAnsi="Arial"/>
                <w:sz w:val="14"/>
                <w:szCs w:val="14"/>
                <w:color w:val="auto"/>
              </w:rPr>
              <w:t>U.S. Insurance Solutions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right"/>
              <w:spacing w:after="0" w:line="149" w:lineRule="exact"/>
              <w:rPr>
                <w:sz w:val="20"/>
                <w:szCs w:val="20"/>
                <w:color w:val="auto"/>
              </w:rPr>
            </w:pPr>
            <w:r>
              <w:rPr>
                <w:rFonts w:ascii="Arial" w:cs="Arial" w:eastAsia="Arial" w:hAnsi="Arial"/>
                <w:sz w:val="14"/>
                <w:szCs w:val="14"/>
                <w:color w:val="auto"/>
              </w:rPr>
              <w:t>1,695.3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8,247.6</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5,867.4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Corporate</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50.4</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(274.4)</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720" w:type="dxa"/>
            <w:vAlign w:val="bottom"/>
          </w:tcPr>
          <w:p>
            <w:pPr>
              <w:ind w:left="140"/>
              <w:spacing w:after="0" w:line="142" w:lineRule="exact"/>
              <w:rPr>
                <w:sz w:val="20"/>
                <w:szCs w:val="20"/>
                <w:color w:val="auto"/>
              </w:rPr>
            </w:pPr>
            <w:r>
              <w:rPr>
                <w:rFonts w:ascii="Arial" w:cs="Arial" w:eastAsia="Arial" w:hAnsi="Arial"/>
                <w:sz w:val="14"/>
                <w:szCs w:val="14"/>
                <w:color w:val="auto"/>
              </w:rPr>
              <w:t>Total</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2,590.0</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22,436.2</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38,502.9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217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221" w:name="page222"/>
    <w:bookmarkEnd w:id="22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Schedule III — Supplementary Insurance Information — (continued)</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As of December 31, 2013 and 2012 and for each of the years ended December 31, 2013, 2012 and 2011</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4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9"/>
              </w:rPr>
              <w:t>Amortization of</w:t>
            </w:r>
          </w:p>
        </w:tc>
        <w:tc>
          <w:tcPr>
            <w:tcW w:w="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7"/>
              </w:rPr>
              <w:t>Premiums and</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8"/>
              </w:rPr>
              <w:t>Net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4"/>
              </w:rPr>
              <w:t>Benefits, claims</w:t>
            </w:r>
          </w:p>
        </w:tc>
        <w:tc>
          <w:tcPr>
            <w:tcW w:w="140" w:type="dxa"/>
            <w:vAlign w:val="bottom"/>
          </w:tcPr>
          <w:p>
            <w:pPr>
              <w:spacing w:after="0"/>
              <w:rPr>
                <w:sz w:val="12"/>
                <w:szCs w:val="12"/>
                <w:color w:val="auto"/>
              </w:rPr>
            </w:pPr>
          </w:p>
        </w:tc>
        <w:tc>
          <w:tcPr>
            <w:tcW w:w="110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9"/>
              </w:rPr>
              <w:t>deferred</w:t>
            </w:r>
          </w:p>
        </w:tc>
        <w:tc>
          <w:tcPr>
            <w:tcW w:w="80" w:type="dxa"/>
            <w:vAlign w:val="bottom"/>
          </w:tcPr>
          <w:p>
            <w:pPr>
              <w:spacing w:after="0"/>
              <w:rPr>
                <w:sz w:val="12"/>
                <w:szCs w:val="12"/>
                <w:color w:val="auto"/>
              </w:rPr>
            </w:pPr>
          </w:p>
        </w:tc>
        <w:tc>
          <w:tcPr>
            <w:tcW w:w="9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0"/>
              </w:rPr>
              <w:t>Other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5"/>
              </w:rPr>
              <w:t>other</w:t>
            </w:r>
          </w:p>
        </w:tc>
        <w:tc>
          <w:tcPr>
            <w:tcW w:w="160" w:type="dxa"/>
            <w:vAlign w:val="bottom"/>
          </w:tcPr>
          <w:p>
            <w:pPr>
              <w:spacing w:after="0"/>
              <w:rPr>
                <w:sz w:val="12"/>
                <w:szCs w:val="12"/>
                <w:color w:val="auto"/>
              </w:rPr>
            </w:pPr>
          </w:p>
        </w:tc>
        <w:tc>
          <w:tcPr>
            <w:tcW w:w="7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3"/>
              </w:rPr>
              <w:t>investment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4"/>
              </w:rPr>
              <w:t>and settlement</w:t>
            </w:r>
          </w:p>
        </w:tc>
        <w:tc>
          <w:tcPr>
            <w:tcW w:w="140" w:type="dxa"/>
            <w:vAlign w:val="bottom"/>
          </w:tcPr>
          <w:p>
            <w:pPr>
              <w:spacing w:after="0"/>
              <w:rPr>
                <w:sz w:val="12"/>
                <w:szCs w:val="12"/>
                <w:color w:val="auto"/>
              </w:rPr>
            </w:pPr>
          </w:p>
        </w:tc>
        <w:tc>
          <w:tcPr>
            <w:tcW w:w="110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3"/>
              </w:rPr>
              <w:t>acquisition</w:t>
            </w:r>
          </w:p>
        </w:tc>
        <w:tc>
          <w:tcPr>
            <w:tcW w:w="80" w:type="dxa"/>
            <w:vAlign w:val="bottom"/>
          </w:tcPr>
          <w:p>
            <w:pPr>
              <w:spacing w:after="0"/>
              <w:rPr>
                <w:sz w:val="12"/>
                <w:szCs w:val="12"/>
                <w:color w:val="auto"/>
              </w:rPr>
            </w:pPr>
          </w:p>
        </w:tc>
        <w:tc>
          <w:tcPr>
            <w:tcW w:w="9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7"/>
              </w:rPr>
              <w:t>operating</w:t>
            </w:r>
          </w:p>
        </w:tc>
        <w:tc>
          <w:tcPr>
            <w:tcW w:w="0" w:type="dxa"/>
            <w:vAlign w:val="bottom"/>
          </w:tcPr>
          <w:p>
            <w:pPr>
              <w:spacing w:after="0"/>
              <w:rPr>
                <w:sz w:val="1"/>
                <w:szCs w:val="1"/>
                <w:color w:val="auto"/>
              </w:rPr>
            </w:pPr>
          </w:p>
        </w:tc>
      </w:tr>
      <w:tr>
        <w:trPr>
          <w:trHeight w:val="161"/>
        </w:trPr>
        <w:tc>
          <w:tcPr>
            <w:tcW w:w="3440" w:type="dxa"/>
            <w:vAlign w:val="bottom"/>
            <w:gridSpan w:val="3"/>
          </w:tcPr>
          <w:p>
            <w:pPr>
              <w:spacing w:after="0"/>
              <w:rPr>
                <w:sz w:val="20"/>
                <w:szCs w:val="20"/>
                <w:color w:val="auto"/>
              </w:rPr>
            </w:pPr>
            <w:r>
              <w:rPr>
                <w:rFonts w:ascii="Arial" w:cs="Arial" w:eastAsia="Arial" w:hAnsi="Arial"/>
                <w:sz w:val="14"/>
                <w:szCs w:val="14"/>
                <w:b w:val="1"/>
                <w:bCs w:val="1"/>
                <w:color w:val="auto"/>
              </w:rPr>
              <w:t>Segment</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tcPr>
          <w:p>
            <w:pPr>
              <w:jc w:val="center"/>
              <w:ind w:right="12"/>
              <w:spacing w:after="0"/>
              <w:rPr>
                <w:sz w:val="20"/>
                <w:szCs w:val="20"/>
                <w:color w:val="auto"/>
              </w:rPr>
            </w:pPr>
            <w:r>
              <w:rPr>
                <w:rFonts w:ascii="Arial" w:cs="Arial" w:eastAsia="Arial" w:hAnsi="Arial"/>
                <w:sz w:val="14"/>
                <w:szCs w:val="14"/>
                <w:b w:val="1"/>
                <w:bCs w:val="1"/>
                <w:color w:val="auto"/>
                <w:w w:val="84"/>
              </w:rPr>
              <w:t>considerations</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jc w:val="center"/>
              <w:ind w:right="32"/>
              <w:spacing w:after="0"/>
              <w:rPr>
                <w:sz w:val="20"/>
                <w:szCs w:val="20"/>
                <w:color w:val="auto"/>
              </w:rPr>
            </w:pPr>
            <w:r>
              <w:rPr>
                <w:rFonts w:ascii="Arial" w:cs="Arial" w:eastAsia="Arial" w:hAnsi="Arial"/>
                <w:sz w:val="14"/>
                <w:szCs w:val="14"/>
                <w:b w:val="1"/>
                <w:bCs w:val="1"/>
                <w:color w:val="auto"/>
                <w:w w:val="85"/>
              </w:rPr>
              <w:t>income (1)</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78"/>
              </w:rPr>
              <w:t>expenses</w:t>
            </w:r>
          </w:p>
        </w:tc>
        <w:tc>
          <w:tcPr>
            <w:tcW w:w="140" w:type="dxa"/>
            <w:vAlign w:val="bottom"/>
          </w:tcPr>
          <w:p>
            <w:pPr>
              <w:spacing w:after="0"/>
              <w:rPr>
                <w:sz w:val="14"/>
                <w:szCs w:val="14"/>
                <w:color w:val="auto"/>
              </w:rPr>
            </w:pPr>
          </w:p>
        </w:tc>
        <w:tc>
          <w:tcPr>
            <w:tcW w:w="110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70"/>
              </w:rPr>
              <w:t>costs</w:t>
            </w:r>
          </w:p>
        </w:tc>
        <w:tc>
          <w:tcPr>
            <w:tcW w:w="80" w:type="dxa"/>
            <w:vAlign w:val="bottom"/>
          </w:tcPr>
          <w:p>
            <w:pPr>
              <w:spacing w:after="0"/>
              <w:rPr>
                <w:sz w:val="14"/>
                <w:szCs w:val="14"/>
                <w:color w:val="auto"/>
              </w:rPr>
            </w:pPr>
          </w:p>
        </w:tc>
        <w:tc>
          <w:tcPr>
            <w:tcW w:w="9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2"/>
              </w:rPr>
              <w:t>expenses (1)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25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i w:val="1"/>
                <w:iCs w:val="1"/>
                <w:color w:val="auto"/>
              </w:rPr>
              <w:t>(in millions)</w:t>
            </w:r>
          </w:p>
        </w:tc>
        <w:tc>
          <w:tcPr>
            <w:tcW w:w="16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9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60" w:type="dxa"/>
            <w:vAlign w:val="bottom"/>
            <w:shd w:val="clear" w:color="auto" w:fill="CCEEFF"/>
          </w:tcPr>
          <w:p>
            <w:pPr>
              <w:jc w:val="right"/>
              <w:ind w:right="492"/>
              <w:spacing w:after="0" w:line="149" w:lineRule="exact"/>
              <w:rPr>
                <w:sz w:val="20"/>
                <w:szCs w:val="20"/>
                <w:color w:val="auto"/>
              </w:rPr>
            </w:pPr>
            <w:r>
              <w:rPr>
                <w:rFonts w:ascii="Arial" w:cs="Arial" w:eastAsia="Arial" w:hAnsi="Arial"/>
                <w:sz w:val="14"/>
                <w:szCs w:val="14"/>
                <w:b w:val="1"/>
                <w:bCs w:val="1"/>
                <w:color w:val="auto"/>
                <w:w w:val="78"/>
              </w:rPr>
              <w:t>2013:</w:t>
            </w:r>
          </w:p>
        </w:tc>
        <w:tc>
          <w:tcPr>
            <w:tcW w:w="2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20" w:type="dxa"/>
            <w:vAlign w:val="bottom"/>
            <w:gridSpan w:val="2"/>
          </w:tcPr>
          <w:p>
            <w:pPr>
              <w:spacing w:after="0" w:line="149" w:lineRule="exact"/>
              <w:rPr>
                <w:sz w:val="20"/>
                <w:szCs w:val="20"/>
                <w:color w:val="auto"/>
              </w:rPr>
            </w:pPr>
            <w:r>
              <w:rPr>
                <w:rFonts w:ascii="Arial" w:cs="Arial" w:eastAsia="Arial" w:hAnsi="Arial"/>
                <w:sz w:val="14"/>
                <w:szCs w:val="14"/>
                <w:color w:val="auto"/>
              </w:rPr>
              <w:t>Retirement and Investor Services</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9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1,045.5</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1,933.3</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0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2,303.4</w:t>
            </w:r>
          </w:p>
        </w:tc>
        <w:tc>
          <w:tcPr>
            <w:tcW w:w="160" w:type="dxa"/>
            <w:vAlign w:val="bottom"/>
          </w:tcPr>
          <w:p>
            <w:pPr>
              <w:spacing w:after="0"/>
              <w:rPr>
                <w:sz w:val="12"/>
                <w:szCs w:val="12"/>
                <w:color w:val="auto"/>
              </w:rPr>
            </w:pPr>
          </w:p>
        </w:tc>
        <w:tc>
          <w:tcPr>
            <w:tcW w:w="1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9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75.0</w:t>
            </w:r>
          </w:p>
        </w:tc>
        <w:tc>
          <w:tcPr>
            <w:tcW w:w="16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Arial" w:cs="Arial" w:eastAsia="Arial" w:hAnsi="Arial"/>
                <w:sz w:val="10"/>
                <w:szCs w:val="10"/>
                <w:b w:val="1"/>
                <w:bCs w:val="1"/>
                <w:color w:val="auto"/>
                <w:w w:val="71"/>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1,529.9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Principal Global Investors</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17.0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b w:val="1"/>
                <w:bCs w:val="1"/>
                <w:color w:val="auto"/>
              </w:rPr>
              <w:t>—</w:t>
            </w:r>
          </w:p>
        </w:tc>
        <w:tc>
          <w:tcPr>
            <w:tcW w:w="14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545.7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20" w:type="dxa"/>
            <w:vAlign w:val="bottom"/>
            <w:gridSpan w:val="2"/>
          </w:tcPr>
          <w:p>
            <w:pPr>
              <w:spacing w:after="0" w:line="149" w:lineRule="exact"/>
              <w:rPr>
                <w:sz w:val="20"/>
                <w:szCs w:val="20"/>
                <w:color w:val="auto"/>
              </w:rPr>
            </w:pPr>
            <w:r>
              <w:rPr>
                <w:rFonts w:ascii="Arial" w:cs="Arial" w:eastAsia="Arial" w:hAnsi="Arial"/>
                <w:sz w:val="14"/>
                <w:szCs w:val="14"/>
                <w:color w:val="auto"/>
              </w:rPr>
              <w:t>Principal International</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291.6</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447.1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569.0</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16.5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318.0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U.S. Insurance Solutions</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1,816.5</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686.3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1,826.0</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95.6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689.0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20" w:type="dxa"/>
            <w:vAlign w:val="bottom"/>
            <w:gridSpan w:val="2"/>
          </w:tcPr>
          <w:p>
            <w:pPr>
              <w:spacing w:after="0" w:line="149" w:lineRule="exact"/>
              <w:rPr>
                <w:sz w:val="20"/>
                <w:szCs w:val="20"/>
                <w:color w:val="auto"/>
              </w:rPr>
            </w:pPr>
            <w:r>
              <w:rPr>
                <w:rFonts w:ascii="Arial" w:cs="Arial" w:eastAsia="Arial" w:hAnsi="Arial"/>
                <w:sz w:val="14"/>
                <w:szCs w:val="14"/>
                <w:color w:val="auto"/>
              </w:rPr>
              <w:t>Corporate</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0.5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54.7</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rPr>
              <w:t>(14.8)</w:t>
            </w:r>
          </w:p>
        </w:tc>
        <w:tc>
          <w:tcPr>
            <w:tcW w:w="140" w:type="dxa"/>
            <w:vAlign w:val="bottom"/>
          </w:tcPr>
          <w:p>
            <w:pPr>
              <w:spacing w:after="0"/>
              <w:rPr>
                <w:sz w:val="12"/>
                <w:szCs w:val="12"/>
                <w:color w:val="auto"/>
              </w:rPr>
            </w:pPr>
          </w:p>
        </w:tc>
        <w:tc>
          <w:tcPr>
            <w:tcW w:w="1100" w:type="dxa"/>
            <w:vAlign w:val="bottom"/>
            <w:gridSpan w:val="2"/>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3420" w:type="dxa"/>
            <w:vAlign w:val="bottom"/>
            <w:gridSpan w:val="2"/>
            <w:shd w:val="clear" w:color="auto" w:fill="CCEEFF"/>
          </w:tcPr>
          <w:p>
            <w:pPr>
              <w:ind w:left="140"/>
              <w:spacing w:after="0" w:line="142" w:lineRule="exact"/>
              <w:rPr>
                <w:sz w:val="20"/>
                <w:szCs w:val="20"/>
                <w:color w:val="auto"/>
              </w:rPr>
            </w:pPr>
            <w:r>
              <w:rPr>
                <w:rFonts w:ascii="Arial" w:cs="Arial" w:eastAsia="Arial" w:hAnsi="Arial"/>
                <w:sz w:val="14"/>
                <w:szCs w:val="14"/>
                <w:color w:val="auto"/>
              </w:rPr>
              <w:t>Total</w:t>
            </w:r>
          </w:p>
        </w:tc>
        <w:tc>
          <w:tcPr>
            <w:tcW w:w="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9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3,154.1</w:t>
            </w:r>
          </w:p>
        </w:tc>
        <w:tc>
          <w:tcPr>
            <w:tcW w:w="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7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3,138.4</w:t>
            </w:r>
          </w:p>
        </w:tc>
        <w:tc>
          <w:tcPr>
            <w:tcW w:w="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10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4,683.6</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9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187.1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b w:val="1"/>
                <w:bCs w:val="1"/>
                <w:color w:val="auto"/>
                <w:w w:val="71"/>
              </w:rPr>
              <w:t>$</w:t>
            </w:r>
          </w:p>
        </w:tc>
        <w:tc>
          <w:tcPr>
            <w:tcW w:w="8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3,105.8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880" w:type="dxa"/>
            <w:vAlign w:val="bottom"/>
            <w:gridSpan w:val="2"/>
            <w:vMerge w:val="restart"/>
          </w:tcPr>
          <w:p>
            <w:pPr>
              <w:jc w:val="right"/>
              <w:ind w:right="492"/>
              <w:spacing w:after="0"/>
              <w:rPr>
                <w:sz w:val="20"/>
                <w:szCs w:val="20"/>
                <w:color w:val="auto"/>
              </w:rPr>
            </w:pPr>
            <w:r>
              <w:rPr>
                <w:rFonts w:ascii="Arial" w:cs="Arial" w:eastAsia="Arial" w:hAnsi="Arial"/>
                <w:sz w:val="14"/>
                <w:szCs w:val="14"/>
                <w:b w:val="1"/>
                <w:bCs w:val="1"/>
                <w:color w:val="auto"/>
                <w:w w:val="83"/>
              </w:rPr>
              <w:t>2012:</w:t>
            </w:r>
          </w:p>
        </w:tc>
        <w:tc>
          <w:tcPr>
            <w:tcW w:w="25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880" w:type="dxa"/>
            <w:vAlign w:val="bottom"/>
            <w:gridSpan w:val="2"/>
            <w:vMerge w:val="continue"/>
          </w:tcPr>
          <w:p>
            <w:pPr>
              <w:spacing w:after="0"/>
              <w:rPr>
                <w:sz w:val="11"/>
                <w:szCs w:val="11"/>
                <w:color w:val="auto"/>
              </w:rPr>
            </w:pPr>
          </w:p>
        </w:tc>
        <w:tc>
          <w:tcPr>
            <w:tcW w:w="2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Retirement and Investor Services</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1,162.6</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2,075.4</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2,629.1</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84.8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1,362.5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20" w:type="dxa"/>
            <w:vAlign w:val="bottom"/>
            <w:gridSpan w:val="2"/>
          </w:tcPr>
          <w:p>
            <w:pPr>
              <w:spacing w:after="0" w:line="149" w:lineRule="exact"/>
              <w:rPr>
                <w:sz w:val="20"/>
                <w:szCs w:val="20"/>
                <w:color w:val="auto"/>
              </w:rPr>
            </w:pPr>
            <w:r>
              <w:rPr>
                <w:rFonts w:ascii="Arial" w:cs="Arial" w:eastAsia="Arial" w:hAnsi="Arial"/>
                <w:sz w:val="14"/>
                <w:szCs w:val="14"/>
                <w:color w:val="auto"/>
              </w:rPr>
              <w:t>Principal Global Investors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color w:val="auto"/>
              </w:rPr>
              <w:t>15.4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10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456.9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Principal International</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284.6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435.2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567.2</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208.5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20" w:type="dxa"/>
            <w:vAlign w:val="bottom"/>
            <w:gridSpan w:val="2"/>
          </w:tcPr>
          <w:p>
            <w:pPr>
              <w:spacing w:after="0" w:line="149" w:lineRule="exact"/>
              <w:rPr>
                <w:sz w:val="20"/>
                <w:szCs w:val="20"/>
                <w:color w:val="auto"/>
              </w:rPr>
            </w:pPr>
            <w:r>
              <w:rPr>
                <w:rFonts w:ascii="Arial" w:cs="Arial" w:eastAsia="Arial" w:hAnsi="Arial"/>
                <w:sz w:val="14"/>
                <w:szCs w:val="14"/>
                <w:color w:val="auto"/>
              </w:rPr>
              <w:t>U.S. Insurance Solutions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1,769.3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color w:val="auto"/>
              </w:rPr>
              <w:t>675.2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1,935.5</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(2.5)</w:t>
            </w: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662.0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Corporate</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53.7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(7.9)</w:t>
            </w:r>
          </w:p>
        </w:tc>
        <w:tc>
          <w:tcPr>
            <w:tcW w:w="14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148.7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420" w:type="dxa"/>
            <w:vAlign w:val="bottom"/>
            <w:gridSpan w:val="2"/>
          </w:tcPr>
          <w:p>
            <w:pPr>
              <w:ind w:left="140"/>
              <w:spacing w:after="0" w:line="142" w:lineRule="exact"/>
              <w:rPr>
                <w:sz w:val="20"/>
                <w:szCs w:val="20"/>
                <w:color w:val="auto"/>
              </w:rPr>
            </w:pPr>
            <w:r>
              <w:rPr>
                <w:rFonts w:ascii="Arial" w:cs="Arial" w:eastAsia="Arial" w:hAnsi="Arial"/>
                <w:sz w:val="14"/>
                <w:szCs w:val="14"/>
                <w:color w:val="auto"/>
              </w:rPr>
              <w:t>Total</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9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3,219.4</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3,254.9</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10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5,123.9</w:t>
            </w:r>
          </w:p>
        </w:tc>
        <w:tc>
          <w:tcPr>
            <w:tcW w:w="16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94.9</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2,838.6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60" w:type="dxa"/>
            <w:vAlign w:val="bottom"/>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2011:</w:t>
            </w:r>
          </w:p>
        </w:tc>
        <w:tc>
          <w:tcPr>
            <w:tcW w:w="2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20" w:type="dxa"/>
            <w:vAlign w:val="bottom"/>
            <w:gridSpan w:val="2"/>
          </w:tcPr>
          <w:p>
            <w:pPr>
              <w:spacing w:after="0" w:line="149" w:lineRule="exact"/>
              <w:rPr>
                <w:sz w:val="20"/>
                <w:szCs w:val="20"/>
                <w:color w:val="auto"/>
              </w:rPr>
            </w:pPr>
            <w:r>
              <w:rPr>
                <w:rFonts w:ascii="Arial" w:cs="Arial" w:eastAsia="Arial" w:hAnsi="Arial"/>
                <w:sz w:val="14"/>
                <w:szCs w:val="14"/>
                <w:color w:val="auto"/>
              </w:rPr>
              <w:t>Retirement and Investor Services</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390.4</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00" w:type="dxa"/>
            <w:vAlign w:val="bottom"/>
          </w:tcPr>
          <w:p>
            <w:pPr>
              <w:jc w:val="right"/>
              <w:spacing w:after="0" w:line="149" w:lineRule="exact"/>
              <w:rPr>
                <w:sz w:val="20"/>
                <w:szCs w:val="20"/>
                <w:color w:val="auto"/>
              </w:rPr>
            </w:pPr>
            <w:r>
              <w:rPr>
                <w:rFonts w:ascii="Arial" w:cs="Arial" w:eastAsia="Arial" w:hAnsi="Arial"/>
                <w:sz w:val="14"/>
                <w:szCs w:val="14"/>
                <w:color w:val="auto"/>
              </w:rPr>
              <w:t>2,182.8</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1,933.3</w:t>
            </w:r>
          </w:p>
        </w:tc>
        <w:tc>
          <w:tcPr>
            <w:tcW w:w="160" w:type="dxa"/>
            <w:vAlign w:val="bottom"/>
          </w:tcPr>
          <w:p>
            <w:pPr>
              <w:spacing w:after="0"/>
              <w:rPr>
                <w:sz w:val="12"/>
                <w:szCs w:val="12"/>
                <w:color w:val="auto"/>
              </w:rPr>
            </w:pPr>
          </w:p>
        </w:tc>
        <w:tc>
          <w:tcPr>
            <w:tcW w:w="14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line="149" w:lineRule="exact"/>
              <w:rPr>
                <w:sz w:val="20"/>
                <w:szCs w:val="20"/>
                <w:color w:val="auto"/>
              </w:rPr>
            </w:pPr>
            <w:r>
              <w:rPr>
                <w:rFonts w:ascii="Arial" w:cs="Arial" w:eastAsia="Arial" w:hAnsi="Arial"/>
                <w:sz w:val="14"/>
                <w:szCs w:val="14"/>
                <w:color w:val="auto"/>
              </w:rPr>
              <w:t>119.4</w:t>
            </w:r>
          </w:p>
        </w:tc>
        <w:tc>
          <w:tcPr>
            <w:tcW w:w="16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1,258.5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Principal Global Investors</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429.3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20" w:type="dxa"/>
            <w:vAlign w:val="bottom"/>
            <w:gridSpan w:val="2"/>
          </w:tcPr>
          <w:p>
            <w:pPr>
              <w:spacing w:after="0" w:line="149" w:lineRule="exact"/>
              <w:rPr>
                <w:sz w:val="20"/>
                <w:szCs w:val="20"/>
                <w:color w:val="auto"/>
              </w:rPr>
            </w:pPr>
            <w:r>
              <w:rPr>
                <w:rFonts w:ascii="Arial" w:cs="Arial" w:eastAsia="Arial" w:hAnsi="Arial"/>
                <w:sz w:val="14"/>
                <w:szCs w:val="14"/>
                <w:color w:val="auto"/>
              </w:rPr>
              <w:t>Principal International</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264.5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color w:val="auto"/>
              </w:rPr>
              <w:t>469.9</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581.7</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tcPr>
          <w:p>
            <w:pPr>
              <w:jc w:val="right"/>
              <w:spacing w:after="0" w:line="149" w:lineRule="exact"/>
              <w:rPr>
                <w:sz w:val="20"/>
                <w:szCs w:val="20"/>
                <w:color w:val="auto"/>
              </w:rPr>
            </w:pPr>
            <w:r>
              <w:rPr>
                <w:rFonts w:ascii="Arial" w:cs="Arial" w:eastAsia="Arial" w:hAnsi="Arial"/>
                <w:sz w:val="14"/>
                <w:szCs w:val="14"/>
                <w:color w:val="auto"/>
              </w:rPr>
              <w:t>8.4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184.8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U.S. Insurance Solutions</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1,724.0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669.9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1,725.1</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143.6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630.2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20" w:type="dxa"/>
            <w:vAlign w:val="bottom"/>
            <w:gridSpan w:val="2"/>
          </w:tcPr>
          <w:p>
            <w:pPr>
              <w:spacing w:after="0" w:line="149" w:lineRule="exact"/>
              <w:rPr>
                <w:sz w:val="20"/>
                <w:szCs w:val="20"/>
                <w:color w:val="auto"/>
              </w:rPr>
            </w:pPr>
            <w:r>
              <w:rPr>
                <w:rFonts w:ascii="Arial" w:cs="Arial" w:eastAsia="Arial" w:hAnsi="Arial"/>
                <w:sz w:val="14"/>
                <w:szCs w:val="14"/>
                <w:color w:val="auto"/>
              </w:rPr>
              <w:t>Corporate</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9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512.1</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37.6</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0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376.5</w:t>
            </w:r>
          </w:p>
        </w:tc>
        <w:tc>
          <w:tcPr>
            <w:tcW w:w="1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9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196.9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420" w:type="dxa"/>
            <w:vAlign w:val="bottom"/>
            <w:gridSpan w:val="2"/>
            <w:shd w:val="clear" w:color="auto" w:fill="CCEEFF"/>
          </w:tcPr>
          <w:p>
            <w:pPr>
              <w:ind w:left="140"/>
              <w:spacing w:after="0" w:line="142" w:lineRule="exact"/>
              <w:rPr>
                <w:sz w:val="20"/>
                <w:szCs w:val="20"/>
                <w:color w:val="auto"/>
              </w:rPr>
            </w:pPr>
            <w:r>
              <w:rPr>
                <w:rFonts w:ascii="Arial" w:cs="Arial" w:eastAsia="Arial" w:hAnsi="Arial"/>
                <w:sz w:val="14"/>
                <w:szCs w:val="14"/>
                <w:color w:val="auto"/>
              </w:rPr>
              <w:t>Total</w:t>
            </w:r>
          </w:p>
        </w:tc>
        <w:tc>
          <w:tcPr>
            <w:tcW w:w="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2,891.0</w:t>
            </w:r>
          </w:p>
        </w:tc>
        <w:tc>
          <w:tcPr>
            <w:tcW w:w="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3,375.3</w:t>
            </w:r>
          </w:p>
        </w:tc>
        <w:tc>
          <w:tcPr>
            <w:tcW w:w="2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4,616.6</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271.4</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2,699.7</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860" w:type="dxa"/>
            <w:vAlign w:val="bottom"/>
            <w:tcBorders>
              <w:bottom w:val="single" w:sz="8" w:color="auto"/>
            </w:tcBorders>
          </w:tcPr>
          <w:p>
            <w:pPr>
              <w:spacing w:after="0"/>
              <w:rPr>
                <w:sz w:val="7"/>
                <w:szCs w:val="7"/>
                <w:color w:val="auto"/>
              </w:rPr>
            </w:pPr>
          </w:p>
        </w:tc>
        <w:tc>
          <w:tcPr>
            <w:tcW w:w="25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92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70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60" w:type="dxa"/>
            <w:vAlign w:val="bottom"/>
          </w:tcPr>
          <w:p>
            <w:pPr>
              <w:spacing w:after="0"/>
              <w:rPr>
                <w:sz w:val="7"/>
                <w:szCs w:val="7"/>
                <w:color w:val="auto"/>
              </w:rPr>
            </w:pPr>
          </w:p>
        </w:tc>
        <w:tc>
          <w:tcPr>
            <w:tcW w:w="140" w:type="dxa"/>
            <w:vAlign w:val="bottom"/>
          </w:tcPr>
          <w:p>
            <w:pPr>
              <w:spacing w:after="0"/>
              <w:rPr>
                <w:sz w:val="7"/>
                <w:szCs w:val="7"/>
                <w:color w:val="auto"/>
              </w:rPr>
            </w:pPr>
          </w:p>
        </w:tc>
        <w:tc>
          <w:tcPr>
            <w:tcW w:w="94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ind w:left="1680" w:hanging="531"/>
        <w:spacing w:after="0" w:line="239" w:lineRule="auto"/>
        <w:tabs>
          <w:tab w:leader="none" w:pos="1680" w:val="left"/>
        </w:tabs>
        <w:numPr>
          <w:ilvl w:val="0"/>
          <w:numId w:val="88"/>
        </w:numPr>
        <w:rPr>
          <w:rFonts w:ascii="Arial" w:cs="Arial" w:eastAsia="Arial" w:hAnsi="Arial"/>
          <w:sz w:val="14"/>
          <w:szCs w:val="14"/>
          <w:color w:val="auto"/>
        </w:rPr>
      </w:pPr>
      <w:r>
        <w:rPr>
          <w:rFonts w:ascii="Arial" w:cs="Arial" w:eastAsia="Arial" w:hAnsi="Arial"/>
          <w:sz w:val="14"/>
          <w:szCs w:val="14"/>
          <w:color w:val="auto"/>
        </w:rPr>
        <w:t>Allocations of net investment income and certain operating expenses are based on a number of assumptions and estimates, and reported operating results would change by segment if different methods were applied.</w:t>
      </w:r>
    </w:p>
    <w:p>
      <w:pPr>
        <w:spacing w:after="0" w:line="1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22" w:name="page223"/>
    <w:bookmarkEnd w:id="22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139"/>
        <w:spacing w:after="0"/>
        <w:rPr>
          <w:sz w:val="20"/>
          <w:szCs w:val="20"/>
          <w:color w:val="auto"/>
        </w:rPr>
      </w:pPr>
      <w:r>
        <w:rPr>
          <w:rFonts w:ascii="Arial" w:cs="Arial" w:eastAsia="Arial" w:hAnsi="Arial"/>
          <w:sz w:val="18"/>
          <w:szCs w:val="18"/>
          <w:b w:val="1"/>
          <w:bCs w:val="1"/>
          <w:color w:val="auto"/>
        </w:rPr>
        <w:t>Schedule IV — Reinsurance</w:t>
      </w:r>
    </w:p>
    <w:p>
      <w:pPr>
        <w:spacing w:after="0" w:line="21"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As of December 31, 2013, 2012 and 2011 and for each of the years then ended</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10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2"/>
              </w:rPr>
              <w:t>Percentage</w:t>
            </w:r>
          </w:p>
        </w:tc>
      </w:tr>
      <w:tr>
        <w:trPr>
          <w:trHeight w:val="149"/>
        </w:trPr>
        <w:tc>
          <w:tcPr>
            <w:tcW w:w="20" w:type="dxa"/>
            <w:vAlign w:val="bottom"/>
          </w:tcPr>
          <w:p>
            <w:pPr>
              <w:spacing w:after="0"/>
              <w:rPr>
                <w:sz w:val="12"/>
                <w:szCs w:val="12"/>
                <w:color w:val="auto"/>
              </w:rPr>
            </w:pPr>
          </w:p>
        </w:tc>
        <w:tc>
          <w:tcPr>
            <w:tcW w:w="310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6"/>
              </w:rPr>
              <w:t>Ceded to</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2"/>
              </w:rPr>
              <w:t>Assumed</w:t>
            </w:r>
          </w:p>
        </w:tc>
        <w:tc>
          <w:tcPr>
            <w:tcW w:w="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of amount</w:t>
            </w:r>
          </w:p>
        </w:tc>
      </w:tr>
      <w:tr>
        <w:trPr>
          <w:trHeight w:val="149"/>
        </w:trPr>
        <w:tc>
          <w:tcPr>
            <w:tcW w:w="20" w:type="dxa"/>
            <w:vAlign w:val="bottom"/>
          </w:tcPr>
          <w:p>
            <w:pPr>
              <w:spacing w:after="0"/>
              <w:rPr>
                <w:sz w:val="12"/>
                <w:szCs w:val="12"/>
                <w:color w:val="auto"/>
              </w:rPr>
            </w:pPr>
          </w:p>
        </w:tc>
        <w:tc>
          <w:tcPr>
            <w:tcW w:w="310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ind w:right="152"/>
              <w:spacing w:after="0" w:line="149" w:lineRule="exact"/>
              <w:rPr>
                <w:sz w:val="20"/>
                <w:szCs w:val="20"/>
                <w:color w:val="auto"/>
              </w:rPr>
            </w:pPr>
            <w:r>
              <w:rPr>
                <w:rFonts w:ascii="Arial" w:cs="Arial" w:eastAsia="Arial" w:hAnsi="Arial"/>
                <w:sz w:val="14"/>
                <w:szCs w:val="14"/>
                <w:b w:val="1"/>
                <w:bCs w:val="1"/>
                <w:color w:val="auto"/>
                <w:w w:val="98"/>
              </w:rPr>
              <w:t>Gross</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center"/>
              <w:ind w:right="52"/>
              <w:spacing w:after="0" w:line="149" w:lineRule="exact"/>
              <w:rPr>
                <w:sz w:val="20"/>
                <w:szCs w:val="20"/>
                <w:color w:val="auto"/>
              </w:rPr>
            </w:pPr>
            <w:r>
              <w:rPr>
                <w:rFonts w:ascii="Arial" w:cs="Arial" w:eastAsia="Arial" w:hAnsi="Arial"/>
                <w:sz w:val="14"/>
                <w:szCs w:val="14"/>
                <w:b w:val="1"/>
                <w:bCs w:val="1"/>
                <w:color w:val="auto"/>
                <w:w w:val="85"/>
              </w:rPr>
              <w:t>other</w:t>
            </w:r>
          </w:p>
        </w:tc>
        <w:tc>
          <w:tcPr>
            <w:tcW w:w="160" w:type="dxa"/>
            <w:vAlign w:val="bottom"/>
          </w:tcPr>
          <w:p>
            <w:pPr>
              <w:spacing w:after="0"/>
              <w:rPr>
                <w:sz w:val="12"/>
                <w:szCs w:val="12"/>
                <w:color w:val="auto"/>
              </w:rPr>
            </w:pPr>
          </w:p>
        </w:tc>
        <w:tc>
          <w:tcPr>
            <w:tcW w:w="94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91"/>
              </w:rPr>
              <w:t>from other</w:t>
            </w:r>
          </w:p>
        </w:tc>
        <w:tc>
          <w:tcPr>
            <w:tcW w:w="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2"/>
              </w:rPr>
              <w:t>assumed</w:t>
            </w:r>
          </w:p>
        </w:tc>
      </w:tr>
      <w:tr>
        <w:trPr>
          <w:trHeight w:val="161"/>
        </w:trPr>
        <w:tc>
          <w:tcPr>
            <w:tcW w:w="20" w:type="dxa"/>
            <w:vAlign w:val="bottom"/>
          </w:tcPr>
          <w:p>
            <w:pPr>
              <w:spacing w:after="0"/>
              <w:rPr>
                <w:sz w:val="14"/>
                <w:szCs w:val="14"/>
                <w:color w:val="auto"/>
              </w:rPr>
            </w:pPr>
          </w:p>
        </w:tc>
        <w:tc>
          <w:tcPr>
            <w:tcW w:w="310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jc w:val="right"/>
              <w:ind w:right="92"/>
              <w:spacing w:after="0"/>
              <w:rPr>
                <w:sz w:val="20"/>
                <w:szCs w:val="20"/>
                <w:color w:val="auto"/>
              </w:rPr>
            </w:pPr>
            <w:r>
              <w:rPr>
                <w:rFonts w:ascii="Arial" w:cs="Arial" w:eastAsia="Arial" w:hAnsi="Arial"/>
                <w:sz w:val="14"/>
                <w:szCs w:val="14"/>
                <w:b w:val="1"/>
                <w:bCs w:val="1"/>
                <w:color w:val="auto"/>
                <w:w w:val="90"/>
              </w:rPr>
              <w:t>amount</w:t>
            </w:r>
          </w:p>
        </w:tc>
        <w:tc>
          <w:tcPr>
            <w:tcW w:w="160" w:type="dxa"/>
            <w:vAlign w:val="bottom"/>
          </w:tcPr>
          <w:p>
            <w:pPr>
              <w:spacing w:after="0"/>
              <w:rPr>
                <w:sz w:val="14"/>
                <w:szCs w:val="14"/>
                <w:color w:val="auto"/>
              </w:rPr>
            </w:pPr>
          </w:p>
        </w:tc>
        <w:tc>
          <w:tcPr>
            <w:tcW w:w="760" w:type="dxa"/>
            <w:vAlign w:val="bottom"/>
            <w:gridSpan w:val="2"/>
          </w:tcPr>
          <w:p>
            <w:pPr>
              <w:jc w:val="center"/>
              <w:spacing w:after="0"/>
              <w:rPr>
                <w:sz w:val="20"/>
                <w:szCs w:val="20"/>
                <w:color w:val="auto"/>
              </w:rPr>
            </w:pPr>
            <w:r>
              <w:rPr>
                <w:rFonts w:ascii="Arial" w:cs="Arial" w:eastAsia="Arial" w:hAnsi="Arial"/>
                <w:sz w:val="14"/>
                <w:szCs w:val="14"/>
                <w:b w:val="1"/>
                <w:bCs w:val="1"/>
                <w:color w:val="auto"/>
                <w:w w:val="81"/>
              </w:rPr>
              <w:t>companies</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1"/>
              </w:rPr>
              <w:t>companies</w:t>
            </w:r>
          </w:p>
        </w:tc>
        <w:tc>
          <w:tcPr>
            <w:tcW w:w="60" w:type="dxa"/>
            <w:vAlign w:val="bottom"/>
          </w:tcPr>
          <w:p>
            <w:pPr>
              <w:spacing w:after="0"/>
              <w:rPr>
                <w:sz w:val="14"/>
                <w:szCs w:val="14"/>
                <w:color w:val="auto"/>
              </w:rPr>
            </w:pPr>
          </w:p>
        </w:tc>
        <w:tc>
          <w:tcPr>
            <w:tcW w:w="780" w:type="dxa"/>
            <w:vAlign w:val="bottom"/>
          </w:tcPr>
          <w:p>
            <w:pPr>
              <w:jc w:val="right"/>
              <w:ind w:right="32"/>
              <w:spacing w:after="0"/>
              <w:rPr>
                <w:sz w:val="20"/>
                <w:szCs w:val="20"/>
                <w:color w:val="auto"/>
              </w:rPr>
            </w:pPr>
            <w:r>
              <w:rPr>
                <w:rFonts w:ascii="Arial" w:cs="Arial" w:eastAsia="Arial" w:hAnsi="Arial"/>
                <w:sz w:val="14"/>
                <w:szCs w:val="14"/>
                <w:b w:val="1"/>
                <w:bCs w:val="1"/>
                <w:color w:val="auto"/>
                <w:w w:val="85"/>
              </w:rPr>
              <w:t>Net amount</w:t>
            </w:r>
          </w:p>
        </w:tc>
        <w:tc>
          <w:tcPr>
            <w:tcW w:w="160" w:type="dxa"/>
            <w:vAlign w:val="bottom"/>
          </w:tcPr>
          <w:p>
            <w:pPr>
              <w:spacing w:after="0"/>
              <w:rPr>
                <w:sz w:val="14"/>
                <w:szCs w:val="14"/>
                <w:color w:val="auto"/>
              </w:rPr>
            </w:pPr>
          </w:p>
        </w:tc>
        <w:tc>
          <w:tcPr>
            <w:tcW w:w="92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9"/>
              </w:rPr>
              <w:t>to net</w:t>
            </w:r>
          </w:p>
        </w:tc>
      </w:tr>
      <w:tr>
        <w:trPr>
          <w:trHeight w:val="142"/>
        </w:trPr>
        <w:tc>
          <w:tcPr>
            <w:tcW w:w="20" w:type="dxa"/>
            <w:vAlign w:val="bottom"/>
          </w:tcPr>
          <w:p>
            <w:pPr>
              <w:spacing w:after="0"/>
              <w:rPr>
                <w:sz w:val="12"/>
                <w:szCs w:val="12"/>
                <w:color w:val="auto"/>
              </w:rPr>
            </w:pPr>
          </w:p>
        </w:tc>
        <w:tc>
          <w:tcPr>
            <w:tcW w:w="310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i w:val="1"/>
                <w:iCs w:val="1"/>
                <w:color w:val="auto"/>
                <w:w w:val="84"/>
              </w:rPr>
              <w:t>($ in millions)</w:t>
            </w:r>
          </w:p>
        </w:tc>
        <w:tc>
          <w:tcPr>
            <w:tcW w:w="1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10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2013:</w:t>
            </w:r>
          </w:p>
        </w:tc>
        <w:tc>
          <w:tcPr>
            <w:tcW w:w="13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3100" w:type="dxa"/>
            <w:vAlign w:val="bottom"/>
          </w:tcPr>
          <w:p>
            <w:pPr>
              <w:spacing w:after="0" w:line="149" w:lineRule="exact"/>
              <w:rPr>
                <w:sz w:val="20"/>
                <w:szCs w:val="20"/>
                <w:color w:val="auto"/>
              </w:rPr>
            </w:pPr>
            <w:r>
              <w:rPr>
                <w:rFonts w:ascii="Arial" w:cs="Arial" w:eastAsia="Arial" w:hAnsi="Arial"/>
                <w:sz w:val="14"/>
                <w:szCs w:val="14"/>
                <w:color w:val="auto"/>
              </w:rPr>
              <w:t>Life insurance in force</w:t>
            </w:r>
          </w:p>
        </w:tc>
        <w:tc>
          <w:tcPr>
            <w:tcW w:w="14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99"/>
              </w:rPr>
              <w:t>317,154.5</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144,024.9</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1,455.4</w:t>
            </w:r>
          </w:p>
        </w:tc>
        <w:tc>
          <w:tcPr>
            <w:tcW w:w="160" w:type="dxa"/>
            <w:vAlign w:val="bottom"/>
          </w:tcPr>
          <w:p>
            <w:pPr>
              <w:spacing w:after="0"/>
              <w:rPr>
                <w:sz w:val="12"/>
                <w:szCs w:val="12"/>
                <w:color w:val="auto"/>
              </w:rPr>
            </w:pPr>
          </w:p>
        </w:tc>
        <w:tc>
          <w:tcPr>
            <w:tcW w:w="60" w:type="dxa"/>
            <w:vAlign w:val="bottom"/>
          </w:tcPr>
          <w:p>
            <w:pPr>
              <w:jc w:val="right"/>
              <w:spacing w:after="0"/>
              <w:rPr>
                <w:sz w:val="20"/>
                <w:szCs w:val="20"/>
                <w:color w:val="auto"/>
              </w:rPr>
            </w:pPr>
            <w:r>
              <w:rPr>
                <w:rFonts w:ascii="Arial" w:cs="Arial" w:eastAsia="Arial" w:hAnsi="Arial"/>
                <w:sz w:val="10"/>
                <w:szCs w:val="10"/>
                <w:b w:val="1"/>
                <w:bCs w:val="1"/>
                <w:color w:val="auto"/>
                <w:w w:val="71"/>
              </w:rPr>
              <w:t>$</w:t>
            </w: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174,585.0</w:t>
            </w:r>
          </w:p>
        </w:tc>
        <w:tc>
          <w:tcPr>
            <w:tcW w:w="1080" w:type="dxa"/>
            <w:vAlign w:val="bottom"/>
            <w:gridSpan w:val="3"/>
          </w:tcPr>
          <w:p>
            <w:pPr>
              <w:jc w:val="right"/>
              <w:ind w:right="20"/>
              <w:spacing w:after="0" w:line="149" w:lineRule="exact"/>
              <w:rPr>
                <w:sz w:val="20"/>
                <w:szCs w:val="20"/>
                <w:color w:val="auto"/>
              </w:rPr>
            </w:pPr>
            <w:r>
              <w:rPr>
                <w:rFonts w:ascii="Arial" w:cs="Arial" w:eastAsia="Arial" w:hAnsi="Arial"/>
                <w:sz w:val="14"/>
                <w:szCs w:val="14"/>
                <w:b w:val="1"/>
                <w:bCs w:val="1"/>
                <w:color w:val="auto"/>
              </w:rPr>
              <w:t>0.8%</w:t>
            </w:r>
          </w:p>
        </w:tc>
      </w:tr>
      <w:tr>
        <w:trPr>
          <w:trHeight w:val="20"/>
        </w:trPr>
        <w:tc>
          <w:tcPr>
            <w:tcW w:w="20" w:type="dxa"/>
            <w:vAlign w:val="bottom"/>
          </w:tcPr>
          <w:p>
            <w:pPr>
              <w:spacing w:after="0" w:line="20" w:lineRule="exact"/>
              <w:rPr>
                <w:sz w:val="1"/>
                <w:szCs w:val="1"/>
                <w:color w:val="auto"/>
              </w:rPr>
            </w:pPr>
          </w:p>
        </w:tc>
        <w:tc>
          <w:tcPr>
            <w:tcW w:w="31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3100" w:type="dxa"/>
            <w:vAlign w:val="bottom"/>
            <w:shd w:val="clear" w:color="auto" w:fill="CCEEFF"/>
          </w:tcPr>
          <w:p>
            <w:pPr>
              <w:spacing w:after="0" w:line="129" w:lineRule="exact"/>
              <w:rPr>
                <w:sz w:val="20"/>
                <w:szCs w:val="20"/>
                <w:color w:val="auto"/>
              </w:rPr>
            </w:pPr>
            <w:r>
              <w:rPr>
                <w:rFonts w:ascii="Arial" w:cs="Arial" w:eastAsia="Arial" w:hAnsi="Arial"/>
                <w:sz w:val="14"/>
                <w:szCs w:val="14"/>
                <w:color w:val="auto"/>
              </w:rPr>
              <w:t>Premiums:</w:t>
            </w:r>
          </w:p>
        </w:tc>
        <w:tc>
          <w:tcPr>
            <w:tcW w:w="13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3100" w:type="dxa"/>
            <w:vAlign w:val="bottom"/>
          </w:tcPr>
          <w:p>
            <w:pPr>
              <w:ind w:left="140"/>
              <w:spacing w:after="0" w:line="149" w:lineRule="exact"/>
              <w:rPr>
                <w:sz w:val="20"/>
                <w:szCs w:val="20"/>
                <w:color w:val="auto"/>
              </w:rPr>
            </w:pPr>
            <w:r>
              <w:rPr>
                <w:rFonts w:ascii="Arial" w:cs="Arial" w:eastAsia="Arial" w:hAnsi="Arial"/>
                <w:sz w:val="14"/>
                <w:szCs w:val="14"/>
                <w:color w:val="auto"/>
              </w:rPr>
              <w:t>Life insurance</w:t>
            </w:r>
          </w:p>
        </w:tc>
        <w:tc>
          <w:tcPr>
            <w:tcW w:w="14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2,216.9</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6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205.2</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7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2.5</w:t>
            </w:r>
          </w:p>
        </w:tc>
        <w:tc>
          <w:tcPr>
            <w:tcW w:w="160" w:type="dxa"/>
            <w:vAlign w:val="bottom"/>
          </w:tcPr>
          <w:p>
            <w:pPr>
              <w:spacing w:after="0"/>
              <w:rPr>
                <w:sz w:val="12"/>
                <w:szCs w:val="12"/>
                <w:color w:val="auto"/>
              </w:rPr>
            </w:pPr>
          </w:p>
        </w:tc>
        <w:tc>
          <w:tcPr>
            <w:tcW w:w="60" w:type="dxa"/>
            <w:vAlign w:val="bottom"/>
          </w:tcPr>
          <w:p>
            <w:pPr>
              <w:jc w:val="right"/>
              <w:spacing w:after="0"/>
              <w:rPr>
                <w:sz w:val="20"/>
                <w:szCs w:val="20"/>
                <w:color w:val="auto"/>
              </w:rPr>
            </w:pPr>
            <w:r>
              <w:rPr>
                <w:rFonts w:ascii="Arial" w:cs="Arial" w:eastAsia="Arial" w:hAnsi="Arial"/>
                <w:sz w:val="10"/>
                <w:szCs w:val="10"/>
                <w:b w:val="1"/>
                <w:bCs w:val="1"/>
                <w:color w:val="auto"/>
                <w:w w:val="71"/>
              </w:rPr>
              <w:t>$</w:t>
            </w: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2,014.2</w:t>
            </w:r>
          </w:p>
        </w:tc>
        <w:tc>
          <w:tcPr>
            <w:tcW w:w="1080" w:type="dxa"/>
            <w:vAlign w:val="bottom"/>
            <w:gridSpan w:val="3"/>
          </w:tcPr>
          <w:p>
            <w:pPr>
              <w:jc w:val="right"/>
              <w:ind w:right="20"/>
              <w:spacing w:after="0" w:line="149" w:lineRule="exact"/>
              <w:rPr>
                <w:sz w:val="20"/>
                <w:szCs w:val="20"/>
                <w:color w:val="auto"/>
              </w:rPr>
            </w:pPr>
            <w:r>
              <w:rPr>
                <w:rFonts w:ascii="Arial" w:cs="Arial" w:eastAsia="Arial" w:hAnsi="Arial"/>
                <w:sz w:val="14"/>
                <w:szCs w:val="14"/>
                <w:b w:val="1"/>
                <w:bCs w:val="1"/>
                <w:color w:val="auto"/>
              </w:rPr>
              <w:t>0.1%</w:t>
            </w:r>
          </w:p>
        </w:tc>
      </w:tr>
      <w:tr>
        <w:trPr>
          <w:trHeight w:val="149"/>
        </w:trPr>
        <w:tc>
          <w:tcPr>
            <w:tcW w:w="20" w:type="dxa"/>
            <w:vAlign w:val="bottom"/>
          </w:tcPr>
          <w:p>
            <w:pPr>
              <w:spacing w:after="0"/>
              <w:rPr>
                <w:sz w:val="12"/>
                <w:szCs w:val="12"/>
                <w:color w:val="auto"/>
              </w:rPr>
            </w:pPr>
          </w:p>
        </w:tc>
        <w:tc>
          <w:tcPr>
            <w:tcW w:w="31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Accident and health insurance</w:t>
            </w:r>
          </w:p>
        </w:tc>
        <w:tc>
          <w:tcPr>
            <w:tcW w:w="13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1,307.9</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168.0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1,139.9</w:t>
            </w:r>
          </w:p>
        </w:tc>
        <w:tc>
          <w:tcPr>
            <w:tcW w:w="1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w:t>
            </w:r>
          </w:p>
        </w:tc>
      </w:tr>
      <w:tr>
        <w:trPr>
          <w:trHeight w:val="142"/>
        </w:trPr>
        <w:tc>
          <w:tcPr>
            <w:tcW w:w="20" w:type="dxa"/>
            <w:vAlign w:val="bottom"/>
          </w:tcPr>
          <w:p>
            <w:pPr>
              <w:spacing w:after="0"/>
              <w:rPr>
                <w:sz w:val="12"/>
                <w:szCs w:val="12"/>
                <w:color w:val="auto"/>
              </w:rPr>
            </w:pPr>
          </w:p>
        </w:tc>
        <w:tc>
          <w:tcPr>
            <w:tcW w:w="3100" w:type="dxa"/>
            <w:vAlign w:val="bottom"/>
          </w:tcPr>
          <w:p>
            <w:pPr>
              <w:ind w:left="280"/>
              <w:spacing w:after="0" w:line="142" w:lineRule="exact"/>
              <w:rPr>
                <w:sz w:val="20"/>
                <w:szCs w:val="20"/>
                <w:color w:val="auto"/>
              </w:rPr>
            </w:pPr>
            <w:r>
              <w:rPr>
                <w:rFonts w:ascii="Arial" w:cs="Arial" w:eastAsia="Arial" w:hAnsi="Arial"/>
                <w:sz w:val="14"/>
                <w:szCs w:val="14"/>
                <w:color w:val="auto"/>
              </w:rPr>
              <w:t>Total</w:t>
            </w:r>
          </w:p>
        </w:tc>
        <w:tc>
          <w:tcPr>
            <w:tcW w:w="132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6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3,524.8</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373.2</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2.5</w:t>
            </w:r>
          </w:p>
        </w:tc>
        <w:tc>
          <w:tcPr>
            <w:tcW w:w="1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3,154.1</w:t>
            </w:r>
          </w:p>
        </w:tc>
        <w:tc>
          <w:tcPr>
            <w:tcW w:w="1080" w:type="dxa"/>
            <w:vAlign w:val="bottom"/>
            <w:gridSpan w:val="3"/>
          </w:tcPr>
          <w:p>
            <w:pPr>
              <w:jc w:val="right"/>
              <w:ind w:right="20"/>
              <w:spacing w:after="0" w:line="142" w:lineRule="exact"/>
              <w:rPr>
                <w:sz w:val="20"/>
                <w:szCs w:val="20"/>
                <w:color w:val="auto"/>
              </w:rPr>
            </w:pPr>
            <w:r>
              <w:rPr>
                <w:rFonts w:ascii="Arial" w:cs="Arial" w:eastAsia="Arial" w:hAnsi="Arial"/>
                <w:sz w:val="14"/>
                <w:szCs w:val="14"/>
                <w:b w:val="1"/>
                <w:bCs w:val="1"/>
                <w:color w:val="auto"/>
              </w:rPr>
              <w:t>0.1%</w:t>
            </w:r>
          </w:p>
        </w:tc>
      </w:tr>
      <w:tr>
        <w:trPr>
          <w:trHeight w:val="20"/>
        </w:trPr>
        <w:tc>
          <w:tcPr>
            <w:tcW w:w="20" w:type="dxa"/>
            <w:vAlign w:val="bottom"/>
          </w:tcPr>
          <w:p>
            <w:pPr>
              <w:spacing w:after="0" w:line="20" w:lineRule="exact"/>
              <w:rPr>
                <w:sz w:val="1"/>
                <w:szCs w:val="1"/>
                <w:color w:val="auto"/>
              </w:rPr>
            </w:pPr>
          </w:p>
        </w:tc>
        <w:tc>
          <w:tcPr>
            <w:tcW w:w="31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3100" w:type="dxa"/>
            <w:vAlign w:val="bottom"/>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2012:</w:t>
            </w:r>
          </w:p>
        </w:tc>
        <w:tc>
          <w:tcPr>
            <w:tcW w:w="13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3100" w:type="dxa"/>
            <w:vAlign w:val="bottom"/>
          </w:tcPr>
          <w:p>
            <w:pPr>
              <w:spacing w:after="0" w:line="149" w:lineRule="exact"/>
              <w:rPr>
                <w:sz w:val="20"/>
                <w:szCs w:val="20"/>
                <w:color w:val="auto"/>
              </w:rPr>
            </w:pPr>
            <w:r>
              <w:rPr>
                <w:rFonts w:ascii="Arial" w:cs="Arial" w:eastAsia="Arial" w:hAnsi="Arial"/>
                <w:sz w:val="14"/>
                <w:szCs w:val="14"/>
                <w:color w:val="auto"/>
              </w:rPr>
              <w:t>Life insurance in force</w:t>
            </w:r>
          </w:p>
        </w:tc>
        <w:tc>
          <w:tcPr>
            <w:tcW w:w="14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w w:val="99"/>
              </w:rPr>
              <w:t>286,435.3</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115,315.7</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00" w:type="dxa"/>
            <w:vAlign w:val="bottom"/>
          </w:tcPr>
          <w:p>
            <w:pPr>
              <w:jc w:val="right"/>
              <w:spacing w:after="0" w:line="149" w:lineRule="exact"/>
              <w:rPr>
                <w:sz w:val="20"/>
                <w:szCs w:val="20"/>
                <w:color w:val="auto"/>
              </w:rPr>
            </w:pPr>
            <w:r>
              <w:rPr>
                <w:rFonts w:ascii="Arial" w:cs="Arial" w:eastAsia="Arial" w:hAnsi="Arial"/>
                <w:sz w:val="14"/>
                <w:szCs w:val="14"/>
                <w:color w:val="auto"/>
              </w:rPr>
              <w:t>1,606.2</w:t>
            </w:r>
          </w:p>
        </w:tc>
        <w:tc>
          <w:tcPr>
            <w:tcW w:w="160" w:type="dxa"/>
            <w:vAlign w:val="bottom"/>
          </w:tcPr>
          <w:p>
            <w:pPr>
              <w:spacing w:after="0"/>
              <w:rPr>
                <w:sz w:val="12"/>
                <w:szCs w:val="12"/>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172,725.8</w:t>
            </w:r>
          </w:p>
        </w:tc>
        <w:tc>
          <w:tcPr>
            <w:tcW w:w="108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0.9%</w:t>
            </w:r>
          </w:p>
        </w:tc>
      </w:tr>
      <w:tr>
        <w:trPr>
          <w:trHeight w:val="20"/>
        </w:trPr>
        <w:tc>
          <w:tcPr>
            <w:tcW w:w="20" w:type="dxa"/>
            <w:vAlign w:val="bottom"/>
          </w:tcPr>
          <w:p>
            <w:pPr>
              <w:spacing w:after="0" w:line="20" w:lineRule="exact"/>
              <w:rPr>
                <w:sz w:val="1"/>
                <w:szCs w:val="1"/>
                <w:color w:val="auto"/>
              </w:rPr>
            </w:pPr>
          </w:p>
        </w:tc>
        <w:tc>
          <w:tcPr>
            <w:tcW w:w="31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3100" w:type="dxa"/>
            <w:vAlign w:val="bottom"/>
            <w:shd w:val="clear" w:color="auto" w:fill="CCEEFF"/>
          </w:tcPr>
          <w:p>
            <w:pPr>
              <w:spacing w:after="0" w:line="129" w:lineRule="exact"/>
              <w:rPr>
                <w:sz w:val="20"/>
                <w:szCs w:val="20"/>
                <w:color w:val="auto"/>
              </w:rPr>
            </w:pPr>
            <w:r>
              <w:rPr>
                <w:rFonts w:ascii="Arial" w:cs="Arial" w:eastAsia="Arial" w:hAnsi="Arial"/>
                <w:sz w:val="14"/>
                <w:szCs w:val="14"/>
                <w:color w:val="auto"/>
              </w:rPr>
              <w:t>Premiums:</w:t>
            </w:r>
          </w:p>
        </w:tc>
        <w:tc>
          <w:tcPr>
            <w:tcW w:w="13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3100" w:type="dxa"/>
            <w:vAlign w:val="bottom"/>
          </w:tcPr>
          <w:p>
            <w:pPr>
              <w:ind w:left="140"/>
              <w:spacing w:after="0" w:line="149" w:lineRule="exact"/>
              <w:rPr>
                <w:sz w:val="20"/>
                <w:szCs w:val="20"/>
                <w:color w:val="auto"/>
              </w:rPr>
            </w:pPr>
            <w:r>
              <w:rPr>
                <w:rFonts w:ascii="Arial" w:cs="Arial" w:eastAsia="Arial" w:hAnsi="Arial"/>
                <w:sz w:val="14"/>
                <w:szCs w:val="14"/>
                <w:color w:val="auto"/>
              </w:rPr>
              <w:t>Life insurance</w:t>
            </w:r>
          </w:p>
        </w:tc>
        <w:tc>
          <w:tcPr>
            <w:tcW w:w="14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2,289.4</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174.4</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00" w:type="dxa"/>
            <w:vAlign w:val="bottom"/>
          </w:tcPr>
          <w:p>
            <w:pPr>
              <w:jc w:val="right"/>
              <w:spacing w:after="0" w:line="149" w:lineRule="exact"/>
              <w:rPr>
                <w:sz w:val="20"/>
                <w:szCs w:val="20"/>
                <w:color w:val="auto"/>
              </w:rPr>
            </w:pPr>
            <w:r>
              <w:rPr>
                <w:rFonts w:ascii="Arial" w:cs="Arial" w:eastAsia="Arial" w:hAnsi="Arial"/>
                <w:sz w:val="14"/>
                <w:szCs w:val="14"/>
                <w:color w:val="auto"/>
              </w:rPr>
              <w:t>2.6</w:t>
            </w:r>
          </w:p>
        </w:tc>
        <w:tc>
          <w:tcPr>
            <w:tcW w:w="160" w:type="dxa"/>
            <w:vAlign w:val="bottom"/>
          </w:tcPr>
          <w:p>
            <w:pPr>
              <w:spacing w:after="0"/>
              <w:rPr>
                <w:sz w:val="12"/>
                <w:szCs w:val="12"/>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2,117.6</w:t>
            </w:r>
          </w:p>
        </w:tc>
        <w:tc>
          <w:tcPr>
            <w:tcW w:w="108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0.1%</w:t>
            </w:r>
          </w:p>
        </w:tc>
      </w:tr>
      <w:tr>
        <w:trPr>
          <w:trHeight w:val="149"/>
        </w:trPr>
        <w:tc>
          <w:tcPr>
            <w:tcW w:w="20" w:type="dxa"/>
            <w:vAlign w:val="bottom"/>
          </w:tcPr>
          <w:p>
            <w:pPr>
              <w:spacing w:after="0"/>
              <w:rPr>
                <w:sz w:val="12"/>
                <w:szCs w:val="12"/>
                <w:color w:val="auto"/>
              </w:rPr>
            </w:pPr>
          </w:p>
        </w:tc>
        <w:tc>
          <w:tcPr>
            <w:tcW w:w="31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Accident and health insurance</w:t>
            </w:r>
          </w:p>
        </w:tc>
        <w:tc>
          <w:tcPr>
            <w:tcW w:w="13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1,264.7</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162.9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1,101.8</w:t>
            </w:r>
          </w:p>
        </w:tc>
        <w:tc>
          <w:tcPr>
            <w:tcW w:w="1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r>
      <w:tr>
        <w:trPr>
          <w:trHeight w:val="142"/>
        </w:trPr>
        <w:tc>
          <w:tcPr>
            <w:tcW w:w="20" w:type="dxa"/>
            <w:vAlign w:val="bottom"/>
          </w:tcPr>
          <w:p>
            <w:pPr>
              <w:spacing w:after="0"/>
              <w:rPr>
                <w:sz w:val="12"/>
                <w:szCs w:val="12"/>
                <w:color w:val="auto"/>
              </w:rPr>
            </w:pPr>
          </w:p>
        </w:tc>
        <w:tc>
          <w:tcPr>
            <w:tcW w:w="3100" w:type="dxa"/>
            <w:vAlign w:val="bottom"/>
          </w:tcPr>
          <w:p>
            <w:pPr>
              <w:ind w:left="280"/>
              <w:spacing w:after="0" w:line="142" w:lineRule="exact"/>
              <w:rPr>
                <w:sz w:val="20"/>
                <w:szCs w:val="20"/>
                <w:color w:val="auto"/>
              </w:rPr>
            </w:pPr>
            <w:r>
              <w:rPr>
                <w:rFonts w:ascii="Arial" w:cs="Arial" w:eastAsia="Arial" w:hAnsi="Arial"/>
                <w:sz w:val="14"/>
                <w:szCs w:val="14"/>
                <w:color w:val="auto"/>
              </w:rPr>
              <w:t>Total</w:t>
            </w:r>
          </w:p>
        </w:tc>
        <w:tc>
          <w:tcPr>
            <w:tcW w:w="132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3,554.1</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337.3</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2.6</w:t>
            </w:r>
          </w:p>
        </w:tc>
        <w:tc>
          <w:tcPr>
            <w:tcW w:w="1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3,219.4</w:t>
            </w:r>
          </w:p>
        </w:tc>
        <w:tc>
          <w:tcPr>
            <w:tcW w:w="1080" w:type="dxa"/>
            <w:vAlign w:val="bottom"/>
            <w:gridSpan w:val="3"/>
          </w:tcPr>
          <w:p>
            <w:pPr>
              <w:jc w:val="right"/>
              <w:ind w:right="60"/>
              <w:spacing w:after="0" w:line="142" w:lineRule="exact"/>
              <w:rPr>
                <w:sz w:val="20"/>
                <w:szCs w:val="20"/>
                <w:color w:val="auto"/>
              </w:rPr>
            </w:pPr>
            <w:r>
              <w:rPr>
                <w:rFonts w:ascii="Arial" w:cs="Arial" w:eastAsia="Arial" w:hAnsi="Arial"/>
                <w:sz w:val="14"/>
                <w:szCs w:val="14"/>
                <w:color w:val="auto"/>
              </w:rPr>
              <w:t>0.1%</w:t>
            </w:r>
          </w:p>
        </w:tc>
      </w:tr>
      <w:tr>
        <w:trPr>
          <w:trHeight w:val="20"/>
        </w:trPr>
        <w:tc>
          <w:tcPr>
            <w:tcW w:w="20" w:type="dxa"/>
            <w:vAlign w:val="bottom"/>
          </w:tcPr>
          <w:p>
            <w:pPr>
              <w:spacing w:after="0" w:line="20" w:lineRule="exact"/>
              <w:rPr>
                <w:sz w:val="1"/>
                <w:szCs w:val="1"/>
                <w:color w:val="auto"/>
              </w:rPr>
            </w:pPr>
          </w:p>
        </w:tc>
        <w:tc>
          <w:tcPr>
            <w:tcW w:w="31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3100" w:type="dxa"/>
            <w:vAlign w:val="bottom"/>
            <w:shd w:val="clear" w:color="auto" w:fill="CCEEFF"/>
          </w:tcPr>
          <w:p>
            <w:pPr>
              <w:spacing w:after="0" w:line="129" w:lineRule="exact"/>
              <w:rPr>
                <w:sz w:val="20"/>
                <w:szCs w:val="20"/>
                <w:color w:val="auto"/>
              </w:rPr>
            </w:pPr>
            <w:r>
              <w:rPr>
                <w:rFonts w:ascii="Arial" w:cs="Arial" w:eastAsia="Arial" w:hAnsi="Arial"/>
                <w:sz w:val="14"/>
                <w:szCs w:val="14"/>
                <w:b w:val="1"/>
                <w:bCs w:val="1"/>
                <w:color w:val="auto"/>
              </w:rPr>
              <w:t>2011:</w:t>
            </w:r>
          </w:p>
        </w:tc>
        <w:tc>
          <w:tcPr>
            <w:tcW w:w="13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3100" w:type="dxa"/>
            <w:vAlign w:val="bottom"/>
          </w:tcPr>
          <w:p>
            <w:pPr>
              <w:spacing w:after="0" w:line="149" w:lineRule="exact"/>
              <w:rPr>
                <w:sz w:val="20"/>
                <w:szCs w:val="20"/>
                <w:color w:val="auto"/>
              </w:rPr>
            </w:pPr>
            <w:r>
              <w:rPr>
                <w:rFonts w:ascii="Arial" w:cs="Arial" w:eastAsia="Arial" w:hAnsi="Arial"/>
                <w:sz w:val="14"/>
                <w:szCs w:val="14"/>
                <w:color w:val="auto"/>
              </w:rPr>
              <w:t>Life insurance in force</w:t>
            </w:r>
          </w:p>
        </w:tc>
        <w:tc>
          <w:tcPr>
            <w:tcW w:w="14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w w:val="99"/>
              </w:rPr>
              <w:t>256,880.3</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94,839.7</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00" w:type="dxa"/>
            <w:vAlign w:val="bottom"/>
          </w:tcPr>
          <w:p>
            <w:pPr>
              <w:jc w:val="right"/>
              <w:spacing w:after="0" w:line="149" w:lineRule="exact"/>
              <w:rPr>
                <w:sz w:val="20"/>
                <w:szCs w:val="20"/>
                <w:color w:val="auto"/>
              </w:rPr>
            </w:pPr>
            <w:r>
              <w:rPr>
                <w:rFonts w:ascii="Arial" w:cs="Arial" w:eastAsia="Arial" w:hAnsi="Arial"/>
                <w:sz w:val="14"/>
                <w:szCs w:val="14"/>
                <w:color w:val="auto"/>
              </w:rPr>
              <w:t>1,814.9</w:t>
            </w:r>
          </w:p>
        </w:tc>
        <w:tc>
          <w:tcPr>
            <w:tcW w:w="160" w:type="dxa"/>
            <w:vAlign w:val="bottom"/>
          </w:tcPr>
          <w:p>
            <w:pPr>
              <w:spacing w:after="0"/>
              <w:rPr>
                <w:sz w:val="12"/>
                <w:szCs w:val="12"/>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163,855.5</w:t>
            </w:r>
          </w:p>
        </w:tc>
        <w:tc>
          <w:tcPr>
            <w:tcW w:w="108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1.1%</w:t>
            </w:r>
          </w:p>
        </w:tc>
      </w:tr>
      <w:tr>
        <w:trPr>
          <w:trHeight w:val="20"/>
        </w:trPr>
        <w:tc>
          <w:tcPr>
            <w:tcW w:w="20" w:type="dxa"/>
            <w:vAlign w:val="bottom"/>
          </w:tcPr>
          <w:p>
            <w:pPr>
              <w:spacing w:after="0" w:line="20" w:lineRule="exact"/>
              <w:rPr>
                <w:sz w:val="1"/>
                <w:szCs w:val="1"/>
                <w:color w:val="auto"/>
              </w:rPr>
            </w:pPr>
          </w:p>
        </w:tc>
        <w:tc>
          <w:tcPr>
            <w:tcW w:w="31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3100" w:type="dxa"/>
            <w:vAlign w:val="bottom"/>
            <w:shd w:val="clear" w:color="auto" w:fill="CCEEFF"/>
          </w:tcPr>
          <w:p>
            <w:pPr>
              <w:spacing w:after="0" w:line="129" w:lineRule="exact"/>
              <w:rPr>
                <w:sz w:val="20"/>
                <w:szCs w:val="20"/>
                <w:color w:val="auto"/>
              </w:rPr>
            </w:pPr>
            <w:r>
              <w:rPr>
                <w:rFonts w:ascii="Arial" w:cs="Arial" w:eastAsia="Arial" w:hAnsi="Arial"/>
                <w:sz w:val="14"/>
                <w:szCs w:val="14"/>
                <w:color w:val="auto"/>
              </w:rPr>
              <w:t>Premiums:</w:t>
            </w:r>
          </w:p>
        </w:tc>
        <w:tc>
          <w:tcPr>
            <w:tcW w:w="13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3100" w:type="dxa"/>
            <w:vAlign w:val="bottom"/>
          </w:tcPr>
          <w:p>
            <w:pPr>
              <w:ind w:left="140"/>
              <w:spacing w:after="0" w:line="149" w:lineRule="exact"/>
              <w:rPr>
                <w:sz w:val="20"/>
                <w:szCs w:val="20"/>
                <w:color w:val="auto"/>
              </w:rPr>
            </w:pPr>
            <w:r>
              <w:rPr>
                <w:rFonts w:ascii="Arial" w:cs="Arial" w:eastAsia="Arial" w:hAnsi="Arial"/>
                <w:sz w:val="14"/>
                <w:szCs w:val="14"/>
                <w:color w:val="auto"/>
              </w:rPr>
              <w:t>Life insurance</w:t>
            </w:r>
          </w:p>
        </w:tc>
        <w:tc>
          <w:tcPr>
            <w:tcW w:w="14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1,490.8</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158.5</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00" w:type="dxa"/>
            <w:vAlign w:val="bottom"/>
          </w:tcPr>
          <w:p>
            <w:pPr>
              <w:jc w:val="right"/>
              <w:spacing w:after="0" w:line="149" w:lineRule="exact"/>
              <w:rPr>
                <w:sz w:val="20"/>
                <w:szCs w:val="20"/>
                <w:color w:val="auto"/>
              </w:rPr>
            </w:pPr>
            <w:r>
              <w:rPr>
                <w:rFonts w:ascii="Arial" w:cs="Arial" w:eastAsia="Arial" w:hAnsi="Arial"/>
                <w:sz w:val="14"/>
                <w:szCs w:val="14"/>
                <w:color w:val="auto"/>
              </w:rPr>
              <w:t>3.0</w:t>
            </w:r>
          </w:p>
        </w:tc>
        <w:tc>
          <w:tcPr>
            <w:tcW w:w="160" w:type="dxa"/>
            <w:vAlign w:val="bottom"/>
          </w:tcPr>
          <w:p>
            <w:pPr>
              <w:spacing w:after="0"/>
              <w:rPr>
                <w:sz w:val="12"/>
                <w:szCs w:val="12"/>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1,335.3</w:t>
            </w:r>
          </w:p>
        </w:tc>
        <w:tc>
          <w:tcPr>
            <w:tcW w:w="108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0.2%</w:t>
            </w:r>
          </w:p>
        </w:tc>
      </w:tr>
      <w:tr>
        <w:trPr>
          <w:trHeight w:val="149"/>
        </w:trPr>
        <w:tc>
          <w:tcPr>
            <w:tcW w:w="20" w:type="dxa"/>
            <w:vAlign w:val="bottom"/>
          </w:tcPr>
          <w:p>
            <w:pPr>
              <w:spacing w:after="0"/>
              <w:rPr>
                <w:sz w:val="12"/>
                <w:szCs w:val="12"/>
                <w:color w:val="auto"/>
              </w:rPr>
            </w:pPr>
          </w:p>
        </w:tc>
        <w:tc>
          <w:tcPr>
            <w:tcW w:w="31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Accident and health insurance</w:t>
            </w:r>
          </w:p>
        </w:tc>
        <w:tc>
          <w:tcPr>
            <w:tcW w:w="13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1,714.8</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159.1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1,555.7</w:t>
            </w:r>
          </w:p>
        </w:tc>
        <w:tc>
          <w:tcPr>
            <w:tcW w:w="16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r>
      <w:tr>
        <w:trPr>
          <w:trHeight w:val="142"/>
        </w:trPr>
        <w:tc>
          <w:tcPr>
            <w:tcW w:w="20" w:type="dxa"/>
            <w:vAlign w:val="bottom"/>
          </w:tcPr>
          <w:p>
            <w:pPr>
              <w:spacing w:after="0"/>
              <w:rPr>
                <w:sz w:val="12"/>
                <w:szCs w:val="12"/>
                <w:color w:val="auto"/>
              </w:rPr>
            </w:pPr>
          </w:p>
        </w:tc>
        <w:tc>
          <w:tcPr>
            <w:tcW w:w="3100" w:type="dxa"/>
            <w:vAlign w:val="bottom"/>
          </w:tcPr>
          <w:p>
            <w:pPr>
              <w:ind w:left="280"/>
              <w:spacing w:after="0" w:line="142" w:lineRule="exact"/>
              <w:rPr>
                <w:sz w:val="20"/>
                <w:szCs w:val="20"/>
                <w:color w:val="auto"/>
              </w:rPr>
            </w:pPr>
            <w:r>
              <w:rPr>
                <w:rFonts w:ascii="Arial" w:cs="Arial" w:eastAsia="Arial" w:hAnsi="Arial"/>
                <w:sz w:val="14"/>
                <w:szCs w:val="14"/>
                <w:color w:val="auto"/>
              </w:rPr>
              <w:t>Total</w:t>
            </w:r>
          </w:p>
        </w:tc>
        <w:tc>
          <w:tcPr>
            <w:tcW w:w="132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3,205.6</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317.6</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3.0</w:t>
            </w:r>
          </w:p>
        </w:tc>
        <w:tc>
          <w:tcPr>
            <w:tcW w:w="16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2,891.0</w:t>
            </w:r>
          </w:p>
        </w:tc>
        <w:tc>
          <w:tcPr>
            <w:tcW w:w="1080" w:type="dxa"/>
            <w:vAlign w:val="bottom"/>
            <w:gridSpan w:val="3"/>
          </w:tcPr>
          <w:p>
            <w:pPr>
              <w:jc w:val="right"/>
              <w:ind w:right="60"/>
              <w:spacing w:after="0" w:line="142" w:lineRule="exact"/>
              <w:rPr>
                <w:sz w:val="20"/>
                <w:szCs w:val="20"/>
                <w:color w:val="auto"/>
              </w:rPr>
            </w:pPr>
            <w:r>
              <w:rPr>
                <w:rFonts w:ascii="Arial" w:cs="Arial" w:eastAsia="Arial" w:hAnsi="Arial"/>
                <w:sz w:val="14"/>
                <w:szCs w:val="14"/>
                <w:color w:val="auto"/>
              </w:rPr>
              <w:t>0.1%</w:t>
            </w:r>
          </w:p>
        </w:tc>
      </w:tr>
      <w:tr>
        <w:trPr>
          <w:trHeight w:val="20"/>
        </w:trPr>
        <w:tc>
          <w:tcPr>
            <w:tcW w:w="20" w:type="dxa"/>
            <w:vAlign w:val="bottom"/>
          </w:tcPr>
          <w:p>
            <w:pPr>
              <w:spacing w:after="0" w:line="20" w:lineRule="exact"/>
              <w:rPr>
                <w:sz w:val="1"/>
                <w:szCs w:val="1"/>
                <w:color w:val="auto"/>
              </w:rPr>
            </w:pPr>
          </w:p>
        </w:tc>
        <w:tc>
          <w:tcPr>
            <w:tcW w:w="31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219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223" w:name="page224"/>
    <w:bookmarkEnd w:id="22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Exhibit Index</w:t>
      </w:r>
    </w:p>
    <w:p>
      <w:pPr>
        <w:sectPr>
          <w:pgSz w:w="11900" w:h="16838" w:orient="portrait"/>
          <w:cols w:equalWidth="0" w:num="1">
            <w:col w:w="11380"/>
          </w:cols>
          <w:pgMar w:left="240" w:top="131" w:right="279" w:bottom="1440" w:gutter="0" w:footer="0" w:header="0"/>
        </w:sectPr>
      </w:pPr>
    </w:p>
    <w:p>
      <w:pPr>
        <w:spacing w:after="0" w:line="250" w:lineRule="exact"/>
        <w:rPr>
          <w:sz w:val="20"/>
          <w:szCs w:val="20"/>
          <w:color w:val="auto"/>
        </w:rPr>
      </w:pPr>
    </w:p>
    <w:p>
      <w:pPr>
        <w:ind w:left="320"/>
        <w:spacing w:after="0"/>
        <w:rPr>
          <w:sz w:val="20"/>
          <w:szCs w:val="20"/>
          <w:color w:val="auto"/>
        </w:rPr>
      </w:pPr>
      <w:r>
        <w:rPr>
          <w:rFonts w:ascii="Arial" w:cs="Arial" w:eastAsia="Arial" w:hAnsi="Arial"/>
          <w:sz w:val="12"/>
          <w:szCs w:val="12"/>
          <w:b w:val="1"/>
          <w:bCs w:val="1"/>
          <w:color w:val="auto"/>
        </w:rPr>
        <w:t>Exhibit</w:t>
      </w:r>
    </w:p>
    <w:p>
      <w:pPr>
        <w:spacing w:after="0" w:line="25" w:lineRule="exact"/>
        <w:rPr>
          <w:sz w:val="20"/>
          <w:szCs w:val="20"/>
          <w:color w:val="auto"/>
        </w:rPr>
      </w:pPr>
    </w:p>
    <w:p>
      <w:pPr>
        <w:ind w:left="300"/>
        <w:spacing w:after="0"/>
        <w:rPr>
          <w:sz w:val="20"/>
          <w:szCs w:val="20"/>
          <w:color w:val="auto"/>
        </w:rPr>
      </w:pPr>
      <w:r>
        <w:rPr>
          <w:rFonts w:ascii="Arial" w:cs="Arial" w:eastAsia="Arial" w:hAnsi="Arial"/>
          <w:sz w:val="12"/>
          <w:szCs w:val="12"/>
          <w:b w:val="1"/>
          <w:bCs w:val="1"/>
          <w:u w:val="single" w:color="auto"/>
          <w:color w:val="auto"/>
        </w:rPr>
        <w:t>Number</w:t>
      </w:r>
    </w:p>
    <w:p>
      <w:pPr>
        <w:spacing w:after="0" w:line="20" w:lineRule="exact"/>
        <w:rPr>
          <w:sz w:val="20"/>
          <w:szCs w:val="20"/>
          <w:color w:val="auto"/>
        </w:rPr>
      </w:pPr>
      <w:r>
        <w:rPr>
          <w:sz w:val="20"/>
          <w:szCs w:val="20"/>
          <w:color w:val="auto"/>
        </w:rPr>
        <w:br w:type="column"/>
      </w:r>
    </w:p>
    <w:p>
      <w:pPr>
        <w:spacing w:after="0" w:line="378" w:lineRule="exact"/>
        <w:rPr>
          <w:sz w:val="20"/>
          <w:szCs w:val="20"/>
          <w:color w:val="auto"/>
        </w:rPr>
      </w:pPr>
    </w:p>
    <w:p>
      <w:pPr>
        <w:jc w:val="center"/>
        <w:ind w:right="4840"/>
        <w:spacing w:after="0"/>
        <w:rPr>
          <w:sz w:val="20"/>
          <w:szCs w:val="20"/>
          <w:color w:val="auto"/>
        </w:rPr>
      </w:pPr>
      <w:r>
        <w:rPr>
          <w:rFonts w:ascii="Arial" w:cs="Arial" w:eastAsia="Arial" w:hAnsi="Arial"/>
          <w:sz w:val="11"/>
          <w:szCs w:val="11"/>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-3093720</wp:posOffset>
            </wp:positionH>
            <wp:positionV relativeFrom="paragraph">
              <wp:posOffset>22225</wp:posOffset>
            </wp:positionV>
            <wp:extent cx="6612255" cy="889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6612255" cy="8890"/>
                    </a:xfrm>
                    <a:prstGeom prst="rect">
                      <a:avLst/>
                    </a:prstGeom>
                    <a:noFill/>
                  </pic:spPr>
                </pic:pic>
              </a:graphicData>
            </a:graphic>
          </wp:anchor>
        </w:drawing>
      </w:r>
    </w:p>
    <w:p>
      <w:pPr>
        <w:spacing w:after="0" w:line="37" w:lineRule="exact"/>
        <w:rPr>
          <w:sz w:val="20"/>
          <w:szCs w:val="20"/>
          <w:color w:val="auto"/>
        </w:rPr>
      </w:pPr>
    </w:p>
    <w:p>
      <w:pPr>
        <w:sectPr>
          <w:pgSz w:w="11900" w:h="16838" w:orient="portrait"/>
          <w:cols w:equalWidth="0" w:num="2">
            <w:col w:w="5160" w:space="720"/>
            <w:col w:w="5500"/>
          </w:cols>
          <w:pgMar w:left="240" w:top="131" w:right="279" w:bottom="1440" w:gutter="0" w:footer="0" w:header="0"/>
          <w:type w:val="continuous"/>
        </w:sectPr>
      </w:pPr>
    </w:p>
    <w:p>
      <w:pPr>
        <w:ind w:left="680"/>
        <w:spacing w:after="0"/>
        <w:tabs>
          <w:tab w:leader="none" w:pos="980" w:val="left"/>
        </w:tabs>
        <w:rPr>
          <w:sz w:val="20"/>
          <w:szCs w:val="20"/>
          <w:color w:val="auto"/>
        </w:rPr>
      </w:pPr>
      <w:r>
        <w:rPr>
          <w:rFonts w:ascii="Arial" w:cs="Arial" w:eastAsia="Arial" w:hAnsi="Arial"/>
          <w:sz w:val="14"/>
          <w:szCs w:val="14"/>
          <w:color w:val="auto"/>
        </w:rPr>
        <w:t>2.1</w:t>
      </w:r>
      <w:r>
        <w:rPr>
          <w:sz w:val="20"/>
          <w:szCs w:val="20"/>
          <w:color w:val="auto"/>
        </w:rPr>
        <w:tab/>
      </w:r>
      <w:r>
        <w:rPr>
          <w:rFonts w:ascii="Arial" w:cs="Arial" w:eastAsia="Arial" w:hAnsi="Arial"/>
          <w:sz w:val="12"/>
          <w:szCs w:val="12"/>
          <w:color w:val="auto"/>
        </w:rPr>
        <w:t>Plan of Conversion (1)</w:t>
      </w:r>
    </w:p>
    <w:p>
      <w:pPr>
        <w:ind w:left="680"/>
        <w:spacing w:after="0"/>
        <w:tabs>
          <w:tab w:leader="none" w:pos="980" w:val="left"/>
        </w:tabs>
        <w:rPr>
          <w:sz w:val="20"/>
          <w:szCs w:val="20"/>
          <w:color w:val="auto"/>
        </w:rPr>
      </w:pPr>
      <w:r>
        <w:rPr>
          <w:rFonts w:ascii="Arial" w:cs="Arial" w:eastAsia="Arial" w:hAnsi="Arial"/>
          <w:sz w:val="14"/>
          <w:szCs w:val="14"/>
          <w:color w:val="auto"/>
        </w:rPr>
        <w:t>2.2</w:t>
      </w:r>
      <w:r>
        <w:rPr>
          <w:sz w:val="20"/>
          <w:szCs w:val="20"/>
          <w:color w:val="auto"/>
        </w:rPr>
        <w:tab/>
      </w:r>
      <w:r>
        <w:rPr>
          <w:rFonts w:ascii="Arial" w:cs="Arial" w:eastAsia="Arial" w:hAnsi="Arial"/>
          <w:sz w:val="12"/>
          <w:szCs w:val="12"/>
          <w:color w:val="auto"/>
        </w:rPr>
        <w:t>Stock Purchase Agreement dated as of May 11, 2004 by and between Principal Holding Company and CitiMortgage, Inc. (2)</w:t>
      </w:r>
    </w:p>
    <w:p>
      <w:pPr>
        <w:ind w:left="1000" w:right="80" w:hanging="330"/>
        <w:spacing w:after="0" w:line="221" w:lineRule="auto"/>
        <w:tabs>
          <w:tab w:leader="none" w:pos="980" w:val="left"/>
        </w:tabs>
        <w:rPr>
          <w:sz w:val="20"/>
          <w:szCs w:val="20"/>
          <w:color w:val="auto"/>
        </w:rPr>
      </w:pPr>
      <w:r>
        <w:rPr>
          <w:rFonts w:ascii="Arial" w:cs="Arial" w:eastAsia="Arial" w:hAnsi="Arial"/>
          <w:sz w:val="14"/>
          <w:szCs w:val="14"/>
          <w:color w:val="auto"/>
        </w:rPr>
        <w:t>2.3</w:t>
        <w:tab/>
        <w:t>Stock Purchase Agreement among Washington Mutual, Inc., New American Capital, Inc., Principal Financial Group, Inc., and Principal Management Corporation for the purchase and sale of the outstanding capital stock of WM Advisors, Inc., dated as of July 25, 2006. (3)</w:t>
      </w:r>
    </w:p>
    <w:p>
      <w:pPr>
        <w:spacing w:after="0" w:line="1" w:lineRule="exact"/>
        <w:rPr>
          <w:sz w:val="20"/>
          <w:szCs w:val="20"/>
          <w:color w:val="auto"/>
        </w:rPr>
      </w:pPr>
    </w:p>
    <w:p>
      <w:pPr>
        <w:ind w:left="1000" w:right="600" w:hanging="431"/>
        <w:spacing w:after="0" w:line="258" w:lineRule="auto"/>
        <w:tabs>
          <w:tab w:leader="none" w:pos="980" w:val="left"/>
        </w:tabs>
        <w:rPr>
          <w:sz w:val="20"/>
          <w:szCs w:val="20"/>
          <w:color w:val="auto"/>
        </w:rPr>
      </w:pPr>
      <w:r>
        <w:rPr>
          <w:rFonts w:ascii="Arial" w:cs="Arial" w:eastAsia="Arial" w:hAnsi="Arial"/>
          <w:sz w:val="14"/>
          <w:szCs w:val="14"/>
          <w:color w:val="auto"/>
        </w:rPr>
        <w:t>2.3.1</w:t>
      </w:r>
      <w:r>
        <w:rPr>
          <w:sz w:val="20"/>
          <w:szCs w:val="20"/>
          <w:color w:val="auto"/>
        </w:rPr>
        <w:tab/>
      </w:r>
      <w:r>
        <w:rPr>
          <w:rFonts w:ascii="Arial" w:cs="Arial" w:eastAsia="Arial" w:hAnsi="Arial"/>
          <w:sz w:val="12"/>
          <w:szCs w:val="12"/>
          <w:color w:val="auto"/>
        </w:rPr>
        <w:t>Amendment No. 1 and Waiver, dated as of December 29, 2006, to the Stock Purchase Agreement, dated as of July 25, 2006, by and among Washington Mutual, Inc., New American Capital, Inc., Principal Financial Group, Inc., and Principal Management Corporation for the purchase and sale of the outstanding capital stock of WM Advisors, Inc. (4)</w:t>
      </w:r>
    </w:p>
    <w:p>
      <w:pPr>
        <w:ind w:left="1000" w:hanging="431"/>
        <w:spacing w:after="0" w:line="258" w:lineRule="auto"/>
        <w:tabs>
          <w:tab w:leader="none" w:pos="980" w:val="left"/>
        </w:tabs>
        <w:rPr>
          <w:sz w:val="20"/>
          <w:szCs w:val="20"/>
          <w:color w:val="auto"/>
        </w:rPr>
      </w:pPr>
      <w:r>
        <w:rPr>
          <w:rFonts w:ascii="Arial" w:cs="Arial" w:eastAsia="Arial" w:hAnsi="Arial"/>
          <w:sz w:val="14"/>
          <w:szCs w:val="14"/>
          <w:color w:val="auto"/>
        </w:rPr>
        <w:t>2.3.2</w:t>
      </w:r>
      <w:r>
        <w:rPr>
          <w:sz w:val="20"/>
          <w:szCs w:val="20"/>
          <w:color w:val="auto"/>
        </w:rPr>
        <w:tab/>
      </w:r>
      <w:r>
        <w:rPr>
          <w:rFonts w:ascii="Arial" w:cs="Arial" w:eastAsia="Arial" w:hAnsi="Arial"/>
          <w:sz w:val="12"/>
          <w:szCs w:val="12"/>
          <w:color w:val="auto"/>
        </w:rPr>
        <w:t>Memorandum of Understanding dated as of December 29, 2006, amending and modifying the Stock Purchase Agreement by and among Washington Mutual, Inc., New American Capital, Inc., Principal Financial Group, Inc., and Principal Management Corporation for the purchase and sale of the outstanding capital stock of WM Advisors, Inc. (4)</w:t>
      </w:r>
    </w:p>
    <w:p>
      <w:pPr>
        <w:ind w:left="680"/>
        <w:spacing w:after="0"/>
        <w:tabs>
          <w:tab w:leader="none" w:pos="980" w:val="left"/>
        </w:tabs>
        <w:rPr>
          <w:sz w:val="20"/>
          <w:szCs w:val="20"/>
          <w:color w:val="auto"/>
        </w:rPr>
      </w:pPr>
      <w:r>
        <w:rPr>
          <w:rFonts w:ascii="Arial" w:cs="Arial" w:eastAsia="Arial" w:hAnsi="Arial"/>
          <w:sz w:val="14"/>
          <w:szCs w:val="14"/>
          <w:color w:val="auto"/>
        </w:rPr>
        <w:t>2.4</w:t>
      </w:r>
      <w:r>
        <w:rPr>
          <w:sz w:val="20"/>
          <w:szCs w:val="20"/>
          <w:color w:val="auto"/>
        </w:rPr>
        <w:tab/>
      </w:r>
      <w:r>
        <w:rPr>
          <w:rFonts w:ascii="Arial" w:cs="Arial" w:eastAsia="Arial" w:hAnsi="Arial"/>
          <w:sz w:val="12"/>
          <w:szCs w:val="12"/>
          <w:color w:val="auto"/>
        </w:rPr>
        <w:t>Sale and Purchase Promise Agreement, dated October 5, 2012, among Principal Financial Services, Inc., Empresas Penta S.A. and Inversiones Banpenta Limitada (5)</w:t>
      </w:r>
    </w:p>
    <w:p>
      <w:pPr>
        <w:ind w:left="680"/>
        <w:spacing w:after="0"/>
        <w:tabs>
          <w:tab w:leader="none" w:pos="980" w:val="left"/>
        </w:tabs>
        <w:rPr>
          <w:sz w:val="20"/>
          <w:szCs w:val="20"/>
          <w:color w:val="auto"/>
        </w:rPr>
      </w:pPr>
      <w:r>
        <w:rPr>
          <w:rFonts w:ascii="Arial" w:cs="Arial" w:eastAsia="Arial" w:hAnsi="Arial"/>
          <w:sz w:val="14"/>
          <w:szCs w:val="14"/>
          <w:color w:val="auto"/>
        </w:rPr>
        <w:t>3.1</w:t>
      </w:r>
      <w:r>
        <w:rPr>
          <w:sz w:val="20"/>
          <w:szCs w:val="20"/>
          <w:color w:val="auto"/>
        </w:rPr>
        <w:tab/>
      </w:r>
      <w:r>
        <w:rPr>
          <w:rFonts w:ascii="Arial" w:cs="Arial" w:eastAsia="Arial" w:hAnsi="Arial"/>
          <w:sz w:val="12"/>
          <w:szCs w:val="12"/>
          <w:color w:val="auto"/>
        </w:rPr>
        <w:t>Amended and Restated Certificate of Incorporation of Principal Financial Group, Inc. (included in Exhibit 2.1) (6)</w:t>
      </w:r>
    </w:p>
    <w:p>
      <w:pPr>
        <w:ind w:left="680"/>
        <w:spacing w:after="0"/>
        <w:tabs>
          <w:tab w:leader="none" w:pos="980" w:val="left"/>
        </w:tabs>
        <w:rPr>
          <w:sz w:val="20"/>
          <w:szCs w:val="20"/>
          <w:color w:val="auto"/>
        </w:rPr>
      </w:pPr>
      <w:r>
        <w:rPr>
          <w:rFonts w:ascii="Arial" w:cs="Arial" w:eastAsia="Arial" w:hAnsi="Arial"/>
          <w:sz w:val="14"/>
          <w:szCs w:val="14"/>
          <w:color w:val="auto"/>
        </w:rPr>
        <w:t>3.2</w:t>
      </w:r>
      <w:r>
        <w:rPr>
          <w:sz w:val="20"/>
          <w:szCs w:val="20"/>
          <w:color w:val="auto"/>
        </w:rPr>
        <w:tab/>
      </w:r>
      <w:r>
        <w:rPr>
          <w:rFonts w:ascii="Arial" w:cs="Arial" w:eastAsia="Arial" w:hAnsi="Arial"/>
          <w:sz w:val="12"/>
          <w:szCs w:val="12"/>
          <w:color w:val="auto"/>
        </w:rPr>
        <w:t>Amended and Restated By-Laws of Principal Financial Group, Inc. (7)</w:t>
      </w:r>
    </w:p>
    <w:p>
      <w:pPr>
        <w:ind w:left="680"/>
        <w:spacing w:after="0"/>
        <w:tabs>
          <w:tab w:leader="none" w:pos="980" w:val="left"/>
        </w:tabs>
        <w:rPr>
          <w:sz w:val="20"/>
          <w:szCs w:val="20"/>
          <w:color w:val="auto"/>
        </w:rPr>
      </w:pPr>
      <w:r>
        <w:rPr>
          <w:rFonts w:ascii="Arial" w:cs="Arial" w:eastAsia="Arial" w:hAnsi="Arial"/>
          <w:sz w:val="14"/>
          <w:szCs w:val="14"/>
          <w:color w:val="auto"/>
        </w:rPr>
        <w:t>4.1</w:t>
      </w:r>
      <w:r>
        <w:rPr>
          <w:sz w:val="20"/>
          <w:szCs w:val="20"/>
          <w:color w:val="auto"/>
        </w:rPr>
        <w:tab/>
      </w:r>
      <w:r>
        <w:rPr>
          <w:rFonts w:ascii="Arial" w:cs="Arial" w:eastAsia="Arial" w:hAnsi="Arial"/>
          <w:sz w:val="12"/>
          <w:szCs w:val="12"/>
          <w:color w:val="auto"/>
        </w:rPr>
        <w:t>Form of Certificate for the Common Stock of Principal Financial Group, Inc., par value $0.01 per share (1)</w:t>
      </w:r>
    </w:p>
    <w:p>
      <w:pPr>
        <w:ind w:left="580"/>
        <w:spacing w:after="0"/>
        <w:tabs>
          <w:tab w:leader="none" w:pos="980" w:val="left"/>
        </w:tabs>
        <w:rPr>
          <w:sz w:val="20"/>
          <w:szCs w:val="20"/>
          <w:color w:val="auto"/>
        </w:rPr>
      </w:pPr>
      <w:r>
        <w:rPr>
          <w:rFonts w:ascii="Arial" w:cs="Arial" w:eastAsia="Arial" w:hAnsi="Arial"/>
          <w:sz w:val="14"/>
          <w:szCs w:val="14"/>
          <w:color w:val="auto"/>
        </w:rPr>
        <w:t>4.1.1</w:t>
      </w:r>
      <w:r>
        <w:rPr>
          <w:sz w:val="20"/>
          <w:szCs w:val="20"/>
          <w:color w:val="auto"/>
        </w:rPr>
        <w:tab/>
      </w:r>
      <w:r>
        <w:rPr>
          <w:rFonts w:ascii="Arial" w:cs="Arial" w:eastAsia="Arial" w:hAnsi="Arial"/>
          <w:sz w:val="12"/>
          <w:szCs w:val="12"/>
          <w:color w:val="auto"/>
        </w:rPr>
        <w:t>Certificate of Designations of the Company's Series A Non-Cumulative Perpetual Preferred Stock, dated June 16, 2005. (6)</w:t>
      </w:r>
    </w:p>
    <w:p>
      <w:pPr>
        <w:ind w:left="580"/>
        <w:spacing w:after="0"/>
        <w:tabs>
          <w:tab w:leader="none" w:pos="980" w:val="left"/>
        </w:tabs>
        <w:rPr>
          <w:sz w:val="20"/>
          <w:szCs w:val="20"/>
          <w:color w:val="auto"/>
        </w:rPr>
      </w:pPr>
      <w:r>
        <w:rPr>
          <w:rFonts w:ascii="Arial" w:cs="Arial" w:eastAsia="Arial" w:hAnsi="Arial"/>
          <w:sz w:val="14"/>
          <w:szCs w:val="14"/>
          <w:color w:val="auto"/>
        </w:rPr>
        <w:t>4.1.2</w:t>
      </w:r>
      <w:r>
        <w:rPr>
          <w:sz w:val="20"/>
          <w:szCs w:val="20"/>
          <w:color w:val="auto"/>
        </w:rPr>
        <w:tab/>
      </w:r>
      <w:r>
        <w:rPr>
          <w:rFonts w:ascii="Arial" w:cs="Arial" w:eastAsia="Arial" w:hAnsi="Arial"/>
          <w:sz w:val="12"/>
          <w:szCs w:val="12"/>
          <w:color w:val="auto"/>
        </w:rPr>
        <w:t>Certificate of Designations of the Company's Series B Non-Cumulative Perpetual Preferred Stock, dated June 16, 2005. (6)</w:t>
      </w:r>
    </w:p>
    <w:p>
      <w:pPr>
        <w:ind w:left="580"/>
        <w:spacing w:after="0"/>
        <w:tabs>
          <w:tab w:leader="none" w:pos="980" w:val="left"/>
        </w:tabs>
        <w:rPr>
          <w:sz w:val="20"/>
          <w:szCs w:val="20"/>
          <w:color w:val="auto"/>
        </w:rPr>
      </w:pPr>
      <w:r>
        <w:rPr>
          <w:rFonts w:ascii="Arial" w:cs="Arial" w:eastAsia="Arial" w:hAnsi="Arial"/>
          <w:sz w:val="14"/>
          <w:szCs w:val="14"/>
          <w:color w:val="auto"/>
        </w:rPr>
        <w:t>4.1.3</w:t>
      </w:r>
      <w:r>
        <w:rPr>
          <w:sz w:val="20"/>
          <w:szCs w:val="20"/>
          <w:color w:val="auto"/>
        </w:rPr>
        <w:tab/>
      </w:r>
      <w:r>
        <w:rPr>
          <w:rFonts w:ascii="Arial" w:cs="Arial" w:eastAsia="Arial" w:hAnsi="Arial"/>
          <w:sz w:val="12"/>
          <w:szCs w:val="12"/>
          <w:color w:val="auto"/>
        </w:rPr>
        <w:t>Specimen Stock Certificate for the Company's Series A Non-Cumulative Perpetual Preferred Stock. (6)</w:t>
      </w:r>
    </w:p>
    <w:p>
      <w:pPr>
        <w:ind w:left="580"/>
        <w:spacing w:after="0"/>
        <w:tabs>
          <w:tab w:leader="none" w:pos="980" w:val="left"/>
        </w:tabs>
        <w:rPr>
          <w:sz w:val="20"/>
          <w:szCs w:val="20"/>
          <w:color w:val="auto"/>
        </w:rPr>
      </w:pPr>
      <w:r>
        <w:rPr>
          <w:rFonts w:ascii="Arial" w:cs="Arial" w:eastAsia="Arial" w:hAnsi="Arial"/>
          <w:sz w:val="14"/>
          <w:szCs w:val="14"/>
          <w:color w:val="auto"/>
        </w:rPr>
        <w:t>4.1.4</w:t>
      </w:r>
      <w:r>
        <w:rPr>
          <w:sz w:val="20"/>
          <w:szCs w:val="20"/>
          <w:color w:val="auto"/>
        </w:rPr>
        <w:tab/>
      </w:r>
      <w:r>
        <w:rPr>
          <w:rFonts w:ascii="Arial" w:cs="Arial" w:eastAsia="Arial" w:hAnsi="Arial"/>
          <w:sz w:val="12"/>
          <w:szCs w:val="12"/>
          <w:color w:val="auto"/>
        </w:rPr>
        <w:t>Specimen Stock Certificate for the Company's Series B Non-Cumulative Perpetual Preferred Stock. (6)</w:t>
      </w:r>
    </w:p>
    <w:p>
      <w:pPr>
        <w:ind w:left="580"/>
        <w:spacing w:after="0"/>
        <w:tabs>
          <w:tab w:leader="none" w:pos="980" w:val="left"/>
        </w:tabs>
        <w:rPr>
          <w:sz w:val="20"/>
          <w:szCs w:val="20"/>
          <w:color w:val="auto"/>
        </w:rPr>
      </w:pPr>
      <w:r>
        <w:rPr>
          <w:rFonts w:ascii="Arial" w:cs="Arial" w:eastAsia="Arial" w:hAnsi="Arial"/>
          <w:sz w:val="14"/>
          <w:szCs w:val="14"/>
          <w:color w:val="auto"/>
        </w:rPr>
        <w:t>4.1.5</w:t>
      </w:r>
      <w:r>
        <w:rPr>
          <w:sz w:val="20"/>
          <w:szCs w:val="20"/>
          <w:color w:val="auto"/>
        </w:rPr>
        <w:tab/>
      </w:r>
      <w:r>
        <w:rPr>
          <w:rFonts w:ascii="Arial" w:cs="Arial" w:eastAsia="Arial" w:hAnsi="Arial"/>
          <w:sz w:val="12"/>
          <w:szCs w:val="12"/>
          <w:color w:val="auto"/>
        </w:rPr>
        <w:t>Senior Indenture, dated as of October 11, 2006, between Principal Financial Group, Inc. and The Bank of New York, as Trustee. (8)</w:t>
      </w:r>
    </w:p>
    <w:p>
      <w:pPr>
        <w:ind w:left="580"/>
        <w:spacing w:after="0"/>
        <w:tabs>
          <w:tab w:leader="none" w:pos="980" w:val="left"/>
        </w:tabs>
        <w:rPr>
          <w:sz w:val="20"/>
          <w:szCs w:val="20"/>
          <w:color w:val="auto"/>
        </w:rPr>
      </w:pPr>
      <w:r>
        <w:rPr>
          <w:rFonts w:ascii="Arial" w:cs="Arial" w:eastAsia="Arial" w:hAnsi="Arial"/>
          <w:sz w:val="14"/>
          <w:szCs w:val="14"/>
          <w:color w:val="auto"/>
        </w:rPr>
        <w:t>4.1.6</w:t>
      </w:r>
      <w:r>
        <w:rPr>
          <w:sz w:val="20"/>
          <w:szCs w:val="20"/>
          <w:color w:val="auto"/>
        </w:rPr>
        <w:tab/>
      </w:r>
      <w:r>
        <w:rPr>
          <w:rFonts w:ascii="Arial" w:cs="Arial" w:eastAsia="Arial" w:hAnsi="Arial"/>
          <w:sz w:val="12"/>
          <w:szCs w:val="12"/>
          <w:color w:val="auto"/>
        </w:rPr>
        <w:t>First Supplemental Indenture, dated as of October 16, 2006, among Principal Financial Group, Inc., Principal Financial Services, Inc. and The Bank of New York, as Trustee. (8)</w:t>
      </w:r>
    </w:p>
    <w:p>
      <w:pPr>
        <w:ind w:left="580"/>
        <w:spacing w:after="0"/>
        <w:tabs>
          <w:tab w:leader="none" w:pos="980" w:val="left"/>
        </w:tabs>
        <w:rPr>
          <w:sz w:val="20"/>
          <w:szCs w:val="20"/>
          <w:color w:val="auto"/>
        </w:rPr>
      </w:pPr>
      <w:r>
        <w:rPr>
          <w:rFonts w:ascii="Arial" w:cs="Arial" w:eastAsia="Arial" w:hAnsi="Arial"/>
          <w:sz w:val="14"/>
          <w:szCs w:val="14"/>
          <w:color w:val="auto"/>
        </w:rPr>
        <w:t>4.1.7</w:t>
      </w:r>
      <w:r>
        <w:rPr>
          <w:sz w:val="20"/>
          <w:szCs w:val="20"/>
          <w:color w:val="auto"/>
        </w:rPr>
        <w:tab/>
      </w:r>
      <w:r>
        <w:rPr>
          <w:rFonts w:ascii="Arial" w:cs="Arial" w:eastAsia="Arial" w:hAnsi="Arial"/>
          <w:sz w:val="12"/>
          <w:szCs w:val="12"/>
          <w:color w:val="auto"/>
        </w:rPr>
        <w:t>6.05% Senior Note ($500,000,000) due October 15, 2036. (8)</w:t>
      </w:r>
    </w:p>
    <w:p>
      <w:pPr>
        <w:ind w:left="580"/>
        <w:spacing w:after="0"/>
        <w:tabs>
          <w:tab w:leader="none" w:pos="980" w:val="left"/>
        </w:tabs>
        <w:rPr>
          <w:sz w:val="20"/>
          <w:szCs w:val="20"/>
          <w:color w:val="auto"/>
        </w:rPr>
      </w:pPr>
      <w:r>
        <w:rPr>
          <w:rFonts w:ascii="Arial" w:cs="Arial" w:eastAsia="Arial" w:hAnsi="Arial"/>
          <w:sz w:val="14"/>
          <w:szCs w:val="14"/>
          <w:color w:val="auto"/>
        </w:rPr>
        <w:t>4.1.8</w:t>
      </w:r>
      <w:r>
        <w:rPr>
          <w:sz w:val="20"/>
          <w:szCs w:val="20"/>
          <w:color w:val="auto"/>
        </w:rPr>
        <w:tab/>
      </w:r>
      <w:r>
        <w:rPr>
          <w:rFonts w:ascii="Arial" w:cs="Arial" w:eastAsia="Arial" w:hAnsi="Arial"/>
          <w:sz w:val="12"/>
          <w:szCs w:val="12"/>
          <w:color w:val="auto"/>
        </w:rPr>
        <w:t>6.05% Senior Note ($100,000,000) due October 15, 2036. (9)</w:t>
      </w:r>
    </w:p>
    <w:p>
      <w:pPr>
        <w:ind w:left="580"/>
        <w:spacing w:after="0"/>
        <w:tabs>
          <w:tab w:leader="none" w:pos="980" w:val="left"/>
        </w:tabs>
        <w:rPr>
          <w:sz w:val="20"/>
          <w:szCs w:val="20"/>
          <w:color w:val="auto"/>
        </w:rPr>
      </w:pPr>
      <w:r>
        <w:rPr>
          <w:rFonts w:ascii="Arial" w:cs="Arial" w:eastAsia="Arial" w:hAnsi="Arial"/>
          <w:sz w:val="14"/>
          <w:szCs w:val="14"/>
          <w:color w:val="auto"/>
        </w:rPr>
        <w:t>4.1.9</w:t>
      </w:r>
      <w:r>
        <w:rPr>
          <w:sz w:val="20"/>
          <w:szCs w:val="20"/>
          <w:color w:val="auto"/>
        </w:rPr>
        <w:tab/>
      </w:r>
      <w:r>
        <w:rPr>
          <w:rFonts w:ascii="Arial" w:cs="Arial" w:eastAsia="Arial" w:hAnsi="Arial"/>
          <w:sz w:val="12"/>
          <w:szCs w:val="12"/>
          <w:color w:val="auto"/>
        </w:rPr>
        <w:t>Guarantee, dated as of October 16, 2006, by Principal Financial Services, Inc. (8)</w:t>
      </w:r>
    </w:p>
    <w:p>
      <w:pPr>
        <w:ind w:left="500"/>
        <w:spacing w:after="0"/>
        <w:tabs>
          <w:tab w:leader="none" w:pos="980" w:val="left"/>
        </w:tabs>
        <w:rPr>
          <w:sz w:val="20"/>
          <w:szCs w:val="20"/>
          <w:color w:val="auto"/>
        </w:rPr>
      </w:pPr>
      <w:r>
        <w:rPr>
          <w:rFonts w:ascii="Arial" w:cs="Arial" w:eastAsia="Arial" w:hAnsi="Arial"/>
          <w:sz w:val="14"/>
          <w:szCs w:val="14"/>
          <w:color w:val="auto"/>
        </w:rPr>
        <w:t>4.1.10</w:t>
      </w:r>
      <w:r>
        <w:rPr>
          <w:sz w:val="20"/>
          <w:szCs w:val="20"/>
          <w:color w:val="auto"/>
        </w:rPr>
        <w:tab/>
      </w:r>
      <w:r>
        <w:rPr>
          <w:rFonts w:ascii="Arial" w:cs="Arial" w:eastAsia="Arial" w:hAnsi="Arial"/>
          <w:sz w:val="12"/>
          <w:szCs w:val="12"/>
          <w:color w:val="auto"/>
        </w:rPr>
        <w:t>Senior Indenture, dated as of May 21, 2009, among Principal Financial Group, Inc., Principal Financial Services, Inc., as guarantor, and The Bank of New York, as Trustee (10)</w:t>
      </w:r>
    </w:p>
    <w:p>
      <w:pPr>
        <w:ind w:left="1000" w:right="140" w:hanging="494"/>
        <w:spacing w:after="0" w:line="221" w:lineRule="auto"/>
        <w:tabs>
          <w:tab w:leader="none" w:pos="980" w:val="left"/>
        </w:tabs>
        <w:rPr>
          <w:sz w:val="20"/>
          <w:szCs w:val="20"/>
          <w:color w:val="auto"/>
        </w:rPr>
      </w:pPr>
      <w:r>
        <w:rPr>
          <w:rFonts w:ascii="Arial" w:cs="Arial" w:eastAsia="Arial" w:hAnsi="Arial"/>
          <w:sz w:val="14"/>
          <w:szCs w:val="14"/>
          <w:color w:val="auto"/>
        </w:rPr>
        <w:t>4.1.11</w:t>
        <w:tab/>
        <w:t>First Supplemental Indenture (including the form of 2014 Notes), dated as of May 21, 2009, among Principal Financial Group, Inc., as issuer, Principal Financial Services, Inc., as guarantor, and The Bank of New York Mellon Trust Company, as trustee (10)</w:t>
      </w:r>
    </w:p>
    <w:p>
      <w:pPr>
        <w:spacing w:after="0" w:line="1" w:lineRule="exact"/>
        <w:rPr>
          <w:sz w:val="20"/>
          <w:szCs w:val="20"/>
          <w:color w:val="auto"/>
        </w:rPr>
      </w:pPr>
    </w:p>
    <w:p>
      <w:pPr>
        <w:ind w:left="1000" w:hanging="499"/>
        <w:spacing w:after="0" w:line="221" w:lineRule="auto"/>
        <w:tabs>
          <w:tab w:leader="none" w:pos="980" w:val="left"/>
        </w:tabs>
        <w:rPr>
          <w:sz w:val="20"/>
          <w:szCs w:val="20"/>
          <w:color w:val="auto"/>
        </w:rPr>
      </w:pPr>
      <w:r>
        <w:rPr>
          <w:rFonts w:ascii="Arial" w:cs="Arial" w:eastAsia="Arial" w:hAnsi="Arial"/>
          <w:sz w:val="14"/>
          <w:szCs w:val="14"/>
          <w:color w:val="auto"/>
        </w:rPr>
        <w:t>4.1.12</w:t>
        <w:tab/>
        <w:t>Second Supplemental Indenture (including the form of 2019 Notes), dated as of May 21, 2009, among Principal Financial Group, Inc., as issuer, Principal Financial Services, Inc., as guarantor, and The Bank of New York Mellon Trust Company, as trustee (10)</w:t>
      </w:r>
    </w:p>
    <w:p>
      <w:pPr>
        <w:spacing w:after="0" w:line="1" w:lineRule="exact"/>
        <w:rPr>
          <w:sz w:val="20"/>
          <w:szCs w:val="20"/>
          <w:color w:val="auto"/>
        </w:rPr>
      </w:pPr>
    </w:p>
    <w:p>
      <w:pPr>
        <w:ind w:left="1000" w:right="340" w:hanging="499"/>
        <w:spacing w:after="0" w:line="221" w:lineRule="auto"/>
        <w:tabs>
          <w:tab w:leader="none" w:pos="980" w:val="left"/>
        </w:tabs>
        <w:rPr>
          <w:sz w:val="20"/>
          <w:szCs w:val="20"/>
          <w:color w:val="auto"/>
        </w:rPr>
      </w:pPr>
      <w:r>
        <w:rPr>
          <w:rFonts w:ascii="Arial" w:cs="Arial" w:eastAsia="Arial" w:hAnsi="Arial"/>
          <w:sz w:val="14"/>
          <w:szCs w:val="14"/>
          <w:color w:val="auto"/>
        </w:rPr>
        <w:t>4.1.13</w:t>
        <w:tab/>
        <w:t>Third Supplemental Indenture (including the form of 2022 Notes), dated as of September 10, 2012, among Principal Financial Group, Inc., as issuer, Principal Financial Services, Inc., as guarantor, and The Bank of New York Mellon Trust Company, as trustee (11)</w:t>
      </w:r>
    </w:p>
    <w:p>
      <w:pPr>
        <w:spacing w:after="0" w:line="1" w:lineRule="exact"/>
        <w:rPr>
          <w:sz w:val="20"/>
          <w:szCs w:val="20"/>
          <w:color w:val="auto"/>
        </w:rPr>
      </w:pPr>
    </w:p>
    <w:p>
      <w:pPr>
        <w:ind w:left="1000" w:right="280" w:hanging="499"/>
        <w:spacing w:after="0" w:line="221" w:lineRule="auto"/>
        <w:tabs>
          <w:tab w:leader="none" w:pos="980" w:val="left"/>
        </w:tabs>
        <w:rPr>
          <w:sz w:val="20"/>
          <w:szCs w:val="20"/>
          <w:color w:val="auto"/>
        </w:rPr>
      </w:pPr>
      <w:r>
        <w:rPr>
          <w:rFonts w:ascii="Arial" w:cs="Arial" w:eastAsia="Arial" w:hAnsi="Arial"/>
          <w:sz w:val="14"/>
          <w:szCs w:val="14"/>
          <w:color w:val="auto"/>
        </w:rPr>
        <w:t>4.1.14</w:t>
        <w:tab/>
        <w:t>Fourth Supplemental Indenture (including the form of 2022 Notes), dated as of September 10, 2012, among Principal Financial Group, Inc., as issuer, Principal Financial Services, Inc., as guarantor, and The Bank of New York Mellon Trust Company, as trustee (11)</w:t>
      </w:r>
    </w:p>
    <w:p>
      <w:pPr>
        <w:spacing w:after="0" w:line="1" w:lineRule="exact"/>
        <w:rPr>
          <w:sz w:val="20"/>
          <w:szCs w:val="20"/>
          <w:color w:val="auto"/>
        </w:rPr>
      </w:pPr>
    </w:p>
    <w:p>
      <w:pPr>
        <w:ind w:left="1000" w:right="380" w:hanging="499"/>
        <w:spacing w:after="0" w:line="221" w:lineRule="auto"/>
        <w:tabs>
          <w:tab w:leader="none" w:pos="980" w:val="left"/>
        </w:tabs>
        <w:rPr>
          <w:sz w:val="20"/>
          <w:szCs w:val="20"/>
          <w:color w:val="auto"/>
        </w:rPr>
      </w:pPr>
      <w:r>
        <w:rPr>
          <w:rFonts w:ascii="Arial" w:cs="Arial" w:eastAsia="Arial" w:hAnsi="Arial"/>
          <w:sz w:val="14"/>
          <w:szCs w:val="14"/>
          <w:color w:val="auto"/>
        </w:rPr>
        <w:t>4.1.15</w:t>
        <w:tab/>
        <w:t>Fifth Supplemental Indenture (including the form of 2017 Notes), dated as of November 16, 2012, among Principal Financial Group, Inc., as issuer, Principal Financial Services, Inc., as guarantor, and The Bank of New York Mellon Trust Company, as trustee (12)</w:t>
      </w:r>
    </w:p>
    <w:p>
      <w:pPr>
        <w:spacing w:after="0" w:line="1" w:lineRule="exact"/>
        <w:rPr>
          <w:sz w:val="20"/>
          <w:szCs w:val="20"/>
          <w:color w:val="auto"/>
        </w:rPr>
      </w:pPr>
    </w:p>
    <w:p>
      <w:pPr>
        <w:ind w:left="1000" w:right="360" w:hanging="499"/>
        <w:spacing w:after="0" w:line="221" w:lineRule="auto"/>
        <w:tabs>
          <w:tab w:leader="none" w:pos="980" w:val="left"/>
        </w:tabs>
        <w:rPr>
          <w:sz w:val="20"/>
          <w:szCs w:val="20"/>
          <w:color w:val="auto"/>
        </w:rPr>
      </w:pPr>
      <w:r>
        <w:rPr>
          <w:rFonts w:ascii="Arial" w:cs="Arial" w:eastAsia="Arial" w:hAnsi="Arial"/>
          <w:sz w:val="14"/>
          <w:szCs w:val="14"/>
          <w:color w:val="auto"/>
        </w:rPr>
        <w:t>4.1.16</w:t>
        <w:tab/>
        <w:t>Sixth Supplemental Indenture (including the form of 2023 Notes), dated as of November 16, 2012, among Principal Financial Group, Inc., as issuer, Principal Financial Services, Inc., as guarantor, and The Bank of New York Mellon Trust Company, as trustee (12)</w:t>
      </w:r>
    </w:p>
    <w:p>
      <w:pPr>
        <w:spacing w:after="0" w:line="1" w:lineRule="exact"/>
        <w:rPr>
          <w:sz w:val="20"/>
          <w:szCs w:val="20"/>
          <w:color w:val="auto"/>
        </w:rPr>
      </w:pPr>
    </w:p>
    <w:p>
      <w:pPr>
        <w:ind w:left="1000" w:right="220" w:hanging="499"/>
        <w:spacing w:after="0" w:line="221" w:lineRule="auto"/>
        <w:tabs>
          <w:tab w:leader="none" w:pos="980" w:val="left"/>
        </w:tabs>
        <w:rPr>
          <w:sz w:val="20"/>
          <w:szCs w:val="20"/>
          <w:color w:val="auto"/>
        </w:rPr>
      </w:pPr>
      <w:r>
        <w:rPr>
          <w:rFonts w:ascii="Arial" w:cs="Arial" w:eastAsia="Arial" w:hAnsi="Arial"/>
          <w:sz w:val="14"/>
          <w:szCs w:val="14"/>
          <w:color w:val="auto"/>
        </w:rPr>
        <w:t>4.1.17</w:t>
        <w:tab/>
        <w:t>Seventh Supplemental Indenture (including the form of 2043 Notes), dated as of November 16, 2012, among Principal Financial Group, Inc., as issuer, Principal Financial Services, Inc., as guarantor, and The Bank of New York Mellon Trust Company, as trustee (12)</w:t>
      </w:r>
    </w:p>
    <w:p>
      <w:pPr>
        <w:ind w:left="500"/>
        <w:spacing w:after="0"/>
        <w:tabs>
          <w:tab w:leader="none" w:pos="980" w:val="left"/>
        </w:tabs>
        <w:rPr>
          <w:sz w:val="20"/>
          <w:szCs w:val="20"/>
          <w:color w:val="auto"/>
        </w:rPr>
      </w:pPr>
      <w:r>
        <w:rPr>
          <w:rFonts w:ascii="Arial" w:cs="Arial" w:eastAsia="Arial" w:hAnsi="Arial"/>
          <w:sz w:val="14"/>
          <w:szCs w:val="14"/>
          <w:color w:val="auto"/>
        </w:rPr>
        <w:t>4.1.18</w:t>
      </w:r>
      <w:r>
        <w:rPr>
          <w:sz w:val="20"/>
          <w:szCs w:val="20"/>
          <w:color w:val="auto"/>
        </w:rPr>
        <w:tab/>
      </w:r>
      <w:r>
        <w:rPr>
          <w:rFonts w:ascii="Arial" w:cs="Arial" w:eastAsia="Arial" w:hAnsi="Arial"/>
          <w:sz w:val="12"/>
          <w:szCs w:val="12"/>
          <w:color w:val="auto"/>
        </w:rPr>
        <w:t>Guarantee from Principal Financial Services, Inc. with respect to the 7.875% Senior Notes due 2014 (10)</w:t>
      </w:r>
    </w:p>
    <w:p>
      <w:pPr>
        <w:ind w:left="500"/>
        <w:spacing w:after="0"/>
        <w:tabs>
          <w:tab w:leader="none" w:pos="980" w:val="left"/>
        </w:tabs>
        <w:rPr>
          <w:sz w:val="20"/>
          <w:szCs w:val="20"/>
          <w:color w:val="auto"/>
        </w:rPr>
      </w:pPr>
      <w:r>
        <w:rPr>
          <w:rFonts w:ascii="Arial" w:cs="Arial" w:eastAsia="Arial" w:hAnsi="Arial"/>
          <w:sz w:val="14"/>
          <w:szCs w:val="14"/>
          <w:color w:val="auto"/>
        </w:rPr>
        <w:t>4.1.19</w:t>
      </w:r>
      <w:r>
        <w:rPr>
          <w:sz w:val="20"/>
          <w:szCs w:val="20"/>
          <w:color w:val="auto"/>
        </w:rPr>
        <w:tab/>
      </w:r>
      <w:r>
        <w:rPr>
          <w:rFonts w:ascii="Arial" w:cs="Arial" w:eastAsia="Arial" w:hAnsi="Arial"/>
          <w:sz w:val="12"/>
          <w:szCs w:val="12"/>
          <w:color w:val="auto"/>
        </w:rPr>
        <w:t>Guarantee from Principal Financial Services, Inc. with respect to the 8.875% Senior Notes due 2019 (10)</w:t>
      </w:r>
    </w:p>
    <w:p>
      <w:pPr>
        <w:ind w:left="500"/>
        <w:spacing w:after="0"/>
        <w:tabs>
          <w:tab w:leader="none" w:pos="980" w:val="left"/>
        </w:tabs>
        <w:rPr>
          <w:sz w:val="20"/>
          <w:szCs w:val="20"/>
          <w:color w:val="auto"/>
        </w:rPr>
      </w:pPr>
      <w:r>
        <w:rPr>
          <w:rFonts w:ascii="Arial" w:cs="Arial" w:eastAsia="Arial" w:hAnsi="Arial"/>
          <w:sz w:val="14"/>
          <w:szCs w:val="14"/>
          <w:color w:val="auto"/>
        </w:rPr>
        <w:t>4.1.20</w:t>
      </w:r>
      <w:r>
        <w:rPr>
          <w:sz w:val="20"/>
          <w:szCs w:val="20"/>
          <w:color w:val="auto"/>
        </w:rPr>
        <w:tab/>
      </w:r>
      <w:r>
        <w:rPr>
          <w:rFonts w:ascii="Arial" w:cs="Arial" w:eastAsia="Arial" w:hAnsi="Arial"/>
          <w:sz w:val="12"/>
          <w:szCs w:val="12"/>
          <w:color w:val="auto"/>
        </w:rPr>
        <w:t>Guarantee from Principal Financial Services, Inc. with respect to the 3.300% Senior Notes due 2022 (11)</w:t>
      </w:r>
    </w:p>
    <w:p>
      <w:pPr>
        <w:ind w:left="500"/>
        <w:spacing w:after="0"/>
        <w:tabs>
          <w:tab w:leader="none" w:pos="980" w:val="left"/>
        </w:tabs>
        <w:rPr>
          <w:sz w:val="20"/>
          <w:szCs w:val="20"/>
          <w:color w:val="auto"/>
        </w:rPr>
      </w:pPr>
      <w:r>
        <w:rPr>
          <w:rFonts w:ascii="Arial" w:cs="Arial" w:eastAsia="Arial" w:hAnsi="Arial"/>
          <w:sz w:val="14"/>
          <w:szCs w:val="14"/>
          <w:color w:val="auto"/>
        </w:rPr>
        <w:t>4.1.21</w:t>
      </w:r>
      <w:r>
        <w:rPr>
          <w:sz w:val="20"/>
          <w:szCs w:val="20"/>
          <w:color w:val="auto"/>
        </w:rPr>
        <w:tab/>
      </w:r>
      <w:r>
        <w:rPr>
          <w:rFonts w:ascii="Arial" w:cs="Arial" w:eastAsia="Arial" w:hAnsi="Arial"/>
          <w:sz w:val="12"/>
          <w:szCs w:val="12"/>
          <w:color w:val="auto"/>
        </w:rPr>
        <w:t>Guarantee from Principal Financial Services, Inc. with respect to the 4.625% Senior Notes due 2042 (11)</w:t>
      </w:r>
    </w:p>
    <w:p>
      <w:pPr>
        <w:ind w:left="500"/>
        <w:spacing w:after="0"/>
        <w:tabs>
          <w:tab w:leader="none" w:pos="980" w:val="left"/>
        </w:tabs>
        <w:rPr>
          <w:sz w:val="20"/>
          <w:szCs w:val="20"/>
          <w:color w:val="auto"/>
        </w:rPr>
      </w:pPr>
      <w:r>
        <w:rPr>
          <w:rFonts w:ascii="Arial" w:cs="Arial" w:eastAsia="Arial" w:hAnsi="Arial"/>
          <w:sz w:val="14"/>
          <w:szCs w:val="14"/>
          <w:color w:val="auto"/>
        </w:rPr>
        <w:t>4.1.22</w:t>
      </w:r>
      <w:r>
        <w:rPr>
          <w:sz w:val="20"/>
          <w:szCs w:val="20"/>
          <w:color w:val="auto"/>
        </w:rPr>
        <w:tab/>
      </w:r>
      <w:r>
        <w:rPr>
          <w:rFonts w:ascii="Arial" w:cs="Arial" w:eastAsia="Arial" w:hAnsi="Arial"/>
          <w:sz w:val="12"/>
          <w:szCs w:val="12"/>
          <w:color w:val="auto"/>
        </w:rPr>
        <w:t>Guarantee from Principal Financial Services, Inc. with respect to the 1.850% Senior Notes due 2017 (12)</w:t>
      </w:r>
    </w:p>
    <w:p>
      <w:pPr>
        <w:ind w:left="500"/>
        <w:spacing w:after="0"/>
        <w:tabs>
          <w:tab w:leader="none" w:pos="980" w:val="left"/>
        </w:tabs>
        <w:rPr>
          <w:sz w:val="20"/>
          <w:szCs w:val="20"/>
          <w:color w:val="auto"/>
        </w:rPr>
      </w:pPr>
      <w:r>
        <w:rPr>
          <w:rFonts w:ascii="Arial" w:cs="Arial" w:eastAsia="Arial" w:hAnsi="Arial"/>
          <w:sz w:val="14"/>
          <w:szCs w:val="14"/>
          <w:color w:val="auto"/>
        </w:rPr>
        <w:t>4.1.23</w:t>
      </w:r>
      <w:r>
        <w:rPr>
          <w:sz w:val="20"/>
          <w:szCs w:val="20"/>
          <w:color w:val="auto"/>
        </w:rPr>
        <w:tab/>
      </w:r>
      <w:r>
        <w:rPr>
          <w:rFonts w:ascii="Arial" w:cs="Arial" w:eastAsia="Arial" w:hAnsi="Arial"/>
          <w:sz w:val="12"/>
          <w:szCs w:val="12"/>
          <w:color w:val="auto"/>
        </w:rPr>
        <w:t>Guarantee from Principal Financial Services, Inc. with respect to the 3.125% Senior Notes due 2023 (12)</w:t>
      </w:r>
    </w:p>
    <w:p>
      <w:pPr>
        <w:ind w:left="500"/>
        <w:spacing w:after="0"/>
        <w:tabs>
          <w:tab w:leader="none" w:pos="980" w:val="left"/>
        </w:tabs>
        <w:rPr>
          <w:sz w:val="20"/>
          <w:szCs w:val="20"/>
          <w:color w:val="auto"/>
        </w:rPr>
      </w:pPr>
      <w:r>
        <w:rPr>
          <w:rFonts w:ascii="Arial" w:cs="Arial" w:eastAsia="Arial" w:hAnsi="Arial"/>
          <w:sz w:val="14"/>
          <w:szCs w:val="14"/>
          <w:color w:val="auto"/>
        </w:rPr>
        <w:t>4.1.24</w:t>
      </w:r>
      <w:r>
        <w:rPr>
          <w:sz w:val="20"/>
          <w:szCs w:val="20"/>
          <w:color w:val="auto"/>
        </w:rPr>
        <w:tab/>
      </w:r>
      <w:r>
        <w:rPr>
          <w:rFonts w:ascii="Arial" w:cs="Arial" w:eastAsia="Arial" w:hAnsi="Arial"/>
          <w:sz w:val="12"/>
          <w:szCs w:val="12"/>
          <w:color w:val="auto"/>
        </w:rPr>
        <w:t>Guarantee from Principal Financial Services, Inc. with respect to the 4.350% Senior Notes due 2043 (12)</w:t>
      </w:r>
    </w:p>
    <w:p>
      <w:pPr>
        <w:ind w:left="600"/>
        <w:spacing w:after="0"/>
        <w:tabs>
          <w:tab w:leader="none" w:pos="980" w:val="left"/>
        </w:tabs>
        <w:rPr>
          <w:sz w:val="20"/>
          <w:szCs w:val="20"/>
          <w:color w:val="auto"/>
        </w:rPr>
      </w:pPr>
      <w:r>
        <w:rPr>
          <w:rFonts w:ascii="Arial" w:cs="Arial" w:eastAsia="Arial" w:hAnsi="Arial"/>
          <w:sz w:val="14"/>
          <w:szCs w:val="14"/>
          <w:color w:val="auto"/>
        </w:rPr>
        <w:t>10.1</w:t>
      </w:r>
      <w:r>
        <w:rPr>
          <w:sz w:val="20"/>
          <w:szCs w:val="20"/>
          <w:color w:val="auto"/>
        </w:rPr>
        <w:tab/>
      </w:r>
      <w:r>
        <w:rPr>
          <w:rFonts w:ascii="Arial" w:cs="Arial" w:eastAsia="Arial" w:hAnsi="Arial"/>
          <w:sz w:val="12"/>
          <w:szCs w:val="12"/>
          <w:color w:val="auto"/>
        </w:rPr>
        <w:t>Principal Financial Group, Inc. Stock Incentive Plan (13)</w:t>
      </w:r>
    </w:p>
    <w:p>
      <w:pPr>
        <w:ind w:left="500"/>
        <w:spacing w:after="0"/>
        <w:tabs>
          <w:tab w:leader="none" w:pos="980" w:val="left"/>
        </w:tabs>
        <w:rPr>
          <w:sz w:val="20"/>
          <w:szCs w:val="20"/>
          <w:color w:val="auto"/>
        </w:rPr>
      </w:pPr>
      <w:r>
        <w:rPr>
          <w:rFonts w:ascii="Arial" w:cs="Arial" w:eastAsia="Arial" w:hAnsi="Arial"/>
          <w:sz w:val="14"/>
          <w:szCs w:val="14"/>
          <w:color w:val="auto"/>
        </w:rPr>
        <w:t>10.1.1</w:t>
      </w:r>
      <w:r>
        <w:rPr>
          <w:sz w:val="20"/>
          <w:szCs w:val="20"/>
          <w:color w:val="auto"/>
        </w:rPr>
        <w:tab/>
      </w:r>
      <w:r>
        <w:rPr>
          <w:rFonts w:ascii="Arial" w:cs="Arial" w:eastAsia="Arial" w:hAnsi="Arial"/>
          <w:sz w:val="12"/>
          <w:szCs w:val="12"/>
          <w:color w:val="auto"/>
        </w:rPr>
        <w:t>Form of Restricted Stock Unit Award Agreement (14)</w:t>
      </w:r>
    </w:p>
    <w:p>
      <w:pPr>
        <w:ind w:left="500"/>
        <w:spacing w:after="0"/>
        <w:tabs>
          <w:tab w:leader="none" w:pos="980" w:val="left"/>
        </w:tabs>
        <w:rPr>
          <w:sz w:val="20"/>
          <w:szCs w:val="20"/>
          <w:color w:val="auto"/>
        </w:rPr>
      </w:pPr>
      <w:r>
        <w:rPr>
          <w:rFonts w:ascii="Arial" w:cs="Arial" w:eastAsia="Arial" w:hAnsi="Arial"/>
          <w:sz w:val="14"/>
          <w:szCs w:val="14"/>
          <w:color w:val="auto"/>
        </w:rPr>
        <w:t>10.1.2</w:t>
      </w:r>
      <w:r>
        <w:rPr>
          <w:sz w:val="20"/>
          <w:szCs w:val="20"/>
          <w:color w:val="auto"/>
        </w:rPr>
        <w:tab/>
      </w:r>
      <w:r>
        <w:rPr>
          <w:rFonts w:ascii="Arial" w:cs="Arial" w:eastAsia="Arial" w:hAnsi="Arial"/>
          <w:sz w:val="12"/>
          <w:szCs w:val="12"/>
          <w:color w:val="auto"/>
        </w:rPr>
        <w:t>Form of Stock Option Award Agreement (14)</w:t>
      </w:r>
    </w:p>
    <w:p>
      <w:pPr>
        <w:ind w:left="500"/>
        <w:spacing w:after="0"/>
        <w:tabs>
          <w:tab w:leader="none" w:pos="980" w:val="left"/>
        </w:tabs>
        <w:rPr>
          <w:sz w:val="20"/>
          <w:szCs w:val="20"/>
          <w:color w:val="auto"/>
        </w:rPr>
      </w:pPr>
      <w:r>
        <w:rPr>
          <w:rFonts w:ascii="Arial" w:cs="Arial" w:eastAsia="Arial" w:hAnsi="Arial"/>
          <w:sz w:val="14"/>
          <w:szCs w:val="14"/>
          <w:color w:val="auto"/>
        </w:rPr>
        <w:t>10.1.3</w:t>
      </w:r>
      <w:r>
        <w:rPr>
          <w:sz w:val="20"/>
          <w:szCs w:val="20"/>
          <w:color w:val="auto"/>
        </w:rPr>
        <w:tab/>
      </w:r>
      <w:r>
        <w:rPr>
          <w:rFonts w:ascii="Arial" w:cs="Arial" w:eastAsia="Arial" w:hAnsi="Arial"/>
          <w:sz w:val="12"/>
          <w:szCs w:val="12"/>
          <w:color w:val="auto"/>
        </w:rPr>
        <w:t>Principal Financial Group, Inc. 2005 Stock Incentive Plan (15)</w:t>
      </w:r>
    </w:p>
    <w:p>
      <w:pPr>
        <w:ind w:left="500"/>
        <w:spacing w:after="0"/>
        <w:tabs>
          <w:tab w:leader="none" w:pos="980" w:val="left"/>
        </w:tabs>
        <w:rPr>
          <w:sz w:val="20"/>
          <w:szCs w:val="20"/>
          <w:color w:val="auto"/>
        </w:rPr>
      </w:pPr>
      <w:r>
        <w:rPr>
          <w:rFonts w:ascii="Arial" w:cs="Arial" w:eastAsia="Arial" w:hAnsi="Arial"/>
          <w:sz w:val="14"/>
          <w:szCs w:val="14"/>
          <w:color w:val="auto"/>
        </w:rPr>
        <w:t>10.1.4</w:t>
      </w:r>
      <w:r>
        <w:rPr>
          <w:sz w:val="20"/>
          <w:szCs w:val="20"/>
          <w:color w:val="auto"/>
        </w:rPr>
        <w:tab/>
      </w:r>
      <w:r>
        <w:rPr>
          <w:rFonts w:ascii="Arial" w:cs="Arial" w:eastAsia="Arial" w:hAnsi="Arial"/>
          <w:sz w:val="12"/>
          <w:szCs w:val="12"/>
          <w:color w:val="auto"/>
        </w:rPr>
        <w:t>Principal Financial Group, Inc. 2010 Stock Incentive Plan (16)</w:t>
      </w:r>
    </w:p>
    <w:p>
      <w:pPr>
        <w:ind w:left="500"/>
        <w:spacing w:after="0"/>
        <w:tabs>
          <w:tab w:leader="none" w:pos="980" w:val="left"/>
        </w:tabs>
        <w:rPr>
          <w:sz w:val="20"/>
          <w:szCs w:val="20"/>
          <w:color w:val="auto"/>
        </w:rPr>
      </w:pPr>
      <w:r>
        <w:rPr>
          <w:rFonts w:ascii="Arial" w:cs="Arial" w:eastAsia="Arial" w:hAnsi="Arial"/>
          <w:sz w:val="14"/>
          <w:szCs w:val="14"/>
          <w:color w:val="auto"/>
        </w:rPr>
        <w:t>10.1.5</w:t>
      </w:r>
      <w:r>
        <w:rPr>
          <w:sz w:val="20"/>
          <w:szCs w:val="20"/>
          <w:color w:val="auto"/>
        </w:rPr>
        <w:tab/>
      </w:r>
      <w:r>
        <w:rPr>
          <w:rFonts w:ascii="Arial" w:cs="Arial" w:eastAsia="Arial" w:hAnsi="Arial"/>
          <w:sz w:val="12"/>
          <w:szCs w:val="12"/>
          <w:color w:val="auto"/>
        </w:rPr>
        <w:t>Amended and Restated Principal Financial Group, Inc. 2010 Stock Incentive Plan (17)</w:t>
      </w:r>
    </w:p>
    <w:p>
      <w:pPr>
        <w:ind w:left="600"/>
        <w:spacing w:after="0"/>
        <w:tabs>
          <w:tab w:leader="none" w:pos="980" w:val="left"/>
        </w:tabs>
        <w:rPr>
          <w:sz w:val="20"/>
          <w:szCs w:val="20"/>
          <w:color w:val="auto"/>
        </w:rPr>
      </w:pPr>
      <w:r>
        <w:rPr>
          <w:rFonts w:ascii="Arial" w:cs="Arial" w:eastAsia="Arial" w:hAnsi="Arial"/>
          <w:sz w:val="14"/>
          <w:szCs w:val="14"/>
          <w:color w:val="auto"/>
        </w:rPr>
        <w:t>10.2</w:t>
      </w:r>
      <w:r>
        <w:rPr>
          <w:sz w:val="20"/>
          <w:szCs w:val="20"/>
          <w:color w:val="auto"/>
        </w:rPr>
        <w:tab/>
      </w:r>
      <w:r>
        <w:rPr>
          <w:rFonts w:ascii="Arial" w:cs="Arial" w:eastAsia="Arial" w:hAnsi="Arial"/>
          <w:sz w:val="12"/>
          <w:szCs w:val="12"/>
          <w:color w:val="auto"/>
        </w:rPr>
        <w:t>Principal Financial Group Long-Term Performance Plan (1)</w:t>
      </w:r>
    </w:p>
    <w:p>
      <w:pPr>
        <w:ind w:left="1000" w:right="600" w:hanging="397"/>
        <w:spacing w:after="0" w:line="221" w:lineRule="auto"/>
        <w:tabs>
          <w:tab w:leader="none" w:pos="980" w:val="left"/>
        </w:tabs>
        <w:rPr>
          <w:sz w:val="20"/>
          <w:szCs w:val="20"/>
          <w:color w:val="auto"/>
        </w:rPr>
      </w:pPr>
      <w:r>
        <w:rPr>
          <w:rFonts w:ascii="Arial" w:cs="Arial" w:eastAsia="Arial" w:hAnsi="Arial"/>
          <w:sz w:val="14"/>
          <w:szCs w:val="14"/>
          <w:color w:val="auto"/>
        </w:rPr>
        <w:t>10.3</w:t>
        <w:tab/>
        <w:t>Resolution of Human Resources Committee of the Board of Directors of Principal Financial Group, Inc. amending the Principal Financial Group Long-Term Performance Plan as of October 31, 2002 (18)</w:t>
      </w:r>
    </w:p>
    <w:p>
      <w:pPr>
        <w:ind w:left="600"/>
        <w:spacing w:after="0"/>
        <w:tabs>
          <w:tab w:leader="none" w:pos="980" w:val="left"/>
        </w:tabs>
        <w:rPr>
          <w:sz w:val="20"/>
          <w:szCs w:val="20"/>
          <w:color w:val="auto"/>
        </w:rPr>
      </w:pPr>
      <w:r>
        <w:rPr>
          <w:rFonts w:ascii="Arial" w:cs="Arial" w:eastAsia="Arial" w:hAnsi="Arial"/>
          <w:sz w:val="14"/>
          <w:szCs w:val="14"/>
          <w:color w:val="auto"/>
        </w:rPr>
        <w:t>10.4</w:t>
      </w:r>
      <w:r>
        <w:rPr>
          <w:sz w:val="20"/>
          <w:szCs w:val="20"/>
          <w:color w:val="auto"/>
        </w:rPr>
        <w:tab/>
      </w:r>
      <w:r>
        <w:rPr>
          <w:rFonts w:ascii="Arial" w:cs="Arial" w:eastAsia="Arial" w:hAnsi="Arial"/>
          <w:sz w:val="12"/>
          <w:szCs w:val="12"/>
          <w:color w:val="auto"/>
        </w:rPr>
        <w:t>Principal Financial Group Incentive Pay Plan (PrinPay), amended and restated effective January 1, 2002 (19)</w:t>
      </w:r>
    </w:p>
    <w:p>
      <w:pPr>
        <w:ind w:left="600"/>
        <w:spacing w:after="0"/>
        <w:tabs>
          <w:tab w:leader="none" w:pos="980" w:val="left"/>
        </w:tabs>
        <w:rPr>
          <w:sz w:val="20"/>
          <w:szCs w:val="20"/>
          <w:color w:val="auto"/>
        </w:rPr>
      </w:pPr>
      <w:r>
        <w:rPr>
          <w:rFonts w:ascii="Arial" w:cs="Arial" w:eastAsia="Arial" w:hAnsi="Arial"/>
          <w:sz w:val="14"/>
          <w:szCs w:val="14"/>
          <w:color w:val="auto"/>
        </w:rPr>
        <w:t>10.5</w:t>
      </w:r>
      <w:r>
        <w:rPr>
          <w:sz w:val="20"/>
          <w:szCs w:val="20"/>
          <w:color w:val="auto"/>
        </w:rPr>
        <w:tab/>
      </w:r>
      <w:r>
        <w:rPr>
          <w:rFonts w:ascii="Arial" w:cs="Arial" w:eastAsia="Arial" w:hAnsi="Arial"/>
          <w:sz w:val="12"/>
          <w:szCs w:val="12"/>
          <w:color w:val="auto"/>
        </w:rPr>
        <w:t>Principal Financial Group, Inc. Annual Incentive Plan (20)</w:t>
      </w:r>
    </w:p>
    <w:p>
      <w:pPr>
        <w:ind w:left="600"/>
        <w:spacing w:after="0"/>
        <w:tabs>
          <w:tab w:leader="none" w:pos="980" w:val="left"/>
        </w:tabs>
        <w:rPr>
          <w:sz w:val="20"/>
          <w:szCs w:val="20"/>
          <w:color w:val="auto"/>
        </w:rPr>
      </w:pPr>
      <w:r>
        <w:rPr>
          <w:rFonts w:ascii="Arial" w:cs="Arial" w:eastAsia="Arial" w:hAnsi="Arial"/>
          <w:sz w:val="14"/>
          <w:szCs w:val="14"/>
          <w:color w:val="auto"/>
        </w:rPr>
        <w:t>10.6</w:t>
      </w:r>
      <w:r>
        <w:rPr>
          <w:sz w:val="20"/>
          <w:szCs w:val="20"/>
          <w:color w:val="auto"/>
        </w:rPr>
        <w:tab/>
      </w:r>
      <w:r>
        <w:rPr>
          <w:rFonts w:ascii="Arial" w:cs="Arial" w:eastAsia="Arial" w:hAnsi="Arial"/>
          <w:sz w:val="12"/>
          <w:szCs w:val="12"/>
          <w:color w:val="auto"/>
        </w:rPr>
        <w:t>Revised Summary of Standard Compensatory Arrangement for Non-Employee Directors of the Principal Financial Group, Inc. Board of Directors (21)</w:t>
      </w:r>
    </w:p>
    <w:p>
      <w:pPr>
        <w:ind w:left="500"/>
        <w:spacing w:after="0"/>
        <w:tabs>
          <w:tab w:leader="none" w:pos="980" w:val="left"/>
        </w:tabs>
        <w:rPr>
          <w:sz w:val="20"/>
          <w:szCs w:val="20"/>
          <w:color w:val="auto"/>
        </w:rPr>
      </w:pPr>
      <w:r>
        <w:rPr>
          <w:rFonts w:ascii="Arial" w:cs="Arial" w:eastAsia="Arial" w:hAnsi="Arial"/>
          <w:sz w:val="14"/>
          <w:szCs w:val="14"/>
          <w:color w:val="auto"/>
        </w:rPr>
        <w:t>10.6.1</w:t>
      </w:r>
      <w:r>
        <w:rPr>
          <w:sz w:val="20"/>
          <w:szCs w:val="20"/>
          <w:color w:val="auto"/>
        </w:rPr>
        <w:tab/>
      </w:r>
      <w:r>
        <w:rPr>
          <w:rFonts w:ascii="Arial" w:cs="Arial" w:eastAsia="Arial" w:hAnsi="Arial"/>
          <w:sz w:val="12"/>
          <w:szCs w:val="12"/>
          <w:color w:val="auto"/>
        </w:rPr>
        <w:t>Revised Summary of Standard Compensatory Arrangement for Non-Employee Directors, effective March 28, 2009 (22)</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type w:val="continuous"/>
        </w:sectPr>
      </w:pPr>
    </w:p>
    <w:bookmarkStart w:id="224" w:name="page225"/>
    <w:bookmarkEnd w:id="224"/>
    <w:p>
      <w:pPr>
        <w:spacing w:after="0"/>
        <w:rPr>
          <w:rFonts w:ascii="Arial" w:cs="Arial" w:eastAsia="Arial" w:hAnsi="Arial"/>
          <w:sz w:val="15"/>
          <w:szCs w:val="15"/>
          <w:u w:val="single" w:color="auto"/>
          <w:color w:val="0000EE"/>
        </w:rPr>
      </w:pPr>
      <w:hyperlink w:anchor="page3">
        <w:r>
          <w:rPr>
            <w:rFonts w:ascii="Arial" w:cs="Arial" w:eastAsia="Arial" w:hAnsi="Arial"/>
            <w:sz w:val="15"/>
            <w:szCs w:val="15"/>
            <w:u w:val="single" w:color="auto"/>
            <w:color w:val="0000EE"/>
          </w:rPr>
          <w:t>Table of Contents</w:t>
        </w:r>
      </w:hyperlink>
    </w:p>
    <w:p>
      <w:pPr>
        <w:sectPr>
          <w:pgSz w:w="11900" w:h="16838" w:orient="portrait"/>
          <w:cols w:equalWidth="0" w:num="1">
            <w:col w:w="11380"/>
          </w:cols>
          <w:pgMar w:left="240" w:top="131" w:right="279" w:bottom="1440" w:gutter="0" w:footer="0" w:header="0"/>
        </w:sectPr>
      </w:pPr>
    </w:p>
    <w:p>
      <w:pPr>
        <w:spacing w:after="0" w:line="255" w:lineRule="exact"/>
        <w:rPr>
          <w:sz w:val="20"/>
          <w:szCs w:val="20"/>
          <w:color w:val="auto"/>
        </w:rPr>
      </w:pPr>
    </w:p>
    <w:p>
      <w:pPr>
        <w:ind w:left="320"/>
        <w:spacing w:after="0"/>
        <w:rPr>
          <w:sz w:val="20"/>
          <w:szCs w:val="20"/>
          <w:color w:val="auto"/>
        </w:rPr>
      </w:pPr>
      <w:r>
        <w:rPr>
          <w:rFonts w:ascii="Arial" w:cs="Arial" w:eastAsia="Arial" w:hAnsi="Arial"/>
          <w:sz w:val="12"/>
          <w:szCs w:val="12"/>
          <w:b w:val="1"/>
          <w:bCs w:val="1"/>
          <w:color w:val="auto"/>
        </w:rPr>
        <w:t>Exhibit</w:t>
      </w:r>
    </w:p>
    <w:p>
      <w:pPr>
        <w:spacing w:after="0" w:line="25" w:lineRule="exact"/>
        <w:rPr>
          <w:sz w:val="20"/>
          <w:szCs w:val="20"/>
          <w:color w:val="auto"/>
        </w:rPr>
      </w:pPr>
    </w:p>
    <w:p>
      <w:pPr>
        <w:ind w:left="300"/>
        <w:spacing w:after="0"/>
        <w:rPr>
          <w:sz w:val="20"/>
          <w:szCs w:val="20"/>
          <w:color w:val="auto"/>
        </w:rPr>
      </w:pPr>
      <w:r>
        <w:rPr>
          <w:rFonts w:ascii="Arial" w:cs="Arial" w:eastAsia="Arial" w:hAnsi="Arial"/>
          <w:sz w:val="12"/>
          <w:szCs w:val="12"/>
          <w:b w:val="1"/>
          <w:bCs w:val="1"/>
          <w:u w:val="single" w:color="auto"/>
          <w:color w:val="auto"/>
        </w:rPr>
        <w:t>Number</w:t>
      </w:r>
    </w:p>
    <w:p>
      <w:pPr>
        <w:spacing w:after="0" w:line="20" w:lineRule="exact"/>
        <w:rPr>
          <w:sz w:val="20"/>
          <w:szCs w:val="20"/>
          <w:color w:val="auto"/>
        </w:rPr>
      </w:pPr>
      <w:r>
        <w:rPr>
          <w:sz w:val="20"/>
          <w:szCs w:val="20"/>
          <w:color w:val="auto"/>
        </w:rPr>
        <w:br w:type="column"/>
      </w:r>
    </w:p>
    <w:p>
      <w:pPr>
        <w:spacing w:after="0" w:line="384" w:lineRule="exact"/>
        <w:rPr>
          <w:sz w:val="20"/>
          <w:szCs w:val="20"/>
          <w:color w:val="auto"/>
        </w:rPr>
      </w:pPr>
    </w:p>
    <w:p>
      <w:pPr>
        <w:jc w:val="center"/>
        <w:ind w:right="4840"/>
        <w:spacing w:after="0"/>
        <w:rPr>
          <w:sz w:val="20"/>
          <w:szCs w:val="20"/>
          <w:color w:val="auto"/>
        </w:rPr>
      </w:pPr>
      <w:r>
        <w:rPr>
          <w:rFonts w:ascii="Arial" w:cs="Arial" w:eastAsia="Arial" w:hAnsi="Arial"/>
          <w:sz w:val="11"/>
          <w:szCs w:val="11"/>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-3093720</wp:posOffset>
            </wp:positionH>
            <wp:positionV relativeFrom="paragraph">
              <wp:posOffset>22225</wp:posOffset>
            </wp:positionV>
            <wp:extent cx="6612255" cy="889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6612255" cy="8890"/>
                    </a:xfrm>
                    <a:prstGeom prst="rect">
                      <a:avLst/>
                    </a:prstGeom>
                    <a:noFill/>
                  </pic:spPr>
                </pic:pic>
              </a:graphicData>
            </a:graphic>
          </wp:anchor>
        </w:drawing>
      </w:r>
    </w:p>
    <w:p>
      <w:pPr>
        <w:spacing w:after="0" w:line="37" w:lineRule="exact"/>
        <w:rPr>
          <w:sz w:val="20"/>
          <w:szCs w:val="20"/>
          <w:color w:val="auto"/>
        </w:rPr>
      </w:pPr>
    </w:p>
    <w:p>
      <w:pPr>
        <w:sectPr>
          <w:pgSz w:w="11900" w:h="16838" w:orient="portrait"/>
          <w:cols w:equalWidth="0" w:num="2">
            <w:col w:w="5160" w:space="720"/>
            <w:col w:w="5500"/>
          </w:cols>
          <w:pgMar w:left="240" w:top="131" w:right="279" w:bottom="1440" w:gutter="0" w:footer="0" w:header="0"/>
          <w:type w:val="continuous"/>
        </w:sectPr>
      </w:pPr>
    </w:p>
    <w:p>
      <w:pPr>
        <w:ind w:left="500"/>
        <w:spacing w:after="0"/>
        <w:tabs>
          <w:tab w:leader="none" w:pos="980" w:val="left"/>
        </w:tabs>
        <w:rPr>
          <w:sz w:val="20"/>
          <w:szCs w:val="20"/>
          <w:color w:val="auto"/>
        </w:rPr>
      </w:pPr>
      <w:r>
        <w:rPr>
          <w:rFonts w:ascii="Arial" w:cs="Arial" w:eastAsia="Arial" w:hAnsi="Arial"/>
          <w:sz w:val="14"/>
          <w:szCs w:val="14"/>
          <w:color w:val="auto"/>
        </w:rPr>
        <w:t>10.6.2</w:t>
      </w:r>
      <w:r>
        <w:rPr>
          <w:sz w:val="20"/>
          <w:szCs w:val="20"/>
          <w:color w:val="auto"/>
        </w:rPr>
        <w:tab/>
      </w:r>
      <w:r>
        <w:rPr>
          <w:rFonts w:ascii="Arial" w:cs="Arial" w:eastAsia="Arial" w:hAnsi="Arial"/>
          <w:sz w:val="12"/>
          <w:szCs w:val="12"/>
          <w:color w:val="auto"/>
        </w:rPr>
        <w:t>Revised Summary of Standard Compensatory Arrangement for Non-Employee Directors of the Principal Financial Group, Inc., effective May 17, 2010 (23)</w:t>
      </w:r>
    </w:p>
    <w:p>
      <w:pPr>
        <w:ind w:left="500"/>
        <w:spacing w:after="0"/>
        <w:tabs>
          <w:tab w:leader="none" w:pos="980" w:val="left"/>
        </w:tabs>
        <w:rPr>
          <w:sz w:val="20"/>
          <w:szCs w:val="20"/>
          <w:color w:val="auto"/>
        </w:rPr>
      </w:pPr>
      <w:r>
        <w:rPr>
          <w:rFonts w:ascii="Arial" w:cs="Arial" w:eastAsia="Arial" w:hAnsi="Arial"/>
          <w:sz w:val="14"/>
          <w:szCs w:val="14"/>
          <w:color w:val="auto"/>
        </w:rPr>
        <w:t>10.6.3</w:t>
      </w:r>
      <w:r>
        <w:rPr>
          <w:sz w:val="20"/>
          <w:szCs w:val="20"/>
          <w:color w:val="auto"/>
        </w:rPr>
        <w:tab/>
      </w:r>
      <w:r>
        <w:rPr>
          <w:rFonts w:ascii="Arial" w:cs="Arial" w:eastAsia="Arial" w:hAnsi="Arial"/>
          <w:sz w:val="12"/>
          <w:szCs w:val="12"/>
          <w:color w:val="auto"/>
        </w:rPr>
        <w:t>Revised Summary of Standard Compensatory Arrangement for Non-Employee Directors of the Principal Financial Group, Inc., effective January 1, 2012 (24)</w:t>
      </w:r>
    </w:p>
    <w:p>
      <w:pPr>
        <w:ind w:left="600"/>
        <w:spacing w:after="0"/>
        <w:tabs>
          <w:tab w:leader="none" w:pos="980" w:val="left"/>
        </w:tabs>
        <w:rPr>
          <w:sz w:val="20"/>
          <w:szCs w:val="20"/>
          <w:color w:val="auto"/>
        </w:rPr>
      </w:pPr>
      <w:r>
        <w:rPr>
          <w:rFonts w:ascii="Arial" w:cs="Arial" w:eastAsia="Arial" w:hAnsi="Arial"/>
          <w:sz w:val="14"/>
          <w:szCs w:val="14"/>
          <w:color w:val="auto"/>
        </w:rPr>
        <w:t>10.7</w:t>
      </w:r>
      <w:r>
        <w:rPr>
          <w:sz w:val="20"/>
          <w:szCs w:val="20"/>
          <w:color w:val="auto"/>
        </w:rPr>
        <w:tab/>
      </w:r>
      <w:r>
        <w:rPr>
          <w:rFonts w:ascii="Arial" w:cs="Arial" w:eastAsia="Arial" w:hAnsi="Arial"/>
          <w:sz w:val="12"/>
          <w:szCs w:val="12"/>
          <w:color w:val="auto"/>
        </w:rPr>
        <w:t>Principal Financial Group, Inc. Directors Stock Plan (1)</w:t>
      </w:r>
    </w:p>
    <w:p>
      <w:pPr>
        <w:ind w:left="500"/>
        <w:spacing w:after="0"/>
        <w:tabs>
          <w:tab w:leader="none" w:pos="980" w:val="left"/>
        </w:tabs>
        <w:rPr>
          <w:sz w:val="20"/>
          <w:szCs w:val="20"/>
          <w:color w:val="auto"/>
        </w:rPr>
      </w:pPr>
      <w:r>
        <w:rPr>
          <w:rFonts w:ascii="Arial" w:cs="Arial" w:eastAsia="Arial" w:hAnsi="Arial"/>
          <w:sz w:val="14"/>
          <w:szCs w:val="14"/>
          <w:color w:val="auto"/>
        </w:rPr>
        <w:t>10.7.1</w:t>
      </w:r>
      <w:r>
        <w:rPr>
          <w:sz w:val="20"/>
          <w:szCs w:val="20"/>
          <w:color w:val="auto"/>
        </w:rPr>
        <w:tab/>
      </w:r>
      <w:r>
        <w:rPr>
          <w:rFonts w:ascii="Arial" w:cs="Arial" w:eastAsia="Arial" w:hAnsi="Arial"/>
          <w:sz w:val="12"/>
          <w:szCs w:val="12"/>
          <w:color w:val="auto"/>
        </w:rPr>
        <w:t>Principal Financial Group, Inc. 2005 Directors Stock Plan (15)</w:t>
      </w:r>
    </w:p>
    <w:p>
      <w:pPr>
        <w:ind w:left="600"/>
        <w:spacing w:after="0"/>
        <w:tabs>
          <w:tab w:leader="none" w:pos="980" w:val="left"/>
        </w:tabs>
        <w:rPr>
          <w:sz w:val="20"/>
          <w:szCs w:val="20"/>
          <w:color w:val="auto"/>
        </w:rPr>
      </w:pPr>
      <w:r>
        <w:rPr>
          <w:rFonts w:ascii="Arial" w:cs="Arial" w:eastAsia="Arial" w:hAnsi="Arial"/>
          <w:sz w:val="14"/>
          <w:szCs w:val="14"/>
          <w:color w:val="auto"/>
        </w:rPr>
        <w:t>10.8</w:t>
      </w:r>
      <w:r>
        <w:rPr>
          <w:sz w:val="20"/>
          <w:szCs w:val="20"/>
          <w:color w:val="auto"/>
        </w:rPr>
        <w:tab/>
      </w:r>
      <w:r>
        <w:rPr>
          <w:rFonts w:ascii="Arial" w:cs="Arial" w:eastAsia="Arial" w:hAnsi="Arial"/>
          <w:sz w:val="12"/>
          <w:szCs w:val="12"/>
          <w:color w:val="auto"/>
        </w:rPr>
        <w:t>Deferred Compensation Plan for Non-Employee Directors of Principal Financial Group, Inc. (25)</w:t>
      </w:r>
    </w:p>
    <w:p>
      <w:pPr>
        <w:ind w:left="600"/>
        <w:spacing w:after="0"/>
        <w:tabs>
          <w:tab w:leader="none" w:pos="980" w:val="left"/>
        </w:tabs>
        <w:rPr>
          <w:sz w:val="20"/>
          <w:szCs w:val="20"/>
          <w:color w:val="auto"/>
        </w:rPr>
      </w:pPr>
      <w:r>
        <w:rPr>
          <w:rFonts w:ascii="Arial" w:cs="Arial" w:eastAsia="Arial" w:hAnsi="Arial"/>
          <w:sz w:val="14"/>
          <w:szCs w:val="14"/>
          <w:color w:val="auto"/>
        </w:rPr>
        <w:t>10.9</w:t>
      </w:r>
      <w:r>
        <w:rPr>
          <w:sz w:val="20"/>
          <w:szCs w:val="20"/>
          <w:color w:val="auto"/>
        </w:rPr>
        <w:tab/>
      </w:r>
      <w:r>
        <w:rPr>
          <w:rFonts w:ascii="Arial" w:cs="Arial" w:eastAsia="Arial" w:hAnsi="Arial"/>
          <w:sz w:val="12"/>
          <w:szCs w:val="12"/>
          <w:color w:val="auto"/>
        </w:rPr>
        <w:t>Principal Select Savings Excess Plan, restated as of January 1, 2004 (26)</w:t>
      </w:r>
    </w:p>
    <w:p>
      <w:pPr>
        <w:ind w:left="500"/>
        <w:spacing w:after="0"/>
        <w:tabs>
          <w:tab w:leader="none" w:pos="980" w:val="left"/>
        </w:tabs>
        <w:rPr>
          <w:sz w:val="20"/>
          <w:szCs w:val="20"/>
          <w:color w:val="auto"/>
        </w:rPr>
      </w:pPr>
      <w:r>
        <w:rPr>
          <w:rFonts w:ascii="Arial" w:cs="Arial" w:eastAsia="Arial" w:hAnsi="Arial"/>
          <w:sz w:val="14"/>
          <w:szCs w:val="14"/>
          <w:color w:val="auto"/>
        </w:rPr>
        <w:t>10.9.1</w:t>
      </w:r>
      <w:r>
        <w:rPr>
          <w:sz w:val="20"/>
          <w:szCs w:val="20"/>
          <w:color w:val="auto"/>
        </w:rPr>
        <w:tab/>
      </w:r>
      <w:r>
        <w:rPr>
          <w:rFonts w:ascii="Arial" w:cs="Arial" w:eastAsia="Arial" w:hAnsi="Arial"/>
          <w:sz w:val="12"/>
          <w:szCs w:val="12"/>
          <w:color w:val="auto"/>
        </w:rPr>
        <w:t>Amendment No. 1 to Principal Select Savings Excess Plan (25)</w:t>
      </w:r>
    </w:p>
    <w:p>
      <w:pPr>
        <w:ind w:left="540"/>
        <w:spacing w:after="0"/>
        <w:tabs>
          <w:tab w:leader="none" w:pos="980" w:val="left"/>
        </w:tabs>
        <w:rPr>
          <w:sz w:val="20"/>
          <w:szCs w:val="20"/>
          <w:color w:val="auto"/>
        </w:rPr>
      </w:pPr>
      <w:r>
        <w:rPr>
          <w:rFonts w:ascii="Arial" w:cs="Arial" w:eastAsia="Arial" w:hAnsi="Arial"/>
          <w:sz w:val="14"/>
          <w:szCs w:val="14"/>
          <w:color w:val="auto"/>
        </w:rPr>
        <w:t>10.10</w:t>
      </w:r>
      <w:r>
        <w:rPr>
          <w:sz w:val="20"/>
          <w:szCs w:val="20"/>
          <w:color w:val="auto"/>
        </w:rPr>
        <w:tab/>
      </w:r>
      <w:r>
        <w:rPr>
          <w:rFonts w:ascii="Arial" w:cs="Arial" w:eastAsia="Arial" w:hAnsi="Arial"/>
          <w:sz w:val="12"/>
          <w:szCs w:val="12"/>
          <w:color w:val="auto"/>
        </w:rPr>
        <w:t>Supplemental Executive Retirement Plan for Employees, restated as of January 1, 2003 (26)</w:t>
      </w:r>
    </w:p>
    <w:p>
      <w:pPr>
        <w:ind w:left="440"/>
        <w:spacing w:after="0"/>
        <w:tabs>
          <w:tab w:leader="none" w:pos="980" w:val="left"/>
        </w:tabs>
        <w:rPr>
          <w:sz w:val="20"/>
          <w:szCs w:val="20"/>
          <w:color w:val="auto"/>
        </w:rPr>
      </w:pPr>
      <w:r>
        <w:rPr>
          <w:rFonts w:ascii="Arial" w:cs="Arial" w:eastAsia="Arial" w:hAnsi="Arial"/>
          <w:sz w:val="14"/>
          <w:szCs w:val="14"/>
          <w:color w:val="auto"/>
        </w:rPr>
        <w:t>10.10.1</w:t>
      </w:r>
      <w:r>
        <w:rPr>
          <w:sz w:val="20"/>
          <w:szCs w:val="20"/>
          <w:color w:val="auto"/>
        </w:rPr>
        <w:tab/>
      </w:r>
      <w:r>
        <w:rPr>
          <w:rFonts w:ascii="Arial" w:cs="Arial" w:eastAsia="Arial" w:hAnsi="Arial"/>
          <w:sz w:val="12"/>
          <w:szCs w:val="12"/>
          <w:color w:val="auto"/>
        </w:rPr>
        <w:t>Amendment No. 1 to the Principal Supplemental Executive Retirement Plan for Employees (25)</w:t>
      </w:r>
    </w:p>
    <w:p>
      <w:pPr>
        <w:ind w:left="1000" w:right="320" w:hanging="460"/>
        <w:spacing w:after="0" w:line="221" w:lineRule="auto"/>
        <w:tabs>
          <w:tab w:leader="none" w:pos="980" w:val="left"/>
        </w:tabs>
        <w:rPr>
          <w:sz w:val="20"/>
          <w:szCs w:val="20"/>
          <w:color w:val="auto"/>
        </w:rPr>
      </w:pPr>
      <w:r>
        <w:rPr>
          <w:rFonts w:ascii="Arial" w:cs="Arial" w:eastAsia="Arial" w:hAnsi="Arial"/>
          <w:sz w:val="14"/>
          <w:szCs w:val="14"/>
          <w:color w:val="auto"/>
        </w:rPr>
        <w:t>10.11</w:t>
        <w:tab/>
        <w:t>Form of Principal Financial Group, Inc. and Principal Life Insurance Company Change-of-Control Employment Agreement (Tier One Executives), dated as of February 28, 2006, by and among Principal Financial Group, Inc., Principal Financial Services, Inc., Principal Life Insurance Company and an Executive. (27)</w:t>
      </w:r>
    </w:p>
    <w:p>
      <w:pPr>
        <w:ind w:left="440"/>
        <w:spacing w:after="0"/>
        <w:tabs>
          <w:tab w:leader="none" w:pos="980" w:val="left"/>
        </w:tabs>
        <w:rPr>
          <w:sz w:val="20"/>
          <w:szCs w:val="20"/>
          <w:color w:val="auto"/>
        </w:rPr>
      </w:pPr>
      <w:r>
        <w:rPr>
          <w:rFonts w:ascii="Arial" w:cs="Arial" w:eastAsia="Arial" w:hAnsi="Arial"/>
          <w:sz w:val="14"/>
          <w:szCs w:val="14"/>
          <w:color w:val="auto"/>
        </w:rPr>
        <w:t>10.11.1</w:t>
      </w:r>
      <w:r>
        <w:rPr>
          <w:sz w:val="20"/>
          <w:szCs w:val="20"/>
          <w:color w:val="auto"/>
        </w:rPr>
        <w:tab/>
      </w:r>
      <w:r>
        <w:rPr>
          <w:rFonts w:ascii="Arial" w:cs="Arial" w:eastAsia="Arial" w:hAnsi="Arial"/>
          <w:sz w:val="12"/>
          <w:szCs w:val="12"/>
          <w:color w:val="auto"/>
        </w:rPr>
        <w:t>Form of Principal Financial Group, Inc. and Principal Life Insurance Company Change-of-Control Employment Agreement (Tier One Executives) (28)</w:t>
      </w:r>
    </w:p>
    <w:p>
      <w:pPr>
        <w:ind w:left="440"/>
        <w:spacing w:after="0"/>
        <w:tabs>
          <w:tab w:leader="none" w:pos="980" w:val="left"/>
        </w:tabs>
        <w:rPr>
          <w:sz w:val="20"/>
          <w:szCs w:val="20"/>
          <w:color w:val="auto"/>
        </w:rPr>
      </w:pPr>
      <w:r>
        <w:rPr>
          <w:rFonts w:ascii="Arial" w:cs="Arial" w:eastAsia="Arial" w:hAnsi="Arial"/>
          <w:sz w:val="14"/>
          <w:szCs w:val="14"/>
          <w:color w:val="auto"/>
        </w:rPr>
        <w:t>10.11.2</w:t>
      </w:r>
      <w:r>
        <w:rPr>
          <w:sz w:val="20"/>
          <w:szCs w:val="20"/>
          <w:color w:val="auto"/>
        </w:rPr>
        <w:tab/>
      </w:r>
      <w:r>
        <w:rPr>
          <w:rFonts w:ascii="Arial" w:cs="Arial" w:eastAsia="Arial" w:hAnsi="Arial"/>
          <w:sz w:val="12"/>
          <w:szCs w:val="12"/>
          <w:color w:val="auto"/>
        </w:rPr>
        <w:t>Form of Principal Financial Group, Inc. and Principal Life Insurance Company Change of Control Employment Agreement (Tier One Executives), effective December 31, 2010 (23)</w:t>
      </w:r>
    </w:p>
    <w:p>
      <w:pPr>
        <w:ind w:left="540"/>
        <w:spacing w:after="0"/>
        <w:tabs>
          <w:tab w:leader="none" w:pos="980" w:val="left"/>
        </w:tabs>
        <w:rPr>
          <w:sz w:val="20"/>
          <w:szCs w:val="20"/>
          <w:color w:val="auto"/>
        </w:rPr>
      </w:pPr>
      <w:r>
        <w:rPr>
          <w:rFonts w:ascii="Arial" w:cs="Arial" w:eastAsia="Arial" w:hAnsi="Arial"/>
          <w:sz w:val="14"/>
          <w:szCs w:val="14"/>
          <w:color w:val="auto"/>
        </w:rPr>
        <w:t>10.12</w:t>
      </w:r>
      <w:r>
        <w:rPr>
          <w:sz w:val="20"/>
          <w:szCs w:val="20"/>
          <w:color w:val="auto"/>
        </w:rPr>
        <w:tab/>
      </w:r>
      <w:r>
        <w:rPr>
          <w:rFonts w:ascii="Arial" w:cs="Arial" w:eastAsia="Arial" w:hAnsi="Arial"/>
          <w:sz w:val="12"/>
          <w:szCs w:val="12"/>
          <w:color w:val="auto"/>
        </w:rPr>
        <w:t>Form of Principal Financial Group, Inc. Indemnification Agreement (28)</w:t>
      </w:r>
    </w:p>
    <w:p>
      <w:pPr>
        <w:ind w:left="540"/>
        <w:spacing w:after="0"/>
        <w:tabs>
          <w:tab w:leader="none" w:pos="980" w:val="left"/>
        </w:tabs>
        <w:rPr>
          <w:sz w:val="20"/>
          <w:szCs w:val="20"/>
          <w:color w:val="auto"/>
        </w:rPr>
      </w:pPr>
      <w:r>
        <w:rPr>
          <w:rFonts w:ascii="Arial" w:cs="Arial" w:eastAsia="Arial" w:hAnsi="Arial"/>
          <w:sz w:val="14"/>
          <w:szCs w:val="14"/>
          <w:color w:val="auto"/>
        </w:rPr>
        <w:t>10.13</w:t>
      </w:r>
      <w:r>
        <w:rPr>
          <w:sz w:val="20"/>
          <w:szCs w:val="20"/>
          <w:color w:val="auto"/>
        </w:rPr>
        <w:tab/>
      </w:r>
      <w:r>
        <w:rPr>
          <w:rFonts w:ascii="Arial" w:cs="Arial" w:eastAsia="Arial" w:hAnsi="Arial"/>
          <w:sz w:val="12"/>
          <w:szCs w:val="12"/>
          <w:color w:val="auto"/>
        </w:rPr>
        <w:t>Compensatory Arrangement, dated as of March 14, 2002, between Principal Life Insurance Company and James P. McCaughan. (29)</w:t>
      </w:r>
    </w:p>
    <w:p>
      <w:pPr>
        <w:spacing w:after="0" w:line="1" w:lineRule="exact"/>
        <w:rPr>
          <w:sz w:val="20"/>
          <w:szCs w:val="20"/>
          <w:color w:val="auto"/>
        </w:rPr>
      </w:pPr>
    </w:p>
    <w:p>
      <w:pPr>
        <w:ind w:left="1000" w:right="540" w:hanging="465"/>
        <w:spacing w:after="0" w:line="221" w:lineRule="auto"/>
        <w:tabs>
          <w:tab w:leader="none" w:pos="980" w:val="left"/>
        </w:tabs>
        <w:rPr>
          <w:sz w:val="20"/>
          <w:szCs w:val="20"/>
          <w:color w:val="auto"/>
        </w:rPr>
      </w:pPr>
      <w:r>
        <w:rPr>
          <w:rFonts w:ascii="Arial" w:cs="Arial" w:eastAsia="Arial" w:hAnsi="Arial"/>
          <w:sz w:val="14"/>
          <w:szCs w:val="14"/>
          <w:color w:val="auto"/>
        </w:rPr>
        <w:t>10.14</w:t>
        <w:tab/>
        <w:t>Employment Agreement dated as of June 1, 2006, by and between Principal Financial Group, Inc., Principal Financial Services, Inc., Principal Life Insurance Company, and Larry D. Zimpleman. (4)</w:t>
      </w:r>
    </w:p>
    <w:p>
      <w:pPr>
        <w:spacing w:after="0" w:line="1" w:lineRule="exact"/>
        <w:rPr>
          <w:sz w:val="20"/>
          <w:szCs w:val="20"/>
          <w:color w:val="auto"/>
        </w:rPr>
      </w:pPr>
    </w:p>
    <w:p>
      <w:pPr>
        <w:ind w:left="1000" w:hanging="566"/>
        <w:spacing w:after="0" w:line="221" w:lineRule="auto"/>
        <w:tabs>
          <w:tab w:leader="none" w:pos="980" w:val="left"/>
        </w:tabs>
        <w:rPr>
          <w:sz w:val="20"/>
          <w:szCs w:val="20"/>
          <w:color w:val="auto"/>
        </w:rPr>
      </w:pPr>
      <w:r>
        <w:rPr>
          <w:rFonts w:ascii="Arial" w:cs="Arial" w:eastAsia="Arial" w:hAnsi="Arial"/>
          <w:sz w:val="14"/>
          <w:szCs w:val="14"/>
          <w:color w:val="auto"/>
        </w:rPr>
        <w:t>10.14.1</w:t>
        <w:tab/>
        <w:t>Amended and Restated Employment Agreement dated as of May 1, 2008, by and between Principal Financial Group, Inc., Principal Financial Services, Inc., Principal Life Insurance Company and Larry D. Zimpleman (30)</w:t>
      </w:r>
    </w:p>
    <w:p>
      <w:pPr>
        <w:spacing w:after="0" w:line="1" w:lineRule="exact"/>
        <w:rPr>
          <w:sz w:val="20"/>
          <w:szCs w:val="20"/>
          <w:color w:val="auto"/>
        </w:rPr>
      </w:pPr>
    </w:p>
    <w:p>
      <w:pPr>
        <w:ind w:left="1000" w:right="400" w:hanging="566"/>
        <w:spacing w:after="0" w:line="221" w:lineRule="auto"/>
        <w:tabs>
          <w:tab w:leader="none" w:pos="980" w:val="left"/>
        </w:tabs>
        <w:rPr>
          <w:sz w:val="20"/>
          <w:szCs w:val="20"/>
          <w:color w:val="auto"/>
        </w:rPr>
      </w:pPr>
      <w:r>
        <w:rPr>
          <w:rFonts w:ascii="Arial" w:cs="Arial" w:eastAsia="Arial" w:hAnsi="Arial"/>
          <w:sz w:val="14"/>
          <w:szCs w:val="14"/>
          <w:color w:val="auto"/>
        </w:rPr>
        <w:t>10.14.2</w:t>
        <w:tab/>
        <w:t>Letter dated March 16, 2009 amending the Amended and Restated Employment Agreement dated as of May 1, 2008 by and between Principal Financial Group, Inc., Principal Financial Services, Inc., Principal Life Insurance Company and Larry D. Zimpleman (22)</w:t>
      </w:r>
    </w:p>
    <w:p>
      <w:pPr>
        <w:spacing w:after="0" w:line="1" w:lineRule="exact"/>
        <w:rPr>
          <w:sz w:val="20"/>
          <w:szCs w:val="20"/>
          <w:color w:val="auto"/>
        </w:rPr>
      </w:pPr>
    </w:p>
    <w:p>
      <w:pPr>
        <w:ind w:left="1000" w:right="260" w:hanging="566"/>
        <w:spacing w:after="0" w:line="221" w:lineRule="auto"/>
        <w:tabs>
          <w:tab w:leader="none" w:pos="980" w:val="left"/>
        </w:tabs>
        <w:rPr>
          <w:sz w:val="20"/>
          <w:szCs w:val="20"/>
          <w:color w:val="auto"/>
        </w:rPr>
      </w:pPr>
      <w:r>
        <w:rPr>
          <w:rFonts w:ascii="Arial" w:cs="Arial" w:eastAsia="Arial" w:hAnsi="Arial"/>
          <w:sz w:val="14"/>
          <w:szCs w:val="14"/>
          <w:color w:val="auto"/>
        </w:rPr>
        <w:t>10.14.3</w:t>
        <w:tab/>
        <w:t>Letter dated December 1, 2009 amending the Amended and Restated Employment Agreement dated as of May 1, 2008 by and between Principal Financial Group, Inc., Principal Financial Services, Inc., Principal Life Insurance Company and Larry D. Zimpleman (31)</w:t>
      </w:r>
    </w:p>
    <w:p>
      <w:pPr>
        <w:ind w:left="540"/>
        <w:spacing w:after="0"/>
        <w:tabs>
          <w:tab w:leader="none" w:pos="980" w:val="left"/>
        </w:tabs>
        <w:rPr>
          <w:sz w:val="20"/>
          <w:szCs w:val="20"/>
          <w:color w:val="auto"/>
        </w:rPr>
      </w:pPr>
      <w:r>
        <w:rPr>
          <w:rFonts w:ascii="Arial" w:cs="Arial" w:eastAsia="Arial" w:hAnsi="Arial"/>
          <w:sz w:val="14"/>
          <w:szCs w:val="14"/>
          <w:color w:val="auto"/>
        </w:rPr>
        <w:t>10.16</w:t>
      </w:r>
      <w:r>
        <w:rPr>
          <w:sz w:val="20"/>
          <w:szCs w:val="20"/>
          <w:color w:val="auto"/>
        </w:rPr>
        <w:tab/>
      </w:r>
      <w:r>
        <w:rPr>
          <w:rFonts w:ascii="Arial" w:cs="Arial" w:eastAsia="Arial" w:hAnsi="Arial"/>
          <w:sz w:val="12"/>
          <w:szCs w:val="12"/>
          <w:color w:val="auto"/>
        </w:rPr>
        <w:t>The Principal Severance Plan for Senior Executives, restated effective January 1, 2009 (22)</w:t>
      </w:r>
    </w:p>
    <w:p>
      <w:pPr>
        <w:ind w:left="720"/>
        <w:spacing w:after="0" w:line="221" w:lineRule="auto"/>
        <w:tabs>
          <w:tab w:leader="none" w:pos="980" w:val="left"/>
        </w:tabs>
        <w:rPr>
          <w:sz w:val="20"/>
          <w:szCs w:val="20"/>
          <w:color w:val="auto"/>
        </w:rPr>
      </w:pPr>
      <w:r>
        <w:rPr>
          <w:rFonts w:ascii="Arial" w:cs="Arial" w:eastAsia="Arial" w:hAnsi="Arial"/>
          <w:sz w:val="14"/>
          <w:szCs w:val="14"/>
          <w:color w:val="auto"/>
        </w:rPr>
        <w:t>12</w:t>
        <w:tab/>
        <w:t>Computation of Earnings to Fixed Charges Ratio (32)</w:t>
      </w:r>
    </w:p>
    <w:p>
      <w:pPr>
        <w:ind w:left="1000" w:hanging="290"/>
        <w:spacing w:after="0" w:line="222" w:lineRule="auto"/>
        <w:tabs>
          <w:tab w:leader="none" w:pos="1000" w:val="left"/>
        </w:tabs>
        <w:numPr>
          <w:ilvl w:val="0"/>
          <w:numId w:val="89"/>
        </w:numPr>
        <w:rPr>
          <w:rFonts w:ascii="Arial" w:cs="Arial" w:eastAsia="Arial" w:hAnsi="Arial"/>
          <w:sz w:val="14"/>
          <w:szCs w:val="14"/>
          <w:color w:val="auto"/>
        </w:rPr>
      </w:pPr>
      <w:r>
        <w:rPr>
          <w:rFonts w:ascii="Arial" w:cs="Arial" w:eastAsia="Arial" w:hAnsi="Arial"/>
          <w:sz w:val="14"/>
          <w:szCs w:val="14"/>
          <w:color w:val="auto"/>
        </w:rPr>
        <w:t>Principal Financial Group, Inc. Member Companies as of December 31, 2013 (32)</w:t>
      </w:r>
    </w:p>
    <w:p>
      <w:pPr>
        <w:ind w:left="1000" w:hanging="290"/>
        <w:spacing w:after="0" w:line="221" w:lineRule="auto"/>
        <w:tabs>
          <w:tab w:leader="none" w:pos="1000" w:val="left"/>
        </w:tabs>
        <w:numPr>
          <w:ilvl w:val="0"/>
          <w:numId w:val="90"/>
        </w:numPr>
        <w:rPr>
          <w:rFonts w:ascii="Arial" w:cs="Arial" w:eastAsia="Arial" w:hAnsi="Arial"/>
          <w:sz w:val="14"/>
          <w:szCs w:val="14"/>
          <w:color w:val="auto"/>
        </w:rPr>
      </w:pPr>
      <w:r>
        <w:rPr>
          <w:rFonts w:ascii="Arial" w:cs="Arial" w:eastAsia="Arial" w:hAnsi="Arial"/>
          <w:sz w:val="14"/>
          <w:szCs w:val="14"/>
          <w:color w:val="auto"/>
        </w:rPr>
        <w:t>Consent of Independent Registered Public Accounting Firm (32)</w:t>
      </w:r>
    </w:p>
    <w:p>
      <w:pPr>
        <w:ind w:left="600"/>
        <w:spacing w:after="0"/>
        <w:tabs>
          <w:tab w:leader="none" w:pos="980" w:val="left"/>
        </w:tabs>
        <w:rPr>
          <w:sz w:val="20"/>
          <w:szCs w:val="20"/>
          <w:color w:val="auto"/>
        </w:rPr>
      </w:pPr>
      <w:r>
        <w:rPr>
          <w:rFonts w:ascii="Arial" w:cs="Arial" w:eastAsia="Arial" w:hAnsi="Arial"/>
          <w:sz w:val="14"/>
          <w:szCs w:val="14"/>
          <w:color w:val="auto"/>
        </w:rPr>
        <w:t>31.1</w:t>
      </w:r>
      <w:r>
        <w:rPr>
          <w:sz w:val="20"/>
          <w:szCs w:val="20"/>
          <w:color w:val="auto"/>
        </w:rPr>
        <w:tab/>
      </w:r>
      <w:r>
        <w:rPr>
          <w:rFonts w:ascii="Arial" w:cs="Arial" w:eastAsia="Arial" w:hAnsi="Arial"/>
          <w:sz w:val="12"/>
          <w:szCs w:val="12"/>
          <w:color w:val="auto"/>
        </w:rPr>
        <w:t>Certification of Larry D. Zimpleman (32)</w:t>
      </w:r>
    </w:p>
    <w:p>
      <w:pPr>
        <w:ind w:left="600"/>
        <w:spacing w:after="0"/>
        <w:tabs>
          <w:tab w:leader="none" w:pos="980" w:val="left"/>
        </w:tabs>
        <w:rPr>
          <w:sz w:val="20"/>
          <w:szCs w:val="20"/>
          <w:color w:val="auto"/>
        </w:rPr>
      </w:pPr>
      <w:r>
        <w:rPr>
          <w:rFonts w:ascii="Arial" w:cs="Arial" w:eastAsia="Arial" w:hAnsi="Arial"/>
          <w:sz w:val="14"/>
          <w:szCs w:val="14"/>
          <w:color w:val="auto"/>
        </w:rPr>
        <w:t>31.2</w:t>
      </w:r>
      <w:r>
        <w:rPr>
          <w:sz w:val="20"/>
          <w:szCs w:val="20"/>
          <w:color w:val="auto"/>
        </w:rPr>
        <w:tab/>
      </w:r>
      <w:r>
        <w:rPr>
          <w:rFonts w:ascii="Arial" w:cs="Arial" w:eastAsia="Arial" w:hAnsi="Arial"/>
          <w:sz w:val="12"/>
          <w:szCs w:val="12"/>
          <w:color w:val="auto"/>
        </w:rPr>
        <w:t>Certification of Terrance J. Lillis (32)</w:t>
      </w:r>
    </w:p>
    <w:p>
      <w:pPr>
        <w:ind w:left="600"/>
        <w:spacing w:after="0"/>
        <w:tabs>
          <w:tab w:leader="none" w:pos="980" w:val="left"/>
        </w:tabs>
        <w:rPr>
          <w:sz w:val="20"/>
          <w:szCs w:val="20"/>
          <w:color w:val="auto"/>
        </w:rPr>
      </w:pPr>
      <w:r>
        <w:rPr>
          <w:rFonts w:ascii="Arial" w:cs="Arial" w:eastAsia="Arial" w:hAnsi="Arial"/>
          <w:sz w:val="14"/>
          <w:szCs w:val="14"/>
          <w:color w:val="auto"/>
        </w:rPr>
        <w:t>32.1</w:t>
      </w:r>
      <w:r>
        <w:rPr>
          <w:sz w:val="20"/>
          <w:szCs w:val="20"/>
          <w:color w:val="auto"/>
        </w:rPr>
        <w:tab/>
      </w:r>
      <w:r>
        <w:rPr>
          <w:rFonts w:ascii="Arial" w:cs="Arial" w:eastAsia="Arial" w:hAnsi="Arial"/>
          <w:sz w:val="12"/>
          <w:szCs w:val="12"/>
          <w:color w:val="auto"/>
        </w:rPr>
        <w:t>Certification Pursuant to Section 1350 of Chapter 63 of Title 18 of the United States Code — Larry D. Zimpleman (32)</w:t>
      </w:r>
    </w:p>
    <w:p>
      <w:pPr>
        <w:ind w:left="600"/>
        <w:spacing w:after="0"/>
        <w:tabs>
          <w:tab w:leader="none" w:pos="980" w:val="left"/>
        </w:tabs>
        <w:rPr>
          <w:sz w:val="20"/>
          <w:szCs w:val="20"/>
          <w:color w:val="auto"/>
        </w:rPr>
      </w:pPr>
      <w:r>
        <w:rPr>
          <w:rFonts w:ascii="Arial" w:cs="Arial" w:eastAsia="Arial" w:hAnsi="Arial"/>
          <w:sz w:val="14"/>
          <w:szCs w:val="14"/>
          <w:color w:val="auto"/>
        </w:rPr>
        <w:t>32.2</w:t>
      </w:r>
      <w:r>
        <w:rPr>
          <w:sz w:val="20"/>
          <w:szCs w:val="20"/>
          <w:color w:val="auto"/>
        </w:rPr>
        <w:tab/>
      </w:r>
      <w:r>
        <w:rPr>
          <w:rFonts w:ascii="Arial" w:cs="Arial" w:eastAsia="Arial" w:hAnsi="Arial"/>
          <w:sz w:val="12"/>
          <w:szCs w:val="12"/>
          <w:color w:val="auto"/>
        </w:rPr>
        <w:t>Certification Pursuant to Section 1350 of Chapter 63 of Title 18 of the United States Code — Terrance J. Lillis (32)</w:t>
      </w:r>
    </w:p>
    <w:p>
      <w:pPr>
        <w:ind w:left="1000" w:right="20" w:hanging="357"/>
        <w:spacing w:after="0" w:line="224" w:lineRule="auto"/>
        <w:tabs>
          <w:tab w:leader="none" w:pos="1000" w:val="left"/>
        </w:tabs>
        <w:numPr>
          <w:ilvl w:val="1"/>
          <w:numId w:val="91"/>
        </w:numPr>
        <w:rPr>
          <w:rFonts w:ascii="Arial" w:cs="Arial" w:eastAsia="Arial" w:hAnsi="Arial"/>
          <w:sz w:val="14"/>
          <w:szCs w:val="14"/>
          <w:color w:val="auto"/>
        </w:rPr>
      </w:pPr>
      <w:r>
        <w:rPr>
          <w:rFonts w:ascii="Arial" w:cs="Arial" w:eastAsia="Arial" w:hAnsi="Arial"/>
          <w:sz w:val="14"/>
          <w:szCs w:val="14"/>
          <w:color w:val="auto"/>
        </w:rPr>
        <w:t>The following materials from Principal Financial Group, Inc.'s Annual Report on Form 10-K for the year ended December 31, 2013, formatted in XBRL (Extensible Business Reporting Language): (i) the Consolidated Statements of Financial Position, (ii) the Consolidated Statements of Operations, (iii) the Consolidated Statements of Comprehensive Income, (iv) the Consolidated Statements of Stockholders' Equity, (v) the Consolidated Statements of Cash Flows, (vi) the Notes to Consolidated Financial Statements, (vii) Schedule I — Summary of Investments — Other Than Investments in Related Parties, (viii) Schedule II — Condensed Financial Information of Registrant (Parent Only), (ix) Schedule III — Supplementary Information and (x) Schedule IV — Reinsurance.</w:t>
      </w:r>
    </w:p>
    <w:p>
      <w:pPr>
        <w:spacing w:after="0" w:line="303" w:lineRule="exact"/>
        <w:rPr>
          <w:rFonts w:ascii="Arial" w:cs="Arial" w:eastAsia="Arial" w:hAnsi="Arial"/>
          <w:sz w:val="14"/>
          <w:szCs w:val="14"/>
          <w:color w:val="auto"/>
        </w:rPr>
      </w:pPr>
    </w:p>
    <w:p>
      <w:pPr>
        <w:ind w:left="540" w:hanging="532"/>
        <w:spacing w:after="0"/>
        <w:tabs>
          <w:tab w:leader="none" w:pos="540" w:val="left"/>
        </w:tabs>
        <w:numPr>
          <w:ilvl w:val="0"/>
          <w:numId w:val="92"/>
        </w:numPr>
        <w:rPr>
          <w:rFonts w:ascii="Arial" w:cs="Arial" w:eastAsia="Arial" w:hAnsi="Arial"/>
          <w:sz w:val="14"/>
          <w:szCs w:val="14"/>
          <w:color w:val="auto"/>
        </w:rPr>
      </w:pPr>
      <w:r>
        <w:rPr>
          <w:rFonts w:ascii="Arial" w:cs="Arial" w:eastAsia="Arial" w:hAnsi="Arial"/>
          <w:sz w:val="14"/>
          <w:szCs w:val="14"/>
          <w:color w:val="auto"/>
        </w:rPr>
        <w:t>Incorporated by reference to exhibit filed with Principal Financial Group, Inc.'s Registration Statement on Form S-1, as amended (Commission File No. 333-62558).</w:t>
      </w:r>
    </w:p>
    <w:p>
      <w:pPr>
        <w:spacing w:after="0" w:line="122" w:lineRule="exact"/>
        <w:rPr>
          <w:rFonts w:ascii="Arial" w:cs="Arial" w:eastAsia="Arial" w:hAnsi="Arial"/>
          <w:sz w:val="14"/>
          <w:szCs w:val="14"/>
          <w:color w:val="auto"/>
        </w:rPr>
      </w:pPr>
    </w:p>
    <w:p>
      <w:pPr>
        <w:ind w:left="540" w:hanging="532"/>
        <w:spacing w:after="0"/>
        <w:tabs>
          <w:tab w:leader="none" w:pos="540" w:val="left"/>
        </w:tabs>
        <w:numPr>
          <w:ilvl w:val="0"/>
          <w:numId w:val="92"/>
        </w:numPr>
        <w:rPr>
          <w:rFonts w:ascii="Arial" w:cs="Arial" w:eastAsia="Arial" w:hAnsi="Arial"/>
          <w:sz w:val="12"/>
          <w:szCs w:val="12"/>
          <w:color w:val="auto"/>
        </w:rPr>
      </w:pPr>
      <w:r>
        <w:rPr>
          <w:rFonts w:ascii="Arial" w:cs="Arial" w:eastAsia="Arial" w:hAnsi="Arial"/>
          <w:sz w:val="12"/>
          <w:szCs w:val="12"/>
          <w:color w:val="auto"/>
        </w:rPr>
        <w:t>Incorporated by reference to exhibit filed with Principal Financial Group, Inc.'s Quarterly Report on Form 10-Q for the quarter ended June 30, 2004 (Commission File No. 1-16725).</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92"/>
        </w:numPr>
        <w:rPr>
          <w:rFonts w:ascii="Arial" w:cs="Arial" w:eastAsia="Arial" w:hAnsi="Arial"/>
          <w:sz w:val="12"/>
          <w:szCs w:val="12"/>
          <w:color w:val="auto"/>
        </w:rPr>
      </w:pPr>
      <w:r>
        <w:rPr>
          <w:rFonts w:ascii="Arial" w:cs="Arial" w:eastAsia="Arial" w:hAnsi="Arial"/>
          <w:sz w:val="12"/>
          <w:szCs w:val="12"/>
          <w:color w:val="auto"/>
        </w:rPr>
        <w:t>Incorporated by reference to exhibit filed with Principal Financial Group, Inc.'s Quarterly Report on Form 10-Q for the quarter ended September 30, 2006 (Commission File No. 1-16725).</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92"/>
        </w:numPr>
        <w:rPr>
          <w:rFonts w:ascii="Arial" w:cs="Arial" w:eastAsia="Arial" w:hAnsi="Arial"/>
          <w:sz w:val="12"/>
          <w:szCs w:val="12"/>
          <w:color w:val="auto"/>
        </w:rPr>
      </w:pPr>
      <w:r>
        <w:rPr>
          <w:rFonts w:ascii="Arial" w:cs="Arial" w:eastAsia="Arial" w:hAnsi="Arial"/>
          <w:sz w:val="12"/>
          <w:szCs w:val="12"/>
          <w:color w:val="auto"/>
        </w:rPr>
        <w:t>Incorporated by reference to exhibit filed with Principal Financial Group, Inc.'s Annual Report on Form 10-K for the year ended December 31, 2006 (Commission File No. 1-16725).</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92"/>
        </w:numPr>
        <w:rPr>
          <w:rFonts w:ascii="Arial" w:cs="Arial" w:eastAsia="Arial" w:hAnsi="Arial"/>
          <w:sz w:val="14"/>
          <w:szCs w:val="14"/>
          <w:color w:val="auto"/>
        </w:rPr>
      </w:pPr>
      <w:r>
        <w:rPr>
          <w:rFonts w:ascii="Arial" w:cs="Arial" w:eastAsia="Arial" w:hAnsi="Arial"/>
          <w:sz w:val="14"/>
          <w:szCs w:val="14"/>
          <w:color w:val="auto"/>
        </w:rPr>
        <w:t>Incorporated by reference to exhibit filed with Principal Financial Group Inc.'s Current Report on Form 8-K filed on November 13, 2012 (Commission File No. 1-16725).</w:t>
      </w:r>
    </w:p>
    <w:p>
      <w:pPr>
        <w:spacing w:after="0" w:line="122" w:lineRule="exact"/>
        <w:rPr>
          <w:rFonts w:ascii="Arial" w:cs="Arial" w:eastAsia="Arial" w:hAnsi="Arial"/>
          <w:sz w:val="14"/>
          <w:szCs w:val="14"/>
          <w:color w:val="auto"/>
        </w:rPr>
      </w:pPr>
    </w:p>
    <w:p>
      <w:pPr>
        <w:ind w:left="540" w:hanging="532"/>
        <w:spacing w:after="0"/>
        <w:tabs>
          <w:tab w:leader="none" w:pos="540" w:val="left"/>
        </w:tabs>
        <w:numPr>
          <w:ilvl w:val="0"/>
          <w:numId w:val="92"/>
        </w:numPr>
        <w:rPr>
          <w:rFonts w:ascii="Arial" w:cs="Arial" w:eastAsia="Arial" w:hAnsi="Arial"/>
          <w:sz w:val="14"/>
          <w:szCs w:val="14"/>
          <w:color w:val="auto"/>
        </w:rPr>
      </w:pPr>
      <w:r>
        <w:rPr>
          <w:rFonts w:ascii="Arial" w:cs="Arial" w:eastAsia="Arial" w:hAnsi="Arial"/>
          <w:sz w:val="14"/>
          <w:szCs w:val="14"/>
          <w:color w:val="auto"/>
        </w:rPr>
        <w:t>Incorporated by reference to exhibit filed with Principal Financial Group, Inc.'s Current Report on Form 8-K filed on June 17, 2005 (Commission File No. 1-16725).</w:t>
      </w:r>
    </w:p>
    <w:p>
      <w:pPr>
        <w:spacing w:after="0" w:line="122" w:lineRule="exact"/>
        <w:rPr>
          <w:rFonts w:ascii="Arial" w:cs="Arial" w:eastAsia="Arial" w:hAnsi="Arial"/>
          <w:sz w:val="14"/>
          <w:szCs w:val="14"/>
          <w:color w:val="auto"/>
        </w:rPr>
      </w:pPr>
    </w:p>
    <w:p>
      <w:pPr>
        <w:ind w:left="540" w:hanging="532"/>
        <w:spacing w:after="0"/>
        <w:tabs>
          <w:tab w:leader="none" w:pos="540" w:val="left"/>
        </w:tabs>
        <w:numPr>
          <w:ilvl w:val="0"/>
          <w:numId w:val="92"/>
        </w:numPr>
        <w:rPr>
          <w:rFonts w:ascii="Arial" w:cs="Arial" w:eastAsia="Arial" w:hAnsi="Arial"/>
          <w:sz w:val="14"/>
          <w:szCs w:val="14"/>
          <w:color w:val="auto"/>
        </w:rPr>
      </w:pPr>
      <w:r>
        <w:rPr>
          <w:rFonts w:ascii="Arial" w:cs="Arial" w:eastAsia="Arial" w:hAnsi="Arial"/>
          <w:sz w:val="14"/>
          <w:szCs w:val="14"/>
          <w:color w:val="auto"/>
        </w:rPr>
        <w:t>Incorporated herein by reference to exhibit filed with Principal Financial Group Inc.'s Current Report on Form 8-K filed on February 27, 2009 (Commission File No. 1-16725).</w:t>
      </w:r>
    </w:p>
    <w:p>
      <w:pPr>
        <w:spacing w:after="0" w:line="122" w:lineRule="exact"/>
        <w:rPr>
          <w:rFonts w:ascii="Arial" w:cs="Arial" w:eastAsia="Arial" w:hAnsi="Arial"/>
          <w:sz w:val="14"/>
          <w:szCs w:val="14"/>
          <w:color w:val="auto"/>
        </w:rPr>
      </w:pPr>
    </w:p>
    <w:p>
      <w:pPr>
        <w:ind w:left="540" w:hanging="532"/>
        <w:spacing w:after="0"/>
        <w:tabs>
          <w:tab w:leader="none" w:pos="540" w:val="left"/>
        </w:tabs>
        <w:numPr>
          <w:ilvl w:val="0"/>
          <w:numId w:val="92"/>
        </w:numPr>
        <w:rPr>
          <w:rFonts w:ascii="Arial" w:cs="Arial" w:eastAsia="Arial" w:hAnsi="Arial"/>
          <w:sz w:val="14"/>
          <w:szCs w:val="14"/>
          <w:color w:val="auto"/>
        </w:rPr>
      </w:pPr>
      <w:r>
        <w:rPr>
          <w:rFonts w:ascii="Arial" w:cs="Arial" w:eastAsia="Arial" w:hAnsi="Arial"/>
          <w:sz w:val="14"/>
          <w:szCs w:val="14"/>
          <w:color w:val="auto"/>
        </w:rPr>
        <w:t>Incorporated by reference to exhibit filed with Principal Financial Group, Inc.'s Current Report on Form 8-K filed on October 17, 2006 (Commission File No. 1-16725).</w:t>
      </w:r>
    </w:p>
    <w:p>
      <w:pPr>
        <w:spacing w:after="0" w:line="122" w:lineRule="exact"/>
        <w:rPr>
          <w:rFonts w:ascii="Arial" w:cs="Arial" w:eastAsia="Arial" w:hAnsi="Arial"/>
          <w:sz w:val="14"/>
          <w:szCs w:val="14"/>
          <w:color w:val="auto"/>
        </w:rPr>
      </w:pPr>
    </w:p>
    <w:p>
      <w:pPr>
        <w:ind w:left="540" w:hanging="532"/>
        <w:spacing w:after="0"/>
        <w:tabs>
          <w:tab w:leader="none" w:pos="540" w:val="left"/>
        </w:tabs>
        <w:numPr>
          <w:ilvl w:val="0"/>
          <w:numId w:val="92"/>
        </w:numPr>
        <w:rPr>
          <w:rFonts w:ascii="Arial" w:cs="Arial" w:eastAsia="Arial" w:hAnsi="Arial"/>
          <w:sz w:val="14"/>
          <w:szCs w:val="14"/>
          <w:color w:val="auto"/>
        </w:rPr>
      </w:pPr>
      <w:r>
        <w:rPr>
          <w:rFonts w:ascii="Arial" w:cs="Arial" w:eastAsia="Arial" w:hAnsi="Arial"/>
          <w:sz w:val="14"/>
          <w:szCs w:val="14"/>
          <w:color w:val="auto"/>
        </w:rPr>
        <w:t>Incorporated by reference to exhibit filed with Principal Financial Group, Inc.'s Current Report on Form 8-K filed on December 6, 2006 (Commission File No. 1-16725).</w:t>
      </w:r>
    </w:p>
    <w:p>
      <w:pPr>
        <w:spacing w:after="0" w:line="122" w:lineRule="exact"/>
        <w:rPr>
          <w:rFonts w:ascii="Arial" w:cs="Arial" w:eastAsia="Arial" w:hAnsi="Arial"/>
          <w:sz w:val="14"/>
          <w:szCs w:val="14"/>
          <w:color w:val="auto"/>
        </w:rPr>
      </w:pPr>
    </w:p>
    <w:p>
      <w:pPr>
        <w:ind w:left="540" w:hanging="532"/>
        <w:spacing w:after="0"/>
        <w:tabs>
          <w:tab w:leader="none" w:pos="540" w:val="left"/>
        </w:tabs>
        <w:numPr>
          <w:ilvl w:val="0"/>
          <w:numId w:val="92"/>
        </w:numPr>
        <w:rPr>
          <w:rFonts w:ascii="Arial" w:cs="Arial" w:eastAsia="Arial" w:hAnsi="Arial"/>
          <w:sz w:val="14"/>
          <w:szCs w:val="14"/>
          <w:color w:val="auto"/>
        </w:rPr>
      </w:pPr>
      <w:r>
        <w:rPr>
          <w:rFonts w:ascii="Arial" w:cs="Arial" w:eastAsia="Arial" w:hAnsi="Arial"/>
          <w:sz w:val="14"/>
          <w:szCs w:val="14"/>
          <w:color w:val="auto"/>
        </w:rPr>
        <w:t>Incorporated herein by reference to exhibit filed with Principal Financial Group Inc.'s Current Report on Form 8-K filed on May 21, 2009 (Commission File No. 1-16725).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-1852930</wp:posOffset>
            </wp:positionV>
            <wp:extent cx="883285" cy="889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883285" cy="8890"/>
                    </a:xfrm>
                    <a:prstGeom prst="rect">
                      <a:avLst/>
                    </a:prstGeom>
                    <a:noFill/>
                  </pic:spPr>
                </pic:pic>
              </a:graphicData>
            </a:graphic>
          </wp:anchor>
        </w:drawing>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type w:val="continuous"/>
        </w:sectPr>
      </w:pPr>
    </w:p>
    <w:bookmarkStart w:id="225" w:name="page226"/>
    <w:bookmarkEnd w:id="22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9" w:lineRule="exact"/>
        <w:rPr>
          <w:sz w:val="20"/>
          <w:szCs w:val="20"/>
          <w:color w:val="auto"/>
        </w:rPr>
      </w:pPr>
    </w:p>
    <w:p>
      <w:pPr>
        <w:ind w:left="540" w:hanging="532"/>
        <w:spacing w:after="0"/>
        <w:tabs>
          <w:tab w:leader="none" w:pos="540" w:val="left"/>
        </w:tabs>
        <w:numPr>
          <w:ilvl w:val="0"/>
          <w:numId w:val="93"/>
        </w:numPr>
        <w:rPr>
          <w:rFonts w:ascii="Arial" w:cs="Arial" w:eastAsia="Arial" w:hAnsi="Arial"/>
          <w:sz w:val="12"/>
          <w:szCs w:val="12"/>
          <w:color w:val="auto"/>
        </w:rPr>
      </w:pPr>
      <w:r>
        <w:rPr>
          <w:rFonts w:ascii="Arial" w:cs="Arial" w:eastAsia="Arial" w:hAnsi="Arial"/>
          <w:sz w:val="12"/>
          <w:szCs w:val="12"/>
          <w:color w:val="auto"/>
        </w:rPr>
        <w:t>Incorporated by reference to exhibit filed with Principal Financial Group Inc.'s Current Report on Form 8-K filed on September 10, 2012 (Commission File No. 1-16725).</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93"/>
        </w:numPr>
        <w:rPr>
          <w:rFonts w:ascii="Arial" w:cs="Arial" w:eastAsia="Arial" w:hAnsi="Arial"/>
          <w:sz w:val="12"/>
          <w:szCs w:val="12"/>
          <w:color w:val="auto"/>
        </w:rPr>
      </w:pPr>
      <w:r>
        <w:rPr>
          <w:rFonts w:ascii="Arial" w:cs="Arial" w:eastAsia="Arial" w:hAnsi="Arial"/>
          <w:sz w:val="12"/>
          <w:szCs w:val="12"/>
          <w:color w:val="auto"/>
        </w:rPr>
        <w:t>Incorporated by reference to exhibit filed with Principal Financial Group Inc.'s Current Report on Form 8-K filed on November 16, 2012 (Commission File No. 1-16725).</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93"/>
        </w:numPr>
        <w:rPr>
          <w:rFonts w:ascii="Arial" w:cs="Arial" w:eastAsia="Arial" w:hAnsi="Arial"/>
          <w:sz w:val="12"/>
          <w:szCs w:val="12"/>
          <w:color w:val="auto"/>
        </w:rPr>
      </w:pPr>
      <w:r>
        <w:rPr>
          <w:rFonts w:ascii="Arial" w:cs="Arial" w:eastAsia="Arial" w:hAnsi="Arial"/>
          <w:sz w:val="12"/>
          <w:szCs w:val="12"/>
          <w:color w:val="auto"/>
        </w:rPr>
        <w:t>Incorporated by reference to exhibit filed with Principal Financial Group, Inc.'s Quarterly Report on Form 10-Q for the quarter ended June 30, 2003 (Commission File No. 1-16725).</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93"/>
        </w:numPr>
        <w:rPr>
          <w:rFonts w:ascii="Arial" w:cs="Arial" w:eastAsia="Arial" w:hAnsi="Arial"/>
          <w:sz w:val="14"/>
          <w:szCs w:val="14"/>
          <w:color w:val="auto"/>
        </w:rPr>
      </w:pPr>
      <w:r>
        <w:rPr>
          <w:rFonts w:ascii="Arial" w:cs="Arial" w:eastAsia="Arial" w:hAnsi="Arial"/>
          <w:sz w:val="14"/>
          <w:szCs w:val="14"/>
          <w:color w:val="auto"/>
        </w:rPr>
        <w:t>Incorporated by reference to exhibit filed with Principal Financial Group, Inc.'s Current Report on Form 8-K filed on March 7, 2005 (Commission File No. 1-16725).</w:t>
      </w:r>
    </w:p>
    <w:p>
      <w:pPr>
        <w:spacing w:after="0" w:line="122" w:lineRule="exact"/>
        <w:rPr>
          <w:rFonts w:ascii="Arial" w:cs="Arial" w:eastAsia="Arial" w:hAnsi="Arial"/>
          <w:sz w:val="14"/>
          <w:szCs w:val="14"/>
          <w:color w:val="auto"/>
        </w:rPr>
      </w:pPr>
    </w:p>
    <w:p>
      <w:pPr>
        <w:ind w:left="540" w:hanging="532"/>
        <w:spacing w:after="0"/>
        <w:tabs>
          <w:tab w:leader="none" w:pos="540" w:val="left"/>
        </w:tabs>
        <w:numPr>
          <w:ilvl w:val="0"/>
          <w:numId w:val="93"/>
        </w:numPr>
        <w:rPr>
          <w:rFonts w:ascii="Arial" w:cs="Arial" w:eastAsia="Arial" w:hAnsi="Arial"/>
          <w:sz w:val="12"/>
          <w:szCs w:val="12"/>
          <w:color w:val="auto"/>
        </w:rPr>
      </w:pPr>
      <w:r>
        <w:rPr>
          <w:rFonts w:ascii="Arial" w:cs="Arial" w:eastAsia="Arial" w:hAnsi="Arial"/>
          <w:sz w:val="12"/>
          <w:szCs w:val="12"/>
          <w:color w:val="auto"/>
        </w:rPr>
        <w:t>Incorporated by reference to exhibit filed with Principal Financial Group, Inc.'s Quarterly Report on Form 10-Q for the quarter ended June 30, 2005 (Commission File No. 1-16725).</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93"/>
        </w:numPr>
        <w:rPr>
          <w:rFonts w:ascii="Arial" w:cs="Arial" w:eastAsia="Arial" w:hAnsi="Arial"/>
          <w:sz w:val="12"/>
          <w:szCs w:val="12"/>
          <w:color w:val="auto"/>
        </w:rPr>
      </w:pPr>
      <w:r>
        <w:rPr>
          <w:rFonts w:ascii="Arial" w:cs="Arial" w:eastAsia="Arial" w:hAnsi="Arial"/>
          <w:sz w:val="12"/>
          <w:szCs w:val="12"/>
          <w:color w:val="auto"/>
        </w:rPr>
        <w:t>Incorporated by reference to Appendix A of Principal Financial Group, Inc.'s 2010 Definitive Proxy Statement on Form DEF14A, filed on April 6, 2010 (Commission File No. 1-16725).</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93"/>
        </w:numPr>
        <w:rPr>
          <w:rFonts w:ascii="Arial" w:cs="Arial" w:eastAsia="Arial" w:hAnsi="Arial"/>
          <w:sz w:val="12"/>
          <w:szCs w:val="12"/>
          <w:color w:val="auto"/>
        </w:rPr>
      </w:pPr>
      <w:r>
        <w:rPr>
          <w:rFonts w:ascii="Arial" w:cs="Arial" w:eastAsia="Arial" w:hAnsi="Arial"/>
          <w:sz w:val="12"/>
          <w:szCs w:val="12"/>
          <w:color w:val="auto"/>
        </w:rPr>
        <w:t>Incorporated by reference to exhibit filed with Principal Financial Group Inc.'s Quarterly Report on Form 10-Q for the quarter ended March 31, 2012 (Commission File No. 1-16725).</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93"/>
        </w:numPr>
        <w:rPr>
          <w:rFonts w:ascii="Arial" w:cs="Arial" w:eastAsia="Arial" w:hAnsi="Arial"/>
          <w:sz w:val="12"/>
          <w:szCs w:val="12"/>
          <w:color w:val="auto"/>
        </w:rPr>
      </w:pPr>
      <w:r>
        <w:rPr>
          <w:rFonts w:ascii="Arial" w:cs="Arial" w:eastAsia="Arial" w:hAnsi="Arial"/>
          <w:sz w:val="12"/>
          <w:szCs w:val="12"/>
          <w:color w:val="auto"/>
        </w:rPr>
        <w:t>Incorporated by reference to the exhibit filed with Principal Financial Group, Inc.'s Annual Report on Form 10-K for the year ended December 31, 2002 (Commission File No. 1-16725).</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93"/>
        </w:numPr>
        <w:rPr>
          <w:rFonts w:ascii="Arial" w:cs="Arial" w:eastAsia="Arial" w:hAnsi="Arial"/>
          <w:sz w:val="12"/>
          <w:szCs w:val="12"/>
          <w:color w:val="auto"/>
        </w:rPr>
      </w:pPr>
      <w:r>
        <w:rPr>
          <w:rFonts w:ascii="Arial" w:cs="Arial" w:eastAsia="Arial" w:hAnsi="Arial"/>
          <w:sz w:val="12"/>
          <w:szCs w:val="12"/>
          <w:color w:val="auto"/>
        </w:rPr>
        <w:t>Incorporated by reference to exhibit filed with Principal Financial Group, Inc.'s Quarterly Report on Form 10-Q for the quarter ended March 31, 2003 (Commission File No. 1-16725).</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93"/>
        </w:numPr>
        <w:rPr>
          <w:rFonts w:ascii="Arial" w:cs="Arial" w:eastAsia="Arial" w:hAnsi="Arial"/>
          <w:sz w:val="12"/>
          <w:szCs w:val="12"/>
          <w:color w:val="auto"/>
        </w:rPr>
      </w:pPr>
      <w:r>
        <w:rPr>
          <w:rFonts w:ascii="Arial" w:cs="Arial" w:eastAsia="Arial" w:hAnsi="Arial"/>
          <w:sz w:val="12"/>
          <w:szCs w:val="12"/>
          <w:color w:val="auto"/>
        </w:rPr>
        <w:t>Incorporated by reference to exhibit filed with Principal Financial Group, Inc.'s Annual Report on Form 10-K for the year ended December 31, 2004 (Commission File No. 1-16725).</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93"/>
        </w:numPr>
        <w:rPr>
          <w:rFonts w:ascii="Arial" w:cs="Arial" w:eastAsia="Arial" w:hAnsi="Arial"/>
          <w:sz w:val="12"/>
          <w:szCs w:val="12"/>
          <w:color w:val="auto"/>
        </w:rPr>
      </w:pPr>
      <w:r>
        <w:rPr>
          <w:rFonts w:ascii="Arial" w:cs="Arial" w:eastAsia="Arial" w:hAnsi="Arial"/>
          <w:sz w:val="12"/>
          <w:szCs w:val="12"/>
          <w:color w:val="auto"/>
        </w:rPr>
        <w:t>Incorporated by reference to exhibit filed with Principal Financial Group, Inc.'s Quarterly Report on Form 10-Q for the quarter ended September 30, 2008 (Commission File No. 1-16725).</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93"/>
        </w:numPr>
        <w:rPr>
          <w:rFonts w:ascii="Arial" w:cs="Arial" w:eastAsia="Arial" w:hAnsi="Arial"/>
          <w:sz w:val="12"/>
          <w:szCs w:val="12"/>
          <w:color w:val="auto"/>
        </w:rPr>
      </w:pPr>
      <w:r>
        <w:rPr>
          <w:rFonts w:ascii="Arial" w:cs="Arial" w:eastAsia="Arial" w:hAnsi="Arial"/>
          <w:sz w:val="12"/>
          <w:szCs w:val="12"/>
          <w:color w:val="auto"/>
        </w:rPr>
        <w:t>Incorporated by reference to the Principal Financial Group, Inc. Quarterly Report on Form 10-Q for the quarter ended March 31, 2009 (Commission File No. 1-16725)</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93"/>
        </w:numPr>
        <w:rPr>
          <w:rFonts w:ascii="Arial" w:cs="Arial" w:eastAsia="Arial" w:hAnsi="Arial"/>
          <w:sz w:val="12"/>
          <w:szCs w:val="12"/>
          <w:color w:val="auto"/>
        </w:rPr>
      </w:pPr>
      <w:r>
        <w:rPr>
          <w:rFonts w:ascii="Arial" w:cs="Arial" w:eastAsia="Arial" w:hAnsi="Arial"/>
          <w:sz w:val="12"/>
          <w:szCs w:val="12"/>
          <w:color w:val="auto"/>
        </w:rPr>
        <w:t>Incorporated herein by reference to exhibit filed with Principal Financial Group Inc.'s Annual Report on Form 10-K for the year ended December 31, 2010 (Commission File No. 1-16725).</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93"/>
        </w:numPr>
        <w:rPr>
          <w:rFonts w:ascii="Arial" w:cs="Arial" w:eastAsia="Arial" w:hAnsi="Arial"/>
          <w:sz w:val="12"/>
          <w:szCs w:val="12"/>
          <w:color w:val="auto"/>
        </w:rPr>
      </w:pPr>
      <w:r>
        <w:rPr>
          <w:rFonts w:ascii="Arial" w:cs="Arial" w:eastAsia="Arial" w:hAnsi="Arial"/>
          <w:sz w:val="12"/>
          <w:szCs w:val="12"/>
          <w:color w:val="auto"/>
        </w:rPr>
        <w:t>Incorporated by reference to exhibit filed with Principal Financial Group Inc.'s Annual Report on Form 10-K for the year ended December 31, 2011 (Commission File No. 1-16725).</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93"/>
        </w:numPr>
        <w:rPr>
          <w:rFonts w:ascii="Arial" w:cs="Arial" w:eastAsia="Arial" w:hAnsi="Arial"/>
          <w:sz w:val="12"/>
          <w:szCs w:val="12"/>
          <w:color w:val="auto"/>
        </w:rPr>
      </w:pPr>
      <w:r>
        <w:rPr>
          <w:rFonts w:ascii="Arial" w:cs="Arial" w:eastAsia="Arial" w:hAnsi="Arial"/>
          <w:sz w:val="12"/>
          <w:szCs w:val="12"/>
          <w:color w:val="auto"/>
        </w:rPr>
        <w:t>Incorporated by reference to the exhibit filed with Principal Financial Group, Inc.'s Annual Report on Form 10-K for the year ended December 31, 2005 (Commission File 1-16725).</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93"/>
        </w:numPr>
        <w:rPr>
          <w:rFonts w:ascii="Arial" w:cs="Arial" w:eastAsia="Arial" w:hAnsi="Arial"/>
          <w:sz w:val="12"/>
          <w:szCs w:val="12"/>
          <w:color w:val="auto"/>
        </w:rPr>
      </w:pPr>
      <w:r>
        <w:rPr>
          <w:rFonts w:ascii="Arial" w:cs="Arial" w:eastAsia="Arial" w:hAnsi="Arial"/>
          <w:sz w:val="12"/>
          <w:szCs w:val="12"/>
          <w:color w:val="auto"/>
        </w:rPr>
        <w:t>Incorporated by reference to exhibit filed with Principal Financial Group, Inc.'s Quarterly Report on Form 10-Q for the quarter ended March 31, 2004 (Commission File No. 1-16725).</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93"/>
        </w:numPr>
        <w:rPr>
          <w:rFonts w:ascii="Arial" w:cs="Arial" w:eastAsia="Arial" w:hAnsi="Arial"/>
          <w:sz w:val="12"/>
          <w:szCs w:val="12"/>
          <w:color w:val="auto"/>
        </w:rPr>
      </w:pPr>
      <w:r>
        <w:rPr>
          <w:rFonts w:ascii="Arial" w:cs="Arial" w:eastAsia="Arial" w:hAnsi="Arial"/>
          <w:sz w:val="12"/>
          <w:szCs w:val="12"/>
          <w:color w:val="auto"/>
        </w:rPr>
        <w:t>Incorporated by reference to exhibit filed with Principal Financial Group, Inc.'s Quarterly Report on Form 10-Q for the quarter ended March 31, 2006 (Commission File No. 1-16725).</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93"/>
        </w:numPr>
        <w:rPr>
          <w:rFonts w:ascii="Arial" w:cs="Arial" w:eastAsia="Arial" w:hAnsi="Arial"/>
          <w:sz w:val="12"/>
          <w:szCs w:val="12"/>
          <w:color w:val="auto"/>
        </w:rPr>
      </w:pPr>
      <w:r>
        <w:rPr>
          <w:rFonts w:ascii="Arial" w:cs="Arial" w:eastAsia="Arial" w:hAnsi="Arial"/>
          <w:sz w:val="12"/>
          <w:szCs w:val="12"/>
          <w:color w:val="auto"/>
        </w:rPr>
        <w:t>Incorporated by reference to exhibit filed with Principal Financial Group, Inc.'s Current Report on Form 8-K filed on December 2, 2008 (Commission File No. 1-16725).</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93"/>
        </w:numPr>
        <w:rPr>
          <w:rFonts w:ascii="Arial" w:cs="Arial" w:eastAsia="Arial" w:hAnsi="Arial"/>
          <w:sz w:val="12"/>
          <w:szCs w:val="12"/>
          <w:color w:val="auto"/>
        </w:rPr>
      </w:pPr>
      <w:r>
        <w:rPr>
          <w:rFonts w:ascii="Arial" w:cs="Arial" w:eastAsia="Arial" w:hAnsi="Arial"/>
          <w:sz w:val="12"/>
          <w:szCs w:val="12"/>
          <w:color w:val="auto"/>
        </w:rPr>
        <w:t>Incorporated by reference to exhibit filed with Principal Financial Group, Inc.'s Quarterly Report on Form 10-Q for the quarter ended March 31, 2002 (Commission File No. 1-16725).</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93"/>
        </w:numPr>
        <w:rPr>
          <w:rFonts w:ascii="Arial" w:cs="Arial" w:eastAsia="Arial" w:hAnsi="Arial"/>
          <w:sz w:val="12"/>
          <w:szCs w:val="12"/>
          <w:color w:val="auto"/>
        </w:rPr>
      </w:pPr>
      <w:r>
        <w:rPr>
          <w:rFonts w:ascii="Arial" w:cs="Arial" w:eastAsia="Arial" w:hAnsi="Arial"/>
          <w:sz w:val="12"/>
          <w:szCs w:val="12"/>
          <w:color w:val="auto"/>
        </w:rPr>
        <w:t>Incorporated by reference to exhibit filed with Principal Financial Group, Inc.'s Quarterly Report on Form 10-Q for the quarter ended June 30, 2008 (Commission File No. 1-16725).</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93"/>
        </w:numPr>
        <w:rPr>
          <w:rFonts w:ascii="Arial" w:cs="Arial" w:eastAsia="Arial" w:hAnsi="Arial"/>
          <w:sz w:val="12"/>
          <w:szCs w:val="12"/>
          <w:color w:val="auto"/>
        </w:rPr>
      </w:pPr>
      <w:r>
        <w:rPr>
          <w:rFonts w:ascii="Arial" w:cs="Arial" w:eastAsia="Arial" w:hAnsi="Arial"/>
          <w:sz w:val="12"/>
          <w:szCs w:val="12"/>
          <w:color w:val="auto"/>
        </w:rPr>
        <w:t>Incorporated by reference to the exhibit filed with Principal Financial Group, Inc.'s Annual Report on Form 10-K for the year ended December 31, 2009 (Commission File No. 1-16725).</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93"/>
        </w:numPr>
        <w:rPr>
          <w:rFonts w:ascii="Arial" w:cs="Arial" w:eastAsia="Arial" w:hAnsi="Arial"/>
          <w:sz w:val="14"/>
          <w:szCs w:val="14"/>
          <w:color w:val="auto"/>
        </w:rPr>
      </w:pPr>
      <w:r>
        <w:rPr>
          <w:rFonts w:ascii="Arial" w:cs="Arial" w:eastAsia="Arial" w:hAnsi="Arial"/>
          <w:sz w:val="14"/>
          <w:szCs w:val="14"/>
          <w:color w:val="auto"/>
        </w:rPr>
        <w:t>Filed herewith.</w:t>
      </w:r>
    </w:p>
    <w:p>
      <w:pPr>
        <w:spacing w:after="0" w:line="206"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222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720"/>
          </w:cols>
          <w:pgMar w:left="240" w:top="131" w:right="939" w:bottom="1440" w:gutter="0" w:footer="0" w:header="0"/>
        </w:sectPr>
      </w:pPr>
    </w:p>
    <w:bookmarkStart w:id="226" w:name="page227"/>
    <w:bookmarkEnd w:id="226"/>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227" w:name="page228"/>
    <w:bookmarkEnd w:id="227"/>
    <w:p>
      <w:pPr>
        <w:jc w:val="right"/>
        <w:ind w:right="40"/>
        <w:spacing w:after="0"/>
        <w:rPr>
          <w:sz w:val="20"/>
          <w:szCs w:val="20"/>
          <w:color w:val="auto"/>
        </w:rPr>
      </w:pPr>
      <w:r>
        <w:rPr>
          <w:rFonts w:ascii="Arial" w:cs="Arial" w:eastAsia="Arial" w:hAnsi="Arial"/>
          <w:sz w:val="18"/>
          <w:szCs w:val="18"/>
          <w:b w:val="1"/>
          <w:bCs w:val="1"/>
          <w:color w:val="auto"/>
        </w:rPr>
        <w:t>Exhibit 12</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Computation of Earnings to Fixed Charges Ratio</w:t>
      </w:r>
    </w:p>
    <w:p>
      <w:pPr>
        <w:spacing w:after="0" w:line="211" w:lineRule="exact"/>
        <w:rPr>
          <w:sz w:val="20"/>
          <w:szCs w:val="20"/>
          <w:color w:val="auto"/>
        </w:rPr>
      </w:pPr>
    </w:p>
    <w:p>
      <w:pPr>
        <w:ind w:right="40" w:firstLine="648"/>
        <w:spacing w:after="0" w:line="264" w:lineRule="auto"/>
        <w:rPr>
          <w:sz w:val="20"/>
          <w:szCs w:val="20"/>
          <w:color w:val="auto"/>
        </w:rPr>
      </w:pPr>
      <w:r>
        <w:rPr>
          <w:rFonts w:ascii="Arial" w:cs="Arial" w:eastAsia="Arial" w:hAnsi="Arial"/>
          <w:sz w:val="18"/>
          <w:szCs w:val="18"/>
          <w:color w:val="auto"/>
        </w:rPr>
        <w:t>The ratio of earnings to fixed charges is a measure of our ability to cover fixed costs with current period earnings. A high ratio indicates that earnings are sufficiently covering committed expenses. The following table sets forth, for the periods indicated, our ratios of: (1) earnings to fixed charges before interest credited on investment products and (2) earnings to fixed charges.</w:t>
      </w:r>
    </w:p>
    <w:p>
      <w:pPr>
        <w:spacing w:after="0" w:line="173" w:lineRule="exact"/>
        <w:rPr>
          <w:sz w:val="20"/>
          <w:szCs w:val="20"/>
          <w:color w:val="auto"/>
        </w:rPr>
      </w:pPr>
    </w:p>
    <w:p>
      <w:pPr>
        <w:jc w:val="center"/>
        <w:ind w:left="4420"/>
        <w:spacing w:after="0"/>
        <w:rPr>
          <w:sz w:val="20"/>
          <w:szCs w:val="20"/>
          <w:color w:val="auto"/>
        </w:rPr>
      </w:pPr>
      <w:r>
        <w:rPr>
          <w:rFonts w:ascii="Arial" w:cs="Arial" w:eastAsia="Arial" w:hAnsi="Arial"/>
          <w:sz w:val="14"/>
          <w:szCs w:val="14"/>
          <w:b w:val="1"/>
          <w:bCs w:val="1"/>
          <w:color w:val="auto"/>
        </w:rPr>
        <w:t>For the year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6350</wp:posOffset>
            </wp:positionV>
            <wp:extent cx="4322445" cy="889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4322445" cy="8890"/>
                    </a:xfrm>
                    <a:prstGeom prst="rect">
                      <a:avLst/>
                    </a:prstGeom>
                    <a:noFill/>
                  </pic:spPr>
                </pic:pic>
              </a:graphicData>
            </a:graphic>
          </wp:anchor>
        </w:drawing>
      </w:r>
    </w:p>
    <w:p>
      <w:pPr>
        <w:ind w:left="4960"/>
        <w:spacing w:after="0"/>
        <w:tabs>
          <w:tab w:leader="none" w:pos="6380" w:val="left"/>
          <w:tab w:leader="none" w:pos="7800" w:val="left"/>
          <w:tab w:leader="none" w:pos="9180" w:val="left"/>
          <w:tab w:leader="none" w:pos="10580" w:val="left"/>
        </w:tabs>
        <w:rPr>
          <w:sz w:val="20"/>
          <w:szCs w:val="20"/>
          <w:color w:val="auto"/>
        </w:rPr>
      </w:pPr>
      <w:r>
        <w:rPr>
          <w:rFonts w:ascii="Arial" w:cs="Arial" w:eastAsia="Arial" w:hAnsi="Arial"/>
          <w:sz w:val="14"/>
          <w:szCs w:val="14"/>
          <w:b w:val="1"/>
          <w:bCs w:val="1"/>
          <w:color w:val="auto"/>
        </w:rPr>
        <w:t>2013</w:t>
      </w:r>
      <w:r>
        <w:rPr>
          <w:sz w:val="20"/>
          <w:szCs w:val="20"/>
          <w:color w:val="auto"/>
        </w:rPr>
        <w:tab/>
      </w:r>
      <w:r>
        <w:rPr>
          <w:rFonts w:ascii="Arial" w:cs="Arial" w:eastAsia="Arial" w:hAnsi="Arial"/>
          <w:sz w:val="14"/>
          <w:szCs w:val="14"/>
          <w:b w:val="1"/>
          <w:bCs w:val="1"/>
          <w:color w:val="auto"/>
        </w:rPr>
        <w:t>2012</w:t>
      </w:r>
      <w:r>
        <w:rPr>
          <w:sz w:val="20"/>
          <w:szCs w:val="20"/>
          <w:color w:val="auto"/>
        </w:rPr>
        <w:tab/>
      </w:r>
      <w:r>
        <w:rPr>
          <w:rFonts w:ascii="Arial" w:cs="Arial" w:eastAsia="Arial" w:hAnsi="Arial"/>
          <w:sz w:val="14"/>
          <w:szCs w:val="14"/>
          <w:b w:val="1"/>
          <w:bCs w:val="1"/>
          <w:color w:val="auto"/>
        </w:rPr>
        <w:t>2011</w:t>
      </w:r>
      <w:r>
        <w:rPr>
          <w:sz w:val="20"/>
          <w:szCs w:val="20"/>
          <w:color w:val="auto"/>
        </w:rPr>
        <w:tab/>
      </w:r>
      <w:r>
        <w:rPr>
          <w:rFonts w:ascii="Arial" w:cs="Arial" w:eastAsia="Arial" w:hAnsi="Arial"/>
          <w:sz w:val="14"/>
          <w:szCs w:val="14"/>
          <w:b w:val="1"/>
          <w:bCs w:val="1"/>
          <w:color w:val="auto"/>
        </w:rPr>
        <w:t>2010</w:t>
      </w:r>
      <w:r>
        <w:rPr>
          <w:sz w:val="20"/>
          <w:szCs w:val="20"/>
          <w:color w:val="auto"/>
        </w:rPr>
        <w:tab/>
      </w:r>
      <w:r>
        <w:rPr>
          <w:rFonts w:ascii="Arial" w:cs="Arial" w:eastAsia="Arial" w:hAnsi="Arial"/>
          <w:sz w:val="12"/>
          <w:szCs w:val="12"/>
          <w:b w:val="1"/>
          <w:bCs w:val="1"/>
          <w:color w:val="auto"/>
        </w:rPr>
        <w:t>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-3175</wp:posOffset>
            </wp:positionV>
            <wp:extent cx="4322445" cy="889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4322445" cy="8890"/>
                    </a:xfrm>
                    <a:prstGeom prst="rect">
                      <a:avLst/>
                    </a:prstGeom>
                    <a:noFill/>
                  </pic:spPr>
                </pic:pic>
              </a:graphicData>
            </a:graphic>
          </wp:anchor>
        </w:drawing>
      </w:r>
    </w:p>
    <w:p>
      <w:pPr>
        <w:spacing w:after="0" w:line="122" w:lineRule="exact"/>
        <w:rPr>
          <w:sz w:val="20"/>
          <w:szCs w:val="20"/>
          <w:color w:val="auto"/>
        </w:rPr>
      </w:pPr>
    </w:p>
    <w:p>
      <w:pPr>
        <w:ind w:left="580" w:hanging="572"/>
        <w:spacing w:after="0"/>
        <w:tabs>
          <w:tab w:leader="none" w:pos="580" w:val="left"/>
        </w:tabs>
        <w:numPr>
          <w:ilvl w:val="0"/>
          <w:numId w:val="94"/>
        </w:numPr>
        <w:rPr>
          <w:rFonts w:ascii="Arial" w:cs="Arial" w:eastAsia="Arial" w:hAnsi="Arial"/>
          <w:sz w:val="18"/>
          <w:szCs w:val="18"/>
          <w:color w:val="auto"/>
        </w:rPr>
      </w:pPr>
      <w:r>
        <w:rPr>
          <w:rFonts w:ascii="Arial" w:cs="Arial" w:eastAsia="Arial" w:hAnsi="Arial"/>
          <w:sz w:val="18"/>
          <w:szCs w:val="18"/>
          <w:color w:val="auto"/>
        </w:rPr>
        <w:t>Income from continuing operations before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246620" cy="27432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7246620" cy="27432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07"/>
        </w:trPr>
        <w:tc>
          <w:tcPr>
            <w:tcW w:w="360" w:type="dxa"/>
            <w:vAlign w:val="bottom"/>
          </w:tcPr>
          <w:p>
            <w:pPr>
              <w:spacing w:after="0"/>
              <w:rPr>
                <w:sz w:val="17"/>
                <w:szCs w:val="17"/>
                <w:color w:val="auto"/>
              </w:rPr>
            </w:pPr>
          </w:p>
        </w:tc>
        <w:tc>
          <w:tcPr>
            <w:tcW w:w="3780" w:type="dxa"/>
            <w:vAlign w:val="bottom"/>
          </w:tcPr>
          <w:p>
            <w:pPr>
              <w:ind w:left="400"/>
              <w:spacing w:after="0"/>
              <w:rPr>
                <w:sz w:val="20"/>
                <w:szCs w:val="20"/>
                <w:color w:val="auto"/>
              </w:rPr>
            </w:pPr>
            <w:r>
              <w:rPr>
                <w:rFonts w:ascii="Arial" w:cs="Arial" w:eastAsia="Arial" w:hAnsi="Arial"/>
                <w:sz w:val="18"/>
                <w:szCs w:val="18"/>
                <w:color w:val="auto"/>
              </w:rPr>
              <w:t>taxes</w:t>
            </w:r>
          </w:p>
        </w:tc>
        <w:tc>
          <w:tcPr>
            <w:tcW w:w="740" w:type="dxa"/>
            <w:vAlign w:val="bottom"/>
          </w:tcPr>
          <w:p>
            <w:pPr>
              <w:jc w:val="right"/>
              <w:ind w:right="190"/>
              <w:spacing w:after="0"/>
              <w:rPr>
                <w:sz w:val="20"/>
                <w:szCs w:val="20"/>
                <w:color w:val="auto"/>
              </w:rPr>
            </w:pPr>
            <w:r>
              <w:rPr>
                <w:rFonts w:ascii="Arial" w:cs="Arial" w:eastAsia="Arial" w:hAnsi="Arial"/>
                <w:sz w:val="18"/>
                <w:szCs w:val="18"/>
                <w:b w:val="1"/>
                <w:bCs w:val="1"/>
                <w:color w:val="auto"/>
              </w:rPr>
              <w:t>$</w:t>
            </w:r>
          </w:p>
        </w:tc>
        <w:tc>
          <w:tcPr>
            <w:tcW w:w="980" w:type="dxa"/>
            <w:vAlign w:val="bottom"/>
          </w:tcPr>
          <w:p>
            <w:pPr>
              <w:jc w:val="right"/>
              <w:ind w:right="70"/>
              <w:spacing w:after="0"/>
              <w:rPr>
                <w:sz w:val="20"/>
                <w:szCs w:val="20"/>
                <w:color w:val="auto"/>
              </w:rPr>
            </w:pPr>
            <w:r>
              <w:rPr>
                <w:rFonts w:ascii="Arial" w:cs="Arial" w:eastAsia="Arial" w:hAnsi="Arial"/>
                <w:sz w:val="18"/>
                <w:szCs w:val="18"/>
                <w:b w:val="1"/>
                <w:bCs w:val="1"/>
                <w:color w:val="auto"/>
              </w:rPr>
              <w:t>1,124.0</w:t>
            </w:r>
          </w:p>
        </w:tc>
        <w:tc>
          <w:tcPr>
            <w:tcW w:w="520" w:type="dxa"/>
            <w:vAlign w:val="bottom"/>
          </w:tcPr>
          <w:p>
            <w:pPr>
              <w:jc w:val="right"/>
              <w:ind w:right="250"/>
              <w:spacing w:after="0"/>
              <w:rPr>
                <w:sz w:val="20"/>
                <w:szCs w:val="20"/>
                <w:color w:val="auto"/>
              </w:rPr>
            </w:pPr>
            <w:r>
              <w:rPr>
                <w:rFonts w:ascii="Arial" w:cs="Arial" w:eastAsia="Arial" w:hAnsi="Arial"/>
                <w:sz w:val="18"/>
                <w:szCs w:val="18"/>
                <w:color w:val="auto"/>
              </w:rPr>
              <w:t>$</w:t>
            </w:r>
          </w:p>
        </w:tc>
        <w:tc>
          <w:tcPr>
            <w:tcW w:w="920" w:type="dxa"/>
            <w:vAlign w:val="bottom"/>
          </w:tcPr>
          <w:p>
            <w:pPr>
              <w:jc w:val="right"/>
              <w:ind w:right="70"/>
              <w:spacing w:after="0"/>
              <w:rPr>
                <w:sz w:val="20"/>
                <w:szCs w:val="20"/>
                <w:color w:val="auto"/>
              </w:rPr>
            </w:pPr>
            <w:r>
              <w:rPr>
                <w:rFonts w:ascii="Arial" w:cs="Arial" w:eastAsia="Arial" w:hAnsi="Arial"/>
                <w:sz w:val="18"/>
                <w:szCs w:val="18"/>
                <w:color w:val="auto"/>
              </w:rPr>
              <w:t>960.0</w:t>
            </w:r>
          </w:p>
        </w:tc>
        <w:tc>
          <w:tcPr>
            <w:tcW w:w="500" w:type="dxa"/>
            <w:vAlign w:val="bottom"/>
          </w:tcPr>
          <w:p>
            <w:pPr>
              <w:jc w:val="right"/>
              <w:ind w:right="230"/>
              <w:spacing w:after="0"/>
              <w:rPr>
                <w:sz w:val="20"/>
                <w:szCs w:val="20"/>
                <w:color w:val="auto"/>
              </w:rPr>
            </w:pPr>
            <w:r>
              <w:rPr>
                <w:rFonts w:ascii="Arial" w:cs="Arial" w:eastAsia="Arial" w:hAnsi="Arial"/>
                <w:sz w:val="18"/>
                <w:szCs w:val="18"/>
                <w:color w:val="auto"/>
              </w:rPr>
              <w:t>$</w:t>
            </w:r>
          </w:p>
        </w:tc>
        <w:tc>
          <w:tcPr>
            <w:tcW w:w="880" w:type="dxa"/>
            <w:vAlign w:val="bottom"/>
          </w:tcPr>
          <w:p>
            <w:pPr>
              <w:jc w:val="right"/>
              <w:ind w:right="50"/>
              <w:spacing w:after="0"/>
              <w:rPr>
                <w:sz w:val="20"/>
                <w:szCs w:val="20"/>
                <w:color w:val="auto"/>
              </w:rPr>
            </w:pPr>
            <w:r>
              <w:rPr>
                <w:rFonts w:ascii="Arial" w:cs="Arial" w:eastAsia="Arial" w:hAnsi="Arial"/>
                <w:sz w:val="18"/>
                <w:szCs w:val="18"/>
                <w:color w:val="auto"/>
              </w:rPr>
              <w:t>872.8</w:t>
            </w:r>
          </w:p>
        </w:tc>
        <w:tc>
          <w:tcPr>
            <w:tcW w:w="480" w:type="dxa"/>
            <w:vAlign w:val="bottom"/>
          </w:tcPr>
          <w:p>
            <w:pPr>
              <w:jc w:val="right"/>
              <w:ind w:right="210"/>
              <w:spacing w:after="0"/>
              <w:rPr>
                <w:sz w:val="20"/>
                <w:szCs w:val="20"/>
                <w:color w:val="auto"/>
              </w:rPr>
            </w:pPr>
            <w:r>
              <w:rPr>
                <w:rFonts w:ascii="Arial" w:cs="Arial" w:eastAsia="Arial" w:hAnsi="Arial"/>
                <w:sz w:val="18"/>
                <w:szCs w:val="18"/>
                <w:color w:val="auto"/>
              </w:rPr>
              <w:t>$</w:t>
            </w:r>
          </w:p>
        </w:tc>
        <w:tc>
          <w:tcPr>
            <w:tcW w:w="920" w:type="dxa"/>
            <w:vAlign w:val="bottom"/>
          </w:tcPr>
          <w:p>
            <w:pPr>
              <w:jc w:val="right"/>
              <w:ind w:right="50"/>
              <w:spacing w:after="0"/>
              <w:rPr>
                <w:sz w:val="20"/>
                <w:szCs w:val="20"/>
                <w:color w:val="auto"/>
              </w:rPr>
            </w:pPr>
            <w:r>
              <w:rPr>
                <w:rFonts w:ascii="Arial" w:cs="Arial" w:eastAsia="Arial" w:hAnsi="Arial"/>
                <w:sz w:val="18"/>
                <w:szCs w:val="18"/>
                <w:color w:val="auto"/>
              </w:rPr>
              <w:t>771.4</w:t>
            </w:r>
          </w:p>
        </w:tc>
        <w:tc>
          <w:tcPr>
            <w:tcW w:w="500" w:type="dxa"/>
            <w:vAlign w:val="bottom"/>
          </w:tcPr>
          <w:p>
            <w:pPr>
              <w:jc w:val="right"/>
              <w:ind w:right="230"/>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645.1</w:t>
            </w:r>
          </w:p>
        </w:tc>
      </w:tr>
      <w:tr>
        <w:trPr>
          <w:trHeight w:val="234"/>
        </w:trPr>
        <w:tc>
          <w:tcPr>
            <w:tcW w:w="360" w:type="dxa"/>
            <w:vAlign w:val="bottom"/>
          </w:tcPr>
          <w:p>
            <w:pPr>
              <w:jc w:val="right"/>
              <w:ind w:right="130"/>
              <w:spacing w:after="0"/>
              <w:rPr>
                <w:sz w:val="20"/>
                <w:szCs w:val="20"/>
                <w:color w:val="auto"/>
              </w:rPr>
            </w:pPr>
            <w:r>
              <w:rPr>
                <w:rFonts w:ascii="Arial" w:cs="Arial" w:eastAsia="Arial" w:hAnsi="Arial"/>
                <w:sz w:val="18"/>
                <w:szCs w:val="18"/>
                <w:color w:val="auto"/>
                <w:w w:val="79"/>
              </w:rPr>
              <w:t>2.</w:t>
            </w:r>
          </w:p>
        </w:tc>
        <w:tc>
          <w:tcPr>
            <w:tcW w:w="3780" w:type="dxa"/>
            <w:vAlign w:val="bottom"/>
          </w:tcPr>
          <w:p>
            <w:pPr>
              <w:ind w:left="220"/>
              <w:spacing w:after="0"/>
              <w:rPr>
                <w:sz w:val="20"/>
                <w:szCs w:val="20"/>
                <w:color w:val="auto"/>
              </w:rPr>
            </w:pPr>
            <w:r>
              <w:rPr>
                <w:rFonts w:ascii="Arial" w:cs="Arial" w:eastAsia="Arial" w:hAnsi="Arial"/>
                <w:sz w:val="18"/>
                <w:szCs w:val="18"/>
                <w:color w:val="auto"/>
              </w:rPr>
              <w:t>Interest expense</w:t>
            </w:r>
          </w:p>
        </w:tc>
        <w:tc>
          <w:tcPr>
            <w:tcW w:w="740" w:type="dxa"/>
            <w:vAlign w:val="bottom"/>
          </w:tcPr>
          <w:p>
            <w:pPr>
              <w:spacing w:after="0"/>
              <w:rPr>
                <w:sz w:val="20"/>
                <w:szCs w:val="20"/>
                <w:color w:val="auto"/>
              </w:rPr>
            </w:pPr>
          </w:p>
        </w:tc>
        <w:tc>
          <w:tcPr>
            <w:tcW w:w="980" w:type="dxa"/>
            <w:vAlign w:val="bottom"/>
          </w:tcPr>
          <w:p>
            <w:pPr>
              <w:jc w:val="right"/>
              <w:ind w:right="70"/>
              <w:spacing w:after="0"/>
              <w:rPr>
                <w:sz w:val="20"/>
                <w:szCs w:val="20"/>
                <w:color w:val="auto"/>
              </w:rPr>
            </w:pPr>
            <w:r>
              <w:rPr>
                <w:rFonts w:ascii="Arial" w:cs="Arial" w:eastAsia="Arial" w:hAnsi="Arial"/>
                <w:sz w:val="18"/>
                <w:szCs w:val="18"/>
                <w:b w:val="1"/>
                <w:bCs w:val="1"/>
                <w:color w:val="auto"/>
              </w:rPr>
              <w:t>143.4</w:t>
            </w:r>
          </w:p>
        </w:tc>
        <w:tc>
          <w:tcPr>
            <w:tcW w:w="520" w:type="dxa"/>
            <w:vAlign w:val="bottom"/>
          </w:tcPr>
          <w:p>
            <w:pPr>
              <w:spacing w:after="0"/>
              <w:rPr>
                <w:sz w:val="20"/>
                <w:szCs w:val="20"/>
                <w:color w:val="auto"/>
              </w:rPr>
            </w:pPr>
          </w:p>
        </w:tc>
        <w:tc>
          <w:tcPr>
            <w:tcW w:w="920" w:type="dxa"/>
            <w:vAlign w:val="bottom"/>
          </w:tcPr>
          <w:p>
            <w:pPr>
              <w:jc w:val="right"/>
              <w:ind w:right="70"/>
              <w:spacing w:after="0"/>
              <w:rPr>
                <w:sz w:val="20"/>
                <w:szCs w:val="20"/>
                <w:color w:val="auto"/>
              </w:rPr>
            </w:pPr>
            <w:r>
              <w:rPr>
                <w:rFonts w:ascii="Arial" w:cs="Arial" w:eastAsia="Arial" w:hAnsi="Arial"/>
                <w:sz w:val="18"/>
                <w:szCs w:val="18"/>
                <w:color w:val="auto"/>
              </w:rPr>
              <w:t>127.1</w:t>
            </w:r>
          </w:p>
        </w:tc>
        <w:tc>
          <w:tcPr>
            <w:tcW w:w="500" w:type="dxa"/>
            <w:vAlign w:val="bottom"/>
          </w:tcPr>
          <w:p>
            <w:pPr>
              <w:spacing w:after="0"/>
              <w:rPr>
                <w:sz w:val="20"/>
                <w:szCs w:val="20"/>
                <w:color w:val="auto"/>
              </w:rPr>
            </w:pPr>
          </w:p>
        </w:tc>
        <w:tc>
          <w:tcPr>
            <w:tcW w:w="880" w:type="dxa"/>
            <w:vAlign w:val="bottom"/>
          </w:tcPr>
          <w:p>
            <w:pPr>
              <w:jc w:val="right"/>
              <w:ind w:right="50"/>
              <w:spacing w:after="0"/>
              <w:rPr>
                <w:sz w:val="20"/>
                <w:szCs w:val="20"/>
                <w:color w:val="auto"/>
              </w:rPr>
            </w:pPr>
            <w:r>
              <w:rPr>
                <w:rFonts w:ascii="Arial" w:cs="Arial" w:eastAsia="Arial" w:hAnsi="Arial"/>
                <w:sz w:val="18"/>
                <w:szCs w:val="18"/>
                <w:color w:val="auto"/>
              </w:rPr>
              <w:t>140.5</w:t>
            </w:r>
          </w:p>
        </w:tc>
        <w:tc>
          <w:tcPr>
            <w:tcW w:w="480" w:type="dxa"/>
            <w:vAlign w:val="bottom"/>
          </w:tcPr>
          <w:p>
            <w:pPr>
              <w:spacing w:after="0"/>
              <w:rPr>
                <w:sz w:val="20"/>
                <w:szCs w:val="20"/>
                <w:color w:val="auto"/>
              </w:rPr>
            </w:pPr>
          </w:p>
        </w:tc>
        <w:tc>
          <w:tcPr>
            <w:tcW w:w="920" w:type="dxa"/>
            <w:vAlign w:val="bottom"/>
          </w:tcPr>
          <w:p>
            <w:pPr>
              <w:jc w:val="right"/>
              <w:ind w:right="50"/>
              <w:spacing w:after="0"/>
              <w:rPr>
                <w:sz w:val="20"/>
                <w:szCs w:val="20"/>
                <w:color w:val="auto"/>
              </w:rPr>
            </w:pPr>
            <w:r>
              <w:rPr>
                <w:rFonts w:ascii="Arial" w:cs="Arial" w:eastAsia="Arial" w:hAnsi="Arial"/>
                <w:sz w:val="18"/>
                <w:szCs w:val="18"/>
                <w:color w:val="auto"/>
              </w:rPr>
              <w:t>122.9</w:t>
            </w:r>
          </w:p>
        </w:tc>
        <w:tc>
          <w:tcPr>
            <w:tcW w:w="500" w:type="dxa"/>
            <w:vAlign w:val="bottom"/>
          </w:tcPr>
          <w:p>
            <w:pPr>
              <w:spacing w:after="0"/>
              <w:rPr>
                <w:sz w:val="20"/>
                <w:szCs w:val="20"/>
                <w:color w:val="auto"/>
              </w:rPr>
            </w:pP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118.0</w:t>
            </w:r>
          </w:p>
        </w:tc>
      </w:tr>
      <w:tr>
        <w:trPr>
          <w:trHeight w:val="216"/>
        </w:trPr>
        <w:tc>
          <w:tcPr>
            <w:tcW w:w="36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3.</w:t>
            </w:r>
          </w:p>
        </w:tc>
        <w:tc>
          <w:tcPr>
            <w:tcW w:w="37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Interest factor of rental expense</w:t>
            </w:r>
          </w:p>
        </w:tc>
        <w:tc>
          <w:tcPr>
            <w:tcW w:w="74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5.7</w:t>
            </w:r>
          </w:p>
        </w:tc>
        <w:tc>
          <w:tcPr>
            <w:tcW w:w="52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6.1</w:t>
            </w:r>
          </w:p>
        </w:tc>
        <w:tc>
          <w:tcPr>
            <w:tcW w:w="50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6.1</w:t>
            </w:r>
          </w:p>
        </w:tc>
        <w:tc>
          <w:tcPr>
            <w:tcW w:w="48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6.4</w:t>
            </w:r>
          </w:p>
        </w:tc>
        <w:tc>
          <w:tcPr>
            <w:tcW w:w="50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6.7</w:t>
            </w:r>
          </w:p>
        </w:tc>
      </w:tr>
      <w:tr>
        <w:trPr>
          <w:trHeight w:val="218"/>
        </w:trPr>
        <w:tc>
          <w:tcPr>
            <w:tcW w:w="360" w:type="dxa"/>
            <w:vAlign w:val="bottom"/>
          </w:tcPr>
          <w:p>
            <w:pPr>
              <w:jc w:val="right"/>
              <w:ind w:right="130"/>
              <w:spacing w:after="0"/>
              <w:rPr>
                <w:sz w:val="20"/>
                <w:szCs w:val="20"/>
                <w:color w:val="auto"/>
              </w:rPr>
            </w:pPr>
            <w:r>
              <w:rPr>
                <w:rFonts w:ascii="Arial" w:cs="Arial" w:eastAsia="Arial" w:hAnsi="Arial"/>
                <w:sz w:val="18"/>
                <w:szCs w:val="18"/>
                <w:color w:val="auto"/>
                <w:w w:val="79"/>
              </w:rPr>
              <w:t>4.</w:t>
            </w:r>
          </w:p>
        </w:tc>
        <w:tc>
          <w:tcPr>
            <w:tcW w:w="3780" w:type="dxa"/>
            <w:vAlign w:val="bottom"/>
          </w:tcPr>
          <w:p>
            <w:pPr>
              <w:ind w:left="220"/>
              <w:spacing w:after="0"/>
              <w:rPr>
                <w:sz w:val="20"/>
                <w:szCs w:val="20"/>
                <w:color w:val="auto"/>
              </w:rPr>
            </w:pPr>
            <w:r>
              <w:rPr>
                <w:rFonts w:ascii="Arial" w:cs="Arial" w:eastAsia="Arial" w:hAnsi="Arial"/>
                <w:sz w:val="18"/>
                <w:szCs w:val="18"/>
                <w:color w:val="auto"/>
              </w:rPr>
              <w:t>Undistributed income from equity investees</w:t>
            </w:r>
          </w:p>
        </w:tc>
        <w:tc>
          <w:tcPr>
            <w:tcW w:w="740" w:type="dxa"/>
            <w:vAlign w:val="bottom"/>
          </w:tcPr>
          <w:p>
            <w:pPr>
              <w:spacing w:after="0"/>
              <w:rPr>
                <w:sz w:val="18"/>
                <w:szCs w:val="18"/>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b w:val="1"/>
                <w:bCs w:val="1"/>
                <w:color w:val="auto"/>
              </w:rPr>
              <w:t>(107.3)</w:t>
            </w:r>
          </w:p>
        </w:tc>
        <w:tc>
          <w:tcPr>
            <w:tcW w:w="520" w:type="dxa"/>
            <w:vAlign w:val="bottom"/>
          </w:tcPr>
          <w:p>
            <w:pPr>
              <w:spacing w:after="0"/>
              <w:rPr>
                <w:sz w:val="18"/>
                <w:szCs w:val="18"/>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(99.9)</w:t>
            </w:r>
          </w:p>
        </w:tc>
        <w:tc>
          <w:tcPr>
            <w:tcW w:w="5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(98.5)</w:t>
            </w:r>
          </w:p>
        </w:tc>
        <w:tc>
          <w:tcPr>
            <w:tcW w:w="4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(130.6)</w:t>
            </w:r>
          </w:p>
        </w:tc>
        <w:tc>
          <w:tcPr>
            <w:tcW w:w="5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(68.7)</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wp:posOffset>
            </wp:positionV>
            <wp:extent cx="7246620" cy="27432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7246620" cy="274320"/>
                    </a:xfrm>
                    <a:prstGeom prst="rect">
                      <a:avLst/>
                    </a:prstGeom>
                    <a:noFill/>
                  </pic:spPr>
                </pic:pic>
              </a:graphicData>
            </a:graphic>
          </wp:anchor>
        </w:drawing>
      </w:r>
    </w:p>
    <w:p>
      <w:pPr>
        <w:ind w:left="580" w:hanging="572"/>
        <w:spacing w:after="0"/>
        <w:tabs>
          <w:tab w:leader="none" w:pos="580" w:val="left"/>
        </w:tabs>
        <w:numPr>
          <w:ilvl w:val="0"/>
          <w:numId w:val="95"/>
        </w:numPr>
        <w:rPr>
          <w:rFonts w:ascii="Arial" w:cs="Arial" w:eastAsia="Arial" w:hAnsi="Arial"/>
          <w:sz w:val="18"/>
          <w:szCs w:val="18"/>
          <w:color w:val="auto"/>
        </w:rPr>
      </w:pPr>
      <w:r>
        <w:rPr>
          <w:rFonts w:ascii="Arial" w:cs="Arial" w:eastAsia="Arial" w:hAnsi="Arial"/>
          <w:sz w:val="18"/>
          <w:szCs w:val="18"/>
          <w:color w:val="auto"/>
        </w:rPr>
        <w:t>Earnings before interest credited on investment</w:t>
      </w:r>
    </w:p>
    <w:tbl>
      <w:tblPr>
        <w:tblLayout w:type="fixed"/>
        <w:tblInd w:w="0" w:type="dxa"/>
        <w:tblCellMar>
          <w:top w:w="0" w:type="dxa"/>
          <w:left w:w="0" w:type="dxa"/>
          <w:bottom w:w="0" w:type="dxa"/>
          <w:right w:w="0" w:type="dxa"/>
        </w:tblCellMar>
      </w:tblPr>
      <w:tr>
        <w:trPr>
          <w:trHeight w:val="205"/>
        </w:trPr>
        <w:tc>
          <w:tcPr>
            <w:tcW w:w="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4100" w:type="dxa"/>
            <w:vAlign w:val="bottom"/>
          </w:tcPr>
          <w:p>
            <w:pPr>
              <w:ind w:left="340"/>
              <w:spacing w:after="0" w:line="205" w:lineRule="exact"/>
              <w:rPr>
                <w:sz w:val="20"/>
                <w:szCs w:val="20"/>
                <w:color w:val="auto"/>
              </w:rPr>
            </w:pPr>
            <w:r>
              <w:rPr>
                <w:rFonts w:ascii="Arial" w:cs="Arial" w:eastAsia="Arial" w:hAnsi="Arial"/>
                <w:sz w:val="18"/>
                <w:szCs w:val="18"/>
                <w:color w:val="auto"/>
              </w:rPr>
              <w:t>products</w:t>
            </w:r>
          </w:p>
        </w:tc>
        <w:tc>
          <w:tcPr>
            <w:tcW w:w="360" w:type="dxa"/>
            <w:vAlign w:val="bottom"/>
          </w:tcPr>
          <w:p>
            <w:pPr>
              <w:spacing w:after="0"/>
              <w:rPr>
                <w:sz w:val="17"/>
                <w:szCs w:val="17"/>
                <w:color w:val="auto"/>
              </w:rPr>
            </w:pPr>
          </w:p>
        </w:tc>
        <w:tc>
          <w:tcPr>
            <w:tcW w:w="820" w:type="dxa"/>
            <w:vAlign w:val="bottom"/>
          </w:tcPr>
          <w:p>
            <w:pPr>
              <w:jc w:val="right"/>
              <w:spacing w:after="0" w:line="205" w:lineRule="exact"/>
              <w:rPr>
                <w:sz w:val="20"/>
                <w:szCs w:val="20"/>
                <w:color w:val="auto"/>
              </w:rPr>
            </w:pPr>
            <w:r>
              <w:rPr>
                <w:rFonts w:ascii="Arial" w:cs="Arial" w:eastAsia="Arial" w:hAnsi="Arial"/>
                <w:sz w:val="18"/>
                <w:szCs w:val="18"/>
                <w:b w:val="1"/>
                <w:bCs w:val="1"/>
                <w:color w:val="auto"/>
              </w:rPr>
              <w:t>1,165.8</w:t>
            </w:r>
          </w:p>
        </w:tc>
        <w:tc>
          <w:tcPr>
            <w:tcW w:w="2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20" w:type="dxa"/>
            <w:vAlign w:val="bottom"/>
          </w:tcPr>
          <w:p>
            <w:pPr>
              <w:jc w:val="right"/>
              <w:spacing w:after="0" w:line="205" w:lineRule="exact"/>
              <w:rPr>
                <w:sz w:val="20"/>
                <w:szCs w:val="20"/>
                <w:color w:val="auto"/>
              </w:rPr>
            </w:pPr>
            <w:r>
              <w:rPr>
                <w:rFonts w:ascii="Arial" w:cs="Arial" w:eastAsia="Arial" w:hAnsi="Arial"/>
                <w:sz w:val="18"/>
                <w:szCs w:val="18"/>
                <w:color w:val="auto"/>
              </w:rPr>
              <w:t>993.3</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40" w:type="dxa"/>
            <w:vAlign w:val="bottom"/>
            <w:gridSpan w:val="2"/>
          </w:tcPr>
          <w:p>
            <w:pPr>
              <w:jc w:val="right"/>
              <w:ind w:right="240"/>
              <w:spacing w:after="0" w:line="205" w:lineRule="exact"/>
              <w:rPr>
                <w:sz w:val="20"/>
                <w:szCs w:val="20"/>
                <w:color w:val="auto"/>
              </w:rPr>
            </w:pPr>
            <w:r>
              <w:rPr>
                <w:rFonts w:ascii="Arial" w:cs="Arial" w:eastAsia="Arial" w:hAnsi="Arial"/>
                <w:sz w:val="18"/>
                <w:szCs w:val="18"/>
                <w:color w:val="auto"/>
              </w:rPr>
              <w:t>920.9</w:t>
            </w:r>
          </w:p>
        </w:tc>
        <w:tc>
          <w:tcPr>
            <w:tcW w:w="340" w:type="dxa"/>
            <w:vAlign w:val="bottom"/>
          </w:tcPr>
          <w:p>
            <w:pPr>
              <w:spacing w:after="0"/>
              <w:rPr>
                <w:sz w:val="17"/>
                <w:szCs w:val="17"/>
                <w:color w:val="auto"/>
              </w:rPr>
            </w:pPr>
          </w:p>
        </w:tc>
        <w:tc>
          <w:tcPr>
            <w:tcW w:w="1040" w:type="dxa"/>
            <w:vAlign w:val="bottom"/>
            <w:gridSpan w:val="2"/>
          </w:tcPr>
          <w:p>
            <w:pPr>
              <w:jc w:val="right"/>
              <w:ind w:right="220"/>
              <w:spacing w:after="0" w:line="205" w:lineRule="exact"/>
              <w:rPr>
                <w:sz w:val="20"/>
                <w:szCs w:val="20"/>
                <w:color w:val="auto"/>
              </w:rPr>
            </w:pPr>
            <w:r>
              <w:rPr>
                <w:rFonts w:ascii="Arial" w:cs="Arial" w:eastAsia="Arial" w:hAnsi="Arial"/>
                <w:sz w:val="18"/>
                <w:szCs w:val="18"/>
                <w:color w:val="auto"/>
              </w:rPr>
              <w:t>770.1</w:t>
            </w:r>
          </w:p>
        </w:tc>
        <w:tc>
          <w:tcPr>
            <w:tcW w:w="360" w:type="dxa"/>
            <w:vAlign w:val="bottom"/>
          </w:tcPr>
          <w:p>
            <w:pPr>
              <w:spacing w:after="0"/>
              <w:rPr>
                <w:sz w:val="17"/>
                <w:szCs w:val="17"/>
                <w:color w:val="auto"/>
              </w:rPr>
            </w:pPr>
          </w:p>
        </w:tc>
        <w:tc>
          <w:tcPr>
            <w:tcW w:w="800" w:type="dxa"/>
            <w:vAlign w:val="bottom"/>
          </w:tcPr>
          <w:p>
            <w:pPr>
              <w:jc w:val="right"/>
              <w:spacing w:after="0" w:line="205" w:lineRule="exact"/>
              <w:rPr>
                <w:sz w:val="20"/>
                <w:szCs w:val="20"/>
                <w:color w:val="auto"/>
              </w:rPr>
            </w:pPr>
            <w:r>
              <w:rPr>
                <w:rFonts w:ascii="Arial" w:cs="Arial" w:eastAsia="Arial" w:hAnsi="Arial"/>
                <w:sz w:val="18"/>
                <w:szCs w:val="18"/>
                <w:color w:val="auto"/>
              </w:rPr>
              <w:t>701.1</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420" w:type="dxa"/>
            <w:vAlign w:val="bottom"/>
            <w:gridSpan w:val="2"/>
          </w:tcPr>
          <w:p>
            <w:pPr>
              <w:spacing w:after="0"/>
              <w:rPr>
                <w:sz w:val="20"/>
                <w:szCs w:val="20"/>
                <w:color w:val="auto"/>
              </w:rPr>
            </w:pPr>
            <w:r>
              <w:rPr>
                <w:rFonts w:ascii="Arial" w:cs="Arial" w:eastAsia="Arial" w:hAnsi="Arial"/>
                <w:sz w:val="18"/>
                <w:szCs w:val="18"/>
                <w:color w:val="auto"/>
              </w:rPr>
              <w:t>6.</w:t>
            </w:r>
          </w:p>
        </w:tc>
        <w:tc>
          <w:tcPr>
            <w:tcW w:w="4100" w:type="dxa"/>
            <w:vAlign w:val="bottom"/>
          </w:tcPr>
          <w:p>
            <w:pPr>
              <w:ind w:left="160"/>
              <w:spacing w:after="0"/>
              <w:rPr>
                <w:sz w:val="20"/>
                <w:szCs w:val="20"/>
                <w:color w:val="auto"/>
              </w:rPr>
            </w:pPr>
            <w:r>
              <w:rPr>
                <w:rFonts w:ascii="Arial" w:cs="Arial" w:eastAsia="Arial" w:hAnsi="Arial"/>
                <w:sz w:val="18"/>
                <w:szCs w:val="18"/>
                <w:color w:val="auto"/>
              </w:rPr>
              <w:t>Interest credited on investment products</w:t>
            </w:r>
          </w:p>
        </w:tc>
        <w:tc>
          <w:tcPr>
            <w:tcW w:w="360" w:type="dxa"/>
            <w:vAlign w:val="bottom"/>
          </w:tcPr>
          <w:p>
            <w:pPr>
              <w:spacing w:after="0"/>
              <w:rPr>
                <w:sz w:val="20"/>
                <w:szCs w:val="20"/>
                <w:color w:val="auto"/>
              </w:rPr>
            </w:pPr>
          </w:p>
        </w:tc>
        <w:tc>
          <w:tcPr>
            <w:tcW w:w="108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rPr>
              <w:t>256.6</w:t>
            </w:r>
          </w:p>
        </w:tc>
        <w:tc>
          <w:tcPr>
            <w:tcW w:w="36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366.3</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8"/>
                <w:szCs w:val="18"/>
                <w:color w:val="auto"/>
              </w:rPr>
              <w:t>442.4</w:t>
            </w:r>
          </w:p>
        </w:tc>
        <w:tc>
          <w:tcPr>
            <w:tcW w:w="340" w:type="dxa"/>
            <w:vAlign w:val="bottom"/>
          </w:tcPr>
          <w:p>
            <w:pPr>
              <w:spacing w:after="0"/>
              <w:rPr>
                <w:sz w:val="20"/>
                <w:szCs w:val="20"/>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579.2</w:t>
            </w:r>
          </w:p>
        </w:tc>
        <w:tc>
          <w:tcPr>
            <w:tcW w:w="36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725.3</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7.</w:t>
            </w:r>
          </w:p>
        </w:tc>
        <w:tc>
          <w:tcPr>
            <w:tcW w:w="4100" w:type="dxa"/>
            <w:vAlign w:val="bottom"/>
            <w:tcBorders>
              <w:top w:val="single" w:sz="8" w:color="CCEEFF"/>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Earnings</w:t>
            </w:r>
          </w:p>
        </w:tc>
        <w:tc>
          <w:tcPr>
            <w:tcW w:w="360" w:type="dxa"/>
            <w:vAlign w:val="bottom"/>
            <w:tcBorders>
              <w:top w:val="single" w:sz="8" w:color="auto"/>
              <w:bottom w:val="single" w:sz="8" w:color="auto"/>
            </w:tcBorders>
            <w:shd w:val="clear" w:color="auto" w:fill="CCEEFF"/>
          </w:tcPr>
          <w:p>
            <w:pPr>
              <w:jc w:val="right"/>
              <w:ind w:right="205"/>
              <w:spacing w:after="0"/>
              <w:rPr>
                <w:sz w:val="20"/>
                <w:szCs w:val="20"/>
                <w:color w:val="auto"/>
              </w:rPr>
            </w:pPr>
            <w:r>
              <w:rPr>
                <w:rFonts w:ascii="Arial" w:cs="Arial" w:eastAsia="Arial" w:hAnsi="Arial"/>
                <w:sz w:val="15"/>
                <w:szCs w:val="15"/>
                <w:b w:val="1"/>
                <w:bCs w:val="1"/>
                <w:color w:val="auto"/>
                <w:w w:val="71"/>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1,422.4</w:t>
            </w:r>
          </w:p>
        </w:tc>
        <w:tc>
          <w:tcPr>
            <w:tcW w:w="260" w:type="dxa"/>
            <w:vAlign w:val="bottom"/>
            <w:tcBorders>
              <w:top w:val="single" w:sz="8" w:color="CCEEFF"/>
              <w:bottom w:val="single" w:sz="8" w:color="CCEEFF"/>
            </w:tcBorders>
            <w:shd w:val="clear" w:color="auto" w:fill="CCEEFF"/>
          </w:tcPr>
          <w:p>
            <w:pPr>
              <w:spacing w:after="0"/>
              <w:rPr>
                <w:sz w:val="18"/>
                <w:szCs w:val="18"/>
                <w:color w:val="auto"/>
              </w:rPr>
            </w:pPr>
          </w:p>
        </w:tc>
        <w:tc>
          <w:tcPr>
            <w:tcW w:w="360" w:type="dxa"/>
            <w:vAlign w:val="bottom"/>
            <w:tcBorders>
              <w:top w:val="single" w:sz="8" w:color="auto"/>
              <w:bottom w:val="single" w:sz="8" w:color="auto"/>
            </w:tcBorders>
            <w:shd w:val="clear" w:color="auto" w:fill="CCEEFF"/>
          </w:tcPr>
          <w:p>
            <w:pPr>
              <w:jc w:val="right"/>
              <w:ind w:right="205"/>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1,359.6</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360" w:type="dxa"/>
            <w:vAlign w:val="bottom"/>
            <w:tcBorders>
              <w:top w:val="single" w:sz="8" w:color="auto"/>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1,363.3</w:t>
            </w:r>
          </w:p>
        </w:tc>
        <w:tc>
          <w:tcPr>
            <w:tcW w:w="240" w:type="dxa"/>
            <w:vAlign w:val="bottom"/>
            <w:tcBorders>
              <w:top w:val="single" w:sz="8" w:color="CCEEFF"/>
              <w:bottom w:val="single" w:sz="8" w:color="CCEEFF"/>
            </w:tcBorders>
            <w:shd w:val="clear" w:color="auto" w:fill="CCEEFF"/>
          </w:tcPr>
          <w:p>
            <w:pPr>
              <w:spacing w:after="0"/>
              <w:rPr>
                <w:sz w:val="18"/>
                <w:szCs w:val="18"/>
                <w:color w:val="auto"/>
              </w:rPr>
            </w:pPr>
          </w:p>
        </w:tc>
        <w:tc>
          <w:tcPr>
            <w:tcW w:w="340" w:type="dxa"/>
            <w:vAlign w:val="bottom"/>
            <w:tcBorders>
              <w:top w:val="single" w:sz="8" w:color="auto"/>
              <w:bottom w:val="single" w:sz="8" w:color="auto"/>
            </w:tcBorders>
            <w:shd w:val="clear" w:color="auto" w:fill="CCEEFF"/>
          </w:tcPr>
          <w:p>
            <w:pPr>
              <w:jc w:val="right"/>
              <w:ind w:right="185"/>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1,349.3</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360" w:type="dxa"/>
            <w:vAlign w:val="bottom"/>
            <w:tcBorders>
              <w:top w:val="single" w:sz="8" w:color="auto"/>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1,426.4</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400" w:type="dxa"/>
            <w:vAlign w:val="bottom"/>
          </w:tcPr>
          <w:p>
            <w:pPr>
              <w:spacing w:after="0"/>
              <w:rPr>
                <w:sz w:val="17"/>
                <w:szCs w:val="17"/>
                <w:color w:val="auto"/>
              </w:rPr>
            </w:pPr>
          </w:p>
        </w:tc>
        <w:tc>
          <w:tcPr>
            <w:tcW w:w="4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0" w:type="dxa"/>
            <w:vAlign w:val="bottom"/>
            <w:shd w:val="clear" w:color="auto" w:fill="CCEEFF"/>
          </w:tcPr>
          <w:p>
            <w:pPr>
              <w:spacing w:after="0"/>
              <w:rPr>
                <w:sz w:val="20"/>
                <w:szCs w:val="20"/>
                <w:color w:val="auto"/>
              </w:rPr>
            </w:pPr>
            <w:r>
              <w:rPr>
                <w:rFonts w:ascii="Arial" w:cs="Arial" w:eastAsia="Arial" w:hAnsi="Arial"/>
                <w:sz w:val="18"/>
                <w:szCs w:val="18"/>
                <w:color w:val="auto"/>
              </w:rPr>
              <w:t>8.</w:t>
            </w:r>
          </w:p>
        </w:tc>
        <w:tc>
          <w:tcPr>
            <w:tcW w:w="41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Interest expense</w:t>
            </w:r>
          </w:p>
        </w:tc>
        <w:tc>
          <w:tcPr>
            <w:tcW w:w="360" w:type="dxa"/>
            <w:vAlign w:val="bottom"/>
            <w:shd w:val="clear" w:color="auto" w:fill="CCEEFF"/>
          </w:tcPr>
          <w:p>
            <w:pPr>
              <w:jc w:val="right"/>
              <w:ind w:right="205"/>
              <w:spacing w:after="0"/>
              <w:rPr>
                <w:sz w:val="20"/>
                <w:szCs w:val="20"/>
                <w:color w:val="auto"/>
              </w:rPr>
            </w:pPr>
            <w:r>
              <w:rPr>
                <w:rFonts w:ascii="Arial" w:cs="Arial" w:eastAsia="Arial" w:hAnsi="Arial"/>
                <w:sz w:val="15"/>
                <w:szCs w:val="15"/>
                <w:b w:val="1"/>
                <w:bCs w:val="1"/>
                <w:color w:val="auto"/>
                <w:w w:val="71"/>
              </w:rPr>
              <w:t>$</w:t>
            </w:r>
          </w:p>
        </w:tc>
        <w:tc>
          <w:tcPr>
            <w:tcW w:w="10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b w:val="1"/>
                <w:bCs w:val="1"/>
                <w:color w:val="auto"/>
              </w:rPr>
              <w:t>143.4</w:t>
            </w:r>
          </w:p>
        </w:tc>
        <w:tc>
          <w:tcPr>
            <w:tcW w:w="360" w:type="dxa"/>
            <w:vAlign w:val="bottom"/>
            <w:shd w:val="clear" w:color="auto" w:fill="CCEEFF"/>
          </w:tcPr>
          <w:p>
            <w:pPr>
              <w:jc w:val="right"/>
              <w:ind w:right="205"/>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127.1</w:t>
            </w:r>
          </w:p>
        </w:tc>
        <w:tc>
          <w:tcPr>
            <w:tcW w:w="12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140.5</w:t>
            </w:r>
          </w:p>
        </w:tc>
        <w:tc>
          <w:tcPr>
            <w:tcW w:w="340" w:type="dxa"/>
            <w:vAlign w:val="bottom"/>
            <w:shd w:val="clear" w:color="auto" w:fill="CCEEFF"/>
          </w:tcPr>
          <w:p>
            <w:pPr>
              <w:jc w:val="right"/>
              <w:ind w:right="185"/>
              <w:spacing w:after="0"/>
              <w:rPr>
                <w:sz w:val="20"/>
                <w:szCs w:val="20"/>
                <w:color w:val="auto"/>
              </w:rPr>
            </w:pPr>
            <w:r>
              <w:rPr>
                <w:rFonts w:ascii="Arial" w:cs="Arial" w:eastAsia="Arial" w:hAnsi="Arial"/>
                <w:sz w:val="15"/>
                <w:szCs w:val="15"/>
                <w:color w:val="auto"/>
                <w:w w:val="71"/>
              </w:rPr>
              <w:t>$</w:t>
            </w: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122.9</w:t>
            </w:r>
          </w:p>
        </w:tc>
        <w:tc>
          <w:tcPr>
            <w:tcW w:w="36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 w:type="dxa"/>
            <w:vAlign w:val="bottom"/>
          </w:tcPr>
          <w:p>
            <w:pPr>
              <w:spacing w:after="0"/>
              <w:rPr>
                <w:sz w:val="20"/>
                <w:szCs w:val="20"/>
                <w:color w:val="auto"/>
              </w:rPr>
            </w:pPr>
            <w:r>
              <w:rPr>
                <w:rFonts w:ascii="Arial" w:cs="Arial" w:eastAsia="Arial" w:hAnsi="Arial"/>
                <w:sz w:val="18"/>
                <w:szCs w:val="18"/>
                <w:color w:val="auto"/>
              </w:rPr>
              <w:t>9.</w:t>
            </w:r>
          </w:p>
        </w:tc>
        <w:tc>
          <w:tcPr>
            <w:tcW w:w="4100" w:type="dxa"/>
            <w:vAlign w:val="bottom"/>
          </w:tcPr>
          <w:p>
            <w:pPr>
              <w:ind w:left="160"/>
              <w:spacing w:after="0"/>
              <w:rPr>
                <w:sz w:val="20"/>
                <w:szCs w:val="20"/>
                <w:color w:val="auto"/>
              </w:rPr>
            </w:pPr>
            <w:r>
              <w:rPr>
                <w:rFonts w:ascii="Arial" w:cs="Arial" w:eastAsia="Arial" w:hAnsi="Arial"/>
                <w:sz w:val="18"/>
                <w:szCs w:val="18"/>
                <w:color w:val="auto"/>
              </w:rPr>
              <w:t>Interest factor of rental expense</w:t>
            </w:r>
          </w:p>
        </w:tc>
        <w:tc>
          <w:tcPr>
            <w:tcW w:w="360" w:type="dxa"/>
            <w:vAlign w:val="bottom"/>
          </w:tcPr>
          <w:p>
            <w:pPr>
              <w:spacing w:after="0"/>
              <w:rPr>
                <w:sz w:val="18"/>
                <w:szCs w:val="18"/>
                <w:color w:val="auto"/>
              </w:rPr>
            </w:pPr>
          </w:p>
        </w:tc>
        <w:tc>
          <w:tcPr>
            <w:tcW w:w="108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rPr>
              <w:t>5.7</w:t>
            </w:r>
          </w:p>
        </w:tc>
        <w:tc>
          <w:tcPr>
            <w:tcW w:w="3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6.1</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8"/>
                <w:szCs w:val="18"/>
                <w:color w:val="auto"/>
              </w:rPr>
              <w:t>6.1</w:t>
            </w:r>
          </w:p>
        </w:tc>
        <w:tc>
          <w:tcPr>
            <w:tcW w:w="340" w:type="dxa"/>
            <w:vAlign w:val="bottom"/>
          </w:tcPr>
          <w:p>
            <w:pPr>
              <w:spacing w:after="0"/>
              <w:rPr>
                <w:sz w:val="18"/>
                <w:szCs w:val="18"/>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6.4</w:t>
            </w:r>
          </w:p>
        </w:tc>
        <w:tc>
          <w:tcPr>
            <w:tcW w:w="3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 w:type="dxa"/>
            <w:vAlign w:val="bottom"/>
            <w:shd w:val="clear" w:color="auto" w:fill="CCEEFF"/>
          </w:tcPr>
          <w:p>
            <w:pPr>
              <w:spacing w:after="0"/>
              <w:rPr>
                <w:sz w:val="20"/>
                <w:szCs w:val="20"/>
                <w:color w:val="auto"/>
              </w:rPr>
            </w:pPr>
            <w:r>
              <w:rPr>
                <w:rFonts w:ascii="Arial" w:cs="Arial" w:eastAsia="Arial" w:hAnsi="Arial"/>
                <w:sz w:val="18"/>
                <w:szCs w:val="18"/>
                <w:color w:val="auto"/>
              </w:rPr>
              <w:t>10.</w:t>
            </w:r>
          </w:p>
        </w:tc>
        <w:tc>
          <w:tcPr>
            <w:tcW w:w="41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Preferred stock dividends by registrant</w:t>
            </w:r>
          </w:p>
        </w:tc>
        <w:tc>
          <w:tcPr>
            <w:tcW w:w="3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b w:val="1"/>
                <w:bCs w:val="1"/>
                <w:color w:val="auto"/>
              </w:rPr>
              <w:t>33.0</w:t>
            </w:r>
          </w:p>
        </w:tc>
        <w:tc>
          <w:tcPr>
            <w:tcW w:w="36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33.0</w:t>
            </w:r>
          </w:p>
        </w:tc>
        <w:tc>
          <w:tcPr>
            <w:tcW w:w="1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33.0</w:t>
            </w:r>
          </w:p>
        </w:tc>
        <w:tc>
          <w:tcPr>
            <w:tcW w:w="3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33.0</w:t>
            </w:r>
          </w:p>
        </w:tc>
        <w:tc>
          <w:tcPr>
            <w:tcW w:w="3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0</wp:posOffset>
            </wp:positionV>
            <wp:extent cx="4322445" cy="889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4322445" cy="8890"/>
                    </a:xfrm>
                    <a:prstGeom prst="rect">
                      <a:avLst/>
                    </a:prstGeom>
                    <a:noFill/>
                  </pic:spPr>
                </pic:pic>
              </a:graphicData>
            </a:graphic>
          </wp:anchor>
        </w:drawing>
      </w:r>
    </w:p>
    <w:p>
      <w:pPr>
        <w:ind w:left="580" w:hanging="572"/>
        <w:spacing w:after="0"/>
        <w:tabs>
          <w:tab w:leader="none" w:pos="580" w:val="left"/>
        </w:tabs>
        <w:numPr>
          <w:ilvl w:val="0"/>
          <w:numId w:val="96"/>
        </w:numPr>
        <w:rPr>
          <w:rFonts w:ascii="Arial" w:cs="Arial" w:eastAsia="Arial" w:hAnsi="Arial"/>
          <w:sz w:val="18"/>
          <w:szCs w:val="18"/>
          <w:color w:val="auto"/>
        </w:rPr>
      </w:pPr>
      <w:r>
        <w:rPr>
          <w:rFonts w:ascii="Arial" w:cs="Arial" w:eastAsia="Arial" w:hAnsi="Arial"/>
          <w:sz w:val="18"/>
          <w:szCs w:val="18"/>
          <w:color w:val="auto"/>
        </w:rPr>
        <w:t>Fixed charges before interest credited on</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20" w:type="dxa"/>
            <w:vAlign w:val="bottom"/>
          </w:tcPr>
          <w:p>
            <w:pPr>
              <w:spacing w:after="0"/>
              <w:rPr>
                <w:sz w:val="18"/>
                <w:szCs w:val="18"/>
                <w:color w:val="auto"/>
              </w:rPr>
            </w:pPr>
          </w:p>
        </w:tc>
        <w:tc>
          <w:tcPr>
            <w:tcW w:w="4100" w:type="dxa"/>
            <w:vAlign w:val="bottom"/>
          </w:tcPr>
          <w:p>
            <w:pPr>
              <w:ind w:left="340"/>
              <w:spacing w:after="0"/>
              <w:rPr>
                <w:sz w:val="20"/>
                <w:szCs w:val="20"/>
                <w:color w:val="auto"/>
              </w:rPr>
            </w:pPr>
            <w:r>
              <w:rPr>
                <w:rFonts w:ascii="Arial" w:cs="Arial" w:eastAsia="Arial" w:hAnsi="Arial"/>
                <w:sz w:val="18"/>
                <w:szCs w:val="18"/>
                <w:color w:val="auto"/>
              </w:rPr>
              <w:t>investment products</w:t>
            </w:r>
          </w:p>
        </w:tc>
        <w:tc>
          <w:tcPr>
            <w:tcW w:w="440" w:type="dxa"/>
            <w:vAlign w:val="bottom"/>
          </w:tcPr>
          <w:p>
            <w:pPr>
              <w:spacing w:after="0"/>
              <w:rPr>
                <w:sz w:val="18"/>
                <w:szCs w:val="18"/>
                <w:color w:val="auto"/>
              </w:rPr>
            </w:pPr>
          </w:p>
        </w:tc>
        <w:tc>
          <w:tcPr>
            <w:tcW w:w="1000" w:type="dxa"/>
            <w:vAlign w:val="bottom"/>
            <w:gridSpan w:val="2"/>
          </w:tcPr>
          <w:p>
            <w:pPr>
              <w:ind w:left="340"/>
              <w:spacing w:after="0"/>
              <w:rPr>
                <w:sz w:val="20"/>
                <w:szCs w:val="20"/>
                <w:color w:val="auto"/>
              </w:rPr>
            </w:pPr>
            <w:r>
              <w:rPr>
                <w:rFonts w:ascii="Arial" w:cs="Arial" w:eastAsia="Arial" w:hAnsi="Arial"/>
                <w:sz w:val="18"/>
                <w:szCs w:val="18"/>
                <w:b w:val="1"/>
                <w:bCs w:val="1"/>
                <w:color w:val="auto"/>
              </w:rPr>
              <w:t>182.1</w:t>
            </w:r>
          </w:p>
        </w:tc>
        <w:tc>
          <w:tcPr>
            <w:tcW w:w="4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166.2</w:t>
            </w:r>
          </w:p>
        </w:tc>
        <w:tc>
          <w:tcPr>
            <w:tcW w:w="2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8"/>
                <w:szCs w:val="18"/>
                <w:color w:val="auto"/>
              </w:rPr>
              <w:t>179.6</w:t>
            </w:r>
          </w:p>
        </w:tc>
        <w:tc>
          <w:tcPr>
            <w:tcW w:w="420" w:type="dxa"/>
            <w:vAlign w:val="bottom"/>
          </w:tcPr>
          <w:p>
            <w:pPr>
              <w:spacing w:after="0"/>
              <w:rPr>
                <w:sz w:val="18"/>
                <w:szCs w:val="18"/>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162.3</w:t>
            </w:r>
          </w:p>
        </w:tc>
        <w:tc>
          <w:tcPr>
            <w:tcW w:w="4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157.7</w:t>
            </w:r>
          </w:p>
        </w:tc>
        <w:tc>
          <w:tcPr>
            <w:tcW w:w="100" w:type="dxa"/>
            <w:vAlign w:val="bottom"/>
          </w:tcPr>
          <w:p>
            <w:pPr>
              <w:spacing w:after="0"/>
              <w:rPr>
                <w:sz w:val="18"/>
                <w:szCs w:val="18"/>
                <w:color w:val="auto"/>
              </w:rPr>
            </w:pPr>
          </w:p>
        </w:tc>
      </w:tr>
      <w:tr>
        <w:trPr>
          <w:trHeight w:val="216"/>
        </w:trPr>
        <w:tc>
          <w:tcPr>
            <w:tcW w:w="42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87"/>
              </w:rPr>
              <w:t>12.</w:t>
            </w:r>
          </w:p>
        </w:tc>
        <w:tc>
          <w:tcPr>
            <w:tcW w:w="41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Interest credited on investment products</w:t>
            </w:r>
          </w:p>
        </w:tc>
        <w:tc>
          <w:tcPr>
            <w:tcW w:w="4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ind w:left="340"/>
              <w:spacing w:after="0"/>
              <w:rPr>
                <w:sz w:val="20"/>
                <w:szCs w:val="20"/>
                <w:color w:val="auto"/>
              </w:rPr>
            </w:pPr>
            <w:r>
              <w:rPr>
                <w:rFonts w:ascii="Arial" w:cs="Arial" w:eastAsia="Arial" w:hAnsi="Arial"/>
                <w:sz w:val="18"/>
                <w:szCs w:val="18"/>
                <w:b w:val="1"/>
                <w:bCs w:val="1"/>
                <w:color w:val="auto"/>
              </w:rPr>
              <w:t>256.6</w:t>
            </w:r>
          </w:p>
        </w:tc>
        <w:tc>
          <w:tcPr>
            <w:tcW w:w="4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366.3</w:t>
            </w:r>
          </w:p>
        </w:tc>
        <w:tc>
          <w:tcPr>
            <w:tcW w:w="2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442.4</w:t>
            </w:r>
          </w:p>
        </w:tc>
        <w:tc>
          <w:tcPr>
            <w:tcW w:w="4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579.2</w:t>
            </w:r>
          </w:p>
        </w:tc>
        <w:tc>
          <w:tcPr>
            <w:tcW w:w="4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725.3</w:t>
            </w:r>
          </w:p>
        </w:tc>
        <w:tc>
          <w:tcPr>
            <w:tcW w:w="100" w:type="dxa"/>
            <w:vAlign w:val="bottom"/>
            <w:shd w:val="clear" w:color="auto" w:fill="CCEEFF"/>
          </w:tcPr>
          <w:p>
            <w:pPr>
              <w:spacing w:after="0"/>
              <w:rPr>
                <w:sz w:val="18"/>
                <w:szCs w:val="18"/>
                <w:color w:val="auto"/>
              </w:rPr>
            </w:pPr>
          </w:p>
        </w:tc>
      </w:tr>
      <w:tr>
        <w:trPr>
          <w:trHeight w:val="250"/>
        </w:trPr>
        <w:tc>
          <w:tcPr>
            <w:tcW w:w="420" w:type="dxa"/>
            <w:vAlign w:val="bottom"/>
            <w:tcBorders>
              <w:bottom w:val="single" w:sz="8" w:color="CCEEFF"/>
            </w:tcBorders>
          </w:tcPr>
          <w:p>
            <w:pPr>
              <w:jc w:val="right"/>
              <w:ind w:right="90"/>
              <w:spacing w:after="0"/>
              <w:rPr>
                <w:sz w:val="20"/>
                <w:szCs w:val="20"/>
                <w:color w:val="auto"/>
              </w:rPr>
            </w:pPr>
            <w:r>
              <w:rPr>
                <w:rFonts w:ascii="Arial" w:cs="Arial" w:eastAsia="Arial" w:hAnsi="Arial"/>
                <w:sz w:val="18"/>
                <w:szCs w:val="18"/>
                <w:color w:val="auto"/>
                <w:w w:val="87"/>
              </w:rPr>
              <w:t>13.</w:t>
            </w:r>
          </w:p>
        </w:tc>
        <w:tc>
          <w:tcPr>
            <w:tcW w:w="4100" w:type="dxa"/>
            <w:vAlign w:val="bottom"/>
            <w:tcBorders>
              <w:bottom w:val="single" w:sz="8" w:color="CCEEFF"/>
            </w:tcBorders>
          </w:tcPr>
          <w:p>
            <w:pPr>
              <w:ind w:left="160"/>
              <w:spacing w:after="0"/>
              <w:rPr>
                <w:sz w:val="20"/>
                <w:szCs w:val="20"/>
                <w:color w:val="auto"/>
              </w:rPr>
            </w:pPr>
            <w:r>
              <w:rPr>
                <w:rFonts w:ascii="Arial" w:cs="Arial" w:eastAsia="Arial" w:hAnsi="Arial"/>
                <w:sz w:val="18"/>
                <w:szCs w:val="18"/>
                <w:color w:val="auto"/>
              </w:rPr>
              <w:t>Fixed charges</w:t>
            </w:r>
          </w:p>
        </w:tc>
        <w:tc>
          <w:tcPr>
            <w:tcW w:w="440" w:type="dxa"/>
            <w:vAlign w:val="bottom"/>
            <w:tcBorders>
              <w:top w:val="single" w:sz="8" w:color="auto"/>
              <w:bottom w:val="single" w:sz="8" w:color="auto"/>
            </w:tcBorders>
          </w:tcPr>
          <w:p>
            <w:pPr>
              <w:jc w:val="right"/>
              <w:ind w:right="285"/>
              <w:spacing w:after="0"/>
              <w:rPr>
                <w:sz w:val="20"/>
                <w:szCs w:val="20"/>
                <w:color w:val="auto"/>
              </w:rPr>
            </w:pPr>
            <w:r>
              <w:rPr>
                <w:rFonts w:ascii="Arial" w:cs="Arial" w:eastAsia="Arial" w:hAnsi="Arial"/>
                <w:sz w:val="15"/>
                <w:szCs w:val="15"/>
                <w:b w:val="1"/>
                <w:bCs w:val="1"/>
                <w:color w:val="auto"/>
                <w:w w:val="71"/>
              </w:rPr>
              <w:t>$</w:t>
            </w:r>
          </w:p>
        </w:tc>
        <w:tc>
          <w:tcPr>
            <w:tcW w:w="740" w:type="dxa"/>
            <w:vAlign w:val="bottom"/>
            <w:tcBorders>
              <w:top w:val="single" w:sz="8" w:color="auto"/>
              <w:bottom w:val="single" w:sz="8" w:color="auto"/>
            </w:tcBorders>
          </w:tcPr>
          <w:p>
            <w:pPr>
              <w:ind w:left="340"/>
              <w:spacing w:after="0"/>
              <w:rPr>
                <w:sz w:val="20"/>
                <w:szCs w:val="20"/>
                <w:color w:val="auto"/>
              </w:rPr>
            </w:pPr>
            <w:r>
              <w:rPr>
                <w:rFonts w:ascii="Arial" w:cs="Arial" w:eastAsia="Arial" w:hAnsi="Arial"/>
                <w:sz w:val="18"/>
                <w:szCs w:val="18"/>
                <w:b w:val="1"/>
                <w:bCs w:val="1"/>
                <w:color w:val="auto"/>
                <w:w w:val="84"/>
              </w:rPr>
              <w:t>438.7</w:t>
            </w:r>
          </w:p>
        </w:tc>
        <w:tc>
          <w:tcPr>
            <w:tcW w:w="260" w:type="dxa"/>
            <w:vAlign w:val="bottom"/>
            <w:tcBorders>
              <w:bottom w:val="single" w:sz="8" w:color="CCEEFF"/>
            </w:tcBorders>
          </w:tcPr>
          <w:p>
            <w:pPr>
              <w:spacing w:after="0"/>
              <w:rPr>
                <w:sz w:val="21"/>
                <w:szCs w:val="21"/>
                <w:color w:val="auto"/>
              </w:rPr>
            </w:pPr>
          </w:p>
        </w:tc>
        <w:tc>
          <w:tcPr>
            <w:tcW w:w="420" w:type="dxa"/>
            <w:vAlign w:val="bottom"/>
            <w:tcBorders>
              <w:top w:val="single" w:sz="8" w:color="auto"/>
              <w:bottom w:val="single" w:sz="8" w:color="auto"/>
            </w:tcBorders>
          </w:tcPr>
          <w:p>
            <w:pPr>
              <w:jc w:val="right"/>
              <w:ind w:right="265"/>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532.5</w:t>
            </w:r>
          </w:p>
        </w:tc>
        <w:tc>
          <w:tcPr>
            <w:tcW w:w="240" w:type="dxa"/>
            <w:vAlign w:val="bottom"/>
            <w:tcBorders>
              <w:bottom w:val="single" w:sz="8" w:color="CCEEFF"/>
            </w:tcBorders>
          </w:tcPr>
          <w:p>
            <w:pPr>
              <w:spacing w:after="0"/>
              <w:rPr>
                <w:sz w:val="21"/>
                <w:szCs w:val="21"/>
                <w:color w:val="auto"/>
              </w:rPr>
            </w:pPr>
          </w:p>
        </w:tc>
        <w:tc>
          <w:tcPr>
            <w:tcW w:w="42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622.0</w:t>
            </w:r>
          </w:p>
        </w:tc>
        <w:tc>
          <w:tcPr>
            <w:tcW w:w="240" w:type="dxa"/>
            <w:vAlign w:val="bottom"/>
            <w:tcBorders>
              <w:bottom w:val="single" w:sz="8" w:color="CCEEFF"/>
            </w:tcBorders>
          </w:tcPr>
          <w:p>
            <w:pPr>
              <w:spacing w:after="0"/>
              <w:rPr>
                <w:sz w:val="21"/>
                <w:szCs w:val="21"/>
                <w:color w:val="auto"/>
              </w:rPr>
            </w:pPr>
          </w:p>
        </w:tc>
        <w:tc>
          <w:tcPr>
            <w:tcW w:w="420" w:type="dxa"/>
            <w:vAlign w:val="bottom"/>
            <w:tcBorders>
              <w:top w:val="single" w:sz="8" w:color="auto"/>
              <w:bottom w:val="single" w:sz="8" w:color="auto"/>
            </w:tcBorders>
          </w:tcPr>
          <w:p>
            <w:pPr>
              <w:jc w:val="right"/>
              <w:ind w:right="265"/>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741.5</w:t>
            </w:r>
          </w:p>
        </w:tc>
        <w:tc>
          <w:tcPr>
            <w:tcW w:w="220" w:type="dxa"/>
            <w:vAlign w:val="bottom"/>
            <w:tcBorders>
              <w:bottom w:val="single" w:sz="8" w:color="CCEEFF"/>
            </w:tcBorders>
          </w:tcPr>
          <w:p>
            <w:pPr>
              <w:spacing w:after="0"/>
              <w:rPr>
                <w:sz w:val="21"/>
                <w:szCs w:val="21"/>
                <w:color w:val="auto"/>
              </w:rPr>
            </w:pPr>
          </w:p>
        </w:tc>
        <w:tc>
          <w:tcPr>
            <w:tcW w:w="42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883.0</w:t>
            </w:r>
          </w:p>
        </w:tc>
        <w:tc>
          <w:tcPr>
            <w:tcW w:w="100" w:type="dxa"/>
            <w:vAlign w:val="bottom"/>
            <w:tcBorders>
              <w:bottom w:val="single" w:sz="8" w:color="CCEEFF"/>
            </w:tcBorders>
          </w:tcPr>
          <w:p>
            <w:pPr>
              <w:spacing w:after="0"/>
              <w:rPr>
                <w:sz w:val="21"/>
                <w:szCs w:val="21"/>
                <w:color w:val="auto"/>
              </w:rPr>
            </w:pPr>
          </w:p>
        </w:tc>
      </w:tr>
      <w:tr>
        <w:trPr>
          <w:trHeight w:val="197"/>
        </w:trPr>
        <w:tc>
          <w:tcPr>
            <w:tcW w:w="420" w:type="dxa"/>
            <w:vAlign w:val="bottom"/>
            <w:shd w:val="clear" w:color="auto" w:fill="CCEEFF"/>
          </w:tcPr>
          <w:p>
            <w:pPr>
              <w:spacing w:after="0"/>
              <w:rPr>
                <w:sz w:val="17"/>
                <w:szCs w:val="17"/>
                <w:color w:val="auto"/>
              </w:rPr>
            </w:pPr>
          </w:p>
        </w:tc>
        <w:tc>
          <w:tcPr>
            <w:tcW w:w="41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bl>
    <w:p>
      <w:pPr>
        <w:ind w:left="580" w:hanging="572"/>
        <w:spacing w:after="0"/>
        <w:tabs>
          <w:tab w:leader="none" w:pos="580" w:val="left"/>
        </w:tabs>
        <w:numPr>
          <w:ilvl w:val="0"/>
          <w:numId w:val="97"/>
        </w:numPr>
        <w:rPr>
          <w:rFonts w:ascii="Arial" w:cs="Arial" w:eastAsia="Arial" w:hAnsi="Arial"/>
          <w:sz w:val="18"/>
          <w:szCs w:val="18"/>
          <w:color w:val="auto"/>
        </w:rPr>
      </w:pPr>
      <w:r>
        <w:rPr>
          <w:rFonts w:ascii="Arial" w:cs="Arial" w:eastAsia="Arial" w:hAnsi="Arial"/>
          <w:sz w:val="18"/>
          <w:szCs w:val="18"/>
          <w:color w:val="auto"/>
        </w:rPr>
        <w:t>Ratio of earnings to fixed charges before interest</w:t>
      </w:r>
    </w:p>
    <w:p>
      <w:pPr>
        <w:spacing w:after="0" w:line="4" w:lineRule="exact"/>
        <w:rPr>
          <w:sz w:val="20"/>
          <w:szCs w:val="20"/>
          <w:color w:val="auto"/>
        </w:rPr>
      </w:pPr>
    </w:p>
    <w:tbl>
      <w:tblPr>
        <w:tblLayout w:type="fixed"/>
        <w:tblInd w:w="760" w:type="dxa"/>
        <w:tblCellMar>
          <w:top w:w="0" w:type="dxa"/>
          <w:left w:w="0" w:type="dxa"/>
          <w:bottom w:w="0" w:type="dxa"/>
          <w:right w:w="0" w:type="dxa"/>
        </w:tblCellMar>
      </w:tblPr>
      <w:tr>
        <w:trPr>
          <w:trHeight w:val="207"/>
        </w:trPr>
        <w:tc>
          <w:tcPr>
            <w:tcW w:w="3920" w:type="dxa"/>
            <w:vAlign w:val="bottom"/>
          </w:tcPr>
          <w:p>
            <w:pPr>
              <w:spacing w:after="0"/>
              <w:rPr>
                <w:sz w:val="20"/>
                <w:szCs w:val="20"/>
                <w:color w:val="auto"/>
              </w:rPr>
            </w:pPr>
            <w:r>
              <w:rPr>
                <w:rFonts w:ascii="Arial" w:cs="Arial" w:eastAsia="Arial" w:hAnsi="Arial"/>
                <w:sz w:val="18"/>
                <w:szCs w:val="18"/>
                <w:color w:val="auto"/>
              </w:rPr>
              <w:t>credited on investment products (Line item</w:t>
            </w:r>
          </w:p>
        </w:tc>
        <w:tc>
          <w:tcPr>
            <w:tcW w:w="1640" w:type="dxa"/>
            <w:vAlign w:val="bottom"/>
            <w:vMerge w:val="restart"/>
          </w:tcPr>
          <w:p>
            <w:pPr>
              <w:jc w:val="right"/>
              <w:ind w:right="530"/>
              <w:spacing w:after="0"/>
              <w:rPr>
                <w:sz w:val="20"/>
                <w:szCs w:val="20"/>
                <w:color w:val="auto"/>
              </w:rPr>
            </w:pPr>
            <w:r>
              <w:rPr>
                <w:rFonts w:ascii="Arial" w:cs="Arial" w:eastAsia="Arial" w:hAnsi="Arial"/>
                <w:sz w:val="18"/>
                <w:szCs w:val="18"/>
                <w:b w:val="1"/>
                <w:bCs w:val="1"/>
                <w:color w:val="auto"/>
              </w:rPr>
              <w:t>6.4</w:t>
            </w:r>
          </w:p>
        </w:tc>
        <w:tc>
          <w:tcPr>
            <w:tcW w:w="140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920" w:type="dxa"/>
            <w:vAlign w:val="bottom"/>
          </w:tcPr>
          <w:p>
            <w:pPr>
              <w:spacing w:after="0"/>
              <w:rPr>
                <w:sz w:val="20"/>
                <w:szCs w:val="20"/>
                <w:color w:val="auto"/>
              </w:rPr>
            </w:pPr>
            <w:r>
              <w:rPr>
                <w:rFonts w:ascii="Arial" w:cs="Arial" w:eastAsia="Arial" w:hAnsi="Arial"/>
                <w:sz w:val="18"/>
                <w:szCs w:val="18"/>
                <w:color w:val="auto"/>
              </w:rPr>
              <w:t>5/Line item 11)</w:t>
            </w:r>
          </w:p>
        </w:tc>
        <w:tc>
          <w:tcPr>
            <w:tcW w:w="1640" w:type="dxa"/>
            <w:vAlign w:val="bottom"/>
            <w:vMerge w:val="continue"/>
          </w:tcPr>
          <w:p>
            <w:pPr>
              <w:spacing w:after="0"/>
              <w:rPr>
                <w:sz w:val="20"/>
                <w:szCs w:val="20"/>
                <w:color w:val="auto"/>
              </w:rPr>
            </w:pPr>
          </w:p>
        </w:tc>
        <w:tc>
          <w:tcPr>
            <w:tcW w:w="1400" w:type="dxa"/>
            <w:vAlign w:val="bottom"/>
          </w:tcPr>
          <w:p>
            <w:pPr>
              <w:jc w:val="right"/>
              <w:ind w:right="490"/>
              <w:spacing w:after="0"/>
              <w:rPr>
                <w:sz w:val="20"/>
                <w:szCs w:val="20"/>
                <w:color w:val="auto"/>
              </w:rPr>
            </w:pPr>
            <w:r>
              <w:rPr>
                <w:rFonts w:ascii="Arial" w:cs="Arial" w:eastAsia="Arial" w:hAnsi="Arial"/>
                <w:sz w:val="18"/>
                <w:szCs w:val="18"/>
                <w:color w:val="auto"/>
              </w:rPr>
              <w:t>6.0</w:t>
            </w:r>
          </w:p>
        </w:tc>
        <w:tc>
          <w:tcPr>
            <w:tcW w:w="1400" w:type="dxa"/>
            <w:vAlign w:val="bottom"/>
          </w:tcPr>
          <w:p>
            <w:pPr>
              <w:jc w:val="right"/>
              <w:ind w:right="490"/>
              <w:spacing w:after="0"/>
              <w:rPr>
                <w:sz w:val="20"/>
                <w:szCs w:val="20"/>
                <w:color w:val="auto"/>
              </w:rPr>
            </w:pPr>
            <w:r>
              <w:rPr>
                <w:rFonts w:ascii="Arial" w:cs="Arial" w:eastAsia="Arial" w:hAnsi="Arial"/>
                <w:sz w:val="18"/>
                <w:szCs w:val="18"/>
                <w:color w:val="auto"/>
              </w:rPr>
              <w:t>5.1</w:t>
            </w:r>
          </w:p>
        </w:tc>
        <w:tc>
          <w:tcPr>
            <w:tcW w:w="1400" w:type="dxa"/>
            <w:vAlign w:val="bottom"/>
          </w:tcPr>
          <w:p>
            <w:pPr>
              <w:jc w:val="right"/>
              <w:ind w:right="490"/>
              <w:spacing w:after="0"/>
              <w:rPr>
                <w:sz w:val="20"/>
                <w:szCs w:val="20"/>
                <w:color w:val="auto"/>
              </w:rPr>
            </w:pPr>
            <w:r>
              <w:rPr>
                <w:rFonts w:ascii="Arial" w:cs="Arial" w:eastAsia="Arial" w:hAnsi="Arial"/>
                <w:sz w:val="18"/>
                <w:szCs w:val="18"/>
                <w:color w:val="auto"/>
              </w:rPr>
              <w:t>4.7</w:t>
            </w:r>
          </w:p>
        </w:tc>
        <w:tc>
          <w:tcPr>
            <w:tcW w:w="800" w:type="dxa"/>
            <w:vAlign w:val="bottom"/>
          </w:tcPr>
          <w:p>
            <w:pPr>
              <w:jc w:val="right"/>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0</wp:posOffset>
            </wp:positionV>
            <wp:extent cx="7246620" cy="13716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line="182" w:lineRule="exact"/>
        <w:rPr>
          <w:sz w:val="20"/>
          <w:szCs w:val="20"/>
          <w:color w:val="auto"/>
        </w:rPr>
      </w:pPr>
    </w:p>
    <w:p>
      <w:pPr>
        <w:ind w:left="580" w:hanging="572"/>
        <w:spacing w:after="0"/>
        <w:tabs>
          <w:tab w:leader="none" w:pos="580" w:val="left"/>
        </w:tabs>
        <w:numPr>
          <w:ilvl w:val="0"/>
          <w:numId w:val="98"/>
        </w:numPr>
        <w:rPr>
          <w:rFonts w:ascii="Arial" w:cs="Arial" w:eastAsia="Arial" w:hAnsi="Arial"/>
          <w:sz w:val="18"/>
          <w:szCs w:val="18"/>
          <w:color w:val="auto"/>
        </w:rPr>
      </w:pPr>
      <w:r>
        <w:rPr>
          <w:rFonts w:ascii="Arial" w:cs="Arial" w:eastAsia="Arial" w:hAnsi="Arial"/>
          <w:sz w:val="18"/>
          <w:szCs w:val="18"/>
          <w:color w:val="auto"/>
        </w:rPr>
        <w:t>Ratio of earnings to fixed charges (Line item</w:t>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680" w:type="dxa"/>
            <w:vAlign w:val="bottom"/>
          </w:tcPr>
          <w:p>
            <w:pPr>
              <w:ind w:left="760"/>
              <w:spacing w:after="0"/>
              <w:rPr>
                <w:sz w:val="20"/>
                <w:szCs w:val="20"/>
                <w:color w:val="auto"/>
              </w:rPr>
            </w:pPr>
            <w:r>
              <w:rPr>
                <w:rFonts w:ascii="Arial" w:cs="Arial" w:eastAsia="Arial" w:hAnsi="Arial"/>
                <w:sz w:val="18"/>
                <w:szCs w:val="18"/>
                <w:color w:val="auto"/>
              </w:rPr>
              <w:t>7/Line item 13)</w:t>
            </w:r>
          </w:p>
        </w:tc>
        <w:tc>
          <w:tcPr>
            <w:tcW w:w="2640" w:type="dxa"/>
            <w:vAlign w:val="bottom"/>
          </w:tcPr>
          <w:p>
            <w:pPr>
              <w:jc w:val="right"/>
              <w:ind w:right="530"/>
              <w:spacing w:after="0"/>
              <w:rPr>
                <w:sz w:val="20"/>
                <w:szCs w:val="20"/>
                <w:color w:val="auto"/>
              </w:rPr>
            </w:pPr>
            <w:r>
              <w:rPr>
                <w:rFonts w:ascii="Arial" w:cs="Arial" w:eastAsia="Arial" w:hAnsi="Arial"/>
                <w:sz w:val="18"/>
                <w:szCs w:val="18"/>
                <w:b w:val="1"/>
                <w:bCs w:val="1"/>
                <w:color w:val="auto"/>
              </w:rPr>
              <w:t>3.2</w:t>
            </w:r>
          </w:p>
        </w:tc>
        <w:tc>
          <w:tcPr>
            <w:tcW w:w="1400" w:type="dxa"/>
            <w:vAlign w:val="bottom"/>
          </w:tcPr>
          <w:p>
            <w:pPr>
              <w:jc w:val="right"/>
              <w:ind w:right="490"/>
              <w:spacing w:after="0"/>
              <w:rPr>
                <w:sz w:val="20"/>
                <w:szCs w:val="20"/>
                <w:color w:val="auto"/>
              </w:rPr>
            </w:pPr>
            <w:r>
              <w:rPr>
                <w:rFonts w:ascii="Arial" w:cs="Arial" w:eastAsia="Arial" w:hAnsi="Arial"/>
                <w:sz w:val="18"/>
                <w:szCs w:val="18"/>
                <w:color w:val="auto"/>
              </w:rPr>
              <w:t>2.6</w:t>
            </w:r>
          </w:p>
        </w:tc>
        <w:tc>
          <w:tcPr>
            <w:tcW w:w="1400" w:type="dxa"/>
            <w:vAlign w:val="bottom"/>
          </w:tcPr>
          <w:p>
            <w:pPr>
              <w:jc w:val="right"/>
              <w:ind w:right="490"/>
              <w:spacing w:after="0"/>
              <w:rPr>
                <w:sz w:val="20"/>
                <w:szCs w:val="20"/>
                <w:color w:val="auto"/>
              </w:rPr>
            </w:pPr>
            <w:r>
              <w:rPr>
                <w:rFonts w:ascii="Arial" w:cs="Arial" w:eastAsia="Arial" w:hAnsi="Arial"/>
                <w:sz w:val="18"/>
                <w:szCs w:val="18"/>
                <w:color w:val="auto"/>
              </w:rPr>
              <w:t>2.2</w:t>
            </w:r>
          </w:p>
        </w:tc>
        <w:tc>
          <w:tcPr>
            <w:tcW w:w="1400" w:type="dxa"/>
            <w:vAlign w:val="bottom"/>
          </w:tcPr>
          <w:p>
            <w:pPr>
              <w:jc w:val="right"/>
              <w:ind w:right="490"/>
              <w:spacing w:after="0"/>
              <w:rPr>
                <w:sz w:val="20"/>
                <w:szCs w:val="20"/>
                <w:color w:val="auto"/>
              </w:rPr>
            </w:pPr>
            <w:r>
              <w:rPr>
                <w:rFonts w:ascii="Arial" w:cs="Arial" w:eastAsia="Arial" w:hAnsi="Arial"/>
                <w:sz w:val="18"/>
                <w:szCs w:val="18"/>
                <w:color w:val="auto"/>
              </w:rPr>
              <w:t>1.8</w:t>
            </w: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1.6</w:t>
            </w:r>
          </w:p>
        </w:tc>
      </w:tr>
      <w:tr>
        <w:trPr>
          <w:trHeight w:val="330"/>
        </w:trPr>
        <w:tc>
          <w:tcPr>
            <w:tcW w:w="3680" w:type="dxa"/>
            <w:vAlign w:val="bottom"/>
            <w:tcBorders>
              <w:bottom w:val="single" w:sz="8" w:color="010101"/>
            </w:tcBorders>
          </w:tcPr>
          <w:p>
            <w:pPr>
              <w:spacing w:after="0"/>
              <w:rPr>
                <w:sz w:val="24"/>
                <w:szCs w:val="24"/>
                <w:color w:val="auto"/>
              </w:rPr>
            </w:pPr>
          </w:p>
        </w:tc>
        <w:tc>
          <w:tcPr>
            <w:tcW w:w="2640" w:type="dxa"/>
            <w:vAlign w:val="bottom"/>
            <w:tcBorders>
              <w:bottom w:val="single" w:sz="8" w:color="010101"/>
            </w:tcBorders>
          </w:tcPr>
          <w:p>
            <w:pPr>
              <w:spacing w:after="0"/>
              <w:rPr>
                <w:sz w:val="24"/>
                <w:szCs w:val="24"/>
                <w:color w:val="auto"/>
              </w:rPr>
            </w:pPr>
          </w:p>
        </w:tc>
        <w:tc>
          <w:tcPr>
            <w:tcW w:w="1400" w:type="dxa"/>
            <w:vAlign w:val="bottom"/>
            <w:tcBorders>
              <w:bottom w:val="single" w:sz="8" w:color="010101"/>
            </w:tcBorders>
          </w:tcPr>
          <w:p>
            <w:pPr>
              <w:spacing w:after="0"/>
              <w:rPr>
                <w:sz w:val="24"/>
                <w:szCs w:val="24"/>
                <w:color w:val="auto"/>
              </w:rPr>
            </w:pPr>
          </w:p>
        </w:tc>
        <w:tc>
          <w:tcPr>
            <w:tcW w:w="1400" w:type="dxa"/>
            <w:vAlign w:val="bottom"/>
            <w:tcBorders>
              <w:bottom w:val="single" w:sz="8" w:color="010101"/>
            </w:tcBorders>
          </w:tcPr>
          <w:p>
            <w:pPr>
              <w:spacing w:after="0"/>
              <w:rPr>
                <w:sz w:val="24"/>
                <w:szCs w:val="24"/>
                <w:color w:val="auto"/>
              </w:rPr>
            </w:pPr>
          </w:p>
        </w:tc>
        <w:tc>
          <w:tcPr>
            <w:tcW w:w="1400" w:type="dxa"/>
            <w:vAlign w:val="bottom"/>
            <w:tcBorders>
              <w:bottom w:val="single" w:sz="8" w:color="010101"/>
            </w:tcBorders>
          </w:tcPr>
          <w:p>
            <w:pPr>
              <w:spacing w:after="0"/>
              <w:rPr>
                <w:sz w:val="24"/>
                <w:szCs w:val="24"/>
                <w:color w:val="auto"/>
              </w:rPr>
            </w:pPr>
          </w:p>
        </w:tc>
        <w:tc>
          <w:tcPr>
            <w:tcW w:w="940" w:type="dxa"/>
            <w:vAlign w:val="bottom"/>
            <w:tcBorders>
              <w:bottom w:val="single" w:sz="8" w:color="010101"/>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64" w:right="199" w:bottom="1440" w:gutter="0" w:footer="0" w:header="0"/>
        </w:sectPr>
      </w:pPr>
    </w:p>
    <w:bookmarkStart w:id="228" w:name="page229"/>
    <w:bookmarkEnd w:id="228"/>
    <w:p>
      <w:pPr>
        <w:spacing w:after="0" w:line="62" w:lineRule="exact"/>
        <w:rPr>
          <w:sz w:val="20"/>
          <w:szCs w:val="20"/>
          <w:color w:val="auto"/>
        </w:rPr>
      </w:pPr>
    </w:p>
    <w:p>
      <w:pPr>
        <w:ind w:left="10620"/>
        <w:spacing w:after="0"/>
        <w:rPr>
          <w:sz w:val="20"/>
          <w:szCs w:val="20"/>
          <w:color w:val="auto"/>
        </w:rPr>
      </w:pPr>
      <w:r>
        <w:rPr>
          <w:rFonts w:ascii="Arial" w:cs="Arial" w:eastAsia="Arial" w:hAnsi="Arial"/>
          <w:sz w:val="17"/>
          <w:szCs w:val="17"/>
          <w:b w:val="1"/>
          <w:bCs w:val="1"/>
          <w:color w:val="auto"/>
        </w:rPr>
        <w:t>Exhibit 21</w:t>
      </w:r>
    </w:p>
    <w:p>
      <w:pPr>
        <w:spacing w:after="0" w:line="23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 Member Companies</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i w:val="1"/>
          <w:iCs w:val="1"/>
          <w:color w:val="auto"/>
        </w:rPr>
        <w:t>December 31, 2013</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960" w:type="dxa"/>
            <w:vAlign w:val="bottom"/>
            <w:gridSpan w:val="2"/>
          </w:tcPr>
          <w:p>
            <w:pPr>
              <w:spacing w:after="0"/>
              <w:rPr>
                <w:sz w:val="20"/>
                <w:szCs w:val="20"/>
                <w:color w:val="auto"/>
              </w:rPr>
            </w:pPr>
            <w:r>
              <w:rPr>
                <w:rFonts w:ascii="Arial" w:cs="Arial" w:eastAsia="Arial" w:hAnsi="Arial"/>
                <w:sz w:val="14"/>
                <w:szCs w:val="14"/>
                <w:b w:val="1"/>
                <w:bCs w:val="1"/>
                <w:color w:val="auto"/>
              </w:rPr>
              <w:t>Corporation</w:t>
            </w:r>
          </w:p>
        </w:tc>
        <w:tc>
          <w:tcPr>
            <w:tcW w:w="360" w:type="dxa"/>
            <w:vAlign w:val="bottom"/>
          </w:tcPr>
          <w:p>
            <w:pPr>
              <w:spacing w:after="0"/>
              <w:rPr>
                <w:sz w:val="14"/>
                <w:szCs w:val="14"/>
                <w:color w:val="auto"/>
              </w:rPr>
            </w:pPr>
          </w:p>
        </w:tc>
        <w:tc>
          <w:tcPr>
            <w:tcW w:w="4100" w:type="dxa"/>
            <w:vAlign w:val="bottom"/>
          </w:tcPr>
          <w:p>
            <w:pPr>
              <w:ind w:left="1160"/>
              <w:spacing w:after="0"/>
              <w:rPr>
                <w:sz w:val="20"/>
                <w:szCs w:val="20"/>
                <w:color w:val="auto"/>
              </w:rPr>
            </w:pPr>
            <w:r>
              <w:rPr>
                <w:rFonts w:ascii="Arial" w:cs="Arial" w:eastAsia="Arial" w:hAnsi="Arial"/>
                <w:sz w:val="14"/>
                <w:szCs w:val="14"/>
                <w:b w:val="1"/>
                <w:bCs w:val="1"/>
                <w:color w:val="auto"/>
              </w:rPr>
              <w:t>State or Country of Domicile</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940" w:type="dxa"/>
            <w:vAlign w:val="bottom"/>
            <w:tcBorders>
              <w:top w:val="single" w:sz="8" w:color="auto"/>
            </w:tcBorders>
          </w:tcPr>
          <w:p>
            <w:pPr>
              <w:spacing w:after="0"/>
              <w:rPr>
                <w:sz w:val="18"/>
                <w:szCs w:val="18"/>
                <w:color w:val="auto"/>
              </w:rPr>
            </w:pPr>
          </w:p>
        </w:tc>
        <w:tc>
          <w:tcPr>
            <w:tcW w:w="360" w:type="dxa"/>
            <w:vAlign w:val="bottom"/>
          </w:tcPr>
          <w:p>
            <w:pPr>
              <w:spacing w:after="0"/>
              <w:rPr>
                <w:sz w:val="18"/>
                <w:szCs w:val="18"/>
                <w:color w:val="auto"/>
              </w:rPr>
            </w:pPr>
          </w:p>
        </w:tc>
        <w:tc>
          <w:tcPr>
            <w:tcW w:w="4100" w:type="dxa"/>
            <w:vAlign w:val="bottom"/>
            <w:tcBorders>
              <w:top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Administradora de Fondos de Pensiones Cuprum S.A.</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Chile</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Brasilprev Seguros e Previdencia S.A.</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Brazil</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CCB Principal Asset Management Co., Ltd.</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China</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CCI Capital Partners, LLC</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Delaware</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CCIP, LLC</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Delaware</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CIMB Principal Islamic Asset Management Sdn. Bhd.</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Malaysia</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CIMB Wealth Advisors Berhad</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Malaysia</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CIMB-Principal Asset Management (S) Pte. Ltd.</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Singapore</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CIMB-Principal Asset Management Berhad</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Malaysia</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CIMB-Principal Asset Management Company Limited</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Thailand</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Claritas Administração de Recursos Ltda.</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Brazil</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Claritas Capital Partners Participacoes Ltda.</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Brazil</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Claritas Investments Ltd.</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Grand Cayman</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Claritas Participaçoes S.A.</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Brazil</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Columbus Circle Investors</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Delaware</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Delaware Charter Guarantee &amp; Trust Company</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Delaware</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Distribuidora Principal Mexico, S.A. De C.V.</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Mexico</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Diversified Dental Services, Inc.</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Nevada</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Edge Asset Management, Inc.</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Washington</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Employers Dental Services, Inc.</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Arizona</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Equity FC, Ltd.</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Iowa</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Finisterre Capital LLP</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United Kingdom</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Finisterre Capital UK Limited</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United Kingdom</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Finisterre Holdings Limited</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Malta</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Finisterre Hong Kong Limited</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Hong Kong</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Finisterre Malta Limited</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Malta</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Finisterre USA, Inc.</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Delaware</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First Dental Health</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California</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GAVI PREHC HC, LLC</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Delaware</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GAVI PREPI HC, LLC</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Delaware</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Hipotecaria Cruz del Sur Principal, S.A.</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Chile</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Inversiones Cuprum Internacional S.A.</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Chile</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Liongate Capital Management (Cayman) Limited</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Cayman Islands</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Liongate Capital Management (India) Private Limited</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India</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Liongate Capital Management (UK) Limited</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United Kingdom</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Liongate Capital Management (US) LP</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Delaware</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Liongate Capital Management Inc.</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Delaware</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Liongate Capital Management Limited</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Malta</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Liongate Capital Management LLP</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United Kingdom</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Liongate Limited</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Malta</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Liongate Multi-Strategy GP Limited</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Cayman Islands</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Morley Capital Management, Inc.</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Oregon</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Morley Financial Services, Inc.</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Oregon</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Origin Asset Management LLP</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United Kingdom</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Petula Associates, LLC</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Iowa</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Petula Prolix Development Company</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Iowa</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PFG DO Brasil LTDA</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Brazil</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PGI Finisterre Holding Company Ltd.</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United Kingdom</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PGI Origin Holding Company Ltd.</w:t>
            </w:r>
          </w:p>
        </w:tc>
        <w:tc>
          <w:tcPr>
            <w:tcW w:w="4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United Kingdom</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Post Advisory Europe Limited</w:t>
            </w:r>
          </w:p>
        </w:tc>
        <w:tc>
          <w:tcPr>
            <w:tcW w:w="4460" w:type="dxa"/>
            <w:vAlign w:val="bottom"/>
            <w:gridSpan w:val="2"/>
          </w:tcPr>
          <w:p>
            <w:pPr>
              <w:ind w:left="360"/>
              <w:spacing w:after="0"/>
              <w:rPr>
                <w:sz w:val="20"/>
                <w:szCs w:val="20"/>
                <w:color w:val="auto"/>
              </w:rPr>
            </w:pPr>
            <w:r>
              <w:rPr>
                <w:rFonts w:ascii="Arial" w:cs="Arial" w:eastAsia="Arial" w:hAnsi="Arial"/>
                <w:sz w:val="18"/>
                <w:szCs w:val="18"/>
                <w:color w:val="auto"/>
              </w:rPr>
              <w:t>United Kingdom</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4"/>
        </w:trPr>
        <w:tc>
          <w:tcPr>
            <w:tcW w:w="20" w:type="dxa"/>
            <w:vAlign w:val="bottom"/>
            <w:tcBorders>
              <w:bottom w:val="single" w:sz="8" w:color="010101"/>
            </w:tcBorders>
          </w:tcPr>
          <w:p>
            <w:pPr>
              <w:spacing w:after="0"/>
              <w:rPr>
                <w:sz w:val="24"/>
                <w:szCs w:val="24"/>
                <w:color w:val="auto"/>
              </w:rPr>
            </w:pPr>
          </w:p>
        </w:tc>
        <w:tc>
          <w:tcPr>
            <w:tcW w:w="6940" w:type="dxa"/>
            <w:vAlign w:val="bottom"/>
            <w:tcBorders>
              <w:bottom w:val="single" w:sz="8" w:color="010101"/>
            </w:tcBorders>
          </w:tcPr>
          <w:p>
            <w:pPr>
              <w:spacing w:after="0"/>
              <w:rPr>
                <w:sz w:val="24"/>
                <w:szCs w:val="24"/>
                <w:color w:val="auto"/>
              </w:rPr>
            </w:pPr>
          </w:p>
        </w:tc>
        <w:tc>
          <w:tcPr>
            <w:tcW w:w="360" w:type="dxa"/>
            <w:vAlign w:val="bottom"/>
            <w:tcBorders>
              <w:bottom w:val="single" w:sz="8" w:color="010101"/>
            </w:tcBorders>
          </w:tcPr>
          <w:p>
            <w:pPr>
              <w:spacing w:after="0"/>
              <w:rPr>
                <w:sz w:val="24"/>
                <w:szCs w:val="24"/>
                <w:color w:val="auto"/>
              </w:rPr>
            </w:pPr>
          </w:p>
        </w:tc>
        <w:tc>
          <w:tcPr>
            <w:tcW w:w="410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7">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8180" w:type="dxa"/>
            <w:vAlign w:val="bottom"/>
            <w:gridSpan w:val="3"/>
          </w:tcPr>
          <w:p>
            <w:pPr>
              <w:spacing w:after="0"/>
              <w:rPr>
                <w:sz w:val="20"/>
                <w:szCs w:val="20"/>
                <w:color w:val="auto"/>
              </w:rPr>
            </w:pPr>
            <w:r>
              <w:rPr>
                <w:rFonts w:ascii="Arial" w:cs="Arial" w:eastAsia="Arial" w:hAnsi="Arial"/>
                <w:sz w:val="14"/>
                <w:szCs w:val="14"/>
                <w:b w:val="1"/>
                <w:bCs w:val="1"/>
                <w:color w:val="auto"/>
              </w:rPr>
              <w:t>Corporation</w:t>
            </w:r>
          </w:p>
        </w:tc>
        <w:tc>
          <w:tcPr>
            <w:tcW w:w="3240" w:type="dxa"/>
            <w:vAlign w:val="bottom"/>
          </w:tcPr>
          <w:p>
            <w:pPr>
              <w:ind w:left="740"/>
              <w:spacing w:after="0"/>
              <w:rPr>
                <w:sz w:val="20"/>
                <w:szCs w:val="20"/>
                <w:color w:val="auto"/>
              </w:rPr>
            </w:pPr>
            <w:r>
              <w:rPr>
                <w:rFonts w:ascii="Arial" w:cs="Arial" w:eastAsia="Arial" w:hAnsi="Arial"/>
                <w:sz w:val="14"/>
                <w:szCs w:val="14"/>
                <w:b w:val="1"/>
                <w:bCs w:val="1"/>
                <w:color w:val="auto"/>
              </w:rPr>
              <w:t>State or Country of Domicile</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788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324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Post Advisory Group, LLC</w:t>
            </w:r>
          </w:p>
        </w:tc>
        <w:tc>
          <w:tcPr>
            <w:tcW w:w="3240" w:type="dxa"/>
            <w:vAlign w:val="bottom"/>
            <w:shd w:val="clear" w:color="auto" w:fill="CCEEFF"/>
          </w:tcPr>
          <w:p>
            <w:pPr>
              <w:spacing w:after="0"/>
              <w:rPr>
                <w:sz w:val="20"/>
                <w:szCs w:val="20"/>
                <w:color w:val="auto"/>
              </w:rPr>
            </w:pPr>
            <w:r>
              <w:rPr>
                <w:rFonts w:ascii="Arial" w:cs="Arial" w:eastAsia="Arial" w:hAnsi="Arial"/>
                <w:sz w:val="18"/>
                <w:szCs w:val="18"/>
                <w:color w:val="auto"/>
              </w:rPr>
              <w:t>Delaware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tcPr>
          <w:p>
            <w:pPr>
              <w:spacing w:after="0"/>
              <w:rPr>
                <w:sz w:val="20"/>
                <w:szCs w:val="20"/>
                <w:color w:val="auto"/>
              </w:rPr>
            </w:pPr>
            <w:r>
              <w:rPr>
                <w:rFonts w:ascii="Arial" w:cs="Arial" w:eastAsia="Arial" w:hAnsi="Arial"/>
                <w:sz w:val="18"/>
                <w:szCs w:val="18"/>
                <w:color w:val="auto"/>
              </w:rPr>
              <w:t>Preferred Product Network, Inc.</w:t>
            </w:r>
          </w:p>
        </w:tc>
        <w:tc>
          <w:tcPr>
            <w:tcW w:w="3240" w:type="dxa"/>
            <w:vAlign w:val="bottom"/>
          </w:tcPr>
          <w:p>
            <w:pPr>
              <w:spacing w:after="0"/>
              <w:rPr>
                <w:sz w:val="20"/>
                <w:szCs w:val="20"/>
                <w:color w:val="auto"/>
              </w:rPr>
            </w:pPr>
            <w:r>
              <w:rPr>
                <w:rFonts w:ascii="Arial" w:cs="Arial" w:eastAsia="Arial" w:hAnsi="Arial"/>
                <w:sz w:val="18"/>
                <w:szCs w:val="18"/>
                <w:color w:val="auto"/>
              </w:rPr>
              <w:t>Delaware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Administradora General de Fondos S.A.</w:t>
            </w:r>
          </w:p>
        </w:tc>
        <w:tc>
          <w:tcPr>
            <w:tcW w:w="3240" w:type="dxa"/>
            <w:vAlign w:val="bottom"/>
            <w:shd w:val="clear" w:color="auto" w:fill="CCEEFF"/>
          </w:tcPr>
          <w:p>
            <w:pPr>
              <w:spacing w:after="0"/>
              <w:rPr>
                <w:sz w:val="20"/>
                <w:szCs w:val="20"/>
                <w:color w:val="auto"/>
              </w:rPr>
            </w:pPr>
            <w:r>
              <w:rPr>
                <w:rFonts w:ascii="Arial" w:cs="Arial" w:eastAsia="Arial" w:hAnsi="Arial"/>
                <w:sz w:val="18"/>
                <w:szCs w:val="18"/>
                <w:color w:val="auto"/>
              </w:rPr>
              <w:t>Chile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tcPr>
          <w:p>
            <w:pPr>
              <w:spacing w:after="0"/>
              <w:rPr>
                <w:sz w:val="20"/>
                <w:szCs w:val="20"/>
                <w:color w:val="auto"/>
              </w:rPr>
            </w:pPr>
            <w:r>
              <w:rPr>
                <w:rFonts w:ascii="Arial" w:cs="Arial" w:eastAsia="Arial" w:hAnsi="Arial"/>
                <w:sz w:val="18"/>
                <w:szCs w:val="18"/>
                <w:color w:val="auto"/>
              </w:rPr>
              <w:t>Principal Afore, S.A. de C.V., Principal Grupo Financiero</w:t>
            </w:r>
          </w:p>
        </w:tc>
        <w:tc>
          <w:tcPr>
            <w:tcW w:w="3240" w:type="dxa"/>
            <w:vAlign w:val="bottom"/>
          </w:tcPr>
          <w:p>
            <w:pPr>
              <w:spacing w:after="0"/>
              <w:rPr>
                <w:sz w:val="20"/>
                <w:szCs w:val="20"/>
                <w:color w:val="auto"/>
              </w:rPr>
            </w:pPr>
            <w:r>
              <w:rPr>
                <w:rFonts w:ascii="Arial" w:cs="Arial" w:eastAsia="Arial" w:hAnsi="Arial"/>
                <w:sz w:val="18"/>
                <w:szCs w:val="18"/>
                <w:color w:val="auto"/>
              </w:rPr>
              <w:t>Mexico</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Asset Management Chile S.A.</w:t>
            </w:r>
          </w:p>
        </w:tc>
        <w:tc>
          <w:tcPr>
            <w:tcW w:w="3240" w:type="dxa"/>
            <w:vAlign w:val="bottom"/>
            <w:shd w:val="clear" w:color="auto" w:fill="CCEEFF"/>
          </w:tcPr>
          <w:p>
            <w:pPr>
              <w:spacing w:after="0"/>
              <w:rPr>
                <w:sz w:val="20"/>
                <w:szCs w:val="20"/>
                <w:color w:val="auto"/>
              </w:rPr>
            </w:pPr>
            <w:r>
              <w:rPr>
                <w:rFonts w:ascii="Arial" w:cs="Arial" w:eastAsia="Arial" w:hAnsi="Arial"/>
                <w:sz w:val="18"/>
                <w:szCs w:val="18"/>
                <w:color w:val="auto"/>
              </w:rPr>
              <w:t>Chile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tcPr>
          <w:p>
            <w:pPr>
              <w:spacing w:after="0"/>
              <w:rPr>
                <w:sz w:val="20"/>
                <w:szCs w:val="20"/>
                <w:color w:val="auto"/>
              </w:rPr>
            </w:pPr>
            <w:r>
              <w:rPr>
                <w:rFonts w:ascii="Arial" w:cs="Arial" w:eastAsia="Arial" w:hAnsi="Arial"/>
                <w:sz w:val="18"/>
                <w:szCs w:val="18"/>
                <w:color w:val="auto"/>
              </w:rPr>
              <w:t>Principal Asset Management Company (Asia) Limited</w:t>
            </w:r>
          </w:p>
        </w:tc>
        <w:tc>
          <w:tcPr>
            <w:tcW w:w="3240" w:type="dxa"/>
            <w:vAlign w:val="bottom"/>
          </w:tcPr>
          <w:p>
            <w:pPr>
              <w:spacing w:after="0"/>
              <w:rPr>
                <w:sz w:val="20"/>
                <w:szCs w:val="20"/>
                <w:color w:val="auto"/>
              </w:rPr>
            </w:pPr>
            <w:r>
              <w:rPr>
                <w:rFonts w:ascii="Arial" w:cs="Arial" w:eastAsia="Arial" w:hAnsi="Arial"/>
                <w:sz w:val="18"/>
                <w:szCs w:val="18"/>
                <w:color w:val="auto"/>
              </w:rPr>
              <w:t>Hong Kong</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Bank</w:t>
            </w:r>
          </w:p>
        </w:tc>
        <w:tc>
          <w:tcPr>
            <w:tcW w:w="3240" w:type="dxa"/>
            <w:vAlign w:val="bottom"/>
            <w:shd w:val="clear" w:color="auto" w:fill="CCEEFF"/>
          </w:tcPr>
          <w:p>
            <w:pPr>
              <w:spacing w:after="0"/>
              <w:rPr>
                <w:sz w:val="20"/>
                <w:szCs w:val="20"/>
                <w:color w:val="auto"/>
              </w:rPr>
            </w:pPr>
            <w:r>
              <w:rPr>
                <w:rFonts w:ascii="Arial" w:cs="Arial" w:eastAsia="Arial" w:hAnsi="Arial"/>
                <w:sz w:val="18"/>
                <w:szCs w:val="18"/>
                <w:color w:val="auto"/>
              </w:rPr>
              <w:t>Iowa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tcPr>
          <w:p>
            <w:pPr>
              <w:spacing w:after="0"/>
              <w:rPr>
                <w:sz w:val="20"/>
                <w:szCs w:val="20"/>
                <w:color w:val="auto"/>
              </w:rPr>
            </w:pPr>
            <w:r>
              <w:rPr>
                <w:rFonts w:ascii="Arial" w:cs="Arial" w:eastAsia="Arial" w:hAnsi="Arial"/>
                <w:sz w:val="18"/>
                <w:szCs w:val="18"/>
                <w:color w:val="auto"/>
              </w:rPr>
              <w:t>Principal Chile Limitada</w:t>
            </w:r>
          </w:p>
        </w:tc>
        <w:tc>
          <w:tcPr>
            <w:tcW w:w="3240" w:type="dxa"/>
            <w:vAlign w:val="bottom"/>
          </w:tcPr>
          <w:p>
            <w:pPr>
              <w:spacing w:after="0"/>
              <w:rPr>
                <w:sz w:val="20"/>
                <w:szCs w:val="20"/>
                <w:color w:val="auto"/>
              </w:rPr>
            </w:pPr>
            <w:r>
              <w:rPr>
                <w:rFonts w:ascii="Arial" w:cs="Arial" w:eastAsia="Arial" w:hAnsi="Arial"/>
                <w:sz w:val="18"/>
                <w:szCs w:val="18"/>
                <w:color w:val="auto"/>
              </w:rPr>
              <w:t>Chile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Commercial Acceptance, LLC</w:t>
            </w:r>
          </w:p>
        </w:tc>
        <w:tc>
          <w:tcPr>
            <w:tcW w:w="3240" w:type="dxa"/>
            <w:vAlign w:val="bottom"/>
            <w:shd w:val="clear" w:color="auto" w:fill="CCEEFF"/>
          </w:tcPr>
          <w:p>
            <w:pPr>
              <w:spacing w:after="0"/>
              <w:rPr>
                <w:sz w:val="20"/>
                <w:szCs w:val="20"/>
                <w:color w:val="auto"/>
              </w:rPr>
            </w:pPr>
            <w:r>
              <w:rPr>
                <w:rFonts w:ascii="Arial" w:cs="Arial" w:eastAsia="Arial" w:hAnsi="Arial"/>
                <w:sz w:val="18"/>
                <w:szCs w:val="18"/>
                <w:color w:val="auto"/>
              </w:rPr>
              <w:t>Delaware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tcPr>
          <w:p>
            <w:pPr>
              <w:spacing w:after="0"/>
              <w:rPr>
                <w:sz w:val="20"/>
                <w:szCs w:val="20"/>
                <w:color w:val="auto"/>
              </w:rPr>
            </w:pPr>
            <w:r>
              <w:rPr>
                <w:rFonts w:ascii="Arial" w:cs="Arial" w:eastAsia="Arial" w:hAnsi="Arial"/>
                <w:sz w:val="18"/>
                <w:szCs w:val="18"/>
                <w:color w:val="auto"/>
              </w:rPr>
              <w:t>Principal Commercial Funding, LLC</w:t>
            </w:r>
          </w:p>
        </w:tc>
        <w:tc>
          <w:tcPr>
            <w:tcW w:w="3240" w:type="dxa"/>
            <w:vAlign w:val="bottom"/>
          </w:tcPr>
          <w:p>
            <w:pPr>
              <w:spacing w:after="0"/>
              <w:rPr>
                <w:sz w:val="20"/>
                <w:szCs w:val="20"/>
                <w:color w:val="auto"/>
              </w:rPr>
            </w:pPr>
            <w:r>
              <w:rPr>
                <w:rFonts w:ascii="Arial" w:cs="Arial" w:eastAsia="Arial" w:hAnsi="Arial"/>
                <w:sz w:val="18"/>
                <w:szCs w:val="18"/>
                <w:color w:val="auto"/>
              </w:rPr>
              <w:t>Delaware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Compania de Seguros de Vida Chile S.A.</w:t>
            </w:r>
          </w:p>
        </w:tc>
        <w:tc>
          <w:tcPr>
            <w:tcW w:w="3240" w:type="dxa"/>
            <w:vAlign w:val="bottom"/>
            <w:shd w:val="clear" w:color="auto" w:fill="CCEEFF"/>
          </w:tcPr>
          <w:p>
            <w:pPr>
              <w:spacing w:after="0"/>
              <w:rPr>
                <w:sz w:val="20"/>
                <w:szCs w:val="20"/>
                <w:color w:val="auto"/>
              </w:rPr>
            </w:pPr>
            <w:r>
              <w:rPr>
                <w:rFonts w:ascii="Arial" w:cs="Arial" w:eastAsia="Arial" w:hAnsi="Arial"/>
                <w:sz w:val="18"/>
                <w:szCs w:val="18"/>
                <w:color w:val="auto"/>
              </w:rPr>
              <w:t>Chile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tcPr>
          <w:p>
            <w:pPr>
              <w:spacing w:after="0"/>
              <w:rPr>
                <w:sz w:val="20"/>
                <w:szCs w:val="20"/>
                <w:color w:val="auto"/>
              </w:rPr>
            </w:pPr>
            <w:r>
              <w:rPr>
                <w:rFonts w:ascii="Arial" w:cs="Arial" w:eastAsia="Arial" w:hAnsi="Arial"/>
                <w:sz w:val="18"/>
                <w:szCs w:val="18"/>
                <w:color w:val="auto"/>
              </w:rPr>
              <w:t>Principal Consulting (India) Private Limited</w:t>
            </w:r>
          </w:p>
        </w:tc>
        <w:tc>
          <w:tcPr>
            <w:tcW w:w="3240" w:type="dxa"/>
            <w:vAlign w:val="bottom"/>
          </w:tcPr>
          <w:p>
            <w:pPr>
              <w:spacing w:after="0"/>
              <w:rPr>
                <w:sz w:val="20"/>
                <w:szCs w:val="20"/>
                <w:color w:val="auto"/>
              </w:rPr>
            </w:pPr>
            <w:r>
              <w:rPr>
                <w:rFonts w:ascii="Arial" w:cs="Arial" w:eastAsia="Arial" w:hAnsi="Arial"/>
                <w:sz w:val="18"/>
                <w:szCs w:val="18"/>
                <w:color w:val="auto"/>
              </w:rPr>
              <w:t>India</w:t>
            </w: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788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324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bl>
    <w:p>
      <w:pPr>
        <w:sectPr>
          <w:pgSz w:w="11900" w:h="16900" w:orient="portrait"/>
          <w:cols w:equalWidth="0" w:num="1">
            <w:col w:w="11460"/>
          </w:cols>
          <w:pgMar w:left="240" w:top="365" w:right="199" w:bottom="0" w:gutter="0" w:footer="0" w:header="0"/>
        </w:sectPr>
      </w:pPr>
    </w:p>
    <w:bookmarkStart w:id="229" w:name="page230"/>
    <w:bookmarkEnd w:id="229"/>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980" w:type="dxa"/>
            <w:vAlign w:val="bottom"/>
            <w:shd w:val="clear" w:color="auto" w:fill="CCEEFF"/>
          </w:tcPr>
          <w:p>
            <w:pPr>
              <w:spacing w:after="0"/>
              <w:rPr>
                <w:sz w:val="20"/>
                <w:szCs w:val="20"/>
                <w:color w:val="auto"/>
              </w:rPr>
            </w:pPr>
            <w:r>
              <w:rPr>
                <w:rFonts w:ascii="Arial" w:cs="Arial" w:eastAsia="Arial" w:hAnsi="Arial"/>
                <w:sz w:val="18"/>
                <w:szCs w:val="18"/>
                <w:color w:val="auto"/>
              </w:rPr>
              <w:t>Principal Dental Services, Inc.</w:t>
            </w:r>
          </w:p>
        </w:tc>
        <w:tc>
          <w:tcPr>
            <w:tcW w:w="34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Arizona</w:t>
            </w:r>
          </w:p>
        </w:tc>
        <w:tc>
          <w:tcPr>
            <w:tcW w:w="40" w:type="dxa"/>
            <w:vAlign w:val="bottom"/>
          </w:tcPr>
          <w:p>
            <w:pPr>
              <w:spacing w:after="0"/>
              <w:rPr>
                <w:sz w:val="18"/>
                <w:szCs w:val="18"/>
                <w:color w:val="auto"/>
              </w:rPr>
            </w:pPr>
          </w:p>
        </w:tc>
      </w:tr>
      <w:tr>
        <w:trPr>
          <w:trHeight w:val="216"/>
        </w:trPr>
        <w:tc>
          <w:tcPr>
            <w:tcW w:w="7980" w:type="dxa"/>
            <w:vAlign w:val="bottom"/>
          </w:tcPr>
          <w:p>
            <w:pPr>
              <w:spacing w:after="0"/>
              <w:rPr>
                <w:sz w:val="20"/>
                <w:szCs w:val="20"/>
                <w:color w:val="auto"/>
              </w:rPr>
            </w:pPr>
            <w:r>
              <w:rPr>
                <w:rFonts w:ascii="Arial" w:cs="Arial" w:eastAsia="Arial" w:hAnsi="Arial"/>
                <w:sz w:val="18"/>
                <w:szCs w:val="18"/>
                <w:color w:val="auto"/>
              </w:rPr>
              <w:t>Principal Development Investors, L.L.C.</w:t>
            </w:r>
          </w:p>
        </w:tc>
        <w:tc>
          <w:tcPr>
            <w:tcW w:w="3440" w:type="dxa"/>
            <w:vAlign w:val="bottom"/>
          </w:tcPr>
          <w:p>
            <w:pPr>
              <w:ind w:left="200"/>
              <w:spacing w:after="0"/>
              <w:rPr>
                <w:sz w:val="20"/>
                <w:szCs w:val="20"/>
                <w:color w:val="auto"/>
              </w:rPr>
            </w:pPr>
            <w:r>
              <w:rPr>
                <w:rFonts w:ascii="Arial" w:cs="Arial" w:eastAsia="Arial" w:hAnsi="Arial"/>
                <w:sz w:val="18"/>
                <w:szCs w:val="18"/>
                <w:color w:val="auto"/>
              </w:rPr>
              <w:t>Delaware</w:t>
            </w:r>
          </w:p>
        </w:tc>
        <w:tc>
          <w:tcPr>
            <w:tcW w:w="40" w:type="dxa"/>
            <w:vAlign w:val="bottom"/>
          </w:tcPr>
          <w:p>
            <w:pPr>
              <w:spacing w:after="0"/>
              <w:rPr>
                <w:sz w:val="18"/>
                <w:szCs w:val="18"/>
                <w:color w:val="auto"/>
              </w:rPr>
            </w:pPr>
          </w:p>
        </w:tc>
      </w:tr>
      <w:tr>
        <w:trPr>
          <w:trHeight w:val="216"/>
        </w:trPr>
        <w:tc>
          <w:tcPr>
            <w:tcW w:w="7980" w:type="dxa"/>
            <w:vAlign w:val="bottom"/>
            <w:shd w:val="clear" w:color="auto" w:fill="CCEEFF"/>
          </w:tcPr>
          <w:p>
            <w:pPr>
              <w:spacing w:after="0"/>
              <w:rPr>
                <w:sz w:val="20"/>
                <w:szCs w:val="20"/>
                <w:color w:val="auto"/>
              </w:rPr>
            </w:pPr>
            <w:r>
              <w:rPr>
                <w:rFonts w:ascii="Arial" w:cs="Arial" w:eastAsia="Arial" w:hAnsi="Arial"/>
                <w:sz w:val="18"/>
                <w:szCs w:val="18"/>
                <w:color w:val="auto"/>
              </w:rPr>
              <w:t>Principal Edge Network - Dallas Ft. Worth, Inc.</w:t>
            </w:r>
          </w:p>
        </w:tc>
        <w:tc>
          <w:tcPr>
            <w:tcW w:w="34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Delaware</w:t>
            </w:r>
          </w:p>
        </w:tc>
        <w:tc>
          <w:tcPr>
            <w:tcW w:w="40" w:type="dxa"/>
            <w:vAlign w:val="bottom"/>
          </w:tcPr>
          <w:p>
            <w:pPr>
              <w:spacing w:after="0"/>
              <w:rPr>
                <w:sz w:val="18"/>
                <w:szCs w:val="18"/>
                <w:color w:val="auto"/>
              </w:rPr>
            </w:pPr>
          </w:p>
        </w:tc>
      </w:tr>
      <w:tr>
        <w:trPr>
          <w:trHeight w:val="216"/>
        </w:trPr>
        <w:tc>
          <w:tcPr>
            <w:tcW w:w="7980" w:type="dxa"/>
            <w:vAlign w:val="bottom"/>
          </w:tcPr>
          <w:p>
            <w:pPr>
              <w:spacing w:after="0"/>
              <w:rPr>
                <w:sz w:val="20"/>
                <w:szCs w:val="20"/>
                <w:color w:val="auto"/>
              </w:rPr>
            </w:pPr>
            <w:r>
              <w:rPr>
                <w:rFonts w:ascii="Arial" w:cs="Arial" w:eastAsia="Arial" w:hAnsi="Arial"/>
                <w:sz w:val="18"/>
                <w:szCs w:val="18"/>
                <w:color w:val="auto"/>
              </w:rPr>
              <w:t>Principal Edge Network - Georgia, LLC</w:t>
            </w:r>
          </w:p>
        </w:tc>
        <w:tc>
          <w:tcPr>
            <w:tcW w:w="3440" w:type="dxa"/>
            <w:vAlign w:val="bottom"/>
          </w:tcPr>
          <w:p>
            <w:pPr>
              <w:ind w:left="200"/>
              <w:spacing w:after="0"/>
              <w:rPr>
                <w:sz w:val="20"/>
                <w:szCs w:val="20"/>
                <w:color w:val="auto"/>
              </w:rPr>
            </w:pPr>
            <w:r>
              <w:rPr>
                <w:rFonts w:ascii="Arial" w:cs="Arial" w:eastAsia="Arial" w:hAnsi="Arial"/>
                <w:sz w:val="18"/>
                <w:szCs w:val="18"/>
                <w:color w:val="auto"/>
              </w:rPr>
              <w:t>Delaware</w:t>
            </w:r>
          </w:p>
        </w:tc>
        <w:tc>
          <w:tcPr>
            <w:tcW w:w="40" w:type="dxa"/>
            <w:vAlign w:val="bottom"/>
          </w:tcPr>
          <w:p>
            <w:pPr>
              <w:spacing w:after="0"/>
              <w:rPr>
                <w:sz w:val="18"/>
                <w:szCs w:val="18"/>
                <w:color w:val="auto"/>
              </w:rPr>
            </w:pPr>
          </w:p>
        </w:tc>
      </w:tr>
      <w:tr>
        <w:trPr>
          <w:trHeight w:val="216"/>
        </w:trPr>
        <w:tc>
          <w:tcPr>
            <w:tcW w:w="7980" w:type="dxa"/>
            <w:vAlign w:val="bottom"/>
            <w:shd w:val="clear" w:color="auto" w:fill="CCEEFF"/>
          </w:tcPr>
          <w:p>
            <w:pPr>
              <w:spacing w:after="0"/>
              <w:rPr>
                <w:sz w:val="20"/>
                <w:szCs w:val="20"/>
                <w:color w:val="auto"/>
              </w:rPr>
            </w:pPr>
            <w:r>
              <w:rPr>
                <w:rFonts w:ascii="Arial" w:cs="Arial" w:eastAsia="Arial" w:hAnsi="Arial"/>
                <w:sz w:val="18"/>
                <w:szCs w:val="18"/>
                <w:color w:val="auto"/>
              </w:rPr>
              <w:t>Principal Edge Network Holdings, Inc.</w:t>
            </w:r>
          </w:p>
        </w:tc>
        <w:tc>
          <w:tcPr>
            <w:tcW w:w="34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Delaware</w:t>
            </w:r>
          </w:p>
        </w:tc>
        <w:tc>
          <w:tcPr>
            <w:tcW w:w="40" w:type="dxa"/>
            <w:vAlign w:val="bottom"/>
          </w:tcPr>
          <w:p>
            <w:pPr>
              <w:spacing w:after="0"/>
              <w:rPr>
                <w:sz w:val="18"/>
                <w:szCs w:val="18"/>
                <w:color w:val="auto"/>
              </w:rPr>
            </w:pPr>
          </w:p>
        </w:tc>
      </w:tr>
      <w:tr>
        <w:trPr>
          <w:trHeight w:val="216"/>
        </w:trPr>
        <w:tc>
          <w:tcPr>
            <w:tcW w:w="7980" w:type="dxa"/>
            <w:vAlign w:val="bottom"/>
          </w:tcPr>
          <w:p>
            <w:pPr>
              <w:spacing w:after="0"/>
              <w:rPr>
                <w:sz w:val="20"/>
                <w:szCs w:val="20"/>
                <w:color w:val="auto"/>
              </w:rPr>
            </w:pPr>
            <w:r>
              <w:rPr>
                <w:rFonts w:ascii="Arial" w:cs="Arial" w:eastAsia="Arial" w:hAnsi="Arial"/>
                <w:sz w:val="18"/>
                <w:szCs w:val="18"/>
                <w:color w:val="auto"/>
              </w:rPr>
              <w:t>Principal Enterprise Capital, LLC</w:t>
            </w:r>
          </w:p>
        </w:tc>
        <w:tc>
          <w:tcPr>
            <w:tcW w:w="3440" w:type="dxa"/>
            <w:vAlign w:val="bottom"/>
          </w:tcPr>
          <w:p>
            <w:pPr>
              <w:ind w:left="200"/>
              <w:spacing w:after="0"/>
              <w:rPr>
                <w:sz w:val="20"/>
                <w:szCs w:val="20"/>
                <w:color w:val="auto"/>
              </w:rPr>
            </w:pPr>
            <w:r>
              <w:rPr>
                <w:rFonts w:ascii="Arial" w:cs="Arial" w:eastAsia="Arial" w:hAnsi="Arial"/>
                <w:sz w:val="18"/>
                <w:szCs w:val="18"/>
                <w:color w:val="auto"/>
              </w:rPr>
              <w:t>Delaware</w:t>
            </w:r>
          </w:p>
        </w:tc>
        <w:tc>
          <w:tcPr>
            <w:tcW w:w="40" w:type="dxa"/>
            <w:vAlign w:val="bottom"/>
          </w:tcPr>
          <w:p>
            <w:pPr>
              <w:spacing w:after="0"/>
              <w:rPr>
                <w:sz w:val="18"/>
                <w:szCs w:val="18"/>
                <w:color w:val="auto"/>
              </w:rPr>
            </w:pPr>
          </w:p>
        </w:tc>
      </w:tr>
      <w:tr>
        <w:trPr>
          <w:trHeight w:val="216"/>
        </w:trPr>
        <w:tc>
          <w:tcPr>
            <w:tcW w:w="7980" w:type="dxa"/>
            <w:vAlign w:val="bottom"/>
            <w:shd w:val="clear" w:color="auto" w:fill="CCEEFF"/>
          </w:tcPr>
          <w:p>
            <w:pPr>
              <w:spacing w:after="0"/>
              <w:rPr>
                <w:sz w:val="20"/>
                <w:szCs w:val="20"/>
                <w:color w:val="auto"/>
              </w:rPr>
            </w:pPr>
            <w:r>
              <w:rPr>
                <w:rFonts w:ascii="Arial" w:cs="Arial" w:eastAsia="Arial" w:hAnsi="Arial"/>
                <w:sz w:val="18"/>
                <w:szCs w:val="18"/>
                <w:color w:val="auto"/>
              </w:rPr>
              <w:t>Principal Financial Advisors, Inc.</w:t>
            </w:r>
          </w:p>
        </w:tc>
        <w:tc>
          <w:tcPr>
            <w:tcW w:w="34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Iowa</w:t>
            </w:r>
          </w:p>
        </w:tc>
        <w:tc>
          <w:tcPr>
            <w:tcW w:w="40" w:type="dxa"/>
            <w:vAlign w:val="bottom"/>
          </w:tcPr>
          <w:p>
            <w:pPr>
              <w:spacing w:after="0"/>
              <w:rPr>
                <w:sz w:val="18"/>
                <w:szCs w:val="18"/>
                <w:color w:val="auto"/>
              </w:rPr>
            </w:pPr>
          </w:p>
        </w:tc>
      </w:tr>
      <w:tr>
        <w:trPr>
          <w:trHeight w:val="216"/>
        </w:trPr>
        <w:tc>
          <w:tcPr>
            <w:tcW w:w="7980" w:type="dxa"/>
            <w:vAlign w:val="bottom"/>
          </w:tcPr>
          <w:p>
            <w:pPr>
              <w:spacing w:after="0"/>
              <w:rPr>
                <w:sz w:val="20"/>
                <w:szCs w:val="20"/>
                <w:color w:val="auto"/>
              </w:rPr>
            </w:pPr>
            <w:r>
              <w:rPr>
                <w:rFonts w:ascii="Arial" w:cs="Arial" w:eastAsia="Arial" w:hAnsi="Arial"/>
                <w:sz w:val="18"/>
                <w:szCs w:val="18"/>
                <w:color w:val="auto"/>
              </w:rPr>
              <w:t>Principal Financial Group (Mauritius) Ltd.</w:t>
            </w:r>
          </w:p>
        </w:tc>
        <w:tc>
          <w:tcPr>
            <w:tcW w:w="3440" w:type="dxa"/>
            <w:vAlign w:val="bottom"/>
          </w:tcPr>
          <w:p>
            <w:pPr>
              <w:ind w:left="200"/>
              <w:spacing w:after="0"/>
              <w:rPr>
                <w:sz w:val="20"/>
                <w:szCs w:val="20"/>
                <w:color w:val="auto"/>
              </w:rPr>
            </w:pPr>
            <w:r>
              <w:rPr>
                <w:rFonts w:ascii="Arial" w:cs="Arial" w:eastAsia="Arial" w:hAnsi="Arial"/>
                <w:sz w:val="18"/>
                <w:szCs w:val="18"/>
                <w:color w:val="auto"/>
              </w:rPr>
              <w:t>Mauritius</w:t>
            </w:r>
          </w:p>
        </w:tc>
        <w:tc>
          <w:tcPr>
            <w:tcW w:w="40" w:type="dxa"/>
            <w:vAlign w:val="bottom"/>
          </w:tcPr>
          <w:p>
            <w:pPr>
              <w:spacing w:after="0"/>
              <w:rPr>
                <w:sz w:val="18"/>
                <w:szCs w:val="18"/>
                <w:color w:val="auto"/>
              </w:rPr>
            </w:pPr>
          </w:p>
        </w:tc>
      </w:tr>
      <w:tr>
        <w:trPr>
          <w:trHeight w:val="216"/>
        </w:trPr>
        <w:tc>
          <w:tcPr>
            <w:tcW w:w="7980" w:type="dxa"/>
            <w:vAlign w:val="bottom"/>
            <w:shd w:val="clear" w:color="auto" w:fill="CCEEFF"/>
          </w:tcPr>
          <w:p>
            <w:pPr>
              <w:spacing w:after="0"/>
              <w:rPr>
                <w:sz w:val="20"/>
                <w:szCs w:val="20"/>
                <w:color w:val="auto"/>
              </w:rPr>
            </w:pPr>
            <w:r>
              <w:rPr>
                <w:rFonts w:ascii="Arial" w:cs="Arial" w:eastAsia="Arial" w:hAnsi="Arial"/>
                <w:sz w:val="18"/>
                <w:szCs w:val="18"/>
                <w:color w:val="auto"/>
              </w:rPr>
              <w:t>Principal Financial Group, Inc.</w:t>
            </w:r>
          </w:p>
        </w:tc>
        <w:tc>
          <w:tcPr>
            <w:tcW w:w="34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Delaware</w:t>
            </w:r>
          </w:p>
        </w:tc>
        <w:tc>
          <w:tcPr>
            <w:tcW w:w="40" w:type="dxa"/>
            <w:vAlign w:val="bottom"/>
          </w:tcPr>
          <w:p>
            <w:pPr>
              <w:spacing w:after="0"/>
              <w:rPr>
                <w:sz w:val="18"/>
                <w:szCs w:val="18"/>
                <w:color w:val="auto"/>
              </w:rPr>
            </w:pPr>
          </w:p>
        </w:tc>
      </w:tr>
      <w:tr>
        <w:trPr>
          <w:trHeight w:val="216"/>
        </w:trPr>
        <w:tc>
          <w:tcPr>
            <w:tcW w:w="7980" w:type="dxa"/>
            <w:vAlign w:val="bottom"/>
          </w:tcPr>
          <w:p>
            <w:pPr>
              <w:spacing w:after="0"/>
              <w:rPr>
                <w:sz w:val="20"/>
                <w:szCs w:val="20"/>
                <w:color w:val="auto"/>
              </w:rPr>
            </w:pPr>
            <w:r>
              <w:rPr>
                <w:rFonts w:ascii="Arial" w:cs="Arial" w:eastAsia="Arial" w:hAnsi="Arial"/>
                <w:sz w:val="18"/>
                <w:szCs w:val="18"/>
                <w:color w:val="auto"/>
              </w:rPr>
              <w:t>Principal Financial Group, S.A. de C.V., Grupo Financiero</w:t>
            </w:r>
          </w:p>
        </w:tc>
        <w:tc>
          <w:tcPr>
            <w:tcW w:w="3440" w:type="dxa"/>
            <w:vAlign w:val="bottom"/>
          </w:tcPr>
          <w:p>
            <w:pPr>
              <w:ind w:left="200"/>
              <w:spacing w:after="0"/>
              <w:rPr>
                <w:sz w:val="20"/>
                <w:szCs w:val="20"/>
                <w:color w:val="auto"/>
              </w:rPr>
            </w:pPr>
            <w:r>
              <w:rPr>
                <w:rFonts w:ascii="Arial" w:cs="Arial" w:eastAsia="Arial" w:hAnsi="Arial"/>
                <w:sz w:val="18"/>
                <w:szCs w:val="18"/>
                <w:color w:val="auto"/>
              </w:rPr>
              <w:t>Mexico</w:t>
            </w:r>
          </w:p>
        </w:tc>
        <w:tc>
          <w:tcPr>
            <w:tcW w:w="40" w:type="dxa"/>
            <w:vAlign w:val="bottom"/>
          </w:tcPr>
          <w:p>
            <w:pPr>
              <w:spacing w:after="0"/>
              <w:rPr>
                <w:sz w:val="18"/>
                <w:szCs w:val="18"/>
                <w:color w:val="auto"/>
              </w:rPr>
            </w:pPr>
          </w:p>
        </w:tc>
      </w:tr>
      <w:tr>
        <w:trPr>
          <w:trHeight w:val="216"/>
        </w:trPr>
        <w:tc>
          <w:tcPr>
            <w:tcW w:w="7980" w:type="dxa"/>
            <w:vAlign w:val="bottom"/>
            <w:shd w:val="clear" w:color="auto" w:fill="CCEEFF"/>
          </w:tcPr>
          <w:p>
            <w:pPr>
              <w:spacing w:after="0"/>
              <w:rPr>
                <w:sz w:val="20"/>
                <w:szCs w:val="20"/>
                <w:color w:val="auto"/>
              </w:rPr>
            </w:pPr>
            <w:r>
              <w:rPr>
                <w:rFonts w:ascii="Arial" w:cs="Arial" w:eastAsia="Arial" w:hAnsi="Arial"/>
                <w:sz w:val="18"/>
                <w:szCs w:val="18"/>
                <w:color w:val="auto"/>
              </w:rPr>
              <w:t>Principal Financial Services (Australia), Inc.</w:t>
            </w:r>
          </w:p>
        </w:tc>
        <w:tc>
          <w:tcPr>
            <w:tcW w:w="34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Iowa</w:t>
            </w:r>
          </w:p>
        </w:tc>
        <w:tc>
          <w:tcPr>
            <w:tcW w:w="40" w:type="dxa"/>
            <w:vAlign w:val="bottom"/>
          </w:tcPr>
          <w:p>
            <w:pPr>
              <w:spacing w:after="0"/>
              <w:rPr>
                <w:sz w:val="18"/>
                <w:szCs w:val="18"/>
                <w:color w:val="auto"/>
              </w:rPr>
            </w:pPr>
          </w:p>
        </w:tc>
      </w:tr>
      <w:tr>
        <w:trPr>
          <w:trHeight w:val="216"/>
        </w:trPr>
        <w:tc>
          <w:tcPr>
            <w:tcW w:w="7980" w:type="dxa"/>
            <w:vAlign w:val="bottom"/>
          </w:tcPr>
          <w:p>
            <w:pPr>
              <w:spacing w:after="0"/>
              <w:rPr>
                <w:sz w:val="20"/>
                <w:szCs w:val="20"/>
                <w:color w:val="auto"/>
              </w:rPr>
            </w:pPr>
            <w:r>
              <w:rPr>
                <w:rFonts w:ascii="Arial" w:cs="Arial" w:eastAsia="Arial" w:hAnsi="Arial"/>
                <w:sz w:val="18"/>
                <w:szCs w:val="18"/>
                <w:color w:val="auto"/>
              </w:rPr>
              <w:t>Principal Financial Services I (UK) LLP</w:t>
            </w:r>
          </w:p>
        </w:tc>
        <w:tc>
          <w:tcPr>
            <w:tcW w:w="3440" w:type="dxa"/>
            <w:vAlign w:val="bottom"/>
          </w:tcPr>
          <w:p>
            <w:pPr>
              <w:ind w:left="200"/>
              <w:spacing w:after="0"/>
              <w:rPr>
                <w:sz w:val="20"/>
                <w:szCs w:val="20"/>
                <w:color w:val="auto"/>
              </w:rPr>
            </w:pPr>
            <w:r>
              <w:rPr>
                <w:rFonts w:ascii="Arial" w:cs="Arial" w:eastAsia="Arial" w:hAnsi="Arial"/>
                <w:sz w:val="18"/>
                <w:szCs w:val="18"/>
                <w:color w:val="auto"/>
              </w:rPr>
              <w:t>United Kingdom</w:t>
            </w:r>
          </w:p>
        </w:tc>
        <w:tc>
          <w:tcPr>
            <w:tcW w:w="40" w:type="dxa"/>
            <w:vAlign w:val="bottom"/>
          </w:tcPr>
          <w:p>
            <w:pPr>
              <w:spacing w:after="0"/>
              <w:rPr>
                <w:sz w:val="18"/>
                <w:szCs w:val="18"/>
                <w:color w:val="auto"/>
              </w:rPr>
            </w:pPr>
          </w:p>
        </w:tc>
      </w:tr>
      <w:tr>
        <w:trPr>
          <w:trHeight w:val="216"/>
        </w:trPr>
        <w:tc>
          <w:tcPr>
            <w:tcW w:w="7980" w:type="dxa"/>
            <w:vAlign w:val="bottom"/>
            <w:shd w:val="clear" w:color="auto" w:fill="CCEEFF"/>
          </w:tcPr>
          <w:p>
            <w:pPr>
              <w:spacing w:after="0"/>
              <w:rPr>
                <w:sz w:val="20"/>
                <w:szCs w:val="20"/>
                <w:color w:val="auto"/>
              </w:rPr>
            </w:pPr>
            <w:r>
              <w:rPr>
                <w:rFonts w:ascii="Arial" w:cs="Arial" w:eastAsia="Arial" w:hAnsi="Arial"/>
                <w:sz w:val="18"/>
                <w:szCs w:val="18"/>
                <w:color w:val="auto"/>
              </w:rPr>
              <w:t>Principal Financial Services I (US), LLC</w:t>
            </w:r>
          </w:p>
        </w:tc>
        <w:tc>
          <w:tcPr>
            <w:tcW w:w="34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Delaware</w:t>
            </w:r>
          </w:p>
        </w:tc>
        <w:tc>
          <w:tcPr>
            <w:tcW w:w="40" w:type="dxa"/>
            <w:vAlign w:val="bottom"/>
          </w:tcPr>
          <w:p>
            <w:pPr>
              <w:spacing w:after="0"/>
              <w:rPr>
                <w:sz w:val="18"/>
                <w:szCs w:val="18"/>
                <w:color w:val="auto"/>
              </w:rPr>
            </w:pPr>
          </w:p>
        </w:tc>
      </w:tr>
      <w:tr>
        <w:trPr>
          <w:trHeight w:val="216"/>
        </w:trPr>
        <w:tc>
          <w:tcPr>
            <w:tcW w:w="7980" w:type="dxa"/>
            <w:vAlign w:val="bottom"/>
          </w:tcPr>
          <w:p>
            <w:pPr>
              <w:spacing w:after="0"/>
              <w:rPr>
                <w:sz w:val="20"/>
                <w:szCs w:val="20"/>
                <w:color w:val="auto"/>
              </w:rPr>
            </w:pPr>
            <w:r>
              <w:rPr>
                <w:rFonts w:ascii="Arial" w:cs="Arial" w:eastAsia="Arial" w:hAnsi="Arial"/>
                <w:sz w:val="18"/>
                <w:szCs w:val="18"/>
                <w:color w:val="auto"/>
              </w:rPr>
              <w:t>Principal Financial Services II (UK) Ltd.</w:t>
            </w:r>
          </w:p>
        </w:tc>
        <w:tc>
          <w:tcPr>
            <w:tcW w:w="3440" w:type="dxa"/>
            <w:vAlign w:val="bottom"/>
          </w:tcPr>
          <w:p>
            <w:pPr>
              <w:ind w:left="200"/>
              <w:spacing w:after="0"/>
              <w:rPr>
                <w:sz w:val="20"/>
                <w:szCs w:val="20"/>
                <w:color w:val="auto"/>
              </w:rPr>
            </w:pPr>
            <w:r>
              <w:rPr>
                <w:rFonts w:ascii="Arial" w:cs="Arial" w:eastAsia="Arial" w:hAnsi="Arial"/>
                <w:sz w:val="18"/>
                <w:szCs w:val="18"/>
                <w:color w:val="auto"/>
              </w:rPr>
              <w:t>United Kingdom</w:t>
            </w:r>
          </w:p>
        </w:tc>
        <w:tc>
          <w:tcPr>
            <w:tcW w:w="40" w:type="dxa"/>
            <w:vAlign w:val="bottom"/>
          </w:tcPr>
          <w:p>
            <w:pPr>
              <w:spacing w:after="0"/>
              <w:rPr>
                <w:sz w:val="18"/>
                <w:szCs w:val="18"/>
                <w:color w:val="auto"/>
              </w:rPr>
            </w:pPr>
          </w:p>
        </w:tc>
      </w:tr>
      <w:tr>
        <w:trPr>
          <w:trHeight w:val="216"/>
        </w:trPr>
        <w:tc>
          <w:tcPr>
            <w:tcW w:w="7980" w:type="dxa"/>
            <w:vAlign w:val="bottom"/>
            <w:shd w:val="clear" w:color="auto" w:fill="CCEEFF"/>
          </w:tcPr>
          <w:p>
            <w:pPr>
              <w:spacing w:after="0"/>
              <w:rPr>
                <w:sz w:val="20"/>
                <w:szCs w:val="20"/>
                <w:color w:val="auto"/>
              </w:rPr>
            </w:pPr>
            <w:r>
              <w:rPr>
                <w:rFonts w:ascii="Arial" w:cs="Arial" w:eastAsia="Arial" w:hAnsi="Arial"/>
                <w:sz w:val="18"/>
                <w:szCs w:val="18"/>
                <w:color w:val="auto"/>
              </w:rPr>
              <w:t>Principal Financial Services II (US), LLC</w:t>
            </w:r>
          </w:p>
        </w:tc>
        <w:tc>
          <w:tcPr>
            <w:tcW w:w="34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Delaware</w:t>
            </w:r>
          </w:p>
        </w:tc>
        <w:tc>
          <w:tcPr>
            <w:tcW w:w="40" w:type="dxa"/>
            <w:vAlign w:val="bottom"/>
          </w:tcPr>
          <w:p>
            <w:pPr>
              <w:spacing w:after="0"/>
              <w:rPr>
                <w:sz w:val="18"/>
                <w:szCs w:val="18"/>
                <w:color w:val="auto"/>
              </w:rPr>
            </w:pPr>
          </w:p>
        </w:tc>
      </w:tr>
      <w:tr>
        <w:trPr>
          <w:trHeight w:val="216"/>
        </w:trPr>
        <w:tc>
          <w:tcPr>
            <w:tcW w:w="7980" w:type="dxa"/>
            <w:vAlign w:val="bottom"/>
          </w:tcPr>
          <w:p>
            <w:pPr>
              <w:spacing w:after="0"/>
              <w:rPr>
                <w:sz w:val="20"/>
                <w:szCs w:val="20"/>
                <w:color w:val="auto"/>
              </w:rPr>
            </w:pPr>
            <w:r>
              <w:rPr>
                <w:rFonts w:ascii="Arial" w:cs="Arial" w:eastAsia="Arial" w:hAnsi="Arial"/>
                <w:sz w:val="18"/>
                <w:szCs w:val="18"/>
                <w:color w:val="auto"/>
              </w:rPr>
              <w:t>Principal Financial Services III (UK) Ltd.</w:t>
            </w:r>
          </w:p>
        </w:tc>
        <w:tc>
          <w:tcPr>
            <w:tcW w:w="3440" w:type="dxa"/>
            <w:vAlign w:val="bottom"/>
          </w:tcPr>
          <w:p>
            <w:pPr>
              <w:ind w:left="200"/>
              <w:spacing w:after="0"/>
              <w:rPr>
                <w:sz w:val="20"/>
                <w:szCs w:val="20"/>
                <w:color w:val="auto"/>
              </w:rPr>
            </w:pPr>
            <w:r>
              <w:rPr>
                <w:rFonts w:ascii="Arial" w:cs="Arial" w:eastAsia="Arial" w:hAnsi="Arial"/>
                <w:sz w:val="18"/>
                <w:szCs w:val="18"/>
                <w:color w:val="auto"/>
              </w:rPr>
              <w:t>United Kingdom</w:t>
            </w:r>
          </w:p>
        </w:tc>
        <w:tc>
          <w:tcPr>
            <w:tcW w:w="40" w:type="dxa"/>
            <w:vAlign w:val="bottom"/>
          </w:tcPr>
          <w:p>
            <w:pPr>
              <w:spacing w:after="0"/>
              <w:rPr>
                <w:sz w:val="18"/>
                <w:szCs w:val="18"/>
                <w:color w:val="auto"/>
              </w:rPr>
            </w:pPr>
          </w:p>
        </w:tc>
      </w:tr>
      <w:tr>
        <w:trPr>
          <w:trHeight w:val="216"/>
        </w:trPr>
        <w:tc>
          <w:tcPr>
            <w:tcW w:w="7980" w:type="dxa"/>
            <w:vAlign w:val="bottom"/>
            <w:shd w:val="clear" w:color="auto" w:fill="CCEEFF"/>
          </w:tcPr>
          <w:p>
            <w:pPr>
              <w:spacing w:after="0"/>
              <w:rPr>
                <w:sz w:val="20"/>
                <w:szCs w:val="20"/>
                <w:color w:val="auto"/>
              </w:rPr>
            </w:pPr>
            <w:r>
              <w:rPr>
                <w:rFonts w:ascii="Arial" w:cs="Arial" w:eastAsia="Arial" w:hAnsi="Arial"/>
                <w:sz w:val="18"/>
                <w:szCs w:val="18"/>
                <w:color w:val="auto"/>
              </w:rPr>
              <w:t>Principal Financial Services IV (UK) LLP</w:t>
            </w:r>
          </w:p>
        </w:tc>
        <w:tc>
          <w:tcPr>
            <w:tcW w:w="34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United Kingdom</w:t>
            </w:r>
          </w:p>
        </w:tc>
        <w:tc>
          <w:tcPr>
            <w:tcW w:w="40" w:type="dxa"/>
            <w:vAlign w:val="bottom"/>
          </w:tcPr>
          <w:p>
            <w:pPr>
              <w:spacing w:after="0"/>
              <w:rPr>
                <w:sz w:val="18"/>
                <w:szCs w:val="18"/>
                <w:color w:val="auto"/>
              </w:rPr>
            </w:pPr>
          </w:p>
        </w:tc>
      </w:tr>
      <w:tr>
        <w:trPr>
          <w:trHeight w:val="216"/>
        </w:trPr>
        <w:tc>
          <w:tcPr>
            <w:tcW w:w="7980" w:type="dxa"/>
            <w:vAlign w:val="bottom"/>
          </w:tcPr>
          <w:p>
            <w:pPr>
              <w:spacing w:after="0"/>
              <w:rPr>
                <w:sz w:val="20"/>
                <w:szCs w:val="20"/>
                <w:color w:val="auto"/>
              </w:rPr>
            </w:pPr>
            <w:r>
              <w:rPr>
                <w:rFonts w:ascii="Arial" w:cs="Arial" w:eastAsia="Arial" w:hAnsi="Arial"/>
                <w:sz w:val="18"/>
                <w:szCs w:val="18"/>
                <w:color w:val="auto"/>
              </w:rPr>
              <w:t>Principal Financial Services Latin America Ltd.</w:t>
            </w:r>
          </w:p>
        </w:tc>
        <w:tc>
          <w:tcPr>
            <w:tcW w:w="3440" w:type="dxa"/>
            <w:vAlign w:val="bottom"/>
          </w:tcPr>
          <w:p>
            <w:pPr>
              <w:ind w:left="200"/>
              <w:spacing w:after="0"/>
              <w:rPr>
                <w:sz w:val="20"/>
                <w:szCs w:val="20"/>
                <w:color w:val="auto"/>
              </w:rPr>
            </w:pPr>
            <w:r>
              <w:rPr>
                <w:rFonts w:ascii="Arial" w:cs="Arial" w:eastAsia="Arial" w:hAnsi="Arial"/>
                <w:sz w:val="18"/>
                <w:szCs w:val="18"/>
                <w:color w:val="auto"/>
              </w:rPr>
              <w:t>United Kingdom</w:t>
            </w:r>
          </w:p>
        </w:tc>
        <w:tc>
          <w:tcPr>
            <w:tcW w:w="40" w:type="dxa"/>
            <w:vAlign w:val="bottom"/>
          </w:tcPr>
          <w:p>
            <w:pPr>
              <w:spacing w:after="0"/>
              <w:rPr>
                <w:sz w:val="18"/>
                <w:szCs w:val="18"/>
                <w:color w:val="auto"/>
              </w:rPr>
            </w:pPr>
          </w:p>
        </w:tc>
      </w:tr>
      <w:tr>
        <w:trPr>
          <w:trHeight w:val="216"/>
        </w:trPr>
        <w:tc>
          <w:tcPr>
            <w:tcW w:w="7980" w:type="dxa"/>
            <w:vAlign w:val="bottom"/>
            <w:shd w:val="clear" w:color="auto" w:fill="CCEEFF"/>
          </w:tcPr>
          <w:p>
            <w:pPr>
              <w:spacing w:after="0"/>
              <w:rPr>
                <w:sz w:val="20"/>
                <w:szCs w:val="20"/>
                <w:color w:val="auto"/>
              </w:rPr>
            </w:pPr>
            <w:r>
              <w:rPr>
                <w:rFonts w:ascii="Arial" w:cs="Arial" w:eastAsia="Arial" w:hAnsi="Arial"/>
                <w:sz w:val="18"/>
                <w:szCs w:val="18"/>
                <w:color w:val="auto"/>
              </w:rPr>
              <w:t>Principal Financial Services V (UK) Ltd.</w:t>
            </w:r>
          </w:p>
        </w:tc>
        <w:tc>
          <w:tcPr>
            <w:tcW w:w="34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United Kingdom</w:t>
            </w:r>
          </w:p>
        </w:tc>
        <w:tc>
          <w:tcPr>
            <w:tcW w:w="40" w:type="dxa"/>
            <w:vAlign w:val="bottom"/>
          </w:tcPr>
          <w:p>
            <w:pPr>
              <w:spacing w:after="0"/>
              <w:rPr>
                <w:sz w:val="18"/>
                <w:szCs w:val="18"/>
                <w:color w:val="auto"/>
              </w:rPr>
            </w:pPr>
          </w:p>
        </w:tc>
      </w:tr>
      <w:tr>
        <w:trPr>
          <w:trHeight w:val="216"/>
        </w:trPr>
        <w:tc>
          <w:tcPr>
            <w:tcW w:w="7980" w:type="dxa"/>
            <w:vAlign w:val="bottom"/>
          </w:tcPr>
          <w:p>
            <w:pPr>
              <w:spacing w:after="0"/>
              <w:rPr>
                <w:sz w:val="20"/>
                <w:szCs w:val="20"/>
                <w:color w:val="auto"/>
              </w:rPr>
            </w:pPr>
            <w:r>
              <w:rPr>
                <w:rFonts w:ascii="Arial" w:cs="Arial" w:eastAsia="Arial" w:hAnsi="Arial"/>
                <w:sz w:val="18"/>
                <w:szCs w:val="18"/>
                <w:color w:val="auto"/>
              </w:rPr>
              <w:t>Principal Financial Services VI (UK) Ltd</w:t>
            </w:r>
          </w:p>
        </w:tc>
        <w:tc>
          <w:tcPr>
            <w:tcW w:w="3440" w:type="dxa"/>
            <w:vAlign w:val="bottom"/>
          </w:tcPr>
          <w:p>
            <w:pPr>
              <w:ind w:left="200"/>
              <w:spacing w:after="0"/>
              <w:rPr>
                <w:sz w:val="20"/>
                <w:szCs w:val="20"/>
                <w:color w:val="auto"/>
              </w:rPr>
            </w:pPr>
            <w:r>
              <w:rPr>
                <w:rFonts w:ascii="Arial" w:cs="Arial" w:eastAsia="Arial" w:hAnsi="Arial"/>
                <w:sz w:val="18"/>
                <w:szCs w:val="18"/>
                <w:color w:val="auto"/>
              </w:rPr>
              <w:t>United Kingdom</w:t>
            </w:r>
          </w:p>
        </w:tc>
        <w:tc>
          <w:tcPr>
            <w:tcW w:w="40" w:type="dxa"/>
            <w:vAlign w:val="bottom"/>
          </w:tcPr>
          <w:p>
            <w:pPr>
              <w:spacing w:after="0"/>
              <w:rPr>
                <w:sz w:val="18"/>
                <w:szCs w:val="18"/>
                <w:color w:val="auto"/>
              </w:rPr>
            </w:pPr>
          </w:p>
        </w:tc>
      </w:tr>
      <w:tr>
        <w:trPr>
          <w:trHeight w:val="216"/>
        </w:trPr>
        <w:tc>
          <w:tcPr>
            <w:tcW w:w="7980" w:type="dxa"/>
            <w:vAlign w:val="bottom"/>
            <w:shd w:val="clear" w:color="auto" w:fill="CCEEFF"/>
          </w:tcPr>
          <w:p>
            <w:pPr>
              <w:spacing w:after="0"/>
              <w:rPr>
                <w:sz w:val="20"/>
                <w:szCs w:val="20"/>
                <w:color w:val="auto"/>
              </w:rPr>
            </w:pPr>
            <w:r>
              <w:rPr>
                <w:rFonts w:ascii="Arial" w:cs="Arial" w:eastAsia="Arial" w:hAnsi="Arial"/>
                <w:sz w:val="18"/>
                <w:szCs w:val="18"/>
                <w:color w:val="auto"/>
              </w:rPr>
              <w:t>Principal Financial Services, Inc.</w:t>
            </w:r>
          </w:p>
        </w:tc>
        <w:tc>
          <w:tcPr>
            <w:tcW w:w="34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Iowa</w:t>
            </w:r>
          </w:p>
        </w:tc>
        <w:tc>
          <w:tcPr>
            <w:tcW w:w="40" w:type="dxa"/>
            <w:vAlign w:val="bottom"/>
          </w:tcPr>
          <w:p>
            <w:pPr>
              <w:spacing w:after="0"/>
              <w:rPr>
                <w:sz w:val="18"/>
                <w:szCs w:val="18"/>
                <w:color w:val="auto"/>
              </w:rPr>
            </w:pPr>
          </w:p>
        </w:tc>
      </w:tr>
      <w:tr>
        <w:trPr>
          <w:trHeight w:val="216"/>
        </w:trPr>
        <w:tc>
          <w:tcPr>
            <w:tcW w:w="7980" w:type="dxa"/>
            <w:vAlign w:val="bottom"/>
          </w:tcPr>
          <w:p>
            <w:pPr>
              <w:spacing w:after="0"/>
              <w:rPr>
                <w:sz w:val="20"/>
                <w:szCs w:val="20"/>
                <w:color w:val="auto"/>
              </w:rPr>
            </w:pPr>
            <w:r>
              <w:rPr>
                <w:rFonts w:ascii="Arial" w:cs="Arial" w:eastAsia="Arial" w:hAnsi="Arial"/>
                <w:sz w:val="18"/>
                <w:szCs w:val="18"/>
                <w:color w:val="auto"/>
                <w:w w:val="92"/>
              </w:rPr>
              <w:t>Principal Fondos de Inversión, S.A. de C.V., Operadora de Fondos de Inversión, Principal Grupo Financiero</w:t>
            </w:r>
          </w:p>
        </w:tc>
        <w:tc>
          <w:tcPr>
            <w:tcW w:w="3440" w:type="dxa"/>
            <w:vAlign w:val="bottom"/>
          </w:tcPr>
          <w:p>
            <w:pPr>
              <w:ind w:left="200"/>
              <w:spacing w:after="0"/>
              <w:rPr>
                <w:sz w:val="20"/>
                <w:szCs w:val="20"/>
                <w:color w:val="auto"/>
              </w:rPr>
            </w:pPr>
            <w:r>
              <w:rPr>
                <w:rFonts w:ascii="Arial" w:cs="Arial" w:eastAsia="Arial" w:hAnsi="Arial"/>
                <w:sz w:val="18"/>
                <w:szCs w:val="18"/>
                <w:color w:val="auto"/>
              </w:rPr>
              <w:t>Mexico</w:t>
            </w:r>
          </w:p>
        </w:tc>
        <w:tc>
          <w:tcPr>
            <w:tcW w:w="40" w:type="dxa"/>
            <w:vAlign w:val="bottom"/>
          </w:tcPr>
          <w:p>
            <w:pPr>
              <w:spacing w:after="0"/>
              <w:rPr>
                <w:sz w:val="18"/>
                <w:szCs w:val="18"/>
                <w:color w:val="auto"/>
              </w:rPr>
            </w:pPr>
          </w:p>
        </w:tc>
      </w:tr>
      <w:tr>
        <w:trPr>
          <w:trHeight w:val="216"/>
        </w:trPr>
        <w:tc>
          <w:tcPr>
            <w:tcW w:w="7980" w:type="dxa"/>
            <w:vAlign w:val="bottom"/>
            <w:shd w:val="clear" w:color="auto" w:fill="CCEEFF"/>
          </w:tcPr>
          <w:p>
            <w:pPr>
              <w:spacing w:after="0"/>
              <w:rPr>
                <w:sz w:val="20"/>
                <w:szCs w:val="20"/>
                <w:color w:val="auto"/>
              </w:rPr>
            </w:pPr>
            <w:r>
              <w:rPr>
                <w:rFonts w:ascii="Arial" w:cs="Arial" w:eastAsia="Arial" w:hAnsi="Arial"/>
                <w:sz w:val="18"/>
                <w:szCs w:val="18"/>
                <w:color w:val="auto"/>
              </w:rPr>
              <w:t>Principal Funds Distributor, Inc.</w:t>
            </w:r>
          </w:p>
        </w:tc>
        <w:tc>
          <w:tcPr>
            <w:tcW w:w="34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Washington</w:t>
            </w:r>
          </w:p>
        </w:tc>
        <w:tc>
          <w:tcPr>
            <w:tcW w:w="40" w:type="dxa"/>
            <w:vAlign w:val="bottom"/>
          </w:tcPr>
          <w:p>
            <w:pPr>
              <w:spacing w:after="0"/>
              <w:rPr>
                <w:sz w:val="18"/>
                <w:szCs w:val="18"/>
                <w:color w:val="auto"/>
              </w:rPr>
            </w:pPr>
          </w:p>
        </w:tc>
      </w:tr>
      <w:tr>
        <w:trPr>
          <w:trHeight w:val="216"/>
        </w:trPr>
        <w:tc>
          <w:tcPr>
            <w:tcW w:w="7980" w:type="dxa"/>
            <w:vAlign w:val="bottom"/>
          </w:tcPr>
          <w:p>
            <w:pPr>
              <w:spacing w:after="0"/>
              <w:rPr>
                <w:sz w:val="20"/>
                <w:szCs w:val="20"/>
                <w:color w:val="auto"/>
              </w:rPr>
            </w:pPr>
            <w:r>
              <w:rPr>
                <w:rFonts w:ascii="Arial" w:cs="Arial" w:eastAsia="Arial" w:hAnsi="Arial"/>
                <w:sz w:val="18"/>
                <w:szCs w:val="18"/>
                <w:color w:val="auto"/>
              </w:rPr>
              <w:t>Principal Generation Plant, LLC</w:t>
            </w:r>
          </w:p>
        </w:tc>
        <w:tc>
          <w:tcPr>
            <w:tcW w:w="3440" w:type="dxa"/>
            <w:vAlign w:val="bottom"/>
          </w:tcPr>
          <w:p>
            <w:pPr>
              <w:ind w:left="200"/>
              <w:spacing w:after="0"/>
              <w:rPr>
                <w:sz w:val="20"/>
                <w:szCs w:val="20"/>
                <w:color w:val="auto"/>
              </w:rPr>
            </w:pPr>
            <w:r>
              <w:rPr>
                <w:rFonts w:ascii="Arial" w:cs="Arial" w:eastAsia="Arial" w:hAnsi="Arial"/>
                <w:sz w:val="18"/>
                <w:szCs w:val="18"/>
                <w:color w:val="auto"/>
              </w:rPr>
              <w:t>Delaware</w:t>
            </w:r>
          </w:p>
        </w:tc>
        <w:tc>
          <w:tcPr>
            <w:tcW w:w="40" w:type="dxa"/>
            <w:vAlign w:val="bottom"/>
          </w:tcPr>
          <w:p>
            <w:pPr>
              <w:spacing w:after="0"/>
              <w:rPr>
                <w:sz w:val="18"/>
                <w:szCs w:val="18"/>
                <w:color w:val="auto"/>
              </w:rPr>
            </w:pPr>
          </w:p>
        </w:tc>
      </w:tr>
      <w:tr>
        <w:trPr>
          <w:trHeight w:val="216"/>
        </w:trPr>
        <w:tc>
          <w:tcPr>
            <w:tcW w:w="7980" w:type="dxa"/>
            <w:vAlign w:val="bottom"/>
            <w:shd w:val="clear" w:color="auto" w:fill="CCEEFF"/>
          </w:tcPr>
          <w:p>
            <w:pPr>
              <w:spacing w:after="0"/>
              <w:rPr>
                <w:sz w:val="20"/>
                <w:szCs w:val="20"/>
                <w:color w:val="auto"/>
              </w:rPr>
            </w:pPr>
            <w:r>
              <w:rPr>
                <w:rFonts w:ascii="Arial" w:cs="Arial" w:eastAsia="Arial" w:hAnsi="Arial"/>
                <w:sz w:val="18"/>
                <w:szCs w:val="18"/>
                <w:color w:val="auto"/>
              </w:rPr>
              <w:t>Principal Global Columbus Circle, LLC</w:t>
            </w:r>
          </w:p>
        </w:tc>
        <w:tc>
          <w:tcPr>
            <w:tcW w:w="34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Delaware</w:t>
            </w:r>
          </w:p>
        </w:tc>
        <w:tc>
          <w:tcPr>
            <w:tcW w:w="40" w:type="dxa"/>
            <w:vAlign w:val="bottom"/>
          </w:tcPr>
          <w:p>
            <w:pPr>
              <w:spacing w:after="0"/>
              <w:rPr>
                <w:sz w:val="18"/>
                <w:szCs w:val="18"/>
                <w:color w:val="auto"/>
              </w:rPr>
            </w:pPr>
          </w:p>
        </w:tc>
      </w:tr>
      <w:tr>
        <w:trPr>
          <w:trHeight w:val="216"/>
        </w:trPr>
        <w:tc>
          <w:tcPr>
            <w:tcW w:w="7980" w:type="dxa"/>
            <w:vAlign w:val="bottom"/>
          </w:tcPr>
          <w:p>
            <w:pPr>
              <w:spacing w:after="0"/>
              <w:rPr>
                <w:sz w:val="20"/>
                <w:szCs w:val="20"/>
                <w:color w:val="auto"/>
              </w:rPr>
            </w:pPr>
            <w:r>
              <w:rPr>
                <w:rFonts w:ascii="Arial" w:cs="Arial" w:eastAsia="Arial" w:hAnsi="Arial"/>
                <w:sz w:val="18"/>
                <w:szCs w:val="18"/>
                <w:color w:val="auto"/>
              </w:rPr>
              <w:t>Principal Global Financial Services (Europe) Ltd</w:t>
            </w:r>
          </w:p>
        </w:tc>
        <w:tc>
          <w:tcPr>
            <w:tcW w:w="3440" w:type="dxa"/>
            <w:vAlign w:val="bottom"/>
          </w:tcPr>
          <w:p>
            <w:pPr>
              <w:ind w:left="200"/>
              <w:spacing w:after="0"/>
              <w:rPr>
                <w:sz w:val="20"/>
                <w:szCs w:val="20"/>
                <w:color w:val="auto"/>
              </w:rPr>
            </w:pPr>
            <w:r>
              <w:rPr>
                <w:rFonts w:ascii="Arial" w:cs="Arial" w:eastAsia="Arial" w:hAnsi="Arial"/>
                <w:sz w:val="18"/>
                <w:szCs w:val="18"/>
                <w:color w:val="auto"/>
              </w:rPr>
              <w:t>United Kingdom</w:t>
            </w:r>
          </w:p>
        </w:tc>
        <w:tc>
          <w:tcPr>
            <w:tcW w:w="40" w:type="dxa"/>
            <w:vAlign w:val="bottom"/>
          </w:tcPr>
          <w:p>
            <w:pPr>
              <w:spacing w:after="0"/>
              <w:rPr>
                <w:sz w:val="18"/>
                <w:szCs w:val="18"/>
                <w:color w:val="auto"/>
              </w:rPr>
            </w:pPr>
          </w:p>
        </w:tc>
      </w:tr>
      <w:tr>
        <w:trPr>
          <w:trHeight w:val="216"/>
        </w:trPr>
        <w:tc>
          <w:tcPr>
            <w:tcW w:w="7980" w:type="dxa"/>
            <w:vAlign w:val="bottom"/>
            <w:shd w:val="clear" w:color="auto" w:fill="CCEEFF"/>
          </w:tcPr>
          <w:p>
            <w:pPr>
              <w:spacing w:after="0"/>
              <w:rPr>
                <w:sz w:val="20"/>
                <w:szCs w:val="20"/>
                <w:color w:val="auto"/>
              </w:rPr>
            </w:pPr>
            <w:r>
              <w:rPr>
                <w:rFonts w:ascii="Arial" w:cs="Arial" w:eastAsia="Arial" w:hAnsi="Arial"/>
                <w:sz w:val="18"/>
                <w:szCs w:val="18"/>
                <w:color w:val="auto"/>
              </w:rPr>
              <w:t>Principal Global Investors (Asia) Limited</w:t>
            </w:r>
          </w:p>
        </w:tc>
        <w:tc>
          <w:tcPr>
            <w:tcW w:w="34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Hong Kong</w:t>
            </w:r>
          </w:p>
        </w:tc>
        <w:tc>
          <w:tcPr>
            <w:tcW w:w="40" w:type="dxa"/>
            <w:vAlign w:val="bottom"/>
          </w:tcPr>
          <w:p>
            <w:pPr>
              <w:spacing w:after="0"/>
              <w:rPr>
                <w:sz w:val="18"/>
                <w:szCs w:val="18"/>
                <w:color w:val="auto"/>
              </w:rPr>
            </w:pPr>
          </w:p>
        </w:tc>
      </w:tr>
      <w:tr>
        <w:trPr>
          <w:trHeight w:val="216"/>
        </w:trPr>
        <w:tc>
          <w:tcPr>
            <w:tcW w:w="7980" w:type="dxa"/>
            <w:vAlign w:val="bottom"/>
          </w:tcPr>
          <w:p>
            <w:pPr>
              <w:spacing w:after="0"/>
              <w:rPr>
                <w:sz w:val="20"/>
                <w:szCs w:val="20"/>
                <w:color w:val="auto"/>
              </w:rPr>
            </w:pPr>
            <w:r>
              <w:rPr>
                <w:rFonts w:ascii="Arial" w:cs="Arial" w:eastAsia="Arial" w:hAnsi="Arial"/>
                <w:sz w:val="18"/>
                <w:szCs w:val="18"/>
                <w:color w:val="auto"/>
              </w:rPr>
              <w:t>Principal Global Investors (Australia) Limited</w:t>
            </w:r>
          </w:p>
        </w:tc>
        <w:tc>
          <w:tcPr>
            <w:tcW w:w="3440" w:type="dxa"/>
            <w:vAlign w:val="bottom"/>
          </w:tcPr>
          <w:p>
            <w:pPr>
              <w:ind w:left="200"/>
              <w:spacing w:after="0"/>
              <w:rPr>
                <w:sz w:val="20"/>
                <w:szCs w:val="20"/>
                <w:color w:val="auto"/>
              </w:rPr>
            </w:pPr>
            <w:r>
              <w:rPr>
                <w:rFonts w:ascii="Arial" w:cs="Arial" w:eastAsia="Arial" w:hAnsi="Arial"/>
                <w:sz w:val="18"/>
                <w:szCs w:val="18"/>
                <w:color w:val="auto"/>
              </w:rPr>
              <w:t>Australia</w:t>
            </w:r>
          </w:p>
        </w:tc>
        <w:tc>
          <w:tcPr>
            <w:tcW w:w="40" w:type="dxa"/>
            <w:vAlign w:val="bottom"/>
          </w:tcPr>
          <w:p>
            <w:pPr>
              <w:spacing w:after="0"/>
              <w:rPr>
                <w:sz w:val="18"/>
                <w:szCs w:val="18"/>
                <w:color w:val="auto"/>
              </w:rPr>
            </w:pPr>
          </w:p>
        </w:tc>
      </w:tr>
      <w:tr>
        <w:trPr>
          <w:trHeight w:val="216"/>
        </w:trPr>
        <w:tc>
          <w:tcPr>
            <w:tcW w:w="7980" w:type="dxa"/>
            <w:vAlign w:val="bottom"/>
            <w:shd w:val="clear" w:color="auto" w:fill="CCEEFF"/>
          </w:tcPr>
          <w:p>
            <w:pPr>
              <w:spacing w:after="0"/>
              <w:rPr>
                <w:sz w:val="20"/>
                <w:szCs w:val="20"/>
                <w:color w:val="auto"/>
              </w:rPr>
            </w:pPr>
            <w:r>
              <w:rPr>
                <w:rFonts w:ascii="Arial" w:cs="Arial" w:eastAsia="Arial" w:hAnsi="Arial"/>
                <w:sz w:val="18"/>
                <w:szCs w:val="18"/>
                <w:color w:val="auto"/>
              </w:rPr>
              <w:t>Principal Global Investors (Australia) Service Company Pty Ltd</w:t>
            </w:r>
          </w:p>
        </w:tc>
        <w:tc>
          <w:tcPr>
            <w:tcW w:w="34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Australia</w:t>
            </w:r>
          </w:p>
        </w:tc>
        <w:tc>
          <w:tcPr>
            <w:tcW w:w="40" w:type="dxa"/>
            <w:vAlign w:val="bottom"/>
          </w:tcPr>
          <w:p>
            <w:pPr>
              <w:spacing w:after="0"/>
              <w:rPr>
                <w:sz w:val="18"/>
                <w:szCs w:val="18"/>
                <w:color w:val="auto"/>
              </w:rPr>
            </w:pPr>
          </w:p>
        </w:tc>
      </w:tr>
      <w:tr>
        <w:trPr>
          <w:trHeight w:val="216"/>
        </w:trPr>
        <w:tc>
          <w:tcPr>
            <w:tcW w:w="7980" w:type="dxa"/>
            <w:vAlign w:val="bottom"/>
          </w:tcPr>
          <w:p>
            <w:pPr>
              <w:spacing w:after="0"/>
              <w:rPr>
                <w:sz w:val="20"/>
                <w:szCs w:val="20"/>
                <w:color w:val="auto"/>
              </w:rPr>
            </w:pPr>
            <w:r>
              <w:rPr>
                <w:rFonts w:ascii="Arial" w:cs="Arial" w:eastAsia="Arial" w:hAnsi="Arial"/>
                <w:sz w:val="18"/>
                <w:szCs w:val="18"/>
                <w:color w:val="auto"/>
              </w:rPr>
              <w:t>Principal Global Investors (Europe) Limited</w:t>
            </w:r>
          </w:p>
        </w:tc>
        <w:tc>
          <w:tcPr>
            <w:tcW w:w="3440" w:type="dxa"/>
            <w:vAlign w:val="bottom"/>
          </w:tcPr>
          <w:p>
            <w:pPr>
              <w:ind w:left="200"/>
              <w:spacing w:after="0"/>
              <w:rPr>
                <w:sz w:val="20"/>
                <w:szCs w:val="20"/>
                <w:color w:val="auto"/>
              </w:rPr>
            </w:pPr>
            <w:r>
              <w:rPr>
                <w:rFonts w:ascii="Arial" w:cs="Arial" w:eastAsia="Arial" w:hAnsi="Arial"/>
                <w:sz w:val="18"/>
                <w:szCs w:val="18"/>
                <w:color w:val="auto"/>
              </w:rPr>
              <w:t>United Kingdom</w:t>
            </w:r>
          </w:p>
        </w:tc>
        <w:tc>
          <w:tcPr>
            <w:tcW w:w="40" w:type="dxa"/>
            <w:vAlign w:val="bottom"/>
          </w:tcPr>
          <w:p>
            <w:pPr>
              <w:spacing w:after="0"/>
              <w:rPr>
                <w:sz w:val="18"/>
                <w:szCs w:val="18"/>
                <w:color w:val="auto"/>
              </w:rPr>
            </w:pPr>
          </w:p>
        </w:tc>
      </w:tr>
      <w:tr>
        <w:trPr>
          <w:trHeight w:val="216"/>
        </w:trPr>
        <w:tc>
          <w:tcPr>
            <w:tcW w:w="7980" w:type="dxa"/>
            <w:vAlign w:val="bottom"/>
            <w:shd w:val="clear" w:color="auto" w:fill="CCEEFF"/>
          </w:tcPr>
          <w:p>
            <w:pPr>
              <w:spacing w:after="0"/>
              <w:rPr>
                <w:sz w:val="20"/>
                <w:szCs w:val="20"/>
                <w:color w:val="auto"/>
              </w:rPr>
            </w:pPr>
            <w:r>
              <w:rPr>
                <w:rFonts w:ascii="Arial" w:cs="Arial" w:eastAsia="Arial" w:hAnsi="Arial"/>
                <w:sz w:val="18"/>
                <w:szCs w:val="18"/>
                <w:color w:val="auto"/>
              </w:rPr>
              <w:t>Principal Global Investors (Hong Kong) Limited</w:t>
            </w:r>
          </w:p>
        </w:tc>
        <w:tc>
          <w:tcPr>
            <w:tcW w:w="34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Hong Kong</w:t>
            </w:r>
          </w:p>
        </w:tc>
        <w:tc>
          <w:tcPr>
            <w:tcW w:w="40" w:type="dxa"/>
            <w:vAlign w:val="bottom"/>
          </w:tcPr>
          <w:p>
            <w:pPr>
              <w:spacing w:after="0"/>
              <w:rPr>
                <w:sz w:val="18"/>
                <w:szCs w:val="18"/>
                <w:color w:val="auto"/>
              </w:rPr>
            </w:pPr>
          </w:p>
        </w:tc>
      </w:tr>
      <w:tr>
        <w:trPr>
          <w:trHeight w:val="216"/>
        </w:trPr>
        <w:tc>
          <w:tcPr>
            <w:tcW w:w="7980" w:type="dxa"/>
            <w:vAlign w:val="bottom"/>
          </w:tcPr>
          <w:p>
            <w:pPr>
              <w:spacing w:after="0"/>
              <w:rPr>
                <w:sz w:val="20"/>
                <w:szCs w:val="20"/>
                <w:color w:val="auto"/>
              </w:rPr>
            </w:pPr>
            <w:r>
              <w:rPr>
                <w:rFonts w:ascii="Arial" w:cs="Arial" w:eastAsia="Arial" w:hAnsi="Arial"/>
                <w:sz w:val="18"/>
                <w:szCs w:val="18"/>
                <w:color w:val="auto"/>
              </w:rPr>
              <w:t>Principal Global Investors (Ireland) Limited</w:t>
            </w:r>
          </w:p>
        </w:tc>
        <w:tc>
          <w:tcPr>
            <w:tcW w:w="3440" w:type="dxa"/>
            <w:vAlign w:val="bottom"/>
          </w:tcPr>
          <w:p>
            <w:pPr>
              <w:ind w:left="200"/>
              <w:spacing w:after="0"/>
              <w:rPr>
                <w:sz w:val="20"/>
                <w:szCs w:val="20"/>
                <w:color w:val="auto"/>
              </w:rPr>
            </w:pPr>
            <w:r>
              <w:rPr>
                <w:rFonts w:ascii="Arial" w:cs="Arial" w:eastAsia="Arial" w:hAnsi="Arial"/>
                <w:sz w:val="18"/>
                <w:szCs w:val="18"/>
                <w:color w:val="auto"/>
              </w:rPr>
              <w:t>Ireland</w:t>
            </w:r>
          </w:p>
        </w:tc>
        <w:tc>
          <w:tcPr>
            <w:tcW w:w="40" w:type="dxa"/>
            <w:vAlign w:val="bottom"/>
          </w:tcPr>
          <w:p>
            <w:pPr>
              <w:spacing w:after="0"/>
              <w:rPr>
                <w:sz w:val="18"/>
                <w:szCs w:val="18"/>
                <w:color w:val="auto"/>
              </w:rPr>
            </w:pPr>
          </w:p>
        </w:tc>
      </w:tr>
      <w:tr>
        <w:trPr>
          <w:trHeight w:val="216"/>
        </w:trPr>
        <w:tc>
          <w:tcPr>
            <w:tcW w:w="7980" w:type="dxa"/>
            <w:vAlign w:val="bottom"/>
            <w:shd w:val="clear" w:color="auto" w:fill="CCEEFF"/>
          </w:tcPr>
          <w:p>
            <w:pPr>
              <w:spacing w:after="0"/>
              <w:rPr>
                <w:sz w:val="20"/>
                <w:szCs w:val="20"/>
                <w:color w:val="auto"/>
              </w:rPr>
            </w:pPr>
            <w:r>
              <w:rPr>
                <w:rFonts w:ascii="Arial" w:cs="Arial" w:eastAsia="Arial" w:hAnsi="Arial"/>
                <w:sz w:val="18"/>
                <w:szCs w:val="18"/>
                <w:color w:val="auto"/>
              </w:rPr>
              <w:t>Principal Global Investors (Japan) Limited</w:t>
            </w:r>
          </w:p>
        </w:tc>
        <w:tc>
          <w:tcPr>
            <w:tcW w:w="34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Japan</w:t>
            </w:r>
          </w:p>
        </w:tc>
        <w:tc>
          <w:tcPr>
            <w:tcW w:w="40" w:type="dxa"/>
            <w:vAlign w:val="bottom"/>
          </w:tcPr>
          <w:p>
            <w:pPr>
              <w:spacing w:after="0"/>
              <w:rPr>
                <w:sz w:val="18"/>
                <w:szCs w:val="18"/>
                <w:color w:val="auto"/>
              </w:rPr>
            </w:pPr>
          </w:p>
        </w:tc>
      </w:tr>
      <w:tr>
        <w:trPr>
          <w:trHeight w:val="216"/>
        </w:trPr>
        <w:tc>
          <w:tcPr>
            <w:tcW w:w="7980" w:type="dxa"/>
            <w:vAlign w:val="bottom"/>
          </w:tcPr>
          <w:p>
            <w:pPr>
              <w:spacing w:after="0"/>
              <w:rPr>
                <w:sz w:val="20"/>
                <w:szCs w:val="20"/>
                <w:color w:val="auto"/>
              </w:rPr>
            </w:pPr>
            <w:r>
              <w:rPr>
                <w:rFonts w:ascii="Arial" w:cs="Arial" w:eastAsia="Arial" w:hAnsi="Arial"/>
                <w:sz w:val="18"/>
                <w:szCs w:val="18"/>
                <w:color w:val="auto"/>
              </w:rPr>
              <w:t>Principal Global Investors (Singapore) Limited</w:t>
            </w:r>
          </w:p>
        </w:tc>
        <w:tc>
          <w:tcPr>
            <w:tcW w:w="3440" w:type="dxa"/>
            <w:vAlign w:val="bottom"/>
          </w:tcPr>
          <w:p>
            <w:pPr>
              <w:ind w:left="200"/>
              <w:spacing w:after="0"/>
              <w:rPr>
                <w:sz w:val="20"/>
                <w:szCs w:val="20"/>
                <w:color w:val="auto"/>
              </w:rPr>
            </w:pPr>
            <w:r>
              <w:rPr>
                <w:rFonts w:ascii="Arial" w:cs="Arial" w:eastAsia="Arial" w:hAnsi="Arial"/>
                <w:sz w:val="18"/>
                <w:szCs w:val="18"/>
                <w:color w:val="auto"/>
              </w:rPr>
              <w:t>Singapore</w:t>
            </w:r>
          </w:p>
        </w:tc>
        <w:tc>
          <w:tcPr>
            <w:tcW w:w="40" w:type="dxa"/>
            <w:vAlign w:val="bottom"/>
          </w:tcPr>
          <w:p>
            <w:pPr>
              <w:spacing w:after="0"/>
              <w:rPr>
                <w:sz w:val="18"/>
                <w:szCs w:val="18"/>
                <w:color w:val="auto"/>
              </w:rPr>
            </w:pPr>
          </w:p>
        </w:tc>
      </w:tr>
      <w:tr>
        <w:trPr>
          <w:trHeight w:val="216"/>
        </w:trPr>
        <w:tc>
          <w:tcPr>
            <w:tcW w:w="7980" w:type="dxa"/>
            <w:vAlign w:val="bottom"/>
            <w:shd w:val="clear" w:color="auto" w:fill="CCEEFF"/>
          </w:tcPr>
          <w:p>
            <w:pPr>
              <w:spacing w:after="0"/>
              <w:rPr>
                <w:sz w:val="20"/>
                <w:szCs w:val="20"/>
                <w:color w:val="auto"/>
              </w:rPr>
            </w:pPr>
            <w:r>
              <w:rPr>
                <w:rFonts w:ascii="Arial" w:cs="Arial" w:eastAsia="Arial" w:hAnsi="Arial"/>
                <w:sz w:val="18"/>
                <w:szCs w:val="18"/>
                <w:color w:val="auto"/>
              </w:rPr>
              <w:t>Principal Global Investors Holding Company, Inc.</w:t>
            </w:r>
          </w:p>
        </w:tc>
        <w:tc>
          <w:tcPr>
            <w:tcW w:w="34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Delaware</w:t>
            </w:r>
          </w:p>
        </w:tc>
        <w:tc>
          <w:tcPr>
            <w:tcW w:w="40" w:type="dxa"/>
            <w:vAlign w:val="bottom"/>
          </w:tcPr>
          <w:p>
            <w:pPr>
              <w:spacing w:after="0"/>
              <w:rPr>
                <w:sz w:val="18"/>
                <w:szCs w:val="18"/>
                <w:color w:val="auto"/>
              </w:rPr>
            </w:pPr>
          </w:p>
        </w:tc>
      </w:tr>
      <w:tr>
        <w:trPr>
          <w:trHeight w:val="216"/>
        </w:trPr>
        <w:tc>
          <w:tcPr>
            <w:tcW w:w="7980" w:type="dxa"/>
            <w:vAlign w:val="bottom"/>
          </w:tcPr>
          <w:p>
            <w:pPr>
              <w:spacing w:after="0"/>
              <w:rPr>
                <w:sz w:val="20"/>
                <w:szCs w:val="20"/>
                <w:color w:val="auto"/>
              </w:rPr>
            </w:pPr>
            <w:r>
              <w:rPr>
                <w:rFonts w:ascii="Arial" w:cs="Arial" w:eastAsia="Arial" w:hAnsi="Arial"/>
                <w:sz w:val="18"/>
                <w:szCs w:val="18"/>
                <w:color w:val="auto"/>
              </w:rPr>
              <w:t>Principal Global Investors Participacoes LTDA.</w:t>
            </w:r>
          </w:p>
        </w:tc>
        <w:tc>
          <w:tcPr>
            <w:tcW w:w="3440" w:type="dxa"/>
            <w:vAlign w:val="bottom"/>
          </w:tcPr>
          <w:p>
            <w:pPr>
              <w:ind w:left="200"/>
              <w:spacing w:after="0"/>
              <w:rPr>
                <w:sz w:val="20"/>
                <w:szCs w:val="20"/>
                <w:color w:val="auto"/>
              </w:rPr>
            </w:pPr>
            <w:r>
              <w:rPr>
                <w:rFonts w:ascii="Arial" w:cs="Arial" w:eastAsia="Arial" w:hAnsi="Arial"/>
                <w:sz w:val="18"/>
                <w:szCs w:val="18"/>
                <w:color w:val="auto"/>
              </w:rPr>
              <w:t>Brazil</w:t>
            </w:r>
          </w:p>
        </w:tc>
        <w:tc>
          <w:tcPr>
            <w:tcW w:w="40" w:type="dxa"/>
            <w:vAlign w:val="bottom"/>
          </w:tcPr>
          <w:p>
            <w:pPr>
              <w:spacing w:after="0"/>
              <w:rPr>
                <w:sz w:val="18"/>
                <w:szCs w:val="18"/>
                <w:color w:val="auto"/>
              </w:rPr>
            </w:pPr>
          </w:p>
        </w:tc>
      </w:tr>
      <w:tr>
        <w:trPr>
          <w:trHeight w:val="216"/>
        </w:trPr>
        <w:tc>
          <w:tcPr>
            <w:tcW w:w="7980" w:type="dxa"/>
            <w:vAlign w:val="bottom"/>
            <w:shd w:val="clear" w:color="auto" w:fill="CCEEFF"/>
          </w:tcPr>
          <w:p>
            <w:pPr>
              <w:spacing w:after="0"/>
              <w:rPr>
                <w:sz w:val="20"/>
                <w:szCs w:val="20"/>
                <w:color w:val="auto"/>
              </w:rPr>
            </w:pPr>
            <w:r>
              <w:rPr>
                <w:rFonts w:ascii="Arial" w:cs="Arial" w:eastAsia="Arial" w:hAnsi="Arial"/>
                <w:sz w:val="18"/>
                <w:szCs w:val="18"/>
                <w:color w:val="auto"/>
              </w:rPr>
              <w:t>Principal Global Investors Trust</w:t>
            </w:r>
          </w:p>
        </w:tc>
        <w:tc>
          <w:tcPr>
            <w:tcW w:w="34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Delaware</w:t>
            </w:r>
          </w:p>
        </w:tc>
        <w:tc>
          <w:tcPr>
            <w:tcW w:w="40" w:type="dxa"/>
            <w:vAlign w:val="bottom"/>
          </w:tcPr>
          <w:p>
            <w:pPr>
              <w:spacing w:after="0"/>
              <w:rPr>
                <w:sz w:val="18"/>
                <w:szCs w:val="18"/>
                <w:color w:val="auto"/>
              </w:rPr>
            </w:pPr>
          </w:p>
        </w:tc>
      </w:tr>
      <w:tr>
        <w:trPr>
          <w:trHeight w:val="216"/>
        </w:trPr>
        <w:tc>
          <w:tcPr>
            <w:tcW w:w="7980" w:type="dxa"/>
            <w:vAlign w:val="bottom"/>
          </w:tcPr>
          <w:p>
            <w:pPr>
              <w:spacing w:after="0"/>
              <w:rPr>
                <w:sz w:val="20"/>
                <w:szCs w:val="20"/>
                <w:color w:val="auto"/>
              </w:rPr>
            </w:pPr>
            <w:r>
              <w:rPr>
                <w:rFonts w:ascii="Arial" w:cs="Arial" w:eastAsia="Arial" w:hAnsi="Arial"/>
                <w:sz w:val="18"/>
                <w:szCs w:val="18"/>
                <w:color w:val="auto"/>
              </w:rPr>
              <w:t>Principal Global Investors, LLC</w:t>
            </w:r>
          </w:p>
        </w:tc>
        <w:tc>
          <w:tcPr>
            <w:tcW w:w="3440" w:type="dxa"/>
            <w:vAlign w:val="bottom"/>
          </w:tcPr>
          <w:p>
            <w:pPr>
              <w:ind w:left="200"/>
              <w:spacing w:after="0"/>
              <w:rPr>
                <w:sz w:val="20"/>
                <w:szCs w:val="20"/>
                <w:color w:val="auto"/>
              </w:rPr>
            </w:pPr>
            <w:r>
              <w:rPr>
                <w:rFonts w:ascii="Arial" w:cs="Arial" w:eastAsia="Arial" w:hAnsi="Arial"/>
                <w:sz w:val="18"/>
                <w:szCs w:val="18"/>
                <w:color w:val="auto"/>
              </w:rPr>
              <w:t>Delaware</w:t>
            </w:r>
          </w:p>
        </w:tc>
        <w:tc>
          <w:tcPr>
            <w:tcW w:w="40" w:type="dxa"/>
            <w:vAlign w:val="bottom"/>
          </w:tcPr>
          <w:p>
            <w:pPr>
              <w:spacing w:after="0"/>
              <w:rPr>
                <w:sz w:val="18"/>
                <w:szCs w:val="18"/>
                <w:color w:val="auto"/>
              </w:rPr>
            </w:pPr>
          </w:p>
        </w:tc>
      </w:tr>
      <w:tr>
        <w:trPr>
          <w:trHeight w:val="216"/>
        </w:trPr>
        <w:tc>
          <w:tcPr>
            <w:tcW w:w="7980" w:type="dxa"/>
            <w:vAlign w:val="bottom"/>
            <w:shd w:val="clear" w:color="auto" w:fill="CCEEFF"/>
          </w:tcPr>
          <w:p>
            <w:pPr>
              <w:spacing w:after="0"/>
              <w:rPr>
                <w:sz w:val="20"/>
                <w:szCs w:val="20"/>
                <w:color w:val="auto"/>
              </w:rPr>
            </w:pPr>
            <w:r>
              <w:rPr>
                <w:rFonts w:ascii="Arial" w:cs="Arial" w:eastAsia="Arial" w:hAnsi="Arial"/>
                <w:sz w:val="18"/>
                <w:szCs w:val="18"/>
                <w:color w:val="auto"/>
              </w:rPr>
              <w:t>Principal Global Services Private Limited</w:t>
            </w:r>
          </w:p>
        </w:tc>
        <w:tc>
          <w:tcPr>
            <w:tcW w:w="34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India</w:t>
            </w:r>
          </w:p>
        </w:tc>
        <w:tc>
          <w:tcPr>
            <w:tcW w:w="40" w:type="dxa"/>
            <w:vAlign w:val="bottom"/>
          </w:tcPr>
          <w:p>
            <w:pPr>
              <w:spacing w:after="0"/>
              <w:rPr>
                <w:sz w:val="18"/>
                <w:szCs w:val="18"/>
                <w:color w:val="auto"/>
              </w:rPr>
            </w:pPr>
          </w:p>
        </w:tc>
      </w:tr>
      <w:tr>
        <w:trPr>
          <w:trHeight w:val="216"/>
        </w:trPr>
        <w:tc>
          <w:tcPr>
            <w:tcW w:w="7980" w:type="dxa"/>
            <w:vAlign w:val="bottom"/>
          </w:tcPr>
          <w:p>
            <w:pPr>
              <w:spacing w:after="0"/>
              <w:rPr>
                <w:sz w:val="20"/>
                <w:szCs w:val="20"/>
                <w:color w:val="auto"/>
              </w:rPr>
            </w:pPr>
            <w:r>
              <w:rPr>
                <w:rFonts w:ascii="Arial" w:cs="Arial" w:eastAsia="Arial" w:hAnsi="Arial"/>
                <w:sz w:val="18"/>
                <w:szCs w:val="18"/>
                <w:color w:val="auto"/>
              </w:rPr>
              <w:t>Principal Holding Company Chile S.A.</w:t>
            </w:r>
          </w:p>
        </w:tc>
        <w:tc>
          <w:tcPr>
            <w:tcW w:w="3440" w:type="dxa"/>
            <w:vAlign w:val="bottom"/>
          </w:tcPr>
          <w:p>
            <w:pPr>
              <w:ind w:left="200"/>
              <w:spacing w:after="0"/>
              <w:rPr>
                <w:sz w:val="20"/>
                <w:szCs w:val="20"/>
                <w:color w:val="auto"/>
              </w:rPr>
            </w:pPr>
            <w:r>
              <w:rPr>
                <w:rFonts w:ascii="Arial" w:cs="Arial" w:eastAsia="Arial" w:hAnsi="Arial"/>
                <w:sz w:val="18"/>
                <w:szCs w:val="18"/>
                <w:color w:val="auto"/>
              </w:rPr>
              <w:t>Chile</w:t>
            </w:r>
          </w:p>
        </w:tc>
        <w:tc>
          <w:tcPr>
            <w:tcW w:w="40" w:type="dxa"/>
            <w:vAlign w:val="bottom"/>
          </w:tcPr>
          <w:p>
            <w:pPr>
              <w:spacing w:after="0"/>
              <w:rPr>
                <w:sz w:val="18"/>
                <w:szCs w:val="18"/>
                <w:color w:val="auto"/>
              </w:rPr>
            </w:pPr>
          </w:p>
        </w:tc>
      </w:tr>
      <w:tr>
        <w:trPr>
          <w:trHeight w:val="216"/>
        </w:trPr>
        <w:tc>
          <w:tcPr>
            <w:tcW w:w="7980" w:type="dxa"/>
            <w:vAlign w:val="bottom"/>
            <w:shd w:val="clear" w:color="auto" w:fill="CCEEFF"/>
          </w:tcPr>
          <w:p>
            <w:pPr>
              <w:spacing w:after="0"/>
              <w:rPr>
                <w:sz w:val="20"/>
                <w:szCs w:val="20"/>
                <w:color w:val="auto"/>
              </w:rPr>
            </w:pPr>
            <w:r>
              <w:rPr>
                <w:rFonts w:ascii="Arial" w:cs="Arial" w:eastAsia="Arial" w:hAnsi="Arial"/>
                <w:sz w:val="18"/>
                <w:szCs w:val="18"/>
                <w:color w:val="auto"/>
              </w:rPr>
              <w:t>Principal Holding Company, LLC</w:t>
            </w:r>
          </w:p>
        </w:tc>
        <w:tc>
          <w:tcPr>
            <w:tcW w:w="34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Iowa</w:t>
            </w:r>
          </w:p>
        </w:tc>
        <w:tc>
          <w:tcPr>
            <w:tcW w:w="40" w:type="dxa"/>
            <w:vAlign w:val="bottom"/>
          </w:tcPr>
          <w:p>
            <w:pPr>
              <w:spacing w:after="0"/>
              <w:rPr>
                <w:sz w:val="18"/>
                <w:szCs w:val="18"/>
                <w:color w:val="auto"/>
              </w:rPr>
            </w:pPr>
          </w:p>
        </w:tc>
      </w:tr>
      <w:tr>
        <w:trPr>
          <w:trHeight w:val="230"/>
        </w:trPr>
        <w:tc>
          <w:tcPr>
            <w:tcW w:w="7980" w:type="dxa"/>
            <w:vAlign w:val="bottom"/>
          </w:tcPr>
          <w:p>
            <w:pPr>
              <w:spacing w:after="0"/>
              <w:rPr>
                <w:sz w:val="20"/>
                <w:szCs w:val="20"/>
                <w:color w:val="auto"/>
              </w:rPr>
            </w:pPr>
            <w:r>
              <w:rPr>
                <w:rFonts w:ascii="Arial" w:cs="Arial" w:eastAsia="Arial" w:hAnsi="Arial"/>
                <w:sz w:val="18"/>
                <w:szCs w:val="18"/>
                <w:color w:val="auto"/>
              </w:rPr>
              <w:t>Principal Institutional Chile S.A.</w:t>
            </w:r>
          </w:p>
        </w:tc>
        <w:tc>
          <w:tcPr>
            <w:tcW w:w="3440" w:type="dxa"/>
            <w:vAlign w:val="bottom"/>
          </w:tcPr>
          <w:p>
            <w:pPr>
              <w:ind w:left="200"/>
              <w:spacing w:after="0"/>
              <w:rPr>
                <w:sz w:val="20"/>
                <w:szCs w:val="20"/>
                <w:color w:val="auto"/>
              </w:rPr>
            </w:pPr>
            <w:r>
              <w:rPr>
                <w:rFonts w:ascii="Arial" w:cs="Arial" w:eastAsia="Arial" w:hAnsi="Arial"/>
                <w:sz w:val="18"/>
                <w:szCs w:val="18"/>
                <w:color w:val="auto"/>
              </w:rPr>
              <w:t>Chile</w:t>
            </w:r>
          </w:p>
        </w:tc>
        <w:tc>
          <w:tcPr>
            <w:tcW w:w="40" w:type="dxa"/>
            <w:vAlign w:val="bottom"/>
          </w:tcPr>
          <w:p>
            <w:pPr>
              <w:spacing w:after="0"/>
              <w:rPr>
                <w:sz w:val="20"/>
                <w:szCs w:val="20"/>
                <w:color w:val="auto"/>
              </w:rPr>
            </w:pPr>
          </w:p>
        </w:tc>
      </w:tr>
      <w:tr>
        <w:trPr>
          <w:trHeight w:val="334"/>
        </w:trPr>
        <w:tc>
          <w:tcPr>
            <w:tcW w:w="7980" w:type="dxa"/>
            <w:vAlign w:val="bottom"/>
            <w:tcBorders>
              <w:bottom w:val="single" w:sz="8" w:color="010101"/>
            </w:tcBorders>
          </w:tcPr>
          <w:p>
            <w:pPr>
              <w:spacing w:after="0"/>
              <w:rPr>
                <w:sz w:val="24"/>
                <w:szCs w:val="24"/>
                <w:color w:val="auto"/>
              </w:rPr>
            </w:pPr>
          </w:p>
        </w:tc>
        <w:tc>
          <w:tcPr>
            <w:tcW w:w="344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8">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9">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660" w:type="dxa"/>
            <w:vAlign w:val="bottom"/>
            <w:gridSpan w:val="3"/>
          </w:tcPr>
          <w:p>
            <w:pPr>
              <w:spacing w:after="0"/>
              <w:rPr>
                <w:sz w:val="20"/>
                <w:szCs w:val="20"/>
                <w:color w:val="auto"/>
              </w:rPr>
            </w:pPr>
            <w:r>
              <w:rPr>
                <w:rFonts w:ascii="Arial" w:cs="Arial" w:eastAsia="Arial" w:hAnsi="Arial"/>
                <w:sz w:val="14"/>
                <w:szCs w:val="14"/>
                <w:b w:val="1"/>
                <w:bCs w:val="1"/>
                <w:color w:val="auto"/>
              </w:rPr>
              <w:t>Corporation</w:t>
            </w:r>
          </w:p>
        </w:tc>
        <w:tc>
          <w:tcPr>
            <w:tcW w:w="3760" w:type="dxa"/>
            <w:vAlign w:val="bottom"/>
          </w:tcPr>
          <w:p>
            <w:pPr>
              <w:ind w:left="1000"/>
              <w:spacing w:after="0"/>
              <w:rPr>
                <w:sz w:val="20"/>
                <w:szCs w:val="20"/>
                <w:color w:val="auto"/>
              </w:rPr>
            </w:pPr>
            <w:r>
              <w:rPr>
                <w:rFonts w:ascii="Arial" w:cs="Arial" w:eastAsia="Arial" w:hAnsi="Arial"/>
                <w:sz w:val="14"/>
                <w:szCs w:val="14"/>
                <w:b w:val="1"/>
                <w:bCs w:val="1"/>
                <w:color w:val="auto"/>
              </w:rPr>
              <w:t>State or Country of Domicile</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7320" w:type="dxa"/>
            <w:vAlign w:val="bottom"/>
            <w:tcBorders>
              <w:top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376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Insurance Company (Hong Kong) Limited</w:t>
            </w:r>
          </w:p>
        </w:tc>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Hong Kong</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tcPr>
          <w:p>
            <w:pPr>
              <w:spacing w:after="0"/>
              <w:rPr>
                <w:sz w:val="20"/>
                <w:szCs w:val="20"/>
                <w:color w:val="auto"/>
              </w:rPr>
            </w:pPr>
            <w:r>
              <w:rPr>
                <w:rFonts w:ascii="Arial" w:cs="Arial" w:eastAsia="Arial" w:hAnsi="Arial"/>
                <w:sz w:val="18"/>
                <w:szCs w:val="18"/>
                <w:color w:val="auto"/>
              </w:rPr>
              <w:t>Principal International (Asia) Limited</w:t>
            </w:r>
          </w:p>
        </w:tc>
        <w:tc>
          <w:tcPr>
            <w:tcW w:w="3760" w:type="dxa"/>
            <w:vAlign w:val="bottom"/>
          </w:tcPr>
          <w:p>
            <w:pPr>
              <w:spacing w:after="0"/>
              <w:rPr>
                <w:sz w:val="20"/>
                <w:szCs w:val="20"/>
                <w:color w:val="auto"/>
              </w:rPr>
            </w:pPr>
            <w:r>
              <w:rPr>
                <w:rFonts w:ascii="Arial" w:cs="Arial" w:eastAsia="Arial" w:hAnsi="Arial"/>
                <w:sz w:val="18"/>
                <w:szCs w:val="18"/>
                <w:color w:val="auto"/>
              </w:rPr>
              <w:t>Hong Kong</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International de Chile S.A.</w:t>
            </w:r>
          </w:p>
        </w:tc>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Chile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tcPr>
          <w:p>
            <w:pPr>
              <w:spacing w:after="0"/>
              <w:rPr>
                <w:sz w:val="20"/>
                <w:szCs w:val="20"/>
                <w:color w:val="auto"/>
              </w:rPr>
            </w:pPr>
            <w:r>
              <w:rPr>
                <w:rFonts w:ascii="Arial" w:cs="Arial" w:eastAsia="Arial" w:hAnsi="Arial"/>
                <w:sz w:val="18"/>
                <w:szCs w:val="18"/>
                <w:color w:val="auto"/>
              </w:rPr>
              <w:t>Principal International Holding Company, LLC</w:t>
            </w:r>
          </w:p>
        </w:tc>
        <w:tc>
          <w:tcPr>
            <w:tcW w:w="3760" w:type="dxa"/>
            <w:vAlign w:val="bottom"/>
          </w:tcPr>
          <w:p>
            <w:pPr>
              <w:spacing w:after="0"/>
              <w:rPr>
                <w:sz w:val="20"/>
                <w:szCs w:val="20"/>
                <w:color w:val="auto"/>
              </w:rPr>
            </w:pPr>
            <w:r>
              <w:rPr>
                <w:rFonts w:ascii="Arial" w:cs="Arial" w:eastAsia="Arial" w:hAnsi="Arial"/>
                <w:sz w:val="18"/>
                <w:szCs w:val="18"/>
                <w:color w:val="auto"/>
              </w:rPr>
              <w:t>Delaware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International Latin America Ltd.</w:t>
            </w:r>
          </w:p>
        </w:tc>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United Kingdom</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tcPr>
          <w:p>
            <w:pPr>
              <w:spacing w:after="0"/>
              <w:rPr>
                <w:sz w:val="20"/>
                <w:szCs w:val="20"/>
                <w:color w:val="auto"/>
              </w:rPr>
            </w:pPr>
            <w:r>
              <w:rPr>
                <w:rFonts w:ascii="Arial" w:cs="Arial" w:eastAsia="Arial" w:hAnsi="Arial"/>
                <w:sz w:val="18"/>
                <w:szCs w:val="18"/>
                <w:color w:val="auto"/>
              </w:rPr>
              <w:t>Principal International Mexico, LLC</w:t>
            </w:r>
          </w:p>
        </w:tc>
        <w:tc>
          <w:tcPr>
            <w:tcW w:w="3760" w:type="dxa"/>
            <w:vAlign w:val="bottom"/>
          </w:tcPr>
          <w:p>
            <w:pPr>
              <w:spacing w:after="0"/>
              <w:rPr>
                <w:sz w:val="20"/>
                <w:szCs w:val="20"/>
                <w:color w:val="auto"/>
              </w:rPr>
            </w:pPr>
            <w:r>
              <w:rPr>
                <w:rFonts w:ascii="Arial" w:cs="Arial" w:eastAsia="Arial" w:hAnsi="Arial"/>
                <w:sz w:val="18"/>
                <w:szCs w:val="18"/>
                <w:color w:val="auto"/>
              </w:rPr>
              <w:t>Delaware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International South America I Ltd.</w:t>
            </w:r>
          </w:p>
        </w:tc>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United Kingdom</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tcPr>
          <w:p>
            <w:pPr>
              <w:spacing w:after="0"/>
              <w:rPr>
                <w:sz w:val="20"/>
                <w:szCs w:val="20"/>
                <w:color w:val="auto"/>
              </w:rPr>
            </w:pPr>
            <w:r>
              <w:rPr>
                <w:rFonts w:ascii="Arial" w:cs="Arial" w:eastAsia="Arial" w:hAnsi="Arial"/>
                <w:sz w:val="18"/>
                <w:szCs w:val="18"/>
                <w:color w:val="auto"/>
              </w:rPr>
              <w:t>Principal International South America II Ltd.</w:t>
            </w:r>
          </w:p>
        </w:tc>
        <w:tc>
          <w:tcPr>
            <w:tcW w:w="3760" w:type="dxa"/>
            <w:vAlign w:val="bottom"/>
          </w:tcPr>
          <w:p>
            <w:pPr>
              <w:spacing w:after="0"/>
              <w:rPr>
                <w:sz w:val="20"/>
                <w:szCs w:val="20"/>
                <w:color w:val="auto"/>
              </w:rPr>
            </w:pPr>
            <w:r>
              <w:rPr>
                <w:rFonts w:ascii="Arial" w:cs="Arial" w:eastAsia="Arial" w:hAnsi="Arial"/>
                <w:sz w:val="18"/>
                <w:szCs w:val="18"/>
                <w:color w:val="auto"/>
              </w:rPr>
              <w:t>United Kingdom</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International South America II Ltd., Agencia en Chile</w:t>
            </w:r>
          </w:p>
        </w:tc>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Chile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tcPr>
          <w:p>
            <w:pPr>
              <w:spacing w:after="0"/>
              <w:rPr>
                <w:sz w:val="20"/>
                <w:szCs w:val="20"/>
                <w:color w:val="auto"/>
              </w:rPr>
            </w:pPr>
            <w:r>
              <w:rPr>
                <w:rFonts w:ascii="Arial" w:cs="Arial" w:eastAsia="Arial" w:hAnsi="Arial"/>
                <w:sz w:val="18"/>
                <w:szCs w:val="18"/>
                <w:color w:val="auto"/>
              </w:rPr>
              <w:t>Principal International, Inc.</w:t>
            </w:r>
          </w:p>
        </w:tc>
        <w:tc>
          <w:tcPr>
            <w:tcW w:w="3760" w:type="dxa"/>
            <w:vAlign w:val="bottom"/>
          </w:tcPr>
          <w:p>
            <w:pPr>
              <w:spacing w:after="0"/>
              <w:rPr>
                <w:sz w:val="20"/>
                <w:szCs w:val="20"/>
                <w:color w:val="auto"/>
              </w:rPr>
            </w:pPr>
            <w:r>
              <w:rPr>
                <w:rFonts w:ascii="Arial" w:cs="Arial" w:eastAsia="Arial" w:hAnsi="Arial"/>
                <w:sz w:val="18"/>
                <w:szCs w:val="18"/>
                <w:color w:val="auto"/>
              </w:rPr>
              <w:t>Iowa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Investors Corporation</w:t>
            </w:r>
          </w:p>
        </w:tc>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New Jersey</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tcPr>
          <w:p>
            <w:pPr>
              <w:spacing w:after="0"/>
              <w:rPr>
                <w:sz w:val="20"/>
                <w:szCs w:val="20"/>
                <w:color w:val="auto"/>
              </w:rPr>
            </w:pPr>
            <w:r>
              <w:rPr>
                <w:rFonts w:ascii="Arial" w:cs="Arial" w:eastAsia="Arial" w:hAnsi="Arial"/>
                <w:sz w:val="18"/>
                <w:szCs w:val="18"/>
                <w:color w:val="auto"/>
              </w:rPr>
              <w:t>Principal Life Insurance Company</w:t>
            </w:r>
          </w:p>
        </w:tc>
        <w:tc>
          <w:tcPr>
            <w:tcW w:w="3760" w:type="dxa"/>
            <w:vAlign w:val="bottom"/>
          </w:tcPr>
          <w:p>
            <w:pPr>
              <w:spacing w:after="0"/>
              <w:rPr>
                <w:sz w:val="20"/>
                <w:szCs w:val="20"/>
                <w:color w:val="auto"/>
              </w:rPr>
            </w:pPr>
            <w:r>
              <w:rPr>
                <w:rFonts w:ascii="Arial" w:cs="Arial" w:eastAsia="Arial" w:hAnsi="Arial"/>
                <w:sz w:val="18"/>
                <w:szCs w:val="18"/>
                <w:color w:val="auto"/>
              </w:rPr>
              <w:t>Iowa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Life Insurance Company of Iowa</w:t>
            </w:r>
          </w:p>
        </w:tc>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Iowa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tcPr>
          <w:p>
            <w:pPr>
              <w:spacing w:after="0"/>
              <w:rPr>
                <w:sz w:val="20"/>
                <w:szCs w:val="20"/>
                <w:color w:val="auto"/>
              </w:rPr>
            </w:pPr>
            <w:r>
              <w:rPr>
                <w:rFonts w:ascii="Arial" w:cs="Arial" w:eastAsia="Arial" w:hAnsi="Arial"/>
                <w:sz w:val="18"/>
                <w:szCs w:val="18"/>
                <w:color w:val="auto"/>
              </w:rPr>
              <w:t>Principal Management Corporation</w:t>
            </w:r>
          </w:p>
        </w:tc>
        <w:tc>
          <w:tcPr>
            <w:tcW w:w="3760" w:type="dxa"/>
            <w:vAlign w:val="bottom"/>
          </w:tcPr>
          <w:p>
            <w:pPr>
              <w:spacing w:after="0"/>
              <w:rPr>
                <w:sz w:val="20"/>
                <w:szCs w:val="20"/>
                <w:color w:val="auto"/>
              </w:rPr>
            </w:pPr>
            <w:r>
              <w:rPr>
                <w:rFonts w:ascii="Arial" w:cs="Arial" w:eastAsia="Arial" w:hAnsi="Arial"/>
                <w:sz w:val="18"/>
                <w:szCs w:val="18"/>
                <w:color w:val="auto"/>
              </w:rPr>
              <w:t>Iowa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Mexico Servicios, S.A. De C.V.</w:t>
            </w:r>
          </w:p>
        </w:tc>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Mexico</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tcPr>
          <w:p>
            <w:pPr>
              <w:spacing w:after="0"/>
              <w:rPr>
                <w:sz w:val="20"/>
                <w:szCs w:val="20"/>
                <w:color w:val="auto"/>
              </w:rPr>
            </w:pPr>
            <w:r>
              <w:rPr>
                <w:rFonts w:ascii="Arial" w:cs="Arial" w:eastAsia="Arial" w:hAnsi="Arial"/>
                <w:sz w:val="18"/>
                <w:szCs w:val="18"/>
                <w:color w:val="auto"/>
              </w:rPr>
              <w:t>Principal National Life Insurance Company</w:t>
            </w:r>
          </w:p>
        </w:tc>
        <w:tc>
          <w:tcPr>
            <w:tcW w:w="3760" w:type="dxa"/>
            <w:vAlign w:val="bottom"/>
          </w:tcPr>
          <w:p>
            <w:pPr>
              <w:spacing w:after="0"/>
              <w:rPr>
                <w:sz w:val="20"/>
                <w:szCs w:val="20"/>
                <w:color w:val="auto"/>
              </w:rPr>
            </w:pPr>
            <w:r>
              <w:rPr>
                <w:rFonts w:ascii="Arial" w:cs="Arial" w:eastAsia="Arial" w:hAnsi="Arial"/>
                <w:sz w:val="18"/>
                <w:szCs w:val="18"/>
                <w:color w:val="auto"/>
              </w:rPr>
              <w:t>Iowa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Nominee Company (Hong Kong) Limited</w:t>
            </w:r>
          </w:p>
        </w:tc>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Hong Kong</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tcPr>
          <w:p>
            <w:pPr>
              <w:spacing w:after="0"/>
              <w:rPr>
                <w:sz w:val="20"/>
                <w:szCs w:val="20"/>
                <w:color w:val="auto"/>
              </w:rPr>
            </w:pPr>
            <w:r>
              <w:rPr>
                <w:rFonts w:ascii="Arial" w:cs="Arial" w:eastAsia="Arial" w:hAnsi="Arial"/>
                <w:sz w:val="18"/>
                <w:szCs w:val="18"/>
                <w:color w:val="auto"/>
              </w:rPr>
              <w:t>Principal Pensiones, S.A. De C.V., Principal Grupo Financiero</w:t>
            </w:r>
          </w:p>
        </w:tc>
        <w:tc>
          <w:tcPr>
            <w:tcW w:w="3760" w:type="dxa"/>
            <w:vAlign w:val="bottom"/>
          </w:tcPr>
          <w:p>
            <w:pPr>
              <w:spacing w:after="0"/>
              <w:rPr>
                <w:sz w:val="20"/>
                <w:szCs w:val="20"/>
                <w:color w:val="auto"/>
              </w:rPr>
            </w:pPr>
            <w:r>
              <w:rPr>
                <w:rFonts w:ascii="Arial" w:cs="Arial" w:eastAsia="Arial" w:hAnsi="Arial"/>
                <w:sz w:val="18"/>
                <w:szCs w:val="18"/>
                <w:color w:val="auto"/>
              </w:rPr>
              <w:t>Mexico</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PNB Asset Management Company Private Limited</w:t>
            </w:r>
          </w:p>
        </w:tc>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India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tcPr>
          <w:p>
            <w:pPr>
              <w:spacing w:after="0"/>
              <w:rPr>
                <w:sz w:val="20"/>
                <w:szCs w:val="20"/>
                <w:color w:val="auto"/>
              </w:rPr>
            </w:pPr>
            <w:r>
              <w:rPr>
                <w:rFonts w:ascii="Arial" w:cs="Arial" w:eastAsia="Arial" w:hAnsi="Arial"/>
                <w:sz w:val="18"/>
                <w:szCs w:val="18"/>
                <w:color w:val="auto"/>
              </w:rPr>
              <w:t>Principal Real Estate Fund Investors, LLC</w:t>
            </w:r>
          </w:p>
        </w:tc>
        <w:tc>
          <w:tcPr>
            <w:tcW w:w="3760" w:type="dxa"/>
            <w:vAlign w:val="bottom"/>
          </w:tcPr>
          <w:p>
            <w:pPr>
              <w:spacing w:after="0"/>
              <w:rPr>
                <w:sz w:val="20"/>
                <w:szCs w:val="20"/>
                <w:color w:val="auto"/>
              </w:rPr>
            </w:pPr>
            <w:r>
              <w:rPr>
                <w:rFonts w:ascii="Arial" w:cs="Arial" w:eastAsia="Arial" w:hAnsi="Arial"/>
                <w:sz w:val="18"/>
                <w:szCs w:val="18"/>
                <w:color w:val="auto"/>
              </w:rPr>
              <w:t>Delaware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Real Estate Holding Company, LLC</w:t>
            </w:r>
          </w:p>
        </w:tc>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Delaware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tcPr>
          <w:p>
            <w:pPr>
              <w:spacing w:after="0"/>
              <w:rPr>
                <w:sz w:val="20"/>
                <w:szCs w:val="20"/>
                <w:color w:val="auto"/>
              </w:rPr>
            </w:pPr>
            <w:r>
              <w:rPr>
                <w:rFonts w:ascii="Arial" w:cs="Arial" w:eastAsia="Arial" w:hAnsi="Arial"/>
                <w:sz w:val="18"/>
                <w:szCs w:val="18"/>
                <w:color w:val="auto"/>
              </w:rPr>
              <w:t>Principal Real Estate Investors, LLC</w:t>
            </w:r>
          </w:p>
        </w:tc>
        <w:tc>
          <w:tcPr>
            <w:tcW w:w="3760" w:type="dxa"/>
            <w:vAlign w:val="bottom"/>
          </w:tcPr>
          <w:p>
            <w:pPr>
              <w:spacing w:after="0"/>
              <w:rPr>
                <w:sz w:val="20"/>
                <w:szCs w:val="20"/>
                <w:color w:val="auto"/>
              </w:rPr>
            </w:pPr>
            <w:r>
              <w:rPr>
                <w:rFonts w:ascii="Arial" w:cs="Arial" w:eastAsia="Arial" w:hAnsi="Arial"/>
                <w:sz w:val="18"/>
                <w:szCs w:val="18"/>
                <w:color w:val="auto"/>
              </w:rPr>
              <w:t>Delaware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Real Estate Portfolio, Inc.</w:t>
            </w:r>
          </w:p>
        </w:tc>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Delaware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tcPr>
          <w:p>
            <w:pPr>
              <w:spacing w:after="0"/>
              <w:rPr>
                <w:sz w:val="20"/>
                <w:szCs w:val="20"/>
                <w:color w:val="auto"/>
              </w:rPr>
            </w:pPr>
            <w:r>
              <w:rPr>
                <w:rFonts w:ascii="Arial" w:cs="Arial" w:eastAsia="Arial" w:hAnsi="Arial"/>
                <w:sz w:val="18"/>
                <w:szCs w:val="18"/>
                <w:color w:val="auto"/>
              </w:rPr>
              <w:t>Principal Reinsurance Company of Delaware</w:t>
            </w:r>
          </w:p>
        </w:tc>
        <w:tc>
          <w:tcPr>
            <w:tcW w:w="3760" w:type="dxa"/>
            <w:vAlign w:val="bottom"/>
          </w:tcPr>
          <w:p>
            <w:pPr>
              <w:spacing w:after="0"/>
              <w:rPr>
                <w:sz w:val="20"/>
                <w:szCs w:val="20"/>
                <w:color w:val="auto"/>
              </w:rPr>
            </w:pPr>
            <w:r>
              <w:rPr>
                <w:rFonts w:ascii="Arial" w:cs="Arial" w:eastAsia="Arial" w:hAnsi="Arial"/>
                <w:sz w:val="18"/>
                <w:szCs w:val="18"/>
                <w:color w:val="auto"/>
              </w:rPr>
              <w:t>Delaware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Reinsurance Company of Vermont</w:t>
            </w:r>
          </w:p>
        </w:tc>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Vermont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tcPr>
          <w:p>
            <w:pPr>
              <w:spacing w:after="0"/>
              <w:rPr>
                <w:sz w:val="20"/>
                <w:szCs w:val="20"/>
                <w:color w:val="auto"/>
              </w:rPr>
            </w:pPr>
            <w:r>
              <w:rPr>
                <w:rFonts w:ascii="Arial" w:cs="Arial" w:eastAsia="Arial" w:hAnsi="Arial"/>
                <w:sz w:val="18"/>
                <w:szCs w:val="18"/>
                <w:color w:val="auto"/>
              </w:rPr>
              <w:t>Principal Retirement Advisors Private Limited</w:t>
            </w:r>
          </w:p>
        </w:tc>
        <w:tc>
          <w:tcPr>
            <w:tcW w:w="3760" w:type="dxa"/>
            <w:vAlign w:val="bottom"/>
          </w:tcPr>
          <w:p>
            <w:pPr>
              <w:spacing w:after="0"/>
              <w:rPr>
                <w:sz w:val="20"/>
                <w:szCs w:val="20"/>
                <w:color w:val="auto"/>
              </w:rPr>
            </w:pPr>
            <w:r>
              <w:rPr>
                <w:rFonts w:ascii="Arial" w:cs="Arial" w:eastAsia="Arial" w:hAnsi="Arial"/>
                <w:sz w:val="18"/>
                <w:szCs w:val="18"/>
                <w:color w:val="auto"/>
              </w:rPr>
              <w:t>India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Seguros, S.A. De C.V., Principal Grupo Financiero</w:t>
            </w:r>
          </w:p>
        </w:tc>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Mexico</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gridSpan w:val="2"/>
          </w:tcPr>
          <w:p>
            <w:pPr>
              <w:spacing w:after="0"/>
              <w:rPr>
                <w:sz w:val="20"/>
                <w:szCs w:val="20"/>
                <w:color w:val="auto"/>
              </w:rPr>
            </w:pPr>
            <w:r>
              <w:rPr>
                <w:rFonts w:ascii="Arial" w:cs="Arial" w:eastAsia="Arial" w:hAnsi="Arial"/>
                <w:sz w:val="18"/>
                <w:szCs w:val="18"/>
                <w:color w:val="auto"/>
              </w:rPr>
              <w:t>Principal Servicios Corporativos Chile Ltda.</w:t>
            </w:r>
          </w:p>
        </w:tc>
        <w:tc>
          <w:tcPr>
            <w:tcW w:w="3760" w:type="dxa"/>
            <w:vAlign w:val="bottom"/>
          </w:tcPr>
          <w:p>
            <w:pPr>
              <w:spacing w:after="0"/>
              <w:rPr>
                <w:sz w:val="20"/>
                <w:szCs w:val="20"/>
                <w:color w:val="auto"/>
              </w:rPr>
            </w:pPr>
            <w:r>
              <w:rPr>
                <w:rFonts w:ascii="Arial" w:cs="Arial" w:eastAsia="Arial" w:hAnsi="Arial"/>
                <w:sz w:val="18"/>
                <w:szCs w:val="18"/>
                <w:color w:val="auto"/>
              </w:rPr>
              <w:t>Chile</w:t>
            </w: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732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376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bl>
    <w:p>
      <w:pPr>
        <w:sectPr>
          <w:pgSz w:w="11900" w:h="16900" w:orient="portrait"/>
          <w:cols w:equalWidth="0" w:num="1">
            <w:col w:w="11460"/>
          </w:cols>
          <w:pgMar w:left="240" w:top="140" w:right="199" w:bottom="0" w:gutter="0" w:footer="0" w:header="0"/>
        </w:sectPr>
      </w:pPr>
    </w:p>
    <w:bookmarkStart w:id="230" w:name="page231"/>
    <w:bookmarkEnd w:id="23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400" w:type="dxa"/>
            <w:vAlign w:val="bottom"/>
            <w:shd w:val="clear" w:color="auto" w:fill="CCEEFF"/>
          </w:tcPr>
          <w:p>
            <w:pPr>
              <w:spacing w:after="0"/>
              <w:rPr>
                <w:sz w:val="20"/>
                <w:szCs w:val="20"/>
                <w:color w:val="auto"/>
              </w:rPr>
            </w:pPr>
            <w:r>
              <w:rPr>
                <w:rFonts w:ascii="Arial" w:cs="Arial" w:eastAsia="Arial" w:hAnsi="Arial"/>
                <w:sz w:val="18"/>
                <w:szCs w:val="18"/>
                <w:color w:val="auto"/>
              </w:rPr>
              <w:t>Principal Servicios de Administración S.A.</w:t>
            </w:r>
          </w:p>
        </w:tc>
        <w:tc>
          <w:tcPr>
            <w:tcW w:w="6020" w:type="dxa"/>
            <w:vAlign w:val="bottom"/>
            <w:shd w:val="clear" w:color="auto" w:fill="CCEEFF"/>
          </w:tcPr>
          <w:p>
            <w:pPr>
              <w:ind w:left="2260"/>
              <w:spacing w:after="0"/>
              <w:rPr>
                <w:sz w:val="20"/>
                <w:szCs w:val="20"/>
                <w:color w:val="auto"/>
              </w:rPr>
            </w:pPr>
            <w:r>
              <w:rPr>
                <w:rFonts w:ascii="Arial" w:cs="Arial" w:eastAsia="Arial" w:hAnsi="Arial"/>
                <w:sz w:val="18"/>
                <w:szCs w:val="18"/>
                <w:color w:val="auto"/>
              </w:rPr>
              <w:t>Chile</w:t>
            </w:r>
          </w:p>
        </w:tc>
        <w:tc>
          <w:tcPr>
            <w:tcW w:w="40" w:type="dxa"/>
            <w:vAlign w:val="bottom"/>
          </w:tcPr>
          <w:p>
            <w:pPr>
              <w:spacing w:after="0"/>
              <w:rPr>
                <w:sz w:val="18"/>
                <w:szCs w:val="18"/>
                <w:color w:val="auto"/>
              </w:rPr>
            </w:pPr>
          </w:p>
        </w:tc>
      </w:tr>
      <w:tr>
        <w:trPr>
          <w:trHeight w:val="216"/>
        </w:trPr>
        <w:tc>
          <w:tcPr>
            <w:tcW w:w="5400" w:type="dxa"/>
            <w:vAlign w:val="bottom"/>
          </w:tcPr>
          <w:p>
            <w:pPr>
              <w:spacing w:after="0"/>
              <w:rPr>
                <w:sz w:val="20"/>
                <w:szCs w:val="20"/>
                <w:color w:val="auto"/>
              </w:rPr>
            </w:pPr>
            <w:r>
              <w:rPr>
                <w:rFonts w:ascii="Arial" w:cs="Arial" w:eastAsia="Arial" w:hAnsi="Arial"/>
                <w:sz w:val="18"/>
                <w:szCs w:val="18"/>
                <w:color w:val="auto"/>
              </w:rPr>
              <w:t>Principal Shareholder Services, Inc.</w:t>
            </w:r>
          </w:p>
        </w:tc>
        <w:tc>
          <w:tcPr>
            <w:tcW w:w="6020" w:type="dxa"/>
            <w:vAlign w:val="bottom"/>
          </w:tcPr>
          <w:p>
            <w:pPr>
              <w:ind w:left="2260"/>
              <w:spacing w:after="0"/>
              <w:rPr>
                <w:sz w:val="20"/>
                <w:szCs w:val="20"/>
                <w:color w:val="auto"/>
              </w:rPr>
            </w:pPr>
            <w:r>
              <w:rPr>
                <w:rFonts w:ascii="Arial" w:cs="Arial" w:eastAsia="Arial" w:hAnsi="Arial"/>
                <w:sz w:val="18"/>
                <w:szCs w:val="18"/>
                <w:color w:val="auto"/>
              </w:rPr>
              <w:t>Washington</w:t>
            </w:r>
          </w:p>
        </w:tc>
        <w:tc>
          <w:tcPr>
            <w:tcW w:w="40" w:type="dxa"/>
            <w:vAlign w:val="bottom"/>
          </w:tcPr>
          <w:p>
            <w:pPr>
              <w:spacing w:after="0"/>
              <w:rPr>
                <w:sz w:val="18"/>
                <w:szCs w:val="18"/>
                <w:color w:val="auto"/>
              </w:rPr>
            </w:pPr>
          </w:p>
        </w:tc>
      </w:tr>
      <w:tr>
        <w:trPr>
          <w:trHeight w:val="216"/>
        </w:trPr>
        <w:tc>
          <w:tcPr>
            <w:tcW w:w="5400" w:type="dxa"/>
            <w:vAlign w:val="bottom"/>
            <w:shd w:val="clear" w:color="auto" w:fill="CCEEFF"/>
          </w:tcPr>
          <w:p>
            <w:pPr>
              <w:spacing w:after="0"/>
              <w:rPr>
                <w:sz w:val="20"/>
                <w:szCs w:val="20"/>
                <w:color w:val="auto"/>
              </w:rPr>
            </w:pPr>
            <w:r>
              <w:rPr>
                <w:rFonts w:ascii="Arial" w:cs="Arial" w:eastAsia="Arial" w:hAnsi="Arial"/>
                <w:sz w:val="18"/>
                <w:szCs w:val="18"/>
                <w:color w:val="auto"/>
              </w:rPr>
              <w:t>Principal Trust Company (Asia) Limited</w:t>
            </w:r>
          </w:p>
        </w:tc>
        <w:tc>
          <w:tcPr>
            <w:tcW w:w="6020" w:type="dxa"/>
            <w:vAlign w:val="bottom"/>
            <w:shd w:val="clear" w:color="auto" w:fill="CCEEFF"/>
          </w:tcPr>
          <w:p>
            <w:pPr>
              <w:ind w:left="2260"/>
              <w:spacing w:after="0"/>
              <w:rPr>
                <w:sz w:val="20"/>
                <w:szCs w:val="20"/>
                <w:color w:val="auto"/>
              </w:rPr>
            </w:pPr>
            <w:r>
              <w:rPr>
                <w:rFonts w:ascii="Arial" w:cs="Arial" w:eastAsia="Arial" w:hAnsi="Arial"/>
                <w:sz w:val="18"/>
                <w:szCs w:val="18"/>
                <w:color w:val="auto"/>
              </w:rPr>
              <w:t>Hong Kong</w:t>
            </w:r>
          </w:p>
        </w:tc>
        <w:tc>
          <w:tcPr>
            <w:tcW w:w="40" w:type="dxa"/>
            <w:vAlign w:val="bottom"/>
          </w:tcPr>
          <w:p>
            <w:pPr>
              <w:spacing w:after="0"/>
              <w:rPr>
                <w:sz w:val="18"/>
                <w:szCs w:val="18"/>
                <w:color w:val="auto"/>
              </w:rPr>
            </w:pPr>
          </w:p>
        </w:tc>
      </w:tr>
      <w:tr>
        <w:trPr>
          <w:trHeight w:val="216"/>
        </w:trPr>
        <w:tc>
          <w:tcPr>
            <w:tcW w:w="5400" w:type="dxa"/>
            <w:vAlign w:val="bottom"/>
          </w:tcPr>
          <w:p>
            <w:pPr>
              <w:spacing w:after="0"/>
              <w:rPr>
                <w:sz w:val="20"/>
                <w:szCs w:val="20"/>
                <w:color w:val="auto"/>
              </w:rPr>
            </w:pPr>
            <w:r>
              <w:rPr>
                <w:rFonts w:ascii="Arial" w:cs="Arial" w:eastAsia="Arial" w:hAnsi="Arial"/>
                <w:sz w:val="18"/>
                <w:szCs w:val="18"/>
                <w:color w:val="auto"/>
              </w:rPr>
              <w:t>Principal Trustee Company Private Limited</w:t>
            </w:r>
          </w:p>
        </w:tc>
        <w:tc>
          <w:tcPr>
            <w:tcW w:w="6020" w:type="dxa"/>
            <w:vAlign w:val="bottom"/>
          </w:tcPr>
          <w:p>
            <w:pPr>
              <w:ind w:left="2260"/>
              <w:spacing w:after="0"/>
              <w:rPr>
                <w:sz w:val="20"/>
                <w:szCs w:val="20"/>
                <w:color w:val="auto"/>
              </w:rPr>
            </w:pPr>
            <w:r>
              <w:rPr>
                <w:rFonts w:ascii="Arial" w:cs="Arial" w:eastAsia="Arial" w:hAnsi="Arial"/>
                <w:sz w:val="18"/>
                <w:szCs w:val="18"/>
                <w:color w:val="auto"/>
              </w:rPr>
              <w:t>India</w:t>
            </w:r>
          </w:p>
        </w:tc>
        <w:tc>
          <w:tcPr>
            <w:tcW w:w="40" w:type="dxa"/>
            <w:vAlign w:val="bottom"/>
          </w:tcPr>
          <w:p>
            <w:pPr>
              <w:spacing w:after="0"/>
              <w:rPr>
                <w:sz w:val="18"/>
                <w:szCs w:val="18"/>
                <w:color w:val="auto"/>
              </w:rPr>
            </w:pPr>
          </w:p>
        </w:tc>
      </w:tr>
      <w:tr>
        <w:trPr>
          <w:trHeight w:val="216"/>
        </w:trPr>
        <w:tc>
          <w:tcPr>
            <w:tcW w:w="5400" w:type="dxa"/>
            <w:vAlign w:val="bottom"/>
            <w:shd w:val="clear" w:color="auto" w:fill="CCEEFF"/>
          </w:tcPr>
          <w:p>
            <w:pPr>
              <w:spacing w:after="0"/>
              <w:rPr>
                <w:sz w:val="20"/>
                <w:szCs w:val="20"/>
                <w:color w:val="auto"/>
              </w:rPr>
            </w:pPr>
            <w:r>
              <w:rPr>
                <w:rFonts w:ascii="Arial" w:cs="Arial" w:eastAsia="Arial" w:hAnsi="Arial"/>
                <w:sz w:val="18"/>
                <w:szCs w:val="18"/>
                <w:color w:val="auto"/>
              </w:rPr>
              <w:t>Princor Financial Services Corporation</w:t>
            </w:r>
          </w:p>
        </w:tc>
        <w:tc>
          <w:tcPr>
            <w:tcW w:w="6020" w:type="dxa"/>
            <w:vAlign w:val="bottom"/>
            <w:shd w:val="clear" w:color="auto" w:fill="CCEEFF"/>
          </w:tcPr>
          <w:p>
            <w:pPr>
              <w:ind w:left="2260"/>
              <w:spacing w:after="0"/>
              <w:rPr>
                <w:sz w:val="20"/>
                <w:szCs w:val="20"/>
                <w:color w:val="auto"/>
              </w:rPr>
            </w:pPr>
            <w:r>
              <w:rPr>
                <w:rFonts w:ascii="Arial" w:cs="Arial" w:eastAsia="Arial" w:hAnsi="Arial"/>
                <w:sz w:val="18"/>
                <w:szCs w:val="18"/>
                <w:color w:val="auto"/>
              </w:rPr>
              <w:t>Iowa</w:t>
            </w:r>
          </w:p>
        </w:tc>
        <w:tc>
          <w:tcPr>
            <w:tcW w:w="40" w:type="dxa"/>
            <w:vAlign w:val="bottom"/>
          </w:tcPr>
          <w:p>
            <w:pPr>
              <w:spacing w:after="0"/>
              <w:rPr>
                <w:sz w:val="18"/>
                <w:szCs w:val="18"/>
                <w:color w:val="auto"/>
              </w:rPr>
            </w:pPr>
          </w:p>
        </w:tc>
      </w:tr>
      <w:tr>
        <w:trPr>
          <w:trHeight w:val="216"/>
        </w:trPr>
        <w:tc>
          <w:tcPr>
            <w:tcW w:w="5400" w:type="dxa"/>
            <w:vAlign w:val="bottom"/>
          </w:tcPr>
          <w:p>
            <w:pPr>
              <w:spacing w:after="0"/>
              <w:rPr>
                <w:sz w:val="20"/>
                <w:szCs w:val="20"/>
                <w:color w:val="auto"/>
              </w:rPr>
            </w:pPr>
            <w:r>
              <w:rPr>
                <w:rFonts w:ascii="Arial" w:cs="Arial" w:eastAsia="Arial" w:hAnsi="Arial"/>
                <w:sz w:val="18"/>
                <w:szCs w:val="18"/>
                <w:color w:val="auto"/>
              </w:rPr>
              <w:t>PrinCorp Wealth Advisors (Asia) Limited</w:t>
            </w:r>
          </w:p>
        </w:tc>
        <w:tc>
          <w:tcPr>
            <w:tcW w:w="6020" w:type="dxa"/>
            <w:vAlign w:val="bottom"/>
          </w:tcPr>
          <w:p>
            <w:pPr>
              <w:ind w:left="2260"/>
              <w:spacing w:after="0"/>
              <w:rPr>
                <w:sz w:val="20"/>
                <w:szCs w:val="20"/>
                <w:color w:val="auto"/>
              </w:rPr>
            </w:pPr>
            <w:r>
              <w:rPr>
                <w:rFonts w:ascii="Arial" w:cs="Arial" w:eastAsia="Arial" w:hAnsi="Arial"/>
                <w:sz w:val="18"/>
                <w:szCs w:val="18"/>
                <w:color w:val="auto"/>
              </w:rPr>
              <w:t>Hong Kong</w:t>
            </w:r>
          </w:p>
        </w:tc>
        <w:tc>
          <w:tcPr>
            <w:tcW w:w="40" w:type="dxa"/>
            <w:vAlign w:val="bottom"/>
          </w:tcPr>
          <w:p>
            <w:pPr>
              <w:spacing w:after="0"/>
              <w:rPr>
                <w:sz w:val="18"/>
                <w:szCs w:val="18"/>
                <w:color w:val="auto"/>
              </w:rPr>
            </w:pPr>
          </w:p>
        </w:tc>
      </w:tr>
      <w:tr>
        <w:trPr>
          <w:trHeight w:val="216"/>
        </w:trPr>
        <w:tc>
          <w:tcPr>
            <w:tcW w:w="5400" w:type="dxa"/>
            <w:vAlign w:val="bottom"/>
            <w:shd w:val="clear" w:color="auto" w:fill="CCEEFF"/>
          </w:tcPr>
          <w:p>
            <w:pPr>
              <w:spacing w:after="0"/>
              <w:rPr>
                <w:sz w:val="20"/>
                <w:szCs w:val="20"/>
                <w:color w:val="auto"/>
              </w:rPr>
            </w:pPr>
            <w:r>
              <w:rPr>
                <w:rFonts w:ascii="Arial" w:cs="Arial" w:eastAsia="Arial" w:hAnsi="Arial"/>
                <w:sz w:val="18"/>
                <w:szCs w:val="18"/>
                <w:color w:val="auto"/>
              </w:rPr>
              <w:t>PT CIMB-Principal Asset Management</w:t>
            </w:r>
          </w:p>
        </w:tc>
        <w:tc>
          <w:tcPr>
            <w:tcW w:w="6020" w:type="dxa"/>
            <w:vAlign w:val="bottom"/>
            <w:shd w:val="clear" w:color="auto" w:fill="CCEEFF"/>
          </w:tcPr>
          <w:p>
            <w:pPr>
              <w:ind w:left="2260"/>
              <w:spacing w:after="0"/>
              <w:rPr>
                <w:sz w:val="20"/>
                <w:szCs w:val="20"/>
                <w:color w:val="auto"/>
              </w:rPr>
            </w:pPr>
            <w:r>
              <w:rPr>
                <w:rFonts w:ascii="Arial" w:cs="Arial" w:eastAsia="Arial" w:hAnsi="Arial"/>
                <w:sz w:val="18"/>
                <w:szCs w:val="18"/>
                <w:color w:val="auto"/>
              </w:rPr>
              <w:t>Indonesia</w:t>
            </w:r>
          </w:p>
        </w:tc>
        <w:tc>
          <w:tcPr>
            <w:tcW w:w="40" w:type="dxa"/>
            <w:vAlign w:val="bottom"/>
          </w:tcPr>
          <w:p>
            <w:pPr>
              <w:spacing w:after="0"/>
              <w:rPr>
                <w:sz w:val="18"/>
                <w:szCs w:val="18"/>
                <w:color w:val="auto"/>
              </w:rPr>
            </w:pPr>
          </w:p>
        </w:tc>
      </w:tr>
      <w:tr>
        <w:trPr>
          <w:trHeight w:val="216"/>
        </w:trPr>
        <w:tc>
          <w:tcPr>
            <w:tcW w:w="5400" w:type="dxa"/>
            <w:vAlign w:val="bottom"/>
          </w:tcPr>
          <w:p>
            <w:pPr>
              <w:spacing w:after="0"/>
              <w:rPr>
                <w:sz w:val="20"/>
                <w:szCs w:val="20"/>
                <w:color w:val="auto"/>
              </w:rPr>
            </w:pPr>
            <w:r>
              <w:rPr>
                <w:rFonts w:ascii="Arial" w:cs="Arial" w:eastAsia="Arial" w:hAnsi="Arial"/>
                <w:sz w:val="18"/>
                <w:szCs w:val="18"/>
                <w:color w:val="auto"/>
              </w:rPr>
              <w:t>Spectrum Asset Management, Inc.</w:t>
            </w:r>
          </w:p>
        </w:tc>
        <w:tc>
          <w:tcPr>
            <w:tcW w:w="6020" w:type="dxa"/>
            <w:vAlign w:val="bottom"/>
          </w:tcPr>
          <w:p>
            <w:pPr>
              <w:ind w:left="2260"/>
              <w:spacing w:after="0"/>
              <w:rPr>
                <w:sz w:val="20"/>
                <w:szCs w:val="20"/>
                <w:color w:val="auto"/>
              </w:rPr>
            </w:pPr>
            <w:r>
              <w:rPr>
                <w:rFonts w:ascii="Arial" w:cs="Arial" w:eastAsia="Arial" w:hAnsi="Arial"/>
                <w:sz w:val="18"/>
                <w:szCs w:val="18"/>
                <w:color w:val="auto"/>
              </w:rPr>
              <w:t>Connecticut</w:t>
            </w:r>
          </w:p>
        </w:tc>
        <w:tc>
          <w:tcPr>
            <w:tcW w:w="40" w:type="dxa"/>
            <w:vAlign w:val="bottom"/>
          </w:tcPr>
          <w:p>
            <w:pPr>
              <w:spacing w:after="0"/>
              <w:rPr>
                <w:sz w:val="18"/>
                <w:szCs w:val="18"/>
                <w:color w:val="auto"/>
              </w:rPr>
            </w:pPr>
          </w:p>
        </w:tc>
      </w:tr>
      <w:tr>
        <w:trPr>
          <w:trHeight w:val="216"/>
        </w:trPr>
        <w:tc>
          <w:tcPr>
            <w:tcW w:w="5400" w:type="dxa"/>
            <w:vAlign w:val="bottom"/>
            <w:shd w:val="clear" w:color="auto" w:fill="CCEEFF"/>
          </w:tcPr>
          <w:p>
            <w:pPr>
              <w:spacing w:after="0"/>
              <w:rPr>
                <w:sz w:val="20"/>
                <w:szCs w:val="20"/>
                <w:color w:val="auto"/>
              </w:rPr>
            </w:pPr>
            <w:r>
              <w:rPr>
                <w:rFonts w:ascii="Arial" w:cs="Arial" w:eastAsia="Arial" w:hAnsi="Arial"/>
                <w:sz w:val="18"/>
                <w:szCs w:val="18"/>
                <w:color w:val="auto"/>
              </w:rPr>
              <w:t>Union Bond &amp; Trust Company</w:t>
            </w:r>
          </w:p>
        </w:tc>
        <w:tc>
          <w:tcPr>
            <w:tcW w:w="6020" w:type="dxa"/>
            <w:vAlign w:val="bottom"/>
            <w:shd w:val="clear" w:color="auto" w:fill="CCEEFF"/>
          </w:tcPr>
          <w:p>
            <w:pPr>
              <w:ind w:left="2260"/>
              <w:spacing w:after="0"/>
              <w:rPr>
                <w:sz w:val="20"/>
                <w:szCs w:val="20"/>
                <w:color w:val="auto"/>
              </w:rPr>
            </w:pPr>
            <w:r>
              <w:rPr>
                <w:rFonts w:ascii="Arial" w:cs="Arial" w:eastAsia="Arial" w:hAnsi="Arial"/>
                <w:sz w:val="18"/>
                <w:szCs w:val="18"/>
                <w:color w:val="auto"/>
              </w:rPr>
              <w:t>Oregon</w:t>
            </w:r>
          </w:p>
        </w:tc>
        <w:tc>
          <w:tcPr>
            <w:tcW w:w="40" w:type="dxa"/>
            <w:vAlign w:val="bottom"/>
          </w:tcPr>
          <w:p>
            <w:pPr>
              <w:spacing w:after="0"/>
              <w:rPr>
                <w:sz w:val="18"/>
                <w:szCs w:val="18"/>
                <w:color w:val="auto"/>
              </w:rPr>
            </w:pPr>
          </w:p>
        </w:tc>
      </w:tr>
      <w:tr>
        <w:trPr>
          <w:trHeight w:val="348"/>
        </w:trPr>
        <w:tc>
          <w:tcPr>
            <w:tcW w:w="5400" w:type="dxa"/>
            <w:vAlign w:val="bottom"/>
            <w:tcBorders>
              <w:bottom w:val="single" w:sz="8" w:color="010101"/>
            </w:tcBorders>
          </w:tcPr>
          <w:p>
            <w:pPr>
              <w:spacing w:after="0"/>
              <w:rPr>
                <w:sz w:val="24"/>
                <w:szCs w:val="24"/>
                <w:color w:val="auto"/>
              </w:rPr>
            </w:pPr>
          </w:p>
        </w:tc>
        <w:tc>
          <w:tcPr>
            <w:tcW w:w="602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40" w:right="199" w:bottom="1440" w:gutter="0" w:footer="0" w:header="0"/>
        </w:sectPr>
      </w:pPr>
    </w:p>
    <w:bookmarkStart w:id="231" w:name="page232"/>
    <w:bookmarkEnd w:id="231"/>
    <w:p>
      <w:pPr>
        <w:jc w:val="right"/>
        <w:spacing w:after="0"/>
        <w:rPr>
          <w:sz w:val="20"/>
          <w:szCs w:val="20"/>
          <w:color w:val="auto"/>
        </w:rPr>
      </w:pPr>
      <w:r>
        <w:rPr>
          <w:rFonts w:ascii="Arial" w:cs="Arial" w:eastAsia="Arial" w:hAnsi="Arial"/>
          <w:sz w:val="18"/>
          <w:szCs w:val="18"/>
          <w:b w:val="1"/>
          <w:bCs w:val="1"/>
          <w:color w:val="auto"/>
        </w:rPr>
        <w:t>Exhibit 23</w:t>
      </w:r>
    </w:p>
    <w:p>
      <w:pPr>
        <w:spacing w:after="0" w:line="225" w:lineRule="exact"/>
        <w:rPr>
          <w:sz w:val="20"/>
          <w:szCs w:val="20"/>
          <w:color w:val="auto"/>
        </w:rPr>
      </w:pPr>
    </w:p>
    <w:p>
      <w:pPr>
        <w:ind w:left="2560"/>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We consent to the incorporation by reference in the following registration statements:</w:t>
      </w:r>
    </w:p>
    <w:p>
      <w:pPr>
        <w:spacing w:after="0" w:line="225" w:lineRule="exact"/>
        <w:rPr>
          <w:sz w:val="20"/>
          <w:szCs w:val="20"/>
          <w:color w:val="auto"/>
        </w:rPr>
      </w:pPr>
    </w:p>
    <w:p>
      <w:pPr>
        <w:ind w:left="660" w:right="80" w:hanging="328"/>
        <w:spacing w:after="0" w:line="258" w:lineRule="auto"/>
        <w:tabs>
          <w:tab w:leader="none" w:pos="661" w:val="left"/>
        </w:tabs>
        <w:numPr>
          <w:ilvl w:val="0"/>
          <w:numId w:val="99"/>
        </w:numPr>
        <w:rPr>
          <w:rFonts w:ascii="Arial" w:cs="Arial" w:eastAsia="Arial" w:hAnsi="Arial"/>
          <w:sz w:val="18"/>
          <w:szCs w:val="18"/>
          <w:color w:val="auto"/>
        </w:rPr>
      </w:pPr>
      <w:r>
        <w:rPr>
          <w:rFonts w:ascii="Arial" w:cs="Arial" w:eastAsia="Arial" w:hAnsi="Arial"/>
          <w:sz w:val="18"/>
          <w:szCs w:val="18"/>
          <w:color w:val="auto"/>
        </w:rPr>
        <w:t>Universal shelf Registration Statement (Form S-3, File No. 333-174438) and related Prospectus of Principal Financial Group, Inc., Principal Capital I, Principal Capital II and Principal Capital III for the registration of an unspecified amount of various securities,</w:t>
      </w:r>
    </w:p>
    <w:p>
      <w:pPr>
        <w:spacing w:after="0" w:line="1" w:lineRule="exact"/>
        <w:rPr>
          <w:rFonts w:ascii="Arial" w:cs="Arial" w:eastAsia="Arial" w:hAnsi="Arial"/>
          <w:sz w:val="18"/>
          <w:szCs w:val="18"/>
          <w:color w:val="auto"/>
        </w:rPr>
      </w:pPr>
    </w:p>
    <w:p>
      <w:pPr>
        <w:ind w:left="660" w:right="500" w:hanging="328"/>
        <w:spacing w:after="0" w:line="250" w:lineRule="auto"/>
        <w:tabs>
          <w:tab w:leader="none" w:pos="661" w:val="left"/>
        </w:tabs>
        <w:numPr>
          <w:ilvl w:val="0"/>
          <w:numId w:val="99"/>
        </w:numPr>
        <w:rPr>
          <w:rFonts w:ascii="Arial" w:cs="Arial" w:eastAsia="Arial" w:hAnsi="Arial"/>
          <w:sz w:val="18"/>
          <w:szCs w:val="18"/>
          <w:color w:val="auto"/>
        </w:rPr>
      </w:pPr>
      <w:r>
        <w:rPr>
          <w:rFonts w:ascii="Arial" w:cs="Arial" w:eastAsia="Arial" w:hAnsi="Arial"/>
          <w:sz w:val="18"/>
          <w:szCs w:val="18"/>
          <w:color w:val="auto"/>
        </w:rPr>
        <w:t>Registration Statement (Form S-8, File No. 333-143070) pertaining to Principal Financial Group, Inc. 2005 Stock Incentive Plan and Principal Financial Group, Inc. 2005 Directors Stock Plan,</w:t>
      </w:r>
    </w:p>
    <w:p>
      <w:pPr>
        <w:ind w:left="660" w:right="440" w:hanging="328"/>
        <w:spacing w:after="0" w:line="250" w:lineRule="auto"/>
        <w:tabs>
          <w:tab w:leader="none" w:pos="661" w:val="left"/>
        </w:tabs>
        <w:numPr>
          <w:ilvl w:val="0"/>
          <w:numId w:val="99"/>
        </w:numPr>
        <w:rPr>
          <w:rFonts w:ascii="Arial" w:cs="Arial" w:eastAsia="Arial" w:hAnsi="Arial"/>
          <w:sz w:val="18"/>
          <w:szCs w:val="18"/>
          <w:color w:val="auto"/>
        </w:rPr>
      </w:pPr>
      <w:r>
        <w:rPr>
          <w:rFonts w:ascii="Arial" w:cs="Arial" w:eastAsia="Arial" w:hAnsi="Arial"/>
          <w:sz w:val="18"/>
          <w:szCs w:val="18"/>
          <w:color w:val="auto"/>
        </w:rPr>
        <w:t>Registration Statement (Form S-8, File No. 333-178510) pertaining to The Principal Select Savings Plan for Individual Field and The Principal Select Savings Plan for Employees, and</w:t>
      </w:r>
    </w:p>
    <w:p>
      <w:pPr>
        <w:ind w:left="660" w:hanging="328"/>
        <w:spacing w:after="0"/>
        <w:tabs>
          <w:tab w:leader="none" w:pos="660" w:val="left"/>
        </w:tabs>
        <w:numPr>
          <w:ilvl w:val="0"/>
          <w:numId w:val="99"/>
        </w:numPr>
        <w:rPr>
          <w:rFonts w:ascii="Arial" w:cs="Arial" w:eastAsia="Arial" w:hAnsi="Arial"/>
          <w:sz w:val="18"/>
          <w:szCs w:val="18"/>
          <w:color w:val="auto"/>
        </w:rPr>
      </w:pPr>
      <w:r>
        <w:rPr>
          <w:rFonts w:ascii="Arial" w:cs="Arial" w:eastAsia="Arial" w:hAnsi="Arial"/>
          <w:sz w:val="18"/>
          <w:szCs w:val="18"/>
          <w:color w:val="auto"/>
        </w:rPr>
        <w:t>Registration Statement (Form S-8, File No. 333-160232) pertaining to Principal Financial Group, Inc. Employee Stock Purchase Plan,</w:t>
      </w:r>
    </w:p>
    <w:p>
      <w:pPr>
        <w:spacing w:after="0" w:line="211"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of our reports dated February 12, 2014, with respect to the consolidated financial statements and schedules of Principal Financial Group, Inc., and the effectiveness of internal control over financial reporting of Principal Financial Group, Inc., included in this Annual Report (Form 10-K) of Principal Financial Group, Inc. for the year ended December 31, 2013.</w:t>
      </w:r>
    </w:p>
    <w:p>
      <w:pPr>
        <w:spacing w:after="0" w:line="181" w:lineRule="exact"/>
        <w:rPr>
          <w:sz w:val="20"/>
          <w:szCs w:val="20"/>
          <w:color w:val="auto"/>
        </w:rPr>
      </w:pPr>
    </w:p>
    <w:p>
      <w:pPr>
        <w:ind w:left="8460"/>
        <w:spacing w:after="0"/>
        <w:rPr>
          <w:sz w:val="20"/>
          <w:szCs w:val="20"/>
          <w:color w:val="auto"/>
        </w:rPr>
      </w:pPr>
      <w:r>
        <w:rPr>
          <w:rFonts w:ascii="Arial" w:cs="Arial" w:eastAsia="Arial" w:hAnsi="Arial"/>
          <w:sz w:val="18"/>
          <w:szCs w:val="18"/>
          <w:color w:val="auto"/>
        </w:rPr>
        <w:t>/s/ Ernst &amp; Young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Des Moines, Iowa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February 12,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64" w:right="239" w:bottom="1440" w:gutter="0" w:footer="0" w:header="0"/>
        </w:sectPr>
      </w:pPr>
    </w:p>
    <w:bookmarkStart w:id="232" w:name="page233"/>
    <w:bookmarkEnd w:id="232"/>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Larry D. Zimpleman, certify that:</w:t>
      </w:r>
    </w:p>
    <w:p>
      <w:pPr>
        <w:spacing w:after="0" w:line="225" w:lineRule="exact"/>
        <w:rPr>
          <w:sz w:val="20"/>
          <w:szCs w:val="20"/>
          <w:color w:val="auto"/>
        </w:rPr>
      </w:pPr>
    </w:p>
    <w:p>
      <w:pPr>
        <w:ind w:left="660" w:hanging="652"/>
        <w:spacing w:after="0"/>
        <w:tabs>
          <w:tab w:leader="none" w:pos="66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Principal Financial Group, Inc.;</w:t>
      </w:r>
    </w:p>
    <w:p>
      <w:pPr>
        <w:spacing w:after="0" w:line="225" w:lineRule="exact"/>
        <w:rPr>
          <w:rFonts w:ascii="Arial" w:cs="Arial" w:eastAsia="Arial" w:hAnsi="Arial"/>
          <w:sz w:val="18"/>
          <w:szCs w:val="18"/>
          <w:color w:val="auto"/>
        </w:rPr>
      </w:pPr>
    </w:p>
    <w:p>
      <w:pPr>
        <w:jc w:val="both"/>
        <w:ind w:left="660" w:right="300" w:hanging="652"/>
        <w:spacing w:after="0" w:line="264" w:lineRule="auto"/>
        <w:tabs>
          <w:tab w:leader="none" w:pos="66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660" w:right="260" w:hanging="652"/>
        <w:spacing w:after="0" w:line="308" w:lineRule="auto"/>
        <w:tabs>
          <w:tab w:leader="none" w:pos="660" w:val="left"/>
        </w:tabs>
        <w:numPr>
          <w:ilvl w:val="0"/>
          <w:numId w:val="100"/>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jc w:val="both"/>
        <w:ind w:left="660" w:right="280" w:hanging="652"/>
        <w:spacing w:after="0" w:line="264" w:lineRule="auto"/>
        <w:tabs>
          <w:tab w:leader="none" w:pos="66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ind w:left="1300" w:right="100" w:hanging="644"/>
        <w:spacing w:after="0" w:line="264" w:lineRule="auto"/>
        <w:tabs>
          <w:tab w:leader="none" w:pos="1291" w:val="left"/>
        </w:tabs>
        <w:numPr>
          <w:ilvl w:val="1"/>
          <w:numId w:val="10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1300" w:right="220" w:hanging="644"/>
        <w:spacing w:after="0" w:line="264" w:lineRule="auto"/>
        <w:tabs>
          <w:tab w:leader="none" w:pos="1301" w:val="left"/>
        </w:tabs>
        <w:numPr>
          <w:ilvl w:val="1"/>
          <w:numId w:val="100"/>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jc w:val="both"/>
        <w:ind w:left="1300" w:right="380" w:hanging="644"/>
        <w:spacing w:after="0" w:line="342" w:lineRule="auto"/>
        <w:tabs>
          <w:tab w:leader="none" w:pos="1305" w:val="left"/>
        </w:tabs>
        <w:numPr>
          <w:ilvl w:val="1"/>
          <w:numId w:val="100"/>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1300" w:right="80" w:hanging="644"/>
        <w:spacing w:after="0" w:line="264" w:lineRule="auto"/>
        <w:tabs>
          <w:tab w:leader="none" w:pos="1301" w:val="left"/>
        </w:tabs>
        <w:numPr>
          <w:ilvl w:val="1"/>
          <w:numId w:val="100"/>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660" w:right="260" w:hanging="652"/>
        <w:spacing w:after="0" w:line="342" w:lineRule="auto"/>
        <w:tabs>
          <w:tab w:leader="none" w:pos="660" w:val="left"/>
        </w:tabs>
        <w:numPr>
          <w:ilvl w:val="0"/>
          <w:numId w:val="100"/>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300" w:right="640" w:hanging="644"/>
        <w:spacing w:after="0" w:line="342" w:lineRule="auto"/>
        <w:tabs>
          <w:tab w:leader="none" w:pos="1291" w:val="left"/>
        </w:tabs>
        <w:numPr>
          <w:ilvl w:val="1"/>
          <w:numId w:val="100"/>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left="1300" w:right="320" w:hanging="644"/>
        <w:spacing w:after="0" w:line="277" w:lineRule="auto"/>
        <w:tabs>
          <w:tab w:leader="none" w:pos="1301" w:val="left"/>
        </w:tabs>
        <w:numPr>
          <w:ilvl w:val="1"/>
          <w:numId w:val="10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February 12, 2014</w:t>
      </w:r>
    </w:p>
    <w:p>
      <w:pPr>
        <w:spacing w:after="0" w:line="22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Larry D. Zimpleman</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Larry D. Zimpleman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3">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Chairman, President and 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64" w:right="239" w:bottom="1440" w:gutter="0" w:footer="0" w:header="0"/>
        </w:sectPr>
      </w:pPr>
    </w:p>
    <w:bookmarkStart w:id="233" w:name="page234"/>
    <w:bookmarkEnd w:id="233"/>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Terrance J. Lillis, certify that:</w:t>
      </w:r>
    </w:p>
    <w:p>
      <w:pPr>
        <w:spacing w:after="0" w:line="225" w:lineRule="exact"/>
        <w:rPr>
          <w:sz w:val="20"/>
          <w:szCs w:val="20"/>
          <w:color w:val="auto"/>
        </w:rPr>
      </w:pPr>
    </w:p>
    <w:p>
      <w:pPr>
        <w:ind w:left="660" w:hanging="652"/>
        <w:spacing w:after="0"/>
        <w:tabs>
          <w:tab w:leader="none" w:pos="66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Principal Financial Group, Inc.;</w:t>
      </w:r>
    </w:p>
    <w:p>
      <w:pPr>
        <w:spacing w:after="0" w:line="225" w:lineRule="exact"/>
        <w:rPr>
          <w:rFonts w:ascii="Arial" w:cs="Arial" w:eastAsia="Arial" w:hAnsi="Arial"/>
          <w:sz w:val="18"/>
          <w:szCs w:val="18"/>
          <w:color w:val="auto"/>
        </w:rPr>
      </w:pPr>
    </w:p>
    <w:p>
      <w:pPr>
        <w:jc w:val="both"/>
        <w:ind w:left="660" w:right="300" w:hanging="652"/>
        <w:spacing w:after="0" w:line="264" w:lineRule="auto"/>
        <w:tabs>
          <w:tab w:leader="none" w:pos="66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660" w:right="260" w:hanging="652"/>
        <w:spacing w:after="0" w:line="308" w:lineRule="auto"/>
        <w:tabs>
          <w:tab w:leader="none" w:pos="660" w:val="left"/>
        </w:tabs>
        <w:numPr>
          <w:ilvl w:val="0"/>
          <w:numId w:val="101"/>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jc w:val="both"/>
        <w:ind w:left="660" w:right="280" w:hanging="652"/>
        <w:spacing w:after="0" w:line="264" w:lineRule="auto"/>
        <w:tabs>
          <w:tab w:leader="none" w:pos="66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ind w:left="1300" w:right="100" w:hanging="644"/>
        <w:spacing w:after="0" w:line="264" w:lineRule="auto"/>
        <w:tabs>
          <w:tab w:leader="none" w:pos="1291" w:val="left"/>
        </w:tabs>
        <w:numPr>
          <w:ilvl w:val="1"/>
          <w:numId w:val="10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1300" w:right="220" w:hanging="644"/>
        <w:spacing w:after="0" w:line="264" w:lineRule="auto"/>
        <w:tabs>
          <w:tab w:leader="none" w:pos="1301" w:val="left"/>
        </w:tabs>
        <w:numPr>
          <w:ilvl w:val="1"/>
          <w:numId w:val="10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jc w:val="both"/>
        <w:ind w:left="1300" w:right="380" w:hanging="644"/>
        <w:spacing w:after="0" w:line="342" w:lineRule="auto"/>
        <w:tabs>
          <w:tab w:leader="none" w:pos="1305" w:val="left"/>
        </w:tabs>
        <w:numPr>
          <w:ilvl w:val="1"/>
          <w:numId w:val="10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1300" w:right="80" w:hanging="644"/>
        <w:spacing w:after="0" w:line="264" w:lineRule="auto"/>
        <w:tabs>
          <w:tab w:leader="none" w:pos="1301" w:val="left"/>
        </w:tabs>
        <w:numPr>
          <w:ilvl w:val="1"/>
          <w:numId w:val="10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660" w:right="260" w:hanging="652"/>
        <w:spacing w:after="0" w:line="342" w:lineRule="auto"/>
        <w:tabs>
          <w:tab w:leader="none" w:pos="660" w:val="left"/>
        </w:tabs>
        <w:numPr>
          <w:ilvl w:val="0"/>
          <w:numId w:val="101"/>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300" w:right="640" w:hanging="644"/>
        <w:spacing w:after="0" w:line="342" w:lineRule="auto"/>
        <w:tabs>
          <w:tab w:leader="none" w:pos="1291" w:val="left"/>
        </w:tabs>
        <w:numPr>
          <w:ilvl w:val="1"/>
          <w:numId w:val="101"/>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left="1300" w:right="320" w:hanging="644"/>
        <w:spacing w:after="0" w:line="277" w:lineRule="auto"/>
        <w:tabs>
          <w:tab w:leader="none" w:pos="1301" w:val="left"/>
        </w:tabs>
        <w:numPr>
          <w:ilvl w:val="1"/>
          <w:numId w:val="10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February 12, 2014</w:t>
      </w:r>
    </w:p>
    <w:p>
      <w:pPr>
        <w:spacing w:after="0" w:line="22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Terrance J. Lillis</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Terrance J. Lillis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5">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Senior Vice President and 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65" w:right="239" w:bottom="1440" w:gutter="0" w:footer="0" w:header="0"/>
        </w:sectPr>
      </w:pPr>
    </w:p>
    <w:bookmarkStart w:id="234" w:name="page235"/>
    <w:bookmarkEnd w:id="234"/>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1350 of Chapter 63</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Title 18 of the United States Code</w:t>
      </w:r>
    </w:p>
    <w:p>
      <w:pPr>
        <w:spacing w:after="0" w:line="211"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color w:val="auto"/>
        </w:rPr>
        <w:t>I, Larry D. Zimpleman, Chairman, President and Chief Executive Officer of Principal Financial Group, Inc., certify that (i) the Form 10-K for the year ended December 31, 2013, fully complies with the requirements of Section 13(a) of the Securities Exchange Act of 1934 and (ii) the information contained in the Form 10-K for the year ended December 31, 2013, fairly presents, in all material respects, the financial condition and results of operations of Principal Financial Group, Inc.</w:t>
      </w:r>
    </w:p>
    <w:p>
      <w:pPr>
        <w:spacing w:after="0" w:line="187"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Larry D. Zimpleman</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Larry D. Zimpleman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7">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Chairman, President and Chief Executive Officer</w:t>
      </w:r>
    </w:p>
    <w:p>
      <w:pPr>
        <w:spacing w:after="0" w:line="9"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Date: February 12,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64" w:right="239" w:bottom="1440" w:gutter="0" w:footer="0" w:header="0"/>
        </w:sectPr>
      </w:pPr>
    </w:p>
    <w:bookmarkStart w:id="235" w:name="page236"/>
    <w:bookmarkEnd w:id="235"/>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1350 of Chapter 63</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Title 18 of the United States Code</w:t>
      </w:r>
    </w:p>
    <w:p>
      <w:pPr>
        <w:spacing w:after="0" w:line="211"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I, Terrance J. Lillis, Senior Vice President and Chief Financial Officer of Principal Financial Group, Inc., certify that (i) the Form 10-K for the year ended December 31, 2013, fully complies with the requirements of Section 13(a) of the Securities Exchange Act of 1934 and (ii) the information contained in the Form 10-K for the year ended December 31, 2013, fairly presents, in all material respects, the financial condition and results of operations of Principal Financial Group, Inc.</w:t>
      </w:r>
    </w:p>
    <w:p>
      <w:pPr>
        <w:spacing w:after="0" w:line="187"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Terrance J. Lillis</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Terrance J. Lillis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9">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Senior Vice President and Chief Financial Officer</w:t>
      </w:r>
    </w:p>
    <w:p>
      <w:pPr>
        <w:spacing w:after="0" w:line="9"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Date: February 12,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20"/>
      </w:cols>
      <w:pgMar w:left="240" w:top="36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BA026FA"/>
    <w:multiLevelType w:val="hybridMultilevel"/>
    <w:lvl w:ilvl="0">
      <w:lvlJc w:val="left"/>
      <w:lvlText w:val="☒"/>
      <w:numFmt w:val="bullet"/>
      <w:start w:val="1"/>
    </w:lvl>
  </w:abstractNum>
  <w:abstractNum w:abstractNumId="1">
    <w:nsid w:val="79A1DEAA"/>
    <w:multiLevelType w:val="hybridMultilevel"/>
    <w:lvl w:ilvl="0">
      <w:lvlJc w:val="left"/>
      <w:lvlText w:val="o"/>
      <w:numFmt w:val="bullet"/>
      <w:start w:val="1"/>
    </w:lvl>
  </w:abstractNum>
  <w:abstractNum w:abstractNumId="2">
    <w:nsid w:val="75C6C33A"/>
    <w:multiLevelType w:val="hybridMultilevel"/>
    <w:lvl w:ilvl="0">
      <w:lvlJc w:val="left"/>
      <w:lvlText w:val="•"/>
      <w:numFmt w:val="bullet"/>
      <w:start w:val="1"/>
    </w:lvl>
  </w:abstractNum>
  <w:abstractNum w:abstractNumId="3">
    <w:nsid w:val="12E685FB"/>
    <w:multiLevelType w:val="hybridMultilevel"/>
    <w:lvl w:ilvl="0">
      <w:lvlJc w:val="left"/>
      <w:lvlText w:val="•"/>
      <w:numFmt w:val="bullet"/>
      <w:start w:val="1"/>
    </w:lvl>
  </w:abstractNum>
  <w:abstractNum w:abstractNumId="4">
    <w:nsid w:val="70C6A529"/>
    <w:multiLevelType w:val="hybridMultilevel"/>
    <w:lvl w:ilvl="0">
      <w:lvlJc w:val="left"/>
      <w:lvlText w:val="•"/>
      <w:numFmt w:val="bullet"/>
      <w:start w:val="1"/>
    </w:lvl>
  </w:abstractNum>
  <w:abstractNum w:abstractNumId="5">
    <w:nsid w:val="520EEDD1"/>
    <w:multiLevelType w:val="hybridMultilevel"/>
    <w:lvl w:ilvl="0">
      <w:lvlJc w:val="left"/>
      <w:lvlText w:val="•"/>
      <w:numFmt w:val="bullet"/>
      <w:start w:val="1"/>
    </w:lvl>
  </w:abstractNum>
  <w:abstractNum w:abstractNumId="6">
    <w:nsid w:val="374A3FE6"/>
    <w:multiLevelType w:val="hybridMultilevel"/>
    <w:lvl w:ilvl="0">
      <w:lvlJc w:val="left"/>
      <w:lvlText w:val="•"/>
      <w:numFmt w:val="bullet"/>
      <w:start w:val="1"/>
    </w:lvl>
  </w:abstractNum>
  <w:abstractNum w:abstractNumId="7">
    <w:nsid w:val="4F4EF005"/>
    <w:multiLevelType w:val="hybridMultilevel"/>
    <w:lvl w:ilvl="0">
      <w:lvlJc w:val="left"/>
      <w:lvlText w:val="•"/>
      <w:numFmt w:val="bullet"/>
      <w:start w:val="1"/>
    </w:lvl>
  </w:abstractNum>
  <w:abstractNum w:abstractNumId="8">
    <w:nsid w:val="23F9C13C"/>
    <w:multiLevelType w:val="hybridMultilevel"/>
    <w:lvl w:ilvl="0">
      <w:lvlJc w:val="left"/>
      <w:lvlText w:val="•"/>
      <w:numFmt w:val="bullet"/>
      <w:start w:val="1"/>
    </w:lvl>
  </w:abstractNum>
  <w:abstractNum w:abstractNumId="9">
    <w:nsid w:val="649BB77C"/>
    <w:multiLevelType w:val="hybridMultilevel"/>
    <w:lvl w:ilvl="0">
      <w:lvlJc w:val="left"/>
      <w:lvlText w:val="•"/>
      <w:numFmt w:val="bullet"/>
      <w:start w:val="1"/>
    </w:lvl>
  </w:abstractNum>
  <w:abstractNum w:abstractNumId="10">
    <w:nsid w:val="275AC794"/>
    <w:multiLevelType w:val="hybridMultilevel"/>
    <w:lvl w:ilvl="0">
      <w:lvlJc w:val="left"/>
      <w:lvlText w:val="•"/>
      <w:numFmt w:val="bullet"/>
      <w:start w:val="1"/>
    </w:lvl>
  </w:abstractNum>
  <w:abstractNum w:abstractNumId="11">
    <w:nsid w:val="39386575"/>
    <w:multiLevelType w:val="hybridMultilevel"/>
    <w:lvl w:ilvl="0">
      <w:lvlJc w:val="left"/>
      <w:lvlText w:val="•"/>
      <w:numFmt w:val="bullet"/>
      <w:start w:val="1"/>
    </w:lvl>
  </w:abstractNum>
  <w:abstractNum w:abstractNumId="12">
    <w:nsid w:val="1CF10FD8"/>
    <w:multiLevelType w:val="hybridMultilevel"/>
    <w:lvl w:ilvl="0">
      <w:lvlJc w:val="left"/>
      <w:lvlText w:val="•"/>
      <w:numFmt w:val="bullet"/>
      <w:start w:val="1"/>
    </w:lvl>
  </w:abstractNum>
  <w:abstractNum w:abstractNumId="13">
    <w:nsid w:val="180115BE"/>
    <w:multiLevelType w:val="hybridMultilevel"/>
    <w:lvl w:ilvl="0">
      <w:lvlJc w:val="left"/>
      <w:lvlText w:val="•"/>
      <w:numFmt w:val="bullet"/>
      <w:start w:val="1"/>
    </w:lvl>
    <w:lvl w:ilvl="1">
      <w:lvlJc w:val="left"/>
      <w:lvlText w:val="•"/>
      <w:numFmt w:val="bullet"/>
      <w:start w:val="1"/>
    </w:lvl>
  </w:abstractNum>
  <w:abstractNum w:abstractNumId="14">
    <w:nsid w:val="235BA861"/>
    <w:multiLevelType w:val="hybridMultilevel"/>
    <w:lvl w:ilvl="0">
      <w:lvlJc w:val="left"/>
      <w:lvlText w:val="•"/>
      <w:numFmt w:val="bullet"/>
      <w:start w:val="1"/>
    </w:lvl>
  </w:abstractNum>
  <w:abstractNum w:abstractNumId="15">
    <w:nsid w:val="47398C89"/>
    <w:multiLevelType w:val="hybridMultilevel"/>
    <w:lvl w:ilvl="0">
      <w:lvlJc w:val="left"/>
      <w:lvlText w:val="(%1)"/>
      <w:numFmt w:val="decimal"/>
      <w:start w:val="1"/>
    </w:lvl>
  </w:abstractNum>
  <w:abstractNum w:abstractNumId="16">
    <w:nsid w:val="354FE9F9"/>
    <w:multiLevelType w:val="hybridMultilevel"/>
    <w:lvl w:ilvl="0">
      <w:lvlJc w:val="left"/>
      <w:lvlText w:val="(%1)"/>
      <w:numFmt w:val="decimal"/>
      <w:start w:val="1"/>
    </w:lvl>
  </w:abstractNum>
  <w:abstractNum w:abstractNumId="17">
    <w:nsid w:val="15B5AF5C"/>
    <w:multiLevelType w:val="hybridMultilevel"/>
    <w:lvl w:ilvl="0">
      <w:lvlJc w:val="left"/>
      <w:lvlText w:val="•"/>
      <w:numFmt w:val="bullet"/>
      <w:start w:val="1"/>
    </w:lvl>
    <w:lvl w:ilvl="1">
      <w:lvlJc w:val="left"/>
      <w:lvlText w:val="•"/>
      <w:numFmt w:val="bullet"/>
      <w:start w:val="1"/>
    </w:lvl>
  </w:abstractNum>
  <w:abstractNum w:abstractNumId="18">
    <w:nsid w:val="741226BB"/>
    <w:multiLevelType w:val="hybridMultilevel"/>
    <w:lvl w:ilvl="0">
      <w:lvlJc w:val="left"/>
      <w:lvlText w:val="•"/>
      <w:numFmt w:val="bullet"/>
      <w:start w:val="1"/>
    </w:lvl>
  </w:abstractNum>
  <w:abstractNum w:abstractNumId="19">
    <w:nsid w:val="D34B6A8"/>
    <w:multiLevelType w:val="hybridMultilevel"/>
    <w:lvl w:ilvl="0">
      <w:lvlJc w:val="left"/>
      <w:lvlText w:val="•"/>
      <w:numFmt w:val="bullet"/>
      <w:start w:val="1"/>
    </w:lvl>
  </w:abstractNum>
  <w:abstractNum w:abstractNumId="20">
    <w:nsid w:val="10233C99"/>
    <w:multiLevelType w:val="hybridMultilevel"/>
    <w:lvl w:ilvl="0">
      <w:lvlJc w:val="left"/>
      <w:lvlText w:val="(%1)"/>
      <w:numFmt w:val="decimal"/>
      <w:start w:val="1"/>
    </w:lvl>
  </w:abstractNum>
  <w:abstractNum w:abstractNumId="21">
    <w:nsid w:val="3F6AB60F"/>
    <w:multiLevelType w:val="hybridMultilevel"/>
    <w:lvl w:ilvl="0">
      <w:lvlJc w:val="left"/>
      <w:lvlText w:val="(%1)"/>
      <w:numFmt w:val="decimal"/>
      <w:start w:val="1"/>
    </w:lvl>
  </w:abstractNum>
  <w:abstractNum w:abstractNumId="22">
    <w:nsid w:val="61574095"/>
    <w:multiLevelType w:val="hybridMultilevel"/>
    <w:lvl w:ilvl="0">
      <w:lvlJc w:val="left"/>
      <w:lvlText w:val="(%1)"/>
      <w:numFmt w:val="decimal"/>
      <w:start w:val="1"/>
    </w:lvl>
  </w:abstractNum>
  <w:abstractNum w:abstractNumId="23">
    <w:nsid w:val="7E0C57B1"/>
    <w:multiLevelType w:val="hybridMultilevel"/>
    <w:lvl w:ilvl="0">
      <w:lvlJc w:val="left"/>
      <w:lvlText w:val="(%1)"/>
      <w:numFmt w:val="decimal"/>
      <w:start w:val="1"/>
    </w:lvl>
  </w:abstractNum>
  <w:abstractNum w:abstractNumId="24">
    <w:nsid w:val="77AE35EB"/>
    <w:multiLevelType w:val="hybridMultilevel"/>
    <w:lvl w:ilvl="0">
      <w:lvlJc w:val="left"/>
      <w:lvlText w:val="(%1)"/>
      <w:numFmt w:val="decimal"/>
      <w:start w:val="1"/>
    </w:lvl>
  </w:abstractNum>
  <w:abstractNum w:abstractNumId="25">
    <w:nsid w:val="579BE4F1"/>
    <w:multiLevelType w:val="hybridMultilevel"/>
    <w:lvl w:ilvl="0">
      <w:lvlJc w:val="left"/>
      <w:lvlText w:val="(%1)"/>
      <w:numFmt w:val="decimal"/>
      <w:start w:val="1"/>
    </w:lvl>
  </w:abstractNum>
  <w:abstractNum w:abstractNumId="26">
    <w:nsid w:val="310C50B3"/>
    <w:multiLevelType w:val="hybridMultilevel"/>
    <w:lvl w:ilvl="0">
      <w:lvlJc w:val="left"/>
      <w:lvlText w:val="(%1)"/>
      <w:numFmt w:val="decimal"/>
      <w:start w:val="1"/>
    </w:lvl>
  </w:abstractNum>
  <w:abstractNum w:abstractNumId="27">
    <w:nsid w:val="5FF87E05"/>
    <w:multiLevelType w:val="hybridMultilevel"/>
    <w:lvl w:ilvl="0">
      <w:lvlJc w:val="left"/>
      <w:lvlText w:val="(%1)"/>
      <w:numFmt w:val="decimal"/>
      <w:start w:val="3"/>
    </w:lvl>
  </w:abstractNum>
  <w:abstractNum w:abstractNumId="28">
    <w:nsid w:val="2F305DEF"/>
    <w:multiLevelType w:val="hybridMultilevel"/>
    <w:lvl w:ilvl="0">
      <w:lvlJc w:val="left"/>
      <w:lvlText w:val="(%1)"/>
      <w:numFmt w:val="decimal"/>
      <w:start w:val="1"/>
    </w:lvl>
  </w:abstractNum>
  <w:abstractNum w:abstractNumId="29">
    <w:nsid w:val="25A70BF7"/>
    <w:multiLevelType w:val="hybridMultilevel"/>
    <w:lvl w:ilvl="0">
      <w:lvlJc w:val="left"/>
      <w:lvlText w:val="•"/>
      <w:numFmt w:val="bullet"/>
      <w:start w:val="1"/>
    </w:lvl>
  </w:abstractNum>
  <w:abstractNum w:abstractNumId="30">
    <w:nsid w:val="1DBABF00"/>
    <w:multiLevelType w:val="hybridMultilevel"/>
    <w:lvl w:ilvl="0">
      <w:lvlJc w:val="left"/>
      <w:lvlText w:val="•"/>
      <w:numFmt w:val="bullet"/>
      <w:start w:val="1"/>
    </w:lvl>
  </w:abstractNum>
  <w:abstractNum w:abstractNumId="31">
    <w:nsid w:val="4AD084E9"/>
    <w:multiLevelType w:val="hybridMultilevel"/>
    <w:lvl w:ilvl="0">
      <w:lvlJc w:val="left"/>
      <w:lvlText w:val="(%1)"/>
      <w:numFmt w:val="decimal"/>
      <w:start w:val="1"/>
    </w:lvl>
  </w:abstractNum>
  <w:abstractNum w:abstractNumId="32">
    <w:nsid w:val="1F48EAA1"/>
    <w:multiLevelType w:val="hybridMultilevel"/>
    <w:lvl w:ilvl="0">
      <w:lvlJc w:val="left"/>
      <w:lvlText w:val="(%1)"/>
      <w:numFmt w:val="decimal"/>
      <w:start w:val="1"/>
    </w:lvl>
  </w:abstractNum>
  <w:abstractNum w:abstractNumId="33">
    <w:nsid w:val="1381823A"/>
    <w:multiLevelType w:val="hybridMultilevel"/>
    <w:lvl w:ilvl="0">
      <w:lvlJc w:val="left"/>
      <w:lvlText w:val="(%1)"/>
      <w:numFmt w:val="decimal"/>
      <w:start w:val="1"/>
    </w:lvl>
  </w:abstractNum>
  <w:abstractNum w:abstractNumId="34">
    <w:nsid w:val="5DB70AE5"/>
    <w:multiLevelType w:val="hybridMultilevel"/>
    <w:lvl w:ilvl="0">
      <w:lvlJc w:val="left"/>
      <w:lvlText w:val="(%1)"/>
      <w:numFmt w:val="decimal"/>
      <w:start w:val="1"/>
    </w:lvl>
  </w:abstractNum>
  <w:abstractNum w:abstractNumId="35">
    <w:nsid w:val="100F8FCA"/>
    <w:multiLevelType w:val="hybridMultilevel"/>
    <w:lvl w:ilvl="0">
      <w:lvlJc w:val="left"/>
      <w:lvlText w:val="(%1)"/>
      <w:numFmt w:val="decimal"/>
      <w:start w:val="1"/>
    </w:lvl>
  </w:abstractNum>
  <w:abstractNum w:abstractNumId="36">
    <w:nsid w:val="6590700B"/>
    <w:multiLevelType w:val="hybridMultilevel"/>
    <w:lvl w:ilvl="0">
      <w:lvlJc w:val="left"/>
      <w:lvlText w:val="•"/>
      <w:numFmt w:val="bullet"/>
      <w:start w:val="1"/>
    </w:lvl>
  </w:abstractNum>
  <w:abstractNum w:abstractNumId="37">
    <w:nsid w:val="15014ACB"/>
    <w:multiLevelType w:val="hybridMultilevel"/>
    <w:lvl w:ilvl="0">
      <w:lvlJc w:val="left"/>
      <w:lvlText w:val="(%1)"/>
      <w:numFmt w:val="decimal"/>
      <w:start w:val="1"/>
    </w:lvl>
  </w:abstractNum>
  <w:abstractNum w:abstractNumId="38">
    <w:nsid w:val="5F5E7FD0"/>
    <w:multiLevelType w:val="hybridMultilevel"/>
    <w:lvl w:ilvl="0">
      <w:lvlJc w:val="left"/>
      <w:lvlText w:val="•"/>
      <w:numFmt w:val="bullet"/>
      <w:start w:val="1"/>
    </w:lvl>
  </w:abstractNum>
  <w:abstractNum w:abstractNumId="39">
    <w:nsid w:val="98A3148"/>
    <w:multiLevelType w:val="hybridMultilevel"/>
    <w:lvl w:ilvl="0">
      <w:lvlJc w:val="left"/>
      <w:lvlText w:val="•"/>
      <w:numFmt w:val="bullet"/>
      <w:start w:val="1"/>
    </w:lvl>
  </w:abstractNum>
  <w:abstractNum w:abstractNumId="40">
    <w:nsid w:val="799D0247"/>
    <w:multiLevelType w:val="hybridMultilevel"/>
    <w:lvl w:ilvl="0">
      <w:lvlJc w:val="left"/>
      <w:lvlText w:val="•"/>
      <w:numFmt w:val="bullet"/>
      <w:start w:val="1"/>
    </w:lvl>
  </w:abstractNum>
  <w:abstractNum w:abstractNumId="41">
    <w:nsid w:val="6B94764"/>
    <w:multiLevelType w:val="hybridMultilevel"/>
    <w:lvl w:ilvl="0">
      <w:lvlJc w:val="left"/>
      <w:lvlText w:val="(%1)"/>
      <w:numFmt w:val="decimal"/>
      <w:start w:val="1"/>
    </w:lvl>
  </w:abstractNum>
  <w:abstractNum w:abstractNumId="42">
    <w:nsid w:val="42C296BD"/>
    <w:multiLevelType w:val="hybridMultilevel"/>
    <w:lvl w:ilvl="0">
      <w:lvlJc w:val="left"/>
      <w:lvlText w:val="•"/>
      <w:numFmt w:val="bullet"/>
      <w:start w:val="1"/>
    </w:lvl>
  </w:abstractNum>
  <w:abstractNum w:abstractNumId="43">
    <w:nsid w:val="168E121F"/>
    <w:multiLevelType w:val="hybridMultilevel"/>
    <w:lvl w:ilvl="0">
      <w:lvlJc w:val="left"/>
      <w:lvlText w:val="%1."/>
      <w:numFmt w:val="decimal"/>
      <w:start w:val="1"/>
    </w:lvl>
  </w:abstractNum>
  <w:abstractNum w:abstractNumId="44">
    <w:nsid w:val="1EBA5D23"/>
    <w:multiLevelType w:val="hybridMultilevel"/>
    <w:lvl w:ilvl="0">
      <w:lvlJc w:val="left"/>
      <w:lvlText w:val="(%1)"/>
      <w:numFmt w:val="lowerLetter"/>
      <w:start w:val="1"/>
    </w:lvl>
  </w:abstractNum>
  <w:abstractNum w:abstractNumId="45">
    <w:nsid w:val="661E3F1E"/>
    <w:multiLevelType w:val="hybridMultilevel"/>
    <w:lvl w:ilvl="0">
      <w:lvlJc w:val="left"/>
      <w:lvlText w:val="•"/>
      <w:numFmt w:val="bullet"/>
      <w:start w:val="1"/>
    </w:lvl>
  </w:abstractNum>
  <w:abstractNum w:abstractNumId="46">
    <w:nsid w:val="5DC79EA8"/>
    <w:multiLevelType w:val="hybridMultilevel"/>
    <w:lvl w:ilvl="0">
      <w:lvlJc w:val="left"/>
      <w:lvlText w:val="(%1)"/>
      <w:numFmt w:val="lowerLetter"/>
      <w:start w:val="1"/>
    </w:lvl>
  </w:abstractNum>
  <w:abstractNum w:abstractNumId="47">
    <w:nsid w:val="540A471C"/>
    <w:multiLevelType w:val="hybridMultilevel"/>
    <w:lvl w:ilvl="0">
      <w:lvlJc w:val="left"/>
      <w:lvlText w:val="%1."/>
      <w:numFmt w:val="decimal"/>
      <w:start w:val="3"/>
    </w:lvl>
  </w:abstractNum>
  <w:abstractNum w:abstractNumId="48">
    <w:nsid w:val="7BD3EE7B"/>
    <w:multiLevelType w:val="hybridMultilevel"/>
    <w:lvl w:ilvl="0">
      <w:lvlJc w:val="left"/>
      <w:lvlText w:val="(%1)"/>
      <w:numFmt w:val="decimal"/>
      <w:start w:val="1"/>
    </w:lvl>
  </w:abstractNum>
  <w:abstractNum w:abstractNumId="49">
    <w:nsid w:val="51D9C564"/>
    <w:multiLevelType w:val="hybridMultilevel"/>
    <w:lvl w:ilvl="0">
      <w:lvlJc w:val="left"/>
      <w:lvlText w:val="(%1)"/>
      <w:numFmt w:val="decimal"/>
      <w:start w:val="1"/>
    </w:lvl>
  </w:abstractNum>
  <w:abstractNum w:abstractNumId="50">
    <w:nsid w:val="613EFDC5"/>
    <w:multiLevelType w:val="hybridMultilevel"/>
    <w:lvl w:ilvl="0">
      <w:lvlJc w:val="left"/>
      <w:lvlText w:val="(%1)"/>
      <w:numFmt w:val="decimal"/>
      <w:start w:val="1"/>
    </w:lvl>
  </w:abstractNum>
  <w:abstractNum w:abstractNumId="51">
    <w:nsid w:val="BF72B14"/>
    <w:multiLevelType w:val="hybridMultilevel"/>
    <w:lvl w:ilvl="0">
      <w:lvlJc w:val="left"/>
      <w:lvlText w:val="(%1)"/>
      <w:numFmt w:val="decimal"/>
      <w:start w:val="3"/>
    </w:lvl>
  </w:abstractNum>
  <w:abstractNum w:abstractNumId="52">
    <w:nsid w:val="11447B73"/>
    <w:multiLevelType w:val="hybridMultilevel"/>
    <w:lvl w:ilvl="0">
      <w:lvlJc w:val="left"/>
      <w:lvlText w:val="(%1)"/>
      <w:numFmt w:val="decimal"/>
      <w:start w:val="1"/>
    </w:lvl>
  </w:abstractNum>
  <w:abstractNum w:abstractNumId="53">
    <w:nsid w:val="42963E5A"/>
    <w:multiLevelType w:val="hybridMultilevel"/>
    <w:lvl w:ilvl="0">
      <w:lvlJc w:val="left"/>
      <w:lvlText w:val="(%1)"/>
      <w:numFmt w:val="decimal"/>
      <w:start w:val="1"/>
    </w:lvl>
  </w:abstractNum>
  <w:abstractNum w:abstractNumId="54">
    <w:nsid w:val="A0382C5"/>
    <w:multiLevelType w:val="hybridMultilevel"/>
    <w:lvl w:ilvl="0">
      <w:lvlJc w:val="left"/>
      <w:lvlText w:val="(%1)"/>
      <w:numFmt w:val="decimal"/>
      <w:start w:val="1"/>
    </w:lvl>
  </w:abstractNum>
  <w:abstractNum w:abstractNumId="55">
    <w:nsid w:val="8F2B15E"/>
    <w:multiLevelType w:val="hybridMultilevel"/>
    <w:lvl w:ilvl="0">
      <w:lvlJc w:val="left"/>
      <w:lvlText w:val="(%1)"/>
      <w:numFmt w:val="decimal"/>
      <w:start w:val="1"/>
    </w:lvl>
  </w:abstractNum>
  <w:abstractNum w:abstractNumId="56">
    <w:nsid w:val="1A32234B"/>
    <w:multiLevelType w:val="hybridMultilevel"/>
    <w:lvl w:ilvl="0">
      <w:lvlJc w:val="left"/>
      <w:lvlText w:val="(%1)"/>
      <w:numFmt w:val="decimal"/>
      <w:start w:val="1"/>
    </w:lvl>
  </w:abstractNum>
  <w:abstractNum w:abstractNumId="57">
    <w:nsid w:val="3B0FD379"/>
    <w:multiLevelType w:val="hybridMultilevel"/>
    <w:lvl w:ilvl="0">
      <w:lvlJc w:val="left"/>
      <w:lvlText w:val="(%1)"/>
      <w:numFmt w:val="decimal"/>
      <w:start w:val="1"/>
    </w:lvl>
  </w:abstractNum>
  <w:abstractNum w:abstractNumId="58">
    <w:nsid w:val="68EB2F63"/>
    <w:multiLevelType w:val="hybridMultilevel"/>
    <w:lvl w:ilvl="0">
      <w:lvlJc w:val="left"/>
      <w:lvlText w:val="(%1)"/>
      <w:numFmt w:val="decimal"/>
      <w:start w:val="1"/>
    </w:lvl>
  </w:abstractNum>
  <w:abstractNum w:abstractNumId="59">
    <w:nsid w:val="4962813B"/>
    <w:multiLevelType w:val="hybridMultilevel"/>
    <w:lvl w:ilvl="0">
      <w:lvlJc w:val="left"/>
      <w:lvlText w:val="(%1)"/>
      <w:numFmt w:val="decimal"/>
      <w:start w:val="1"/>
    </w:lvl>
  </w:abstractNum>
  <w:abstractNum w:abstractNumId="60">
    <w:nsid w:val="60B6DF70"/>
    <w:multiLevelType w:val="hybridMultilevel"/>
    <w:lvl w:ilvl="0">
      <w:lvlJc w:val="left"/>
      <w:lvlText w:val="(%1)"/>
      <w:numFmt w:val="decimal"/>
      <w:start w:val="1"/>
    </w:lvl>
  </w:abstractNum>
  <w:abstractNum w:abstractNumId="61">
    <w:nsid w:val="6A5EE64"/>
    <w:multiLevelType w:val="hybridMultilevel"/>
    <w:lvl w:ilvl="0">
      <w:lvlJc w:val="left"/>
      <w:lvlText w:val="(%1)"/>
      <w:numFmt w:val="decimal"/>
      <w:start w:val="1"/>
    </w:lvl>
  </w:abstractNum>
  <w:abstractNum w:abstractNumId="62">
    <w:nsid w:val="14330624"/>
    <w:multiLevelType w:val="hybridMultilevel"/>
    <w:lvl w:ilvl="0">
      <w:lvlJc w:val="left"/>
      <w:lvlText w:val="(%1)"/>
      <w:numFmt w:val="decimal"/>
      <w:start w:val="1"/>
    </w:lvl>
  </w:abstractNum>
  <w:abstractNum w:abstractNumId="63">
    <w:nsid w:val="7FFFCA11"/>
    <w:multiLevelType w:val="hybridMultilevel"/>
    <w:lvl w:ilvl="0">
      <w:lvlJc w:val="left"/>
      <w:lvlText w:val="%1."/>
      <w:numFmt w:val="decimal"/>
      <w:start w:val="12"/>
    </w:lvl>
  </w:abstractNum>
  <w:abstractNum w:abstractNumId="64">
    <w:nsid w:val="1A27709E"/>
    <w:multiLevelType w:val="hybridMultilevel"/>
    <w:lvl w:ilvl="0">
      <w:lvlJc w:val="left"/>
      <w:lvlText w:val="•"/>
      <w:numFmt w:val="bullet"/>
      <w:start w:val="1"/>
    </w:lvl>
  </w:abstractNum>
  <w:abstractNum w:abstractNumId="65">
    <w:nsid w:val="71EA1109"/>
    <w:multiLevelType w:val="hybridMultilevel"/>
    <w:lvl w:ilvl="0">
      <w:lvlJc w:val="left"/>
      <w:lvlText w:val="%1."/>
      <w:numFmt w:val="decimal"/>
      <w:start w:val="12"/>
    </w:lvl>
  </w:abstractNum>
  <w:abstractNum w:abstractNumId="66">
    <w:nsid w:val="100F59DC"/>
    <w:multiLevelType w:val="hybridMultilevel"/>
    <w:lvl w:ilvl="0">
      <w:lvlJc w:val="left"/>
      <w:lvlText w:val="(%1)"/>
      <w:numFmt w:val="decimal"/>
      <w:start w:val="1"/>
    </w:lvl>
  </w:abstractNum>
  <w:abstractNum w:abstractNumId="67">
    <w:nsid w:val="7FB7E0AA"/>
    <w:multiLevelType w:val="hybridMultilevel"/>
    <w:lvl w:ilvl="0">
      <w:lvlJc w:val="left"/>
      <w:lvlText w:val="•"/>
      <w:numFmt w:val="bullet"/>
      <w:start w:val="1"/>
    </w:lvl>
  </w:abstractNum>
  <w:abstractNum w:abstractNumId="68">
    <w:nsid w:val="6EB5BD4"/>
    <w:multiLevelType w:val="hybridMultilevel"/>
    <w:lvl w:ilvl="0">
      <w:lvlJc w:val="left"/>
      <w:lvlText w:val="(%1)"/>
      <w:numFmt w:val="decimal"/>
      <w:start w:val="1"/>
    </w:lvl>
  </w:abstractNum>
  <w:abstractNum w:abstractNumId="69">
    <w:nsid w:val="6F6DD9AC"/>
    <w:multiLevelType w:val="hybridMultilevel"/>
    <w:lvl w:ilvl="0">
      <w:lvlJc w:val="left"/>
      <w:lvlText w:val="%1."/>
      <w:numFmt w:val="decimal"/>
      <w:start w:val="13"/>
    </w:lvl>
  </w:abstractNum>
  <w:abstractNum w:abstractNumId="70">
    <w:nsid w:val="94211F2"/>
    <w:multiLevelType w:val="hybridMultilevel"/>
    <w:lvl w:ilvl="0">
      <w:lvlJc w:val="left"/>
      <w:lvlText w:val="%1."/>
      <w:numFmt w:val="decimal"/>
      <w:start w:val="14"/>
    </w:lvl>
  </w:abstractNum>
  <w:abstractNum w:abstractNumId="71">
    <w:nsid w:val="885E1B"/>
    <w:multiLevelType w:val="hybridMultilevel"/>
    <w:lvl w:ilvl="0">
      <w:lvlJc w:val="left"/>
      <w:lvlText w:val="(%1)"/>
      <w:numFmt w:val="decimal"/>
      <w:start w:val="1"/>
    </w:lvl>
  </w:abstractNum>
  <w:abstractNum w:abstractNumId="72">
    <w:nsid w:val="76272110"/>
    <w:multiLevelType w:val="hybridMultilevel"/>
    <w:lvl w:ilvl="0">
      <w:lvlJc w:val="left"/>
      <w:lvlText w:val="%1."/>
      <w:numFmt w:val="decimal"/>
      <w:start w:val="14"/>
    </w:lvl>
    <w:lvl w:ilvl="1">
      <w:lvlJc w:val="left"/>
      <w:lvlText w:val="(%2)"/>
      <w:numFmt w:val="decimal"/>
      <w:start w:val="4"/>
    </w:lvl>
  </w:abstractNum>
  <w:abstractNum w:abstractNumId="73">
    <w:nsid w:val="4C04A8AF"/>
    <w:multiLevelType w:val="hybridMultilevel"/>
    <w:lvl w:ilvl="0">
      <w:lvlJc w:val="left"/>
      <w:lvlText w:val="(%1)"/>
      <w:numFmt w:val="decimal"/>
      <w:start w:val="1"/>
    </w:lvl>
  </w:abstractNum>
  <w:abstractNum w:abstractNumId="74">
    <w:nsid w:val="1716703B"/>
    <w:multiLevelType w:val="hybridMultilevel"/>
    <w:lvl w:ilvl="0">
      <w:lvlJc w:val="left"/>
      <w:lvlText w:val="%1."/>
      <w:numFmt w:val="decimal"/>
      <w:start w:val="15"/>
    </w:lvl>
    <w:lvl w:ilvl="1">
      <w:lvlJc w:val="left"/>
      <w:lvlText w:val="•"/>
      <w:numFmt w:val="bullet"/>
      <w:start w:val="1"/>
    </w:lvl>
  </w:abstractNum>
  <w:abstractNum w:abstractNumId="75">
    <w:nsid w:val="14E17E33"/>
    <w:multiLevelType w:val="hybridMultilevel"/>
    <w:lvl w:ilvl="0">
      <w:lvlJc w:val="left"/>
      <w:lvlText w:val="(%1)"/>
      <w:numFmt w:val="decimal"/>
      <w:start w:val="1"/>
    </w:lvl>
  </w:abstractNum>
  <w:abstractNum w:abstractNumId="76">
    <w:nsid w:val="3222E7CD"/>
    <w:multiLevelType w:val="hybridMultilevel"/>
    <w:lvl w:ilvl="0">
      <w:lvlJc w:val="left"/>
      <w:lvlText w:val="%1."/>
      <w:numFmt w:val="decimal"/>
      <w:start w:val="15"/>
    </w:lvl>
  </w:abstractNum>
  <w:abstractNum w:abstractNumId="77">
    <w:nsid w:val="74DE0EE3"/>
    <w:multiLevelType w:val="hybridMultilevel"/>
    <w:lvl w:ilvl="0">
      <w:lvlJc w:val="left"/>
      <w:lvlText w:val="(%1)"/>
      <w:numFmt w:val="decimal"/>
      <w:start w:val="1"/>
    </w:lvl>
  </w:abstractNum>
  <w:abstractNum w:abstractNumId="78">
    <w:nsid w:val="68EBC550"/>
    <w:multiLevelType w:val="hybridMultilevel"/>
    <w:lvl w:ilvl="0">
      <w:lvlJc w:val="left"/>
      <w:lvlText w:val="(%1)"/>
      <w:numFmt w:val="decimal"/>
      <w:start w:val="5"/>
    </w:lvl>
  </w:abstractNum>
  <w:abstractNum w:abstractNumId="79">
    <w:nsid w:val="2DF6D648"/>
    <w:multiLevelType w:val="hybridMultilevel"/>
    <w:lvl w:ilvl="0">
      <w:lvlJc w:val="left"/>
      <w:lvlText w:val="(%1)"/>
      <w:numFmt w:val="decimal"/>
      <w:start w:val="1"/>
    </w:lvl>
  </w:abstractNum>
  <w:abstractNum w:abstractNumId="80">
    <w:nsid w:val="46B7D447"/>
    <w:multiLevelType w:val="hybridMultilevel"/>
    <w:lvl w:ilvl="0">
      <w:lvlJc w:val="left"/>
      <w:lvlText w:val="(%1)"/>
      <w:numFmt w:val="decimal"/>
      <w:start w:val="2"/>
    </w:lvl>
  </w:abstractNum>
  <w:abstractNum w:abstractNumId="81">
    <w:nsid w:val="4A2AC315"/>
    <w:multiLevelType w:val="hybridMultilevel"/>
    <w:lvl w:ilvl="0">
      <w:lvlJc w:val="left"/>
      <w:lvlText w:val="%1"/>
      <w:numFmt w:val="decimal"/>
      <w:start w:val="1"/>
    </w:lvl>
    <w:lvl w:ilvl="1">
      <w:lvlJc w:val="left"/>
      <w:lvlText w:val="(%2)"/>
      <w:numFmt w:val="decimal"/>
      <w:start w:val="1"/>
    </w:lvl>
  </w:abstractNum>
  <w:abstractNum w:abstractNumId="82">
    <w:nsid w:val="39EE015C"/>
    <w:multiLevelType w:val="hybridMultilevel"/>
    <w:lvl w:ilvl="0">
      <w:lvlJc w:val="left"/>
      <w:lvlText w:val="%1."/>
      <w:numFmt w:val="decimal"/>
      <w:start w:val="18"/>
    </w:lvl>
    <w:lvl w:ilvl="1">
      <w:lvlJc w:val="left"/>
      <w:lvlText w:val="%2"/>
      <w:numFmt w:val="decimal"/>
      <w:start w:val="1"/>
    </w:lvl>
  </w:abstractNum>
  <w:abstractNum w:abstractNumId="83">
    <w:nsid w:val="57FC4FBB"/>
    <w:multiLevelType w:val="hybridMultilevel"/>
    <w:lvl w:ilvl="0">
      <w:lvlJc w:val="left"/>
      <w:lvlText w:val="(%1)"/>
      <w:numFmt w:val="decimal"/>
      <w:start w:val="1"/>
    </w:lvl>
  </w:abstractNum>
  <w:abstractNum w:abstractNumId="84">
    <w:nsid w:val="CC1016F"/>
    <w:multiLevelType w:val="hybridMultilevel"/>
    <w:lvl w:ilvl="0">
      <w:lvlJc w:val="left"/>
      <w:lvlText w:val="(%1)"/>
      <w:numFmt w:val="decimal"/>
      <w:start w:val="1"/>
    </w:lvl>
  </w:abstractNum>
  <w:abstractNum w:abstractNumId="85">
    <w:nsid w:val="43F18422"/>
    <w:multiLevelType w:val="hybridMultilevel"/>
    <w:lvl w:ilvl="0">
      <w:lvlJc w:val="left"/>
      <w:lvlText w:val="%1."/>
      <w:numFmt w:val="lowerLetter"/>
      <w:start w:val="1"/>
    </w:lvl>
    <w:lvl w:ilvl="1">
      <w:lvlJc w:val="left"/>
      <w:lvlText w:val="%2."/>
      <w:numFmt w:val="decimal"/>
      <w:start w:val="1"/>
    </w:lvl>
  </w:abstractNum>
  <w:abstractNum w:abstractNumId="86">
    <w:nsid w:val="60EF0119"/>
    <w:multiLevelType w:val="hybridMultilevel"/>
    <w:lvl w:ilvl="0">
      <w:lvlJc w:val="left"/>
      <w:lvlText w:val="(%1)"/>
      <w:numFmt w:val="decimal"/>
      <w:start w:val="1"/>
    </w:lvl>
  </w:abstractNum>
  <w:abstractNum w:abstractNumId="87">
    <w:nsid w:val="26F324BA"/>
    <w:multiLevelType w:val="hybridMultilevel"/>
    <w:lvl w:ilvl="0">
      <w:lvlJc w:val="left"/>
      <w:lvlText w:val="(%1)"/>
      <w:numFmt w:val="decimal"/>
      <w:start w:val="1"/>
    </w:lvl>
  </w:abstractNum>
  <w:abstractNum w:abstractNumId="88">
    <w:nsid w:val="7F01579B"/>
    <w:multiLevelType w:val="hybridMultilevel"/>
    <w:lvl w:ilvl="0">
      <w:lvlJc w:val="left"/>
      <w:lvlText w:val="%1"/>
      <w:numFmt w:val="decimal"/>
      <w:start w:val="21"/>
    </w:lvl>
  </w:abstractNum>
  <w:abstractNum w:abstractNumId="89">
    <w:nsid w:val="49DA307D"/>
    <w:multiLevelType w:val="hybridMultilevel"/>
    <w:lvl w:ilvl="0">
      <w:lvlJc w:val="left"/>
      <w:lvlText w:val="%1"/>
      <w:numFmt w:val="decimal"/>
      <w:start w:val="23"/>
    </w:lvl>
  </w:abstractNum>
  <w:abstractNum w:abstractNumId="90">
    <w:nsid w:val="7055A5F5"/>
    <w:multiLevelType w:val="hybridMultilevel"/>
    <w:lvl w:ilvl="0">
      <w:lvlJc w:val="left"/>
      <w:lvlText w:val="%1"/>
      <w:numFmt w:val="decimal"/>
      <w:start w:val="1"/>
    </w:lvl>
    <w:lvl w:ilvl="1">
      <w:lvlJc w:val="left"/>
      <w:lvlText w:val="%2"/>
      <w:numFmt w:val="decimal"/>
      <w:start w:val="101"/>
    </w:lvl>
  </w:abstractNum>
  <w:abstractNum w:abstractNumId="91">
    <w:nsid w:val="5FB8370B"/>
    <w:multiLevelType w:val="hybridMultilevel"/>
    <w:lvl w:ilvl="0">
      <w:lvlJc w:val="left"/>
      <w:lvlText w:val="(%1)"/>
      <w:numFmt w:val="decimal"/>
      <w:start w:val="1"/>
    </w:lvl>
    <w:lvl w:ilvl="1">
      <w:lvlJc w:val="left"/>
      <w:lvlText w:val="%2"/>
      <w:numFmt w:val="decimal"/>
      <w:start w:val="1"/>
    </w:lvl>
  </w:abstractNum>
  <w:abstractNum w:abstractNumId="92">
    <w:nsid w:val="50801EE1"/>
    <w:multiLevelType w:val="hybridMultilevel"/>
    <w:lvl w:ilvl="0">
      <w:lvlJc w:val="left"/>
      <w:lvlText w:val="(%1)"/>
      <w:numFmt w:val="decimal"/>
      <w:start w:val="11"/>
    </w:lvl>
  </w:abstractNum>
  <w:abstractNum w:abstractNumId="93">
    <w:nsid w:val="488AC1A"/>
    <w:multiLevelType w:val="hybridMultilevel"/>
    <w:lvl w:ilvl="0">
      <w:lvlJc w:val="left"/>
      <w:lvlText w:val="%1."/>
      <w:numFmt w:val="decimal"/>
      <w:start w:val="1"/>
    </w:lvl>
  </w:abstractNum>
  <w:abstractNum w:abstractNumId="94">
    <w:nsid w:val="5FB8011C"/>
    <w:multiLevelType w:val="hybridMultilevel"/>
    <w:lvl w:ilvl="0">
      <w:lvlJc w:val="left"/>
      <w:lvlText w:val="%1."/>
      <w:numFmt w:val="decimal"/>
      <w:start w:val="5"/>
    </w:lvl>
  </w:abstractNum>
  <w:abstractNum w:abstractNumId="95">
    <w:nsid w:val="6AA78F7F"/>
    <w:multiLevelType w:val="hybridMultilevel"/>
    <w:lvl w:ilvl="0">
      <w:lvlJc w:val="left"/>
      <w:lvlText w:val="%1."/>
      <w:numFmt w:val="decimal"/>
      <w:start w:val="11"/>
    </w:lvl>
  </w:abstractNum>
  <w:abstractNum w:abstractNumId="96">
    <w:nsid w:val="7672BD23"/>
    <w:multiLevelType w:val="hybridMultilevel"/>
    <w:lvl w:ilvl="0">
      <w:lvlJc w:val="left"/>
      <w:lvlText w:val="%1."/>
      <w:numFmt w:val="decimal"/>
      <w:start w:val="14"/>
    </w:lvl>
  </w:abstractNum>
  <w:abstractNum w:abstractNumId="97">
    <w:nsid w:val="6FC75AF8"/>
    <w:multiLevelType w:val="hybridMultilevel"/>
    <w:lvl w:ilvl="0">
      <w:lvlJc w:val="left"/>
      <w:lvlText w:val="%1."/>
      <w:numFmt w:val="decimal"/>
      <w:start w:val="15"/>
    </w:lvl>
  </w:abstractNum>
  <w:abstractNum w:abstractNumId="98">
    <w:nsid w:val="6A5F7029"/>
    <w:multiLevelType w:val="hybridMultilevel"/>
    <w:lvl w:ilvl="0">
      <w:lvlJc w:val="left"/>
      <w:lvlText w:val="%1)"/>
      <w:numFmt w:val="decimal"/>
      <w:start w:val="1"/>
    </w:lvl>
  </w:abstractNum>
  <w:abstractNum w:abstractNumId="99">
    <w:nsid w:val="7D5E18F8"/>
    <w:multiLevelType w:val="hybridMultilevel"/>
    <w:lvl w:ilvl="0">
      <w:lvlJc w:val="left"/>
      <w:lvlText w:val="%1."/>
      <w:numFmt w:val="decimal"/>
      <w:start w:val="1"/>
    </w:lvl>
    <w:lvl w:ilvl="1">
      <w:lvlJc w:val="left"/>
      <w:lvlText w:val="%2)"/>
      <w:numFmt w:val="lowerLetter"/>
      <w:start w:val="1"/>
    </w:lvl>
  </w:abstractNum>
  <w:abstractNum w:abstractNumId="100">
    <w:nsid w:val="5F3534A4"/>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jpe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png"/><Relationship Id="rId280" Type="http://schemas.openxmlformats.org/officeDocument/2006/relationships/image" Target="media/image273.png"/><Relationship Id="rId281" Type="http://schemas.openxmlformats.org/officeDocument/2006/relationships/image" Target="media/image274.pn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png"/><Relationship Id="rId288" Type="http://schemas.openxmlformats.org/officeDocument/2006/relationships/image" Target="media/image281.png"/><Relationship Id="rId289" Type="http://schemas.openxmlformats.org/officeDocument/2006/relationships/image" Target="media/image282.png"/><Relationship Id="rId290" Type="http://schemas.openxmlformats.org/officeDocument/2006/relationships/image" Target="media/image283.png"/><Relationship Id="rId291" Type="http://schemas.openxmlformats.org/officeDocument/2006/relationships/image" Target="media/image284.png"/><Relationship Id="rId292" Type="http://schemas.openxmlformats.org/officeDocument/2006/relationships/image" Target="media/image285.png"/><Relationship Id="rId293" Type="http://schemas.openxmlformats.org/officeDocument/2006/relationships/image" Target="media/image286.png"/><Relationship Id="rId294" Type="http://schemas.openxmlformats.org/officeDocument/2006/relationships/image" Target="media/image287.png"/><Relationship Id="rId295" Type="http://schemas.openxmlformats.org/officeDocument/2006/relationships/image" Target="media/image288.png"/><Relationship Id="rId296" Type="http://schemas.openxmlformats.org/officeDocument/2006/relationships/image" Target="media/image289.png"/><Relationship Id="rId297" Type="http://schemas.openxmlformats.org/officeDocument/2006/relationships/image" Target="media/image290.png"/><Relationship Id="rId298" Type="http://schemas.openxmlformats.org/officeDocument/2006/relationships/image" Target="media/image291.png"/><Relationship Id="rId299" Type="http://schemas.openxmlformats.org/officeDocument/2006/relationships/image" Target="media/image292.png"/><Relationship Id="rId300" Type="http://schemas.openxmlformats.org/officeDocument/2006/relationships/image" Target="media/image293.png"/><Relationship Id="rId301" Type="http://schemas.openxmlformats.org/officeDocument/2006/relationships/image" Target="media/image294.png"/><Relationship Id="rId302" Type="http://schemas.openxmlformats.org/officeDocument/2006/relationships/image" Target="media/image295.png"/><Relationship Id="rId303" Type="http://schemas.openxmlformats.org/officeDocument/2006/relationships/image" Target="media/image296.png"/><Relationship Id="rId304" Type="http://schemas.openxmlformats.org/officeDocument/2006/relationships/image" Target="media/image297.png"/><Relationship Id="rId305" Type="http://schemas.openxmlformats.org/officeDocument/2006/relationships/image" Target="media/image298.png"/><Relationship Id="rId306" Type="http://schemas.openxmlformats.org/officeDocument/2006/relationships/image" Target="media/image299.png"/><Relationship Id="rId307" Type="http://schemas.openxmlformats.org/officeDocument/2006/relationships/image" Target="media/image300.png"/><Relationship Id="rId308" Type="http://schemas.openxmlformats.org/officeDocument/2006/relationships/image" Target="media/image301.png"/><Relationship Id="rId309" Type="http://schemas.openxmlformats.org/officeDocument/2006/relationships/image" Target="media/image302.png"/><Relationship Id="rId310" Type="http://schemas.openxmlformats.org/officeDocument/2006/relationships/image" Target="media/image30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2020-01-26T01:02:20Z</dcterms:created>
  <dcterms:modified xsi:type="dcterms:W3CDTF">2020-01-26T01:02:20Z</dcterms:modified>
</cp:coreProperties>
</file>