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539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53974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2"/>
            <w:vMerge w:val="restart"/>
          </w:tcPr>
          <w:p>
            <w:pPr>
              <w:spacing w:after="0" w:line="250" w:lineRule="exact"/>
              <w:rPr>
                <w:rFonts w:ascii="Arial" w:cs="Arial" w:eastAsia="Arial" w:hAnsi="Arial"/>
                <w:sz w:val="22"/>
                <w:szCs w:val="22"/>
                <w:color w:val="0000EE"/>
                <w:w w:val="89"/>
              </w:rPr>
            </w:pPr>
            <w:hyperlink r:id="rId12">
              <w:r>
                <w:rPr>
                  <w:rFonts w:ascii="Arial" w:cs="Arial" w:eastAsia="Arial" w:hAnsi="Arial"/>
                  <w:sz w:val="22"/>
                  <w:szCs w:val="22"/>
                  <w:color w:val="0000EE"/>
                  <w:w w:val="89"/>
                </w:rPr>
                <w:t>Lillis Terrance J.</w:t>
              </w:r>
            </w:hyperlink>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vMerge w:val="continue"/>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60" w:type="dxa"/>
            <w:vAlign w:val="bottom"/>
            <w:tcBorders>
              <w:bottom w:val="single" w:sz="8" w:color="0000EE"/>
            </w:tcBorders>
            <w:gridSpan w:val="2"/>
            <w:vMerge w:val="continue"/>
          </w:tcPr>
          <w:p>
            <w:pPr>
              <w:spacing w:after="0"/>
              <w:rPr>
                <w:sz w:val="5"/>
                <w:szCs w:val="5"/>
                <w:color w:val="auto"/>
              </w:rPr>
            </w:pPr>
          </w:p>
        </w:tc>
        <w:tc>
          <w:tcPr>
            <w:tcW w:w="20" w:type="dxa"/>
            <w:vAlign w:val="bottom"/>
            <w:vMerge w:val="restart"/>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tcPr>
          <w:p>
            <w:pPr>
              <w:spacing w:after="0"/>
              <w:rPr>
                <w:sz w:val="4"/>
                <w:szCs w:val="4"/>
                <w:color w:val="auto"/>
              </w:rPr>
            </w:pPr>
          </w:p>
        </w:tc>
        <w:tc>
          <w:tcPr>
            <w:tcW w:w="20" w:type="dxa"/>
            <w:vAlign w:val="bottom"/>
            <w:vMerge w:val="continue"/>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Executive Vice President &amp; CFO</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3"/>
            <w:vMerge w:val="restart"/>
          </w:tcPr>
          <w:p>
            <w:pPr>
              <w:spacing w:after="0"/>
              <w:rPr>
                <w:sz w:val="20"/>
                <w:szCs w:val="20"/>
                <w:color w:val="auto"/>
              </w:rPr>
            </w:pPr>
            <w:r>
              <w:rPr>
                <w:rFonts w:ascii="Arial" w:cs="Arial" w:eastAsia="Arial" w:hAnsi="Arial"/>
                <w:sz w:val="18"/>
                <w:szCs w:val="18"/>
                <w:color w:val="0000FF"/>
                <w:w w:val="93"/>
              </w:rPr>
              <w:t>711 HIGH STREET</w:t>
            </w: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06/27/2014</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3"/>
            <w:vMerge w:val="continue"/>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3"/>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8100" w:type="dxa"/>
            <w:vAlign w:val="bottom"/>
            <w:tcBorders>
              <w:top w:val="single" w:sz="8" w:color="2C2C2C"/>
            </w:tcBorders>
            <w:gridSpan w:val="21"/>
          </w:tcPr>
          <w:p>
            <w:pPr>
              <w:ind w:left="7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06/27/2014</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79"/>
              </w:rPr>
              <w:t>127</w:t>
            </w:r>
          </w:p>
        </w:tc>
        <w:tc>
          <w:tcPr>
            <w:tcW w:w="68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1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w w:val="96"/>
                <w:vertAlign w:val="subscript"/>
              </w:rPr>
              <w:t>$</w:t>
            </w:r>
            <w:r>
              <w:rPr>
                <w:rFonts w:ascii="Arial" w:cs="Arial" w:eastAsia="Arial" w:hAnsi="Arial"/>
                <w:sz w:val="35"/>
                <w:szCs w:val="35"/>
                <w:color w:val="0000FF"/>
                <w:w w:val="96"/>
                <w:vertAlign w:val="subscript"/>
              </w:rPr>
              <w:t>0</w:t>
            </w:r>
            <w:r>
              <w:rPr>
                <w:rFonts w:ascii="Arial" w:cs="Arial" w:eastAsia="Arial" w:hAnsi="Arial"/>
                <w:sz w:val="11"/>
                <w:szCs w:val="11"/>
                <w:color w:val="008000"/>
                <w:w w:val="96"/>
              </w:rPr>
              <w:t>(1)</w:t>
            </w:r>
          </w:p>
        </w:tc>
        <w:tc>
          <w:tcPr>
            <w:tcW w:w="10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ind w:right="256"/>
              <w:spacing w:after="0"/>
              <w:rPr>
                <w:sz w:val="20"/>
                <w:szCs w:val="20"/>
                <w:color w:val="auto"/>
              </w:rPr>
            </w:pPr>
            <w:r>
              <w:rPr>
                <w:rFonts w:ascii="Arial" w:cs="Arial" w:eastAsia="Arial" w:hAnsi="Arial"/>
                <w:sz w:val="18"/>
                <w:szCs w:val="18"/>
                <w:color w:val="0000FF"/>
              </w:rPr>
              <w:t>65,278</w:t>
            </w:r>
            <w:r>
              <w:rPr>
                <w:rFonts w:ascii="Arial" w:cs="Arial" w:eastAsia="Arial" w:hAnsi="Arial"/>
                <w:sz w:val="22"/>
                <w:szCs w:val="22"/>
                <w:color w:val="008000"/>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60" w:type="dxa"/>
            <w:vAlign w:val="bottom"/>
          </w:tcPr>
          <w:p>
            <w:pPr>
              <w:jc w:val="right"/>
              <w:ind w:right="496"/>
              <w:spacing w:after="0"/>
              <w:rPr>
                <w:sz w:val="20"/>
                <w:szCs w:val="20"/>
                <w:color w:val="auto"/>
              </w:rPr>
            </w:pPr>
            <w:r>
              <w:rPr>
                <w:rFonts w:ascii="Arial" w:cs="Arial" w:eastAsia="Arial" w:hAnsi="Arial"/>
                <w:sz w:val="18"/>
                <w:szCs w:val="18"/>
                <w:color w:val="0000FF"/>
                <w:w w:val="89"/>
              </w:rPr>
              <w:t>39</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4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20"/>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6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5"/>
                <w:szCs w:val="15"/>
                <w:color w:val="auto"/>
              </w:rPr>
            </w:pP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72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7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6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4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80" w:type="dxa"/>
            <w:vAlign w:val="bottom"/>
          </w:tcPr>
          <w:p>
            <w:pPr>
              <w:spacing w:after="0"/>
              <w:rPr>
                <w:sz w:val="16"/>
                <w:szCs w:val="16"/>
                <w:color w:val="auto"/>
              </w:rPr>
            </w:pPr>
          </w:p>
        </w:tc>
        <w:tc>
          <w:tcPr>
            <w:tcW w:w="100" w:type="dxa"/>
            <w:vAlign w:val="bottom"/>
            <w:vMerge w:val="restart"/>
          </w:tcPr>
          <w:p>
            <w:pPr>
              <w:spacing w:after="0"/>
              <w:rPr>
                <w:sz w:val="20"/>
                <w:szCs w:val="20"/>
                <w:color w:val="auto"/>
              </w:rPr>
            </w:pPr>
            <w:r>
              <w:rPr>
                <w:rFonts w:ascii="Arial" w:cs="Arial" w:eastAsia="Arial" w:hAnsi="Arial"/>
                <w:sz w:val="18"/>
                <w:szCs w:val="18"/>
                <w:color w:val="0000FF"/>
                <w:w w:val="79"/>
              </w:rPr>
              <w:t>1</w:t>
            </w: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06/27/2014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40"/>
              <w:spacing w:after="0" w:line="149" w:lineRule="exact"/>
              <w:rPr>
                <w:sz w:val="20"/>
                <w:szCs w:val="20"/>
                <w:color w:val="auto"/>
              </w:rPr>
            </w:pPr>
            <w:r>
              <w:rPr>
                <w:rFonts w:ascii="Arial" w:cs="Arial" w:eastAsia="Arial" w:hAnsi="Arial"/>
                <w:sz w:val="14"/>
                <w:szCs w:val="14"/>
                <w:color w:val="0000FF"/>
              </w:rPr>
              <w:t>1</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gridSpan w:val="2"/>
            <w:vMerge w:val="restart"/>
          </w:tcPr>
          <w:p>
            <w:pPr>
              <w:jc w:val="right"/>
              <w:ind w:right="9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50.27</w:t>
            </w:r>
          </w:p>
        </w:tc>
        <w:tc>
          <w:tcPr>
            <w:tcW w:w="760" w:type="dxa"/>
            <w:vAlign w:val="bottom"/>
            <w:vMerge w:val="restart"/>
          </w:tcPr>
          <w:p>
            <w:pPr>
              <w:ind w:left="360"/>
              <w:spacing w:after="0" w:line="149" w:lineRule="exact"/>
              <w:rPr>
                <w:sz w:val="20"/>
                <w:szCs w:val="20"/>
                <w:color w:val="auto"/>
              </w:rPr>
            </w:pPr>
            <w:r>
              <w:rPr>
                <w:rFonts w:ascii="Arial" w:cs="Arial" w:eastAsia="Arial" w:hAnsi="Arial"/>
                <w:sz w:val="14"/>
                <w:szCs w:val="14"/>
                <w:color w:val="0000FF"/>
              </w:rPr>
              <w:t>151.7</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80" w:type="dxa"/>
            <w:vAlign w:val="bottom"/>
          </w:tcPr>
          <w:p>
            <w:pPr>
              <w:spacing w:after="0"/>
              <w:rPr>
                <w:sz w:val="7"/>
                <w:szCs w:val="7"/>
                <w:color w:val="auto"/>
              </w:rPr>
            </w:pPr>
          </w:p>
        </w:tc>
        <w:tc>
          <w:tcPr>
            <w:tcW w:w="10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gridSpan w:val="2"/>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00" w:type="dxa"/>
            <w:vAlign w:val="bottom"/>
          </w:tcPr>
          <w:p>
            <w:pPr>
              <w:spacing w:after="0"/>
              <w:rPr>
                <w:sz w:val="7"/>
                <w:szCs w:val="7"/>
                <w:color w:val="auto"/>
              </w:rPr>
            </w:pPr>
          </w:p>
        </w:tc>
        <w:tc>
          <w:tcPr>
            <w:tcW w:w="76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00" w:type="dxa"/>
            <w:vAlign w:val="bottom"/>
          </w:tcPr>
          <w:p>
            <w:pPr>
              <w:spacing w:after="0"/>
              <w:rPr>
                <w:sz w:val="7"/>
                <w:szCs w:val="7"/>
                <w:color w:val="auto"/>
              </w:rPr>
            </w:pPr>
          </w:p>
        </w:tc>
        <w:tc>
          <w:tcPr>
            <w:tcW w:w="76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9,335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07/01/2014</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4323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2020-01-27T22:00:47Z</dcterms:created>
  <dcterms:modified xsi:type="dcterms:W3CDTF">2020-01-27T22:00:47Z</dcterms:modified>
</cp:coreProperties>
</file>