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2"/>
          <w:szCs w:val="22"/>
          <w:b w:val="1"/>
          <w:bCs w:val="1"/>
          <w:color w:val="auto"/>
        </w:rPr>
        <w:t>SECURITIES AND EXCHANGE COMMISSION</w:t>
      </w:r>
    </w:p>
    <w:p>
      <w:pPr>
        <w:spacing w:after="0" w:line="26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0" w:lineRule="exact"/>
        <w:rPr>
          <w:sz w:val="24"/>
          <w:szCs w:val="24"/>
          <w:color w:val="auto"/>
        </w:rPr>
      </w:pPr>
    </w:p>
    <w:p>
      <w:pPr>
        <w:spacing w:after="0" w:line="201"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__________________</w:t>
      </w: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FORM 8-K</w:t>
      </w:r>
    </w:p>
    <w:p>
      <w:pPr>
        <w:spacing w:after="0" w:line="200" w:lineRule="exact"/>
        <w:rPr>
          <w:sz w:val="24"/>
          <w:szCs w:val="24"/>
          <w:color w:val="auto"/>
        </w:rPr>
      </w:pPr>
    </w:p>
    <w:p>
      <w:pPr>
        <w:spacing w:after="0" w:line="26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200" w:lineRule="exact"/>
        <w:rPr>
          <w:sz w:val="24"/>
          <w:szCs w:val="24"/>
          <w:color w:val="auto"/>
        </w:rPr>
      </w:pPr>
    </w:p>
    <w:p>
      <w:pPr>
        <w:spacing w:after="0" w:line="33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 of the</w:t>
      </w:r>
    </w:p>
    <w:p>
      <w:pPr>
        <w:spacing w:after="0" w:line="28"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Exchange Act of 1934</w:t>
      </w:r>
    </w:p>
    <w:p>
      <w:pPr>
        <w:spacing w:after="0" w:line="236"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 xml:space="preserve">Date of Report: </w:t>
      </w:r>
      <w:r>
        <w:rPr>
          <w:rFonts w:ascii="Arial" w:cs="Arial" w:eastAsia="Arial" w:hAnsi="Arial"/>
          <w:sz w:val="22"/>
          <w:szCs w:val="22"/>
          <w:b w:val="1"/>
          <w:bCs w:val="1"/>
          <w:color w:val="auto"/>
        </w:rPr>
        <w:t>December 8, 2014</w:t>
      </w:r>
    </w:p>
    <w:p>
      <w:pPr>
        <w:spacing w:after="0" w:line="2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(Date of earliest event reported)</w:t>
      </w:r>
    </w:p>
    <w:p>
      <w:pPr>
        <w:spacing w:after="0" w:line="200" w:lineRule="exact"/>
        <w:rPr>
          <w:sz w:val="24"/>
          <w:szCs w:val="24"/>
          <w:color w:val="auto"/>
        </w:rPr>
      </w:pPr>
    </w:p>
    <w:p>
      <w:pPr>
        <w:spacing w:after="0" w:line="315" w:lineRule="exact"/>
        <w:rPr>
          <w:sz w:val="24"/>
          <w:szCs w:val="24"/>
          <w:color w:val="auto"/>
        </w:rPr>
      </w:pPr>
    </w:p>
    <w:p>
      <w:pPr>
        <w:jc w:val="center"/>
        <w:ind w:right="-119"/>
        <w:spacing w:after="0"/>
        <w:rPr>
          <w:sz w:val="20"/>
          <w:szCs w:val="20"/>
          <w:color w:val="auto"/>
        </w:rPr>
      </w:pPr>
      <w:r>
        <w:rPr>
          <w:rFonts w:ascii="Arial" w:cs="Arial" w:eastAsia="Arial" w:hAnsi="Arial"/>
          <w:sz w:val="29"/>
          <w:szCs w:val="29"/>
          <w:b w:val="1"/>
          <w:bCs w:val="1"/>
          <w:color w:val="auto"/>
        </w:rPr>
        <w:t>PRINCIPAL FINANCIAL GROUP, INC.</w:t>
      </w:r>
    </w:p>
    <w:p>
      <w:pPr>
        <w:spacing w:after="0" w:line="4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(Exact name of registrant as specified in its charter)</w:t>
      </w:r>
    </w:p>
    <w:p>
      <w:pPr>
        <w:spacing w:after="0" w:line="200" w:lineRule="exact"/>
        <w:rPr>
          <w:sz w:val="24"/>
          <w:szCs w:val="24"/>
          <w:color w:val="auto"/>
        </w:rPr>
      </w:pPr>
    </w:p>
    <w:p>
      <w:pPr>
        <w:spacing w:after="0" w:line="375" w:lineRule="exact"/>
        <w:rPr>
          <w:sz w:val="24"/>
          <w:szCs w:val="24"/>
          <w:color w:val="auto"/>
        </w:rPr>
      </w:pPr>
    </w:p>
    <w:tbl>
      <w:tblPr>
        <w:tblLayout w:type="fixed"/>
        <w:tblInd w:w="2660" w:type="dxa"/>
        <w:tblCellMar>
          <w:top w:w="0" w:type="dxa"/>
          <w:left w:w="0" w:type="dxa"/>
          <w:bottom w:w="0" w:type="dxa"/>
          <w:right w:w="0" w:type="dxa"/>
        </w:tblCellMar>
      </w:tblPr>
      <w:tr>
        <w:trPr>
          <w:trHeight w:val="234"/>
        </w:trPr>
        <w:tc>
          <w:tcPr>
            <w:tcW w:w="2100" w:type="dxa"/>
            <w:vAlign w:val="bottom"/>
          </w:tcPr>
          <w:p>
            <w:pPr>
              <w:jc w:val="center"/>
              <w:ind w:right="90"/>
              <w:spacing w:after="0"/>
              <w:rPr>
                <w:sz w:val="20"/>
                <w:szCs w:val="20"/>
                <w:color w:val="auto"/>
              </w:rPr>
            </w:pPr>
            <w:r>
              <w:rPr>
                <w:rFonts w:ascii="Arial" w:cs="Arial" w:eastAsia="Arial" w:hAnsi="Arial"/>
                <w:sz w:val="18"/>
                <w:szCs w:val="18"/>
                <w:b w:val="1"/>
                <w:bCs w:val="1"/>
                <w:color w:val="auto"/>
                <w:w w:val="91"/>
              </w:rPr>
              <w:t>Delaware</w:t>
            </w:r>
          </w:p>
        </w:tc>
        <w:tc>
          <w:tcPr>
            <w:tcW w:w="2260" w:type="dxa"/>
            <w:vAlign w:val="bottom"/>
          </w:tcPr>
          <w:p>
            <w:pPr>
              <w:jc w:val="right"/>
              <w:ind w:right="730"/>
              <w:spacing w:after="0"/>
              <w:rPr>
                <w:sz w:val="20"/>
                <w:szCs w:val="20"/>
                <w:color w:val="auto"/>
              </w:rPr>
            </w:pPr>
            <w:r>
              <w:rPr>
                <w:rFonts w:ascii="Arial" w:cs="Arial" w:eastAsia="Arial" w:hAnsi="Arial"/>
                <w:sz w:val="18"/>
                <w:szCs w:val="18"/>
                <w:b w:val="1"/>
                <w:bCs w:val="1"/>
                <w:color w:val="auto"/>
              </w:rPr>
              <w:t>1-16725</w:t>
            </w:r>
          </w:p>
        </w:tc>
        <w:tc>
          <w:tcPr>
            <w:tcW w:w="1820" w:type="dxa"/>
            <w:vAlign w:val="bottom"/>
          </w:tcPr>
          <w:p>
            <w:pPr>
              <w:jc w:val="center"/>
              <w:ind w:left="50"/>
              <w:spacing w:after="0"/>
              <w:rPr>
                <w:sz w:val="20"/>
                <w:szCs w:val="20"/>
                <w:color w:val="auto"/>
              </w:rPr>
            </w:pPr>
            <w:r>
              <w:rPr>
                <w:rFonts w:ascii="Arial" w:cs="Arial" w:eastAsia="Arial" w:hAnsi="Arial"/>
                <w:sz w:val="18"/>
                <w:szCs w:val="18"/>
                <w:b w:val="1"/>
                <w:bCs w:val="1"/>
                <w:color w:val="auto"/>
                <w:w w:val="91"/>
              </w:rPr>
              <w:t>42-1520346</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2"/>
              </w:rPr>
              <w:t>(State or other jurisdiction</w:t>
            </w:r>
          </w:p>
        </w:tc>
        <w:tc>
          <w:tcPr>
            <w:tcW w:w="2260" w:type="dxa"/>
            <w:vAlign w:val="bottom"/>
          </w:tcPr>
          <w:p>
            <w:pPr>
              <w:jc w:val="center"/>
              <w:spacing w:after="0"/>
              <w:rPr>
                <w:sz w:val="20"/>
                <w:szCs w:val="20"/>
                <w:color w:val="auto"/>
              </w:rPr>
            </w:pPr>
            <w:r>
              <w:rPr>
                <w:rFonts w:ascii="Arial" w:cs="Arial" w:eastAsia="Arial" w:hAnsi="Arial"/>
                <w:sz w:val="18"/>
                <w:szCs w:val="18"/>
                <w:color w:val="auto"/>
                <w:w w:val="93"/>
              </w:rPr>
              <w:t>(Commission file number)</w:t>
            </w:r>
          </w:p>
        </w:tc>
        <w:tc>
          <w:tcPr>
            <w:tcW w:w="1820" w:type="dxa"/>
            <w:vAlign w:val="bottom"/>
          </w:tcPr>
          <w:p>
            <w:pPr>
              <w:jc w:val="center"/>
              <w:ind w:left="50"/>
              <w:spacing w:after="0"/>
              <w:rPr>
                <w:sz w:val="20"/>
                <w:szCs w:val="20"/>
                <w:color w:val="auto"/>
              </w:rPr>
            </w:pPr>
            <w:r>
              <w:rPr>
                <w:rFonts w:ascii="Arial" w:cs="Arial" w:eastAsia="Arial" w:hAnsi="Arial"/>
                <w:sz w:val="18"/>
                <w:szCs w:val="18"/>
                <w:color w:val="auto"/>
                <w:w w:val="93"/>
              </w:rPr>
              <w:t>(I.R.S. Employer</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3"/>
              </w:rPr>
              <w:t>of incorporation)</w:t>
            </w:r>
          </w:p>
        </w:tc>
        <w:tc>
          <w:tcPr>
            <w:tcW w:w="2260" w:type="dxa"/>
            <w:vAlign w:val="bottom"/>
          </w:tcPr>
          <w:p>
            <w:pPr>
              <w:spacing w:after="0"/>
              <w:rPr>
                <w:sz w:val="23"/>
                <w:szCs w:val="23"/>
                <w:color w:val="auto"/>
              </w:rPr>
            </w:pPr>
          </w:p>
        </w:tc>
        <w:tc>
          <w:tcPr>
            <w:tcW w:w="1820" w:type="dxa"/>
            <w:vAlign w:val="bottom"/>
          </w:tcPr>
          <w:p>
            <w:pPr>
              <w:jc w:val="center"/>
              <w:ind w:left="70"/>
              <w:spacing w:after="0"/>
              <w:rPr>
                <w:sz w:val="20"/>
                <w:szCs w:val="20"/>
                <w:color w:val="auto"/>
              </w:rPr>
            </w:pPr>
            <w:r>
              <w:rPr>
                <w:rFonts w:ascii="Arial" w:cs="Arial" w:eastAsia="Arial" w:hAnsi="Arial"/>
                <w:sz w:val="18"/>
                <w:szCs w:val="18"/>
                <w:color w:val="auto"/>
                <w:w w:val="94"/>
              </w:rPr>
              <w:t>Identification Number)</w:t>
            </w:r>
          </w:p>
        </w:tc>
      </w:tr>
    </w:tbl>
    <w:p>
      <w:pPr>
        <w:spacing w:after="0" w:line="200" w:lineRule="exact"/>
        <w:rPr>
          <w:sz w:val="24"/>
          <w:szCs w:val="24"/>
          <w:color w:val="auto"/>
        </w:rPr>
      </w:pPr>
    </w:p>
    <w:p>
      <w:pPr>
        <w:spacing w:after="0" w:line="308"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(Address of principal executive offices)</w:t>
      </w:r>
    </w:p>
    <w:p>
      <w:pPr>
        <w:spacing w:after="0" w:line="27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(515) 247-5111</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(Registrant’s telephone number, including area code)</w:t>
      </w:r>
    </w:p>
    <w:p>
      <w:pPr>
        <w:spacing w:after="0" w:line="279" w:lineRule="exact"/>
        <w:rPr>
          <w:sz w:val="24"/>
          <w:szCs w:val="24"/>
          <w:color w:val="auto"/>
        </w:rPr>
      </w:pPr>
    </w:p>
    <w:p>
      <w:pPr>
        <w:spacing w:after="0" w:line="309"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6" w:lineRule="exact"/>
        <w:rPr>
          <w:sz w:val="24"/>
          <w:szCs w:val="24"/>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Written communications pursuant to Rule 425 under the Securities Act (17 CFR 230.425)</w:t>
      </w:r>
    </w:p>
    <w:p>
      <w:pPr>
        <w:spacing w:after="0" w:line="36"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Soliciting material pursuant to Rule 14a-12 under the Exchange Act (17 CFR 240.14a-12)</w:t>
      </w:r>
    </w:p>
    <w:p>
      <w:pPr>
        <w:spacing w:after="0" w:line="36" w:lineRule="exact"/>
        <w:rPr>
          <w:rFonts w:ascii="Arial" w:cs="Arial" w:eastAsia="Arial" w:hAnsi="Arial"/>
          <w:sz w:val="18"/>
          <w:szCs w:val="18"/>
          <w:color w:val="auto"/>
        </w:rPr>
      </w:pPr>
    </w:p>
    <w:p>
      <w:pPr>
        <w:ind w:left="660" w:right="3920" w:hanging="652"/>
        <w:spacing w:after="0" w:line="281"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14d-2(b) under the Exchange Act (17 CFR 240.14d-2(b))</w:t>
      </w:r>
    </w:p>
    <w:p>
      <w:pPr>
        <w:spacing w:after="0" w:line="1" w:lineRule="exact"/>
        <w:rPr>
          <w:rFonts w:ascii="Arial" w:cs="Arial" w:eastAsia="Arial" w:hAnsi="Arial"/>
          <w:sz w:val="18"/>
          <w:szCs w:val="18"/>
          <w:color w:val="auto"/>
        </w:rPr>
      </w:pPr>
    </w:p>
    <w:p>
      <w:pPr>
        <w:ind w:left="660" w:right="3940" w:hanging="652"/>
        <w:spacing w:after="0" w:line="309"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13e-4(c) under the Exchange Act (17 CFR 240.13e-4(c))</w:t>
      </w:r>
    </w:p>
    <w:p>
      <w:pPr>
        <w:spacing w:after="0" w:line="140" w:lineRule="exact"/>
        <w:rPr>
          <w:sz w:val="24"/>
          <w:szCs w:val="24"/>
          <w:color w:val="auto"/>
        </w:rPr>
      </w:pPr>
    </w:p>
    <w:p>
      <w:pPr>
        <w:ind w:left="4820"/>
        <w:spacing w:after="0"/>
        <w:rPr>
          <w:sz w:val="20"/>
          <w:szCs w:val="20"/>
          <w:color w:val="auto"/>
        </w:rPr>
      </w:pPr>
      <w:r>
        <w:rPr>
          <w:rFonts w:ascii="Arial" w:cs="Arial" w:eastAsia="Arial" w:hAnsi="Arial"/>
          <w:sz w:val="20"/>
          <w:szCs w:val="20"/>
          <w:color w:val="auto"/>
        </w:rPr>
        <w:t>__________________</w:t>
      </w:r>
    </w:p>
    <w:p>
      <w:pPr>
        <w:sectPr>
          <w:pgSz w:w="11900" w:h="16838" w:orient="portrait"/>
          <w:cols w:equalWidth="0" w:num="1">
            <w:col w:w="11300"/>
          </w:cols>
          <w:pgMar w:left="240" w:top="747" w:right="359"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Item 7.01 Regulation FD Disclosure</w:t>
      </w:r>
    </w:p>
    <w:p>
      <w:pPr>
        <w:spacing w:after="0" w:line="226" w:lineRule="exact"/>
        <w:rPr>
          <w:sz w:val="20"/>
          <w:szCs w:val="20"/>
          <w:color w:val="auto"/>
        </w:rPr>
      </w:pPr>
    </w:p>
    <w:p>
      <w:pPr>
        <w:jc w:val="both"/>
        <w:spacing w:after="0" w:line="302" w:lineRule="auto"/>
        <w:rPr>
          <w:sz w:val="20"/>
          <w:szCs w:val="20"/>
          <w:color w:val="auto"/>
        </w:rPr>
      </w:pPr>
      <w:r>
        <w:rPr>
          <w:rFonts w:ascii="Arial" w:cs="Arial" w:eastAsia="Arial" w:hAnsi="Arial"/>
          <w:sz w:val="19"/>
          <w:szCs w:val="19"/>
          <w:color w:val="auto"/>
        </w:rPr>
        <w:t>The following information is being furnished under Item 7.01 "Regulation FD Disclosure." This information shall not be deemed "filed" for purposes of Section 18 of the Securities Exchange Act of 1934, as amended (the "Exchange Act") or otherwise subject to the liabilities of that section, nor shall it be deemed incorporated by reference in any filing under the Securities Act of 1933, as amended, or the Exchange Act, except as shall be expressly set forth by specific reference in such a filing.</w:t>
      </w:r>
    </w:p>
    <w:p>
      <w:pPr>
        <w:spacing w:after="0" w:line="143" w:lineRule="exact"/>
        <w:rPr>
          <w:sz w:val="20"/>
          <w:szCs w:val="20"/>
          <w:color w:val="auto"/>
        </w:rPr>
      </w:pPr>
    </w:p>
    <w:p>
      <w:pPr>
        <w:jc w:val="both"/>
        <w:spacing w:after="0" w:line="263" w:lineRule="auto"/>
        <w:rPr>
          <w:sz w:val="20"/>
          <w:szCs w:val="20"/>
          <w:color w:val="auto"/>
        </w:rPr>
      </w:pPr>
      <w:r>
        <w:rPr>
          <w:rFonts w:ascii="Arial" w:cs="Arial" w:eastAsia="Arial" w:hAnsi="Arial"/>
          <w:sz w:val="22"/>
          <w:szCs w:val="22"/>
          <w:color w:val="auto"/>
        </w:rPr>
        <w:t>On December 8, 2014, Principal Financial Group, Inc. announced its outlook for 2015. The text of the announcement is included herewith as Exhibit 99.</w:t>
      </w:r>
    </w:p>
    <w:p>
      <w:pPr>
        <w:spacing w:after="0" w:line="16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9.01 Financial Statements and Exhibits</w:t>
      </w: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color w:val="auto"/>
        </w:rPr>
        <w:t>99 Press Release Concerning 2015 Outlook Dated December 8, 2014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3980"/>
        <w:spacing w:after="0"/>
        <w:rPr>
          <w:sz w:val="20"/>
          <w:szCs w:val="20"/>
          <w:color w:val="auto"/>
        </w:rPr>
      </w:pPr>
      <w:r>
        <w:rPr>
          <w:rFonts w:ascii="Arial" w:cs="Arial" w:eastAsia="Arial" w:hAnsi="Arial"/>
          <w:sz w:val="22"/>
          <w:szCs w:val="22"/>
          <w:b w:val="1"/>
          <w:bCs w:val="1"/>
          <w:color w:val="auto"/>
        </w:rPr>
        <w:t>SIGNATURE</w:t>
      </w:r>
    </w:p>
    <w:p>
      <w:pPr>
        <w:spacing w:after="0" w:line="28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385" w:lineRule="exact"/>
        <w:rPr>
          <w:sz w:val="20"/>
          <w:szCs w:val="20"/>
          <w:color w:val="auto"/>
        </w:rPr>
      </w:pPr>
    </w:p>
    <w:p>
      <w:pPr>
        <w:jc w:val="center"/>
        <w:ind w:left="380"/>
        <w:spacing w:after="0"/>
        <w:rPr>
          <w:sz w:val="20"/>
          <w:szCs w:val="20"/>
          <w:color w:val="auto"/>
        </w:rPr>
      </w:pPr>
      <w:r>
        <w:rPr>
          <w:rFonts w:ascii="Arial" w:cs="Arial" w:eastAsia="Arial" w:hAnsi="Arial"/>
          <w:sz w:val="22"/>
          <w:szCs w:val="22"/>
          <w:b w:val="1"/>
          <w:bCs w:val="1"/>
          <w:color w:val="auto"/>
        </w:rPr>
        <w:t>PRINCIPAL FINANCIAL GROUP, INC.</w:t>
      </w:r>
    </w:p>
    <w:p>
      <w:pPr>
        <w:spacing w:after="0" w:line="200" w:lineRule="exact"/>
        <w:rPr>
          <w:sz w:val="20"/>
          <w:szCs w:val="20"/>
          <w:color w:val="auto"/>
        </w:rPr>
      </w:pPr>
    </w:p>
    <w:p>
      <w:pPr>
        <w:spacing w:after="0" w:line="242" w:lineRule="exact"/>
        <w:rPr>
          <w:sz w:val="20"/>
          <w:szCs w:val="20"/>
          <w:color w:val="auto"/>
        </w:rPr>
      </w:pPr>
    </w:p>
    <w:p>
      <w:pPr>
        <w:ind w:left="3980"/>
        <w:spacing w:after="0"/>
        <w:tabs>
          <w:tab w:leader="none" w:pos="4600" w:val="left"/>
        </w:tabs>
        <w:rPr>
          <w:sz w:val="20"/>
          <w:szCs w:val="20"/>
          <w:color w:val="auto"/>
        </w:rPr>
      </w:pPr>
      <w:r>
        <w:rPr>
          <w:rFonts w:ascii="Arial" w:cs="Arial" w:eastAsia="Arial" w:hAnsi="Arial"/>
          <w:sz w:val="22"/>
          <w:szCs w:val="22"/>
          <w:color w:val="auto"/>
        </w:rPr>
        <w:t>By:</w:t>
        <w:tab/>
        <w:t>/s/ John Egan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2938145</wp:posOffset>
            </wp:positionH>
            <wp:positionV relativeFrom="paragraph">
              <wp:posOffset>-17780</wp:posOffset>
            </wp:positionV>
            <wp:extent cx="101409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14095" cy="8890"/>
                    </a:xfrm>
                    <a:prstGeom prst="rect">
                      <a:avLst/>
                    </a:prstGeom>
                    <a:noFill/>
                  </pic:spPr>
                </pic:pic>
              </a:graphicData>
            </a:graphic>
          </wp:anchor>
        </w:drawing>
      </w:r>
    </w:p>
    <w:p>
      <w:pPr>
        <w:spacing w:after="0" w:line="2" w:lineRule="exact"/>
        <w:rPr>
          <w:sz w:val="20"/>
          <w:szCs w:val="20"/>
          <w:color w:val="auto"/>
        </w:rPr>
      </w:pPr>
    </w:p>
    <w:p>
      <w:pPr>
        <w:ind w:left="3980"/>
        <w:spacing w:after="0"/>
        <w:rPr>
          <w:sz w:val="20"/>
          <w:szCs w:val="20"/>
          <w:color w:val="auto"/>
        </w:rPr>
      </w:pPr>
      <w:r>
        <w:rPr>
          <w:rFonts w:ascii="Arial" w:cs="Arial" w:eastAsia="Arial" w:hAnsi="Arial"/>
          <w:sz w:val="22"/>
          <w:szCs w:val="22"/>
          <w:color w:val="auto"/>
        </w:rPr>
        <w:t>Name: John Egan</w:t>
      </w:r>
    </w:p>
    <w:p>
      <w:pPr>
        <w:spacing w:after="0" w:line="4" w:lineRule="exact"/>
        <w:rPr>
          <w:sz w:val="20"/>
          <w:szCs w:val="20"/>
          <w:color w:val="auto"/>
        </w:rPr>
      </w:pPr>
    </w:p>
    <w:p>
      <w:pPr>
        <w:ind w:left="3960"/>
        <w:spacing w:after="0"/>
        <w:tabs>
          <w:tab w:leader="none" w:pos="4600" w:val="left"/>
        </w:tabs>
        <w:rPr>
          <w:sz w:val="20"/>
          <w:szCs w:val="20"/>
          <w:color w:val="auto"/>
        </w:rPr>
      </w:pPr>
      <w:r>
        <w:rPr>
          <w:rFonts w:ascii="Arial" w:cs="Arial" w:eastAsia="Arial" w:hAnsi="Arial"/>
          <w:sz w:val="22"/>
          <w:szCs w:val="22"/>
          <w:color w:val="auto"/>
        </w:rPr>
        <w:t>Title:</w:t>
      </w:r>
      <w:r>
        <w:rPr>
          <w:sz w:val="20"/>
          <w:szCs w:val="20"/>
          <w:color w:val="auto"/>
        </w:rPr>
        <w:tab/>
      </w:r>
      <w:r>
        <w:rPr>
          <w:rFonts w:ascii="Arial" w:cs="Arial" w:eastAsia="Arial" w:hAnsi="Arial"/>
          <w:sz w:val="19"/>
          <w:szCs w:val="19"/>
          <w:color w:val="auto"/>
        </w:rPr>
        <w:t>Vice President - Investor Relations</w:t>
      </w:r>
    </w:p>
    <w:p>
      <w:pPr>
        <w:spacing w:after="0" w:line="242" w:lineRule="exact"/>
        <w:rPr>
          <w:sz w:val="20"/>
          <w:szCs w:val="20"/>
          <w:color w:val="auto"/>
        </w:rPr>
      </w:pPr>
    </w:p>
    <w:p>
      <w:pPr>
        <w:spacing w:after="0"/>
        <w:tabs>
          <w:tab w:leader="none" w:pos="640" w:val="left"/>
        </w:tabs>
        <w:rPr>
          <w:sz w:val="20"/>
          <w:szCs w:val="20"/>
          <w:color w:val="auto"/>
        </w:rPr>
      </w:pPr>
      <w:r>
        <w:rPr>
          <w:rFonts w:ascii="Arial" w:cs="Arial" w:eastAsia="Arial" w:hAnsi="Arial"/>
          <w:sz w:val="22"/>
          <w:szCs w:val="22"/>
          <w:color w:val="auto"/>
        </w:rPr>
        <w:t>Date:</w:t>
      </w:r>
      <w:r>
        <w:rPr>
          <w:sz w:val="20"/>
          <w:szCs w:val="20"/>
          <w:color w:val="auto"/>
        </w:rPr>
        <w:tab/>
      </w:r>
      <w:r>
        <w:rPr>
          <w:rFonts w:ascii="Arial" w:cs="Arial" w:eastAsia="Arial" w:hAnsi="Arial"/>
          <w:sz w:val="19"/>
          <w:szCs w:val="19"/>
          <w:color w:val="auto"/>
        </w:rPr>
        <w:t>December 8, 2014</w:t>
      </w:r>
    </w:p>
    <w:p>
      <w:pPr>
        <w:sectPr>
          <w:pgSz w:w="11900" w:h="16838" w:orient="portrait"/>
          <w:cols w:equalWidth="0" w:num="1">
            <w:col w:w="11420"/>
          </w:cols>
          <w:pgMar w:left="240" w:top="585" w:right="239" w:bottom="1440" w:gutter="0" w:footer="0" w:header="0"/>
        </w:sectPr>
      </w:pPr>
    </w:p>
    <w:bookmarkStart w:id="2" w:name="page3"/>
    <w:bookmarkEnd w:id="2"/>
    <w:p>
      <w:pPr>
        <w:ind w:left="8440"/>
        <w:spacing w:after="0"/>
        <w:rPr>
          <w:sz w:val="20"/>
          <w:szCs w:val="20"/>
          <w:color w:val="auto"/>
        </w:rPr>
      </w:pPr>
      <w:r>
        <w:rPr>
          <w:rFonts w:ascii="Arial" w:cs="Arial" w:eastAsia="Arial" w:hAnsi="Arial"/>
          <w:sz w:val="16"/>
          <w:szCs w:val="16"/>
          <w:b w:val="1"/>
          <w:bCs w:val="1"/>
          <w:color w:val="auto"/>
        </w:rPr>
        <w:t>EXHIBIT 99</w:t>
      </w:r>
    </w:p>
    <w:p>
      <w:pPr>
        <w:spacing w:after="0" w:line="217" w:lineRule="exact"/>
        <w:rPr>
          <w:sz w:val="20"/>
          <w:szCs w:val="20"/>
          <w:color w:val="auto"/>
        </w:rPr>
      </w:pPr>
    </w:p>
    <w:p>
      <w:pPr>
        <w:spacing w:after="0"/>
        <w:tabs>
          <w:tab w:leader="none" w:pos="1600" w:val="left"/>
        </w:tabs>
        <w:rPr>
          <w:sz w:val="20"/>
          <w:szCs w:val="20"/>
          <w:color w:val="auto"/>
        </w:rPr>
      </w:pPr>
      <w:r>
        <w:rPr>
          <w:rFonts w:ascii="Arial" w:cs="Arial" w:eastAsia="Arial" w:hAnsi="Arial"/>
          <w:sz w:val="18"/>
          <w:szCs w:val="18"/>
          <w:b w:val="1"/>
          <w:bCs w:val="1"/>
          <w:color w:val="auto"/>
        </w:rPr>
        <w:t>RELEASE:</w:t>
      </w:r>
      <w:r>
        <w:rPr>
          <w:sz w:val="20"/>
          <w:szCs w:val="20"/>
          <w:color w:val="auto"/>
        </w:rPr>
        <w:tab/>
      </w:r>
      <w:r>
        <w:rPr>
          <w:rFonts w:ascii="Arial" w:cs="Arial" w:eastAsia="Arial" w:hAnsi="Arial"/>
          <w:sz w:val="18"/>
          <w:szCs w:val="18"/>
          <w:color w:val="auto"/>
        </w:rPr>
        <w:t>On receipt: Dec. 8, 2014</w:t>
      </w:r>
    </w:p>
    <w:p>
      <w:pPr>
        <w:spacing w:after="0" w:line="27" w:lineRule="exact"/>
        <w:rPr>
          <w:sz w:val="20"/>
          <w:szCs w:val="20"/>
          <w:color w:val="auto"/>
        </w:rPr>
      </w:pPr>
    </w:p>
    <w:p>
      <w:pPr>
        <w:spacing w:after="0"/>
        <w:tabs>
          <w:tab w:leader="none" w:pos="2120" w:val="left"/>
        </w:tabs>
        <w:rPr>
          <w:sz w:val="20"/>
          <w:szCs w:val="20"/>
          <w:color w:val="auto"/>
        </w:rPr>
      </w:pPr>
      <w:r>
        <w:rPr>
          <w:rFonts w:ascii="Arial" w:cs="Arial" w:eastAsia="Arial" w:hAnsi="Arial"/>
          <w:sz w:val="18"/>
          <w:szCs w:val="18"/>
          <w:b w:val="1"/>
          <w:bCs w:val="1"/>
          <w:color w:val="auto"/>
        </w:rPr>
        <w:t>MEDIA CONTACT:</w:t>
      </w:r>
      <w:r>
        <w:rPr>
          <w:sz w:val="20"/>
          <w:szCs w:val="20"/>
          <w:color w:val="auto"/>
        </w:rPr>
        <w:tab/>
      </w:r>
      <w:r>
        <w:rPr>
          <w:rFonts w:ascii="Arial" w:cs="Arial" w:eastAsia="Arial" w:hAnsi="Arial"/>
          <w:sz w:val="16"/>
          <w:szCs w:val="16"/>
          <w:color w:val="auto"/>
        </w:rPr>
        <w:t>Susan Houser, 515-248-2268, houser.susan@principal.com</w:t>
      </w:r>
    </w:p>
    <w:p>
      <w:pPr>
        <w:spacing w:after="0" w:line="9" w:lineRule="exact"/>
        <w:rPr>
          <w:sz w:val="20"/>
          <w:szCs w:val="20"/>
          <w:color w:val="auto"/>
        </w:rPr>
      </w:pPr>
    </w:p>
    <w:p>
      <w:pPr>
        <w:spacing w:after="0"/>
        <w:tabs>
          <w:tab w:leader="none" w:pos="3180" w:val="left"/>
        </w:tabs>
        <w:rPr>
          <w:sz w:val="20"/>
          <w:szCs w:val="20"/>
          <w:color w:val="auto"/>
        </w:rPr>
      </w:pPr>
      <w:r>
        <w:rPr>
          <w:rFonts w:ascii="Arial" w:cs="Arial" w:eastAsia="Arial" w:hAnsi="Arial"/>
          <w:sz w:val="18"/>
          <w:szCs w:val="18"/>
          <w:b w:val="1"/>
          <w:bCs w:val="1"/>
          <w:color w:val="auto"/>
        </w:rPr>
        <w:t>INVESTOR RELATIONS CONTACT:</w:t>
      </w:r>
      <w:r>
        <w:rPr>
          <w:sz w:val="20"/>
          <w:szCs w:val="20"/>
          <w:color w:val="auto"/>
        </w:rPr>
        <w:tab/>
      </w:r>
      <w:r>
        <w:rPr>
          <w:rFonts w:ascii="Arial" w:cs="Arial" w:eastAsia="Arial" w:hAnsi="Arial"/>
          <w:sz w:val="16"/>
          <w:szCs w:val="16"/>
          <w:color w:val="auto"/>
        </w:rPr>
        <w:t>John Egan, 515-235-9500, egan.john@principal.com</w:t>
      </w:r>
    </w:p>
    <w:p>
      <w:pPr>
        <w:spacing w:after="0" w:line="256" w:lineRule="exact"/>
        <w:rPr>
          <w:sz w:val="20"/>
          <w:szCs w:val="20"/>
          <w:color w:val="auto"/>
        </w:rPr>
      </w:pPr>
    </w:p>
    <w:p>
      <w:pPr>
        <w:jc w:val="center"/>
        <w:ind w:right="-59"/>
        <w:spacing w:after="0"/>
        <w:rPr>
          <w:sz w:val="20"/>
          <w:szCs w:val="20"/>
          <w:color w:val="auto"/>
        </w:rPr>
      </w:pPr>
      <w:r>
        <w:rPr>
          <w:rFonts w:ascii="Arial" w:cs="Arial" w:eastAsia="Arial" w:hAnsi="Arial"/>
          <w:sz w:val="25"/>
          <w:szCs w:val="25"/>
          <w:b w:val="1"/>
          <w:bCs w:val="1"/>
          <w:color w:val="auto"/>
        </w:rPr>
        <w:t>PRINCIPAL FINANCIAL GROUP, INC. ANNOUNCES OUTLOOK FOR 2015</w:t>
      </w:r>
    </w:p>
    <w:p>
      <w:pPr>
        <w:spacing w:after="0" w:line="380" w:lineRule="exact"/>
        <w:rPr>
          <w:sz w:val="20"/>
          <w:szCs w:val="20"/>
          <w:color w:val="auto"/>
        </w:rPr>
      </w:pPr>
    </w:p>
    <w:p>
      <w:pPr>
        <w:spacing w:after="0" w:line="397" w:lineRule="auto"/>
        <w:rPr>
          <w:sz w:val="20"/>
          <w:szCs w:val="20"/>
          <w:color w:val="auto"/>
        </w:rPr>
      </w:pPr>
      <w:r>
        <w:rPr>
          <w:rFonts w:ascii="Arial" w:cs="Arial" w:eastAsia="Arial" w:hAnsi="Arial"/>
          <w:sz w:val="19"/>
          <w:szCs w:val="19"/>
          <w:color w:val="auto"/>
        </w:rPr>
        <w:t xml:space="preserve">(Des Moines, Iowa) – Principal Financial Group, Inc. (NYSE:PFG) today announced certain business unit financial metrics and an update on capital deployment plans for 2015. These metrics provide greater clarity of earnings growth for each of the business units. There is a 30-minute conference call at </w:t>
      </w:r>
      <w:r>
        <w:rPr>
          <w:rFonts w:ascii="Arial" w:cs="Arial" w:eastAsia="Arial" w:hAnsi="Arial"/>
          <w:sz w:val="19"/>
          <w:szCs w:val="19"/>
          <w:b w:val="1"/>
          <w:bCs w:val="1"/>
          <w:color w:val="auto"/>
        </w:rPr>
        <w:t>9:00 a.m. ET today, Dec. 8, 2014.</w:t>
      </w:r>
      <w:r>
        <w:rPr>
          <w:rFonts w:ascii="Arial" w:cs="Arial" w:eastAsia="Arial" w:hAnsi="Arial"/>
          <w:sz w:val="19"/>
          <w:szCs w:val="19"/>
          <w:color w:val="auto"/>
        </w:rPr>
        <w:t xml:space="preserve"> Company senior leaders will provide additional detail on our 2015 outlook and answer questions. Slides related to the 2015 outlook are now available at www.principal.com/investor.</w:t>
      </w:r>
    </w:p>
    <w:p>
      <w:pPr>
        <w:spacing w:after="0" w:line="121" w:lineRule="exact"/>
        <w:rPr>
          <w:sz w:val="20"/>
          <w:szCs w:val="20"/>
          <w:color w:val="auto"/>
        </w:rPr>
      </w:pPr>
    </w:p>
    <w:p>
      <w:pPr>
        <w:spacing w:after="0"/>
        <w:rPr>
          <w:sz w:val="20"/>
          <w:szCs w:val="20"/>
          <w:color w:val="auto"/>
        </w:rPr>
      </w:pPr>
      <w:r>
        <w:rPr>
          <w:rFonts w:ascii="Arial" w:cs="Arial" w:eastAsia="Arial" w:hAnsi="Arial"/>
          <w:sz w:val="20"/>
          <w:szCs w:val="20"/>
          <w:color w:val="auto"/>
        </w:rPr>
        <w:t>Below are the 2015 outlook metrics for revenue growth and pretax margin for each business: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828675</wp:posOffset>
            </wp:positionH>
            <wp:positionV relativeFrom="paragraph">
              <wp:posOffset>182245</wp:posOffset>
            </wp:positionV>
            <wp:extent cx="5617210" cy="43649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617210" cy="4364990"/>
                    </a:xfrm>
                    <a:prstGeom prst="rect">
                      <a:avLst/>
                    </a:prstGeom>
                    <a:noFill/>
                  </pic:spPr>
                </pic:pic>
              </a:graphicData>
            </a:graphic>
          </wp:anchor>
        </w:drawing>
      </w:r>
    </w:p>
    <w:p>
      <w:pPr>
        <w:spacing w:after="0" w:line="284" w:lineRule="exact"/>
        <w:rPr>
          <w:sz w:val="20"/>
          <w:szCs w:val="20"/>
          <w:color w:val="auto"/>
        </w:rPr>
      </w:pPr>
    </w:p>
    <w:p>
      <w:pPr>
        <w:jc w:val="center"/>
        <w:ind w:right="-99"/>
        <w:spacing w:after="0"/>
        <w:rPr>
          <w:sz w:val="20"/>
          <w:szCs w:val="20"/>
          <w:color w:val="auto"/>
        </w:rPr>
      </w:pPr>
      <w:r>
        <w:rPr>
          <w:rFonts w:ascii="Arial" w:cs="Arial" w:eastAsia="Arial" w:hAnsi="Arial"/>
          <w:sz w:val="20"/>
          <w:szCs w:val="20"/>
          <w:b w:val="1"/>
          <w:bCs w:val="1"/>
          <w:color w:val="auto"/>
        </w:rPr>
        <w:t>Principal Financial Group 2015 Outlook Metrics</w:t>
      </w:r>
    </w:p>
    <w:p>
      <w:pPr>
        <w:spacing w:after="0" w:line="67" w:lineRule="exact"/>
        <w:rPr>
          <w:sz w:val="20"/>
          <w:szCs w:val="20"/>
          <w:color w:val="auto"/>
        </w:rPr>
      </w:pPr>
    </w:p>
    <w:tbl>
      <w:tblPr>
        <w:tblLayout w:type="fixed"/>
        <w:tblInd w:w="1300" w:type="dxa"/>
        <w:tblCellMar>
          <w:top w:w="0" w:type="dxa"/>
          <w:left w:w="0" w:type="dxa"/>
          <w:bottom w:w="0" w:type="dxa"/>
          <w:right w:w="0" w:type="dxa"/>
        </w:tblCellMar>
      </w:tblPr>
      <w:tr>
        <w:trPr>
          <w:trHeight w:val="256"/>
        </w:trPr>
        <w:tc>
          <w:tcPr>
            <w:tcW w:w="6280" w:type="dxa"/>
            <w:vAlign w:val="bottom"/>
          </w:tcPr>
          <w:p>
            <w:pPr>
              <w:ind w:left="40"/>
              <w:spacing w:after="0"/>
              <w:rPr>
                <w:sz w:val="20"/>
                <w:szCs w:val="20"/>
                <w:color w:val="auto"/>
              </w:rPr>
            </w:pPr>
            <w:r>
              <w:rPr>
                <w:rFonts w:ascii="Arial" w:cs="Arial" w:eastAsia="Arial" w:hAnsi="Arial"/>
                <w:sz w:val="20"/>
                <w:szCs w:val="20"/>
                <w:b w:val="1"/>
                <w:bCs w:val="1"/>
                <w:color w:val="auto"/>
              </w:rPr>
              <w:t>Retirement &amp; Investor Services – Accumulation</w:t>
            </w:r>
          </w:p>
        </w:tc>
        <w:tc>
          <w:tcPr>
            <w:tcW w:w="2580" w:type="dxa"/>
            <w:vAlign w:val="bottom"/>
          </w:tcPr>
          <w:p>
            <w:pPr>
              <w:spacing w:after="0"/>
              <w:rPr>
                <w:sz w:val="22"/>
                <w:szCs w:val="22"/>
                <w:color w:val="auto"/>
              </w:rPr>
            </w:pPr>
          </w:p>
        </w:tc>
      </w:tr>
      <w:tr>
        <w:trPr>
          <w:trHeight w:val="284"/>
        </w:trPr>
        <w:tc>
          <w:tcPr>
            <w:tcW w:w="6280" w:type="dxa"/>
            <w:vAlign w:val="bottom"/>
          </w:tcPr>
          <w:p>
            <w:pPr>
              <w:ind w:left="1360"/>
              <w:spacing w:after="0"/>
              <w:rPr>
                <w:sz w:val="20"/>
                <w:szCs w:val="20"/>
                <w:color w:val="auto"/>
              </w:rPr>
            </w:pPr>
            <w:r>
              <w:rPr>
                <w:rFonts w:ascii="Arial" w:cs="Arial" w:eastAsia="Arial" w:hAnsi="Arial"/>
                <w:sz w:val="20"/>
                <w:szCs w:val="20"/>
                <w:color w:val="auto"/>
              </w:rPr>
              <w:t>Net revenue growth</w:t>
            </w:r>
          </w:p>
        </w:tc>
        <w:tc>
          <w:tcPr>
            <w:tcW w:w="2580" w:type="dxa"/>
            <w:vAlign w:val="bottom"/>
          </w:tcPr>
          <w:p>
            <w:pPr>
              <w:ind w:left="560"/>
              <w:spacing w:after="0"/>
              <w:rPr>
                <w:sz w:val="20"/>
                <w:szCs w:val="20"/>
                <w:color w:val="auto"/>
              </w:rPr>
            </w:pPr>
            <w:r>
              <w:rPr>
                <w:rFonts w:ascii="Arial" w:cs="Arial" w:eastAsia="Arial" w:hAnsi="Arial"/>
                <w:sz w:val="20"/>
                <w:szCs w:val="20"/>
                <w:color w:val="auto"/>
              </w:rPr>
              <w:t>4-6%</w:t>
            </w:r>
          </w:p>
        </w:tc>
      </w:tr>
      <w:tr>
        <w:trPr>
          <w:trHeight w:val="284"/>
        </w:trPr>
        <w:tc>
          <w:tcPr>
            <w:tcW w:w="6280" w:type="dxa"/>
            <w:vAlign w:val="bottom"/>
          </w:tcPr>
          <w:p>
            <w:pPr>
              <w:ind w:left="1360"/>
              <w:spacing w:after="0"/>
              <w:rPr>
                <w:sz w:val="20"/>
                <w:szCs w:val="20"/>
                <w:color w:val="auto"/>
              </w:rPr>
            </w:pPr>
            <w:r>
              <w:rPr>
                <w:rFonts w:ascii="Arial" w:cs="Arial" w:eastAsia="Arial" w:hAnsi="Arial"/>
                <w:sz w:val="20"/>
                <w:szCs w:val="20"/>
                <w:color w:val="auto"/>
              </w:rPr>
              <w:t>Pre-tax return on net revenue</w:t>
            </w:r>
          </w:p>
        </w:tc>
        <w:tc>
          <w:tcPr>
            <w:tcW w:w="2580" w:type="dxa"/>
            <w:vAlign w:val="bottom"/>
          </w:tcPr>
          <w:p>
            <w:pPr>
              <w:ind w:left="560"/>
              <w:spacing w:after="0"/>
              <w:rPr>
                <w:sz w:val="20"/>
                <w:szCs w:val="20"/>
                <w:color w:val="auto"/>
              </w:rPr>
            </w:pPr>
            <w:r>
              <w:rPr>
                <w:rFonts w:ascii="Arial" w:cs="Arial" w:eastAsia="Arial" w:hAnsi="Arial"/>
                <w:sz w:val="20"/>
                <w:szCs w:val="20"/>
                <w:color w:val="auto"/>
              </w:rPr>
              <w:t>30-33%</w:t>
            </w:r>
          </w:p>
        </w:tc>
      </w:tr>
      <w:tr>
        <w:trPr>
          <w:trHeight w:val="23"/>
        </w:trPr>
        <w:tc>
          <w:tcPr>
            <w:tcW w:w="6280" w:type="dxa"/>
            <w:vAlign w:val="bottom"/>
            <w:tcBorders>
              <w:bottom w:val="single" w:sz="8" w:color="auto"/>
            </w:tcBorders>
          </w:tcPr>
          <w:p>
            <w:pPr>
              <w:spacing w:after="0"/>
              <w:rPr>
                <w:sz w:val="2"/>
                <w:szCs w:val="2"/>
                <w:color w:val="auto"/>
              </w:rPr>
            </w:pPr>
          </w:p>
        </w:tc>
        <w:tc>
          <w:tcPr>
            <w:tcW w:w="2580" w:type="dxa"/>
            <w:vAlign w:val="bottom"/>
            <w:tcBorders>
              <w:bottom w:val="single" w:sz="8" w:color="auto"/>
            </w:tcBorders>
          </w:tcPr>
          <w:p>
            <w:pPr>
              <w:spacing w:after="0"/>
              <w:rPr>
                <w:sz w:val="2"/>
                <w:szCs w:val="2"/>
                <w:color w:val="auto"/>
              </w:rPr>
            </w:pPr>
          </w:p>
        </w:tc>
      </w:tr>
      <w:tr>
        <w:trPr>
          <w:trHeight w:val="254"/>
        </w:trPr>
        <w:tc>
          <w:tcPr>
            <w:tcW w:w="6280" w:type="dxa"/>
            <w:vAlign w:val="bottom"/>
          </w:tcPr>
          <w:p>
            <w:pPr>
              <w:ind w:left="40"/>
              <w:spacing w:after="0"/>
              <w:rPr>
                <w:sz w:val="20"/>
                <w:szCs w:val="20"/>
                <w:color w:val="auto"/>
              </w:rPr>
            </w:pPr>
            <w:r>
              <w:rPr>
                <w:rFonts w:ascii="Arial" w:cs="Arial" w:eastAsia="Arial" w:hAnsi="Arial"/>
                <w:sz w:val="20"/>
                <w:szCs w:val="20"/>
                <w:b w:val="1"/>
                <w:bCs w:val="1"/>
                <w:color w:val="auto"/>
              </w:rPr>
              <w:t>Retirement &amp; Investor Services – Guaranteed</w:t>
            </w:r>
          </w:p>
        </w:tc>
        <w:tc>
          <w:tcPr>
            <w:tcW w:w="2580" w:type="dxa"/>
            <w:vAlign w:val="bottom"/>
          </w:tcPr>
          <w:p>
            <w:pPr>
              <w:spacing w:after="0"/>
              <w:rPr>
                <w:sz w:val="22"/>
                <w:szCs w:val="22"/>
                <w:color w:val="auto"/>
              </w:rPr>
            </w:pPr>
          </w:p>
        </w:tc>
      </w:tr>
      <w:tr>
        <w:trPr>
          <w:trHeight w:val="284"/>
        </w:trPr>
        <w:tc>
          <w:tcPr>
            <w:tcW w:w="6280" w:type="dxa"/>
            <w:vAlign w:val="bottom"/>
          </w:tcPr>
          <w:p>
            <w:pPr>
              <w:ind w:left="1360"/>
              <w:spacing w:after="0"/>
              <w:rPr>
                <w:sz w:val="20"/>
                <w:szCs w:val="20"/>
                <w:color w:val="auto"/>
              </w:rPr>
            </w:pPr>
            <w:r>
              <w:rPr>
                <w:rFonts w:ascii="Arial" w:cs="Arial" w:eastAsia="Arial" w:hAnsi="Arial"/>
                <w:sz w:val="20"/>
                <w:szCs w:val="20"/>
                <w:color w:val="auto"/>
              </w:rPr>
              <w:t>Net revenue growth</w:t>
            </w:r>
          </w:p>
        </w:tc>
        <w:tc>
          <w:tcPr>
            <w:tcW w:w="2580" w:type="dxa"/>
            <w:vAlign w:val="bottom"/>
          </w:tcPr>
          <w:p>
            <w:pPr>
              <w:ind w:left="560"/>
              <w:spacing w:after="0"/>
              <w:rPr>
                <w:sz w:val="20"/>
                <w:szCs w:val="20"/>
                <w:color w:val="auto"/>
              </w:rPr>
            </w:pPr>
            <w:r>
              <w:rPr>
                <w:rFonts w:ascii="Arial" w:cs="Arial" w:eastAsia="Arial" w:hAnsi="Arial"/>
                <w:sz w:val="20"/>
                <w:szCs w:val="20"/>
                <w:color w:val="auto"/>
              </w:rPr>
              <w:t>(2)-2%</w:t>
            </w:r>
          </w:p>
        </w:tc>
      </w:tr>
      <w:tr>
        <w:trPr>
          <w:trHeight w:val="284"/>
        </w:trPr>
        <w:tc>
          <w:tcPr>
            <w:tcW w:w="6280" w:type="dxa"/>
            <w:vAlign w:val="bottom"/>
          </w:tcPr>
          <w:p>
            <w:pPr>
              <w:ind w:left="1360"/>
              <w:spacing w:after="0"/>
              <w:rPr>
                <w:sz w:val="20"/>
                <w:szCs w:val="20"/>
                <w:color w:val="auto"/>
              </w:rPr>
            </w:pPr>
            <w:r>
              <w:rPr>
                <w:rFonts w:ascii="Arial" w:cs="Arial" w:eastAsia="Arial" w:hAnsi="Arial"/>
                <w:sz w:val="20"/>
                <w:szCs w:val="20"/>
                <w:color w:val="auto"/>
              </w:rPr>
              <w:t>Pre-tax return on net revenue</w:t>
            </w:r>
          </w:p>
        </w:tc>
        <w:tc>
          <w:tcPr>
            <w:tcW w:w="2580" w:type="dxa"/>
            <w:vAlign w:val="bottom"/>
          </w:tcPr>
          <w:p>
            <w:pPr>
              <w:ind w:left="560"/>
              <w:spacing w:after="0"/>
              <w:rPr>
                <w:sz w:val="20"/>
                <w:szCs w:val="20"/>
                <w:color w:val="auto"/>
              </w:rPr>
            </w:pPr>
            <w:r>
              <w:rPr>
                <w:rFonts w:ascii="Arial" w:cs="Arial" w:eastAsia="Arial" w:hAnsi="Arial"/>
                <w:sz w:val="20"/>
                <w:szCs w:val="20"/>
                <w:color w:val="auto"/>
              </w:rPr>
              <w:t>78-80%</w:t>
            </w:r>
          </w:p>
        </w:tc>
      </w:tr>
      <w:tr>
        <w:trPr>
          <w:trHeight w:val="23"/>
        </w:trPr>
        <w:tc>
          <w:tcPr>
            <w:tcW w:w="6280" w:type="dxa"/>
            <w:vAlign w:val="bottom"/>
            <w:tcBorders>
              <w:bottom w:val="single" w:sz="8" w:color="auto"/>
            </w:tcBorders>
          </w:tcPr>
          <w:p>
            <w:pPr>
              <w:spacing w:after="0"/>
              <w:rPr>
                <w:sz w:val="2"/>
                <w:szCs w:val="2"/>
                <w:color w:val="auto"/>
              </w:rPr>
            </w:pPr>
          </w:p>
        </w:tc>
        <w:tc>
          <w:tcPr>
            <w:tcW w:w="2580" w:type="dxa"/>
            <w:vAlign w:val="bottom"/>
            <w:tcBorders>
              <w:bottom w:val="single" w:sz="8" w:color="auto"/>
            </w:tcBorders>
          </w:tcPr>
          <w:p>
            <w:pPr>
              <w:spacing w:after="0"/>
              <w:rPr>
                <w:sz w:val="2"/>
                <w:szCs w:val="2"/>
                <w:color w:val="auto"/>
              </w:rPr>
            </w:pPr>
          </w:p>
        </w:tc>
      </w:tr>
      <w:tr>
        <w:trPr>
          <w:trHeight w:val="254"/>
        </w:trPr>
        <w:tc>
          <w:tcPr>
            <w:tcW w:w="6280" w:type="dxa"/>
            <w:vAlign w:val="bottom"/>
          </w:tcPr>
          <w:p>
            <w:pPr>
              <w:ind w:left="40"/>
              <w:spacing w:after="0"/>
              <w:rPr>
                <w:sz w:val="20"/>
                <w:szCs w:val="20"/>
                <w:color w:val="auto"/>
              </w:rPr>
            </w:pPr>
            <w:r>
              <w:rPr>
                <w:rFonts w:ascii="Arial" w:cs="Arial" w:eastAsia="Arial" w:hAnsi="Arial"/>
                <w:sz w:val="20"/>
                <w:szCs w:val="20"/>
                <w:b w:val="1"/>
                <w:bCs w:val="1"/>
                <w:color w:val="auto"/>
              </w:rPr>
              <w:t>Principal Global Investors</w:t>
            </w:r>
          </w:p>
        </w:tc>
        <w:tc>
          <w:tcPr>
            <w:tcW w:w="2580" w:type="dxa"/>
            <w:vAlign w:val="bottom"/>
          </w:tcPr>
          <w:p>
            <w:pPr>
              <w:spacing w:after="0"/>
              <w:rPr>
                <w:sz w:val="22"/>
                <w:szCs w:val="22"/>
                <w:color w:val="auto"/>
              </w:rPr>
            </w:pPr>
          </w:p>
        </w:tc>
      </w:tr>
      <w:tr>
        <w:trPr>
          <w:trHeight w:val="284"/>
        </w:trPr>
        <w:tc>
          <w:tcPr>
            <w:tcW w:w="6280" w:type="dxa"/>
            <w:vAlign w:val="bottom"/>
          </w:tcPr>
          <w:p>
            <w:pPr>
              <w:ind w:left="1360"/>
              <w:spacing w:after="0"/>
              <w:rPr>
                <w:sz w:val="20"/>
                <w:szCs w:val="20"/>
                <w:color w:val="auto"/>
              </w:rPr>
            </w:pPr>
            <w:r>
              <w:rPr>
                <w:rFonts w:ascii="Arial" w:cs="Arial" w:eastAsia="Arial" w:hAnsi="Arial"/>
                <w:sz w:val="20"/>
                <w:szCs w:val="20"/>
                <w:color w:val="auto"/>
              </w:rPr>
              <w:t>Revenue growth</w:t>
            </w:r>
          </w:p>
        </w:tc>
        <w:tc>
          <w:tcPr>
            <w:tcW w:w="2580" w:type="dxa"/>
            <w:vAlign w:val="bottom"/>
          </w:tcPr>
          <w:p>
            <w:pPr>
              <w:ind w:left="560"/>
              <w:spacing w:after="0"/>
              <w:rPr>
                <w:sz w:val="20"/>
                <w:szCs w:val="20"/>
                <w:color w:val="auto"/>
              </w:rPr>
            </w:pPr>
            <w:r>
              <w:rPr>
                <w:rFonts w:ascii="Arial" w:cs="Arial" w:eastAsia="Arial" w:hAnsi="Arial"/>
                <w:sz w:val="20"/>
                <w:szCs w:val="20"/>
                <w:color w:val="auto"/>
              </w:rPr>
              <w:t>7-10%</w:t>
            </w:r>
          </w:p>
        </w:tc>
      </w:tr>
      <w:tr>
        <w:trPr>
          <w:trHeight w:val="284"/>
        </w:trPr>
        <w:tc>
          <w:tcPr>
            <w:tcW w:w="6280" w:type="dxa"/>
            <w:vAlign w:val="bottom"/>
          </w:tcPr>
          <w:p>
            <w:pPr>
              <w:ind w:left="1360"/>
              <w:spacing w:after="0"/>
              <w:rPr>
                <w:sz w:val="20"/>
                <w:szCs w:val="20"/>
                <w:color w:val="auto"/>
              </w:rPr>
            </w:pPr>
            <w:r>
              <w:rPr>
                <w:rFonts w:ascii="Arial" w:cs="Arial" w:eastAsia="Arial" w:hAnsi="Arial"/>
                <w:sz w:val="20"/>
                <w:szCs w:val="20"/>
                <w:color w:val="auto"/>
              </w:rPr>
              <w:t>Pre-tax margin</w:t>
            </w:r>
          </w:p>
        </w:tc>
        <w:tc>
          <w:tcPr>
            <w:tcW w:w="2580" w:type="dxa"/>
            <w:vAlign w:val="bottom"/>
          </w:tcPr>
          <w:p>
            <w:pPr>
              <w:ind w:left="560"/>
              <w:spacing w:after="0"/>
              <w:rPr>
                <w:sz w:val="20"/>
                <w:szCs w:val="20"/>
                <w:color w:val="auto"/>
              </w:rPr>
            </w:pPr>
            <w:r>
              <w:rPr>
                <w:rFonts w:ascii="Arial" w:cs="Arial" w:eastAsia="Arial" w:hAnsi="Arial"/>
                <w:sz w:val="20"/>
                <w:szCs w:val="20"/>
                <w:color w:val="auto"/>
              </w:rPr>
              <w:t>26-28%</w:t>
            </w:r>
          </w:p>
        </w:tc>
      </w:tr>
      <w:tr>
        <w:trPr>
          <w:trHeight w:val="23"/>
        </w:trPr>
        <w:tc>
          <w:tcPr>
            <w:tcW w:w="6280" w:type="dxa"/>
            <w:vAlign w:val="bottom"/>
            <w:tcBorders>
              <w:bottom w:val="single" w:sz="8" w:color="auto"/>
            </w:tcBorders>
          </w:tcPr>
          <w:p>
            <w:pPr>
              <w:spacing w:after="0"/>
              <w:rPr>
                <w:sz w:val="2"/>
                <w:szCs w:val="2"/>
                <w:color w:val="auto"/>
              </w:rPr>
            </w:pPr>
          </w:p>
        </w:tc>
        <w:tc>
          <w:tcPr>
            <w:tcW w:w="2580" w:type="dxa"/>
            <w:vAlign w:val="bottom"/>
            <w:tcBorders>
              <w:bottom w:val="single" w:sz="8" w:color="auto"/>
            </w:tcBorders>
          </w:tcPr>
          <w:p>
            <w:pPr>
              <w:spacing w:after="0"/>
              <w:rPr>
                <w:sz w:val="2"/>
                <w:szCs w:val="2"/>
                <w:color w:val="auto"/>
              </w:rPr>
            </w:pPr>
          </w:p>
        </w:tc>
      </w:tr>
      <w:tr>
        <w:trPr>
          <w:trHeight w:val="254"/>
        </w:trPr>
        <w:tc>
          <w:tcPr>
            <w:tcW w:w="6280" w:type="dxa"/>
            <w:vAlign w:val="bottom"/>
          </w:tcPr>
          <w:p>
            <w:pPr>
              <w:ind w:left="40"/>
              <w:spacing w:after="0"/>
              <w:rPr>
                <w:sz w:val="20"/>
                <w:szCs w:val="20"/>
                <w:color w:val="auto"/>
              </w:rPr>
            </w:pPr>
            <w:r>
              <w:rPr>
                <w:rFonts w:ascii="Arial" w:cs="Arial" w:eastAsia="Arial" w:hAnsi="Arial"/>
                <w:sz w:val="20"/>
                <w:szCs w:val="20"/>
                <w:b w:val="1"/>
                <w:bCs w:val="1"/>
                <w:color w:val="auto"/>
              </w:rPr>
              <w:t>Principal International</w:t>
            </w:r>
          </w:p>
        </w:tc>
        <w:tc>
          <w:tcPr>
            <w:tcW w:w="2580" w:type="dxa"/>
            <w:vAlign w:val="bottom"/>
          </w:tcPr>
          <w:p>
            <w:pPr>
              <w:spacing w:after="0"/>
              <w:rPr>
                <w:sz w:val="22"/>
                <w:szCs w:val="22"/>
                <w:color w:val="auto"/>
              </w:rPr>
            </w:pPr>
          </w:p>
        </w:tc>
      </w:tr>
      <w:tr>
        <w:trPr>
          <w:trHeight w:val="263"/>
        </w:trPr>
        <w:tc>
          <w:tcPr>
            <w:tcW w:w="6280" w:type="dxa"/>
            <w:vAlign w:val="bottom"/>
          </w:tcPr>
          <w:p>
            <w:pPr>
              <w:ind w:left="1360"/>
              <w:spacing w:after="0"/>
              <w:rPr>
                <w:sz w:val="20"/>
                <w:szCs w:val="20"/>
                <w:color w:val="auto"/>
              </w:rPr>
            </w:pPr>
            <w:r>
              <w:rPr>
                <w:rFonts w:ascii="Arial" w:cs="Arial" w:eastAsia="Arial" w:hAnsi="Arial"/>
                <w:sz w:val="20"/>
                <w:szCs w:val="20"/>
                <w:color w:val="auto"/>
              </w:rPr>
              <w:t>Combined net revenue growth (normalized local basis)</w:t>
            </w:r>
          </w:p>
        </w:tc>
        <w:tc>
          <w:tcPr>
            <w:tcW w:w="2580" w:type="dxa"/>
            <w:vAlign w:val="bottom"/>
          </w:tcPr>
          <w:p>
            <w:pPr>
              <w:ind w:left="560"/>
              <w:spacing w:after="0"/>
              <w:rPr>
                <w:sz w:val="20"/>
                <w:szCs w:val="20"/>
                <w:color w:val="auto"/>
              </w:rPr>
            </w:pPr>
            <w:r>
              <w:rPr>
                <w:rFonts w:ascii="Arial" w:cs="Arial" w:eastAsia="Arial" w:hAnsi="Arial"/>
                <w:sz w:val="20"/>
                <w:szCs w:val="20"/>
                <w:color w:val="auto"/>
              </w:rPr>
              <w:t>14-16%</w:t>
            </w:r>
          </w:p>
        </w:tc>
      </w:tr>
      <w:tr>
        <w:trPr>
          <w:trHeight w:val="250"/>
        </w:trPr>
        <w:tc>
          <w:tcPr>
            <w:tcW w:w="6280" w:type="dxa"/>
            <w:vAlign w:val="bottom"/>
          </w:tcPr>
          <w:p>
            <w:pPr>
              <w:ind w:left="1360"/>
              <w:spacing w:after="0"/>
              <w:rPr>
                <w:sz w:val="20"/>
                <w:szCs w:val="20"/>
                <w:color w:val="auto"/>
              </w:rPr>
            </w:pPr>
            <w:r>
              <w:rPr>
                <w:rFonts w:ascii="Arial" w:cs="Arial" w:eastAsia="Arial" w:hAnsi="Arial"/>
                <w:sz w:val="20"/>
                <w:szCs w:val="20"/>
                <w:color w:val="auto"/>
              </w:rPr>
              <w:t>Combined net revenue growth (in reported USD)</w:t>
            </w:r>
          </w:p>
        </w:tc>
        <w:tc>
          <w:tcPr>
            <w:tcW w:w="2580" w:type="dxa"/>
            <w:vAlign w:val="bottom"/>
          </w:tcPr>
          <w:p>
            <w:pPr>
              <w:ind w:left="560"/>
              <w:spacing w:after="0"/>
              <w:rPr>
                <w:sz w:val="20"/>
                <w:szCs w:val="20"/>
                <w:color w:val="auto"/>
              </w:rPr>
            </w:pPr>
            <w:r>
              <w:rPr>
                <w:rFonts w:ascii="Arial" w:cs="Arial" w:eastAsia="Arial" w:hAnsi="Arial"/>
                <w:sz w:val="20"/>
                <w:szCs w:val="20"/>
                <w:color w:val="auto"/>
              </w:rPr>
              <w:t>8-10%</w:t>
            </w:r>
          </w:p>
        </w:tc>
      </w:tr>
      <w:tr>
        <w:trPr>
          <w:trHeight w:val="284"/>
        </w:trPr>
        <w:tc>
          <w:tcPr>
            <w:tcW w:w="6280" w:type="dxa"/>
            <w:vAlign w:val="bottom"/>
          </w:tcPr>
          <w:p>
            <w:pPr>
              <w:ind w:left="1360"/>
              <w:spacing w:after="0"/>
              <w:rPr>
                <w:sz w:val="20"/>
                <w:szCs w:val="20"/>
                <w:color w:val="auto"/>
              </w:rPr>
            </w:pPr>
            <w:r>
              <w:rPr>
                <w:rFonts w:ascii="Arial" w:cs="Arial" w:eastAsia="Arial" w:hAnsi="Arial"/>
                <w:sz w:val="20"/>
                <w:szCs w:val="20"/>
                <w:color w:val="auto"/>
              </w:rPr>
              <w:t>Combined pre-tax return on net revenue</w:t>
            </w:r>
          </w:p>
        </w:tc>
        <w:tc>
          <w:tcPr>
            <w:tcW w:w="2580" w:type="dxa"/>
            <w:vAlign w:val="bottom"/>
          </w:tcPr>
          <w:p>
            <w:pPr>
              <w:ind w:left="560"/>
              <w:spacing w:after="0"/>
              <w:rPr>
                <w:sz w:val="20"/>
                <w:szCs w:val="20"/>
                <w:color w:val="auto"/>
              </w:rPr>
            </w:pPr>
            <w:r>
              <w:rPr>
                <w:rFonts w:ascii="Arial" w:cs="Arial" w:eastAsia="Arial" w:hAnsi="Arial"/>
                <w:sz w:val="20"/>
                <w:szCs w:val="20"/>
                <w:color w:val="auto"/>
              </w:rPr>
              <w:t>50-52%</w:t>
            </w:r>
          </w:p>
        </w:tc>
      </w:tr>
      <w:tr>
        <w:trPr>
          <w:trHeight w:val="284"/>
        </w:trPr>
        <w:tc>
          <w:tcPr>
            <w:tcW w:w="6280" w:type="dxa"/>
            <w:vAlign w:val="bottom"/>
          </w:tcPr>
          <w:p>
            <w:pPr>
              <w:ind w:left="1360"/>
              <w:spacing w:after="0"/>
              <w:rPr>
                <w:sz w:val="20"/>
                <w:szCs w:val="20"/>
                <w:color w:val="auto"/>
              </w:rPr>
            </w:pPr>
            <w:r>
              <w:rPr>
                <w:rFonts w:ascii="Arial" w:cs="Arial" w:eastAsia="Arial" w:hAnsi="Arial"/>
                <w:sz w:val="20"/>
                <w:szCs w:val="20"/>
                <w:color w:val="auto"/>
              </w:rPr>
              <w:t>The Principal’s share of combined pre-tax earnings</w:t>
            </w:r>
          </w:p>
        </w:tc>
        <w:tc>
          <w:tcPr>
            <w:tcW w:w="2580" w:type="dxa"/>
            <w:vAlign w:val="bottom"/>
          </w:tcPr>
          <w:p>
            <w:pPr>
              <w:ind w:left="560"/>
              <w:spacing w:after="0"/>
              <w:rPr>
                <w:sz w:val="20"/>
                <w:szCs w:val="20"/>
                <w:color w:val="auto"/>
              </w:rPr>
            </w:pPr>
            <w:r>
              <w:rPr>
                <w:rFonts w:ascii="Arial" w:cs="Arial" w:eastAsia="Arial" w:hAnsi="Arial"/>
                <w:sz w:val="20"/>
                <w:szCs w:val="20"/>
                <w:color w:val="auto"/>
              </w:rPr>
              <w:t>35%</w:t>
            </w:r>
          </w:p>
        </w:tc>
      </w:tr>
      <w:tr>
        <w:trPr>
          <w:trHeight w:val="23"/>
        </w:trPr>
        <w:tc>
          <w:tcPr>
            <w:tcW w:w="6280" w:type="dxa"/>
            <w:vAlign w:val="bottom"/>
            <w:tcBorders>
              <w:bottom w:val="single" w:sz="8" w:color="auto"/>
            </w:tcBorders>
          </w:tcPr>
          <w:p>
            <w:pPr>
              <w:spacing w:after="0"/>
              <w:rPr>
                <w:sz w:val="2"/>
                <w:szCs w:val="2"/>
                <w:color w:val="auto"/>
              </w:rPr>
            </w:pPr>
          </w:p>
        </w:tc>
        <w:tc>
          <w:tcPr>
            <w:tcW w:w="2580" w:type="dxa"/>
            <w:vAlign w:val="bottom"/>
            <w:tcBorders>
              <w:bottom w:val="single" w:sz="8" w:color="auto"/>
            </w:tcBorders>
          </w:tcPr>
          <w:p>
            <w:pPr>
              <w:spacing w:after="0"/>
              <w:rPr>
                <w:sz w:val="2"/>
                <w:szCs w:val="2"/>
                <w:color w:val="auto"/>
              </w:rPr>
            </w:pPr>
          </w:p>
        </w:tc>
      </w:tr>
      <w:tr>
        <w:trPr>
          <w:trHeight w:val="254"/>
        </w:trPr>
        <w:tc>
          <w:tcPr>
            <w:tcW w:w="6280" w:type="dxa"/>
            <w:vAlign w:val="bottom"/>
          </w:tcPr>
          <w:p>
            <w:pPr>
              <w:ind w:left="40"/>
              <w:spacing w:after="0"/>
              <w:rPr>
                <w:sz w:val="20"/>
                <w:szCs w:val="20"/>
                <w:color w:val="auto"/>
              </w:rPr>
            </w:pPr>
            <w:r>
              <w:rPr>
                <w:rFonts w:ascii="Arial" w:cs="Arial" w:eastAsia="Arial" w:hAnsi="Arial"/>
                <w:sz w:val="20"/>
                <w:szCs w:val="20"/>
                <w:b w:val="1"/>
                <w:bCs w:val="1"/>
                <w:color w:val="auto"/>
              </w:rPr>
              <w:t>Individual Life</w:t>
            </w:r>
          </w:p>
        </w:tc>
        <w:tc>
          <w:tcPr>
            <w:tcW w:w="2580" w:type="dxa"/>
            <w:vAlign w:val="bottom"/>
          </w:tcPr>
          <w:p>
            <w:pPr>
              <w:spacing w:after="0"/>
              <w:rPr>
                <w:sz w:val="22"/>
                <w:szCs w:val="22"/>
                <w:color w:val="auto"/>
              </w:rPr>
            </w:pPr>
          </w:p>
        </w:tc>
      </w:tr>
      <w:tr>
        <w:trPr>
          <w:trHeight w:val="284"/>
        </w:trPr>
        <w:tc>
          <w:tcPr>
            <w:tcW w:w="6280" w:type="dxa"/>
            <w:vAlign w:val="bottom"/>
          </w:tcPr>
          <w:p>
            <w:pPr>
              <w:ind w:left="1360"/>
              <w:spacing w:after="0"/>
              <w:rPr>
                <w:sz w:val="20"/>
                <w:szCs w:val="20"/>
                <w:color w:val="auto"/>
              </w:rPr>
            </w:pPr>
            <w:r>
              <w:rPr>
                <w:rFonts w:ascii="Arial" w:cs="Arial" w:eastAsia="Arial" w:hAnsi="Arial"/>
                <w:sz w:val="20"/>
                <w:szCs w:val="20"/>
                <w:color w:val="auto"/>
              </w:rPr>
              <w:t>Premium and fee growth</w:t>
            </w:r>
          </w:p>
        </w:tc>
        <w:tc>
          <w:tcPr>
            <w:tcW w:w="2580" w:type="dxa"/>
            <w:vAlign w:val="bottom"/>
          </w:tcPr>
          <w:p>
            <w:pPr>
              <w:ind w:left="560"/>
              <w:spacing w:after="0"/>
              <w:rPr>
                <w:sz w:val="20"/>
                <w:szCs w:val="20"/>
                <w:color w:val="auto"/>
              </w:rPr>
            </w:pPr>
            <w:r>
              <w:rPr>
                <w:rFonts w:ascii="Arial" w:cs="Arial" w:eastAsia="Arial" w:hAnsi="Arial"/>
                <w:sz w:val="20"/>
                <w:szCs w:val="20"/>
                <w:color w:val="auto"/>
              </w:rPr>
              <w:t>3-5%</w:t>
            </w:r>
          </w:p>
        </w:tc>
      </w:tr>
      <w:tr>
        <w:trPr>
          <w:trHeight w:val="284"/>
        </w:trPr>
        <w:tc>
          <w:tcPr>
            <w:tcW w:w="6280" w:type="dxa"/>
            <w:vAlign w:val="bottom"/>
          </w:tcPr>
          <w:p>
            <w:pPr>
              <w:ind w:left="1360"/>
              <w:spacing w:after="0"/>
              <w:rPr>
                <w:sz w:val="20"/>
                <w:szCs w:val="20"/>
                <w:color w:val="auto"/>
              </w:rPr>
            </w:pPr>
            <w:r>
              <w:rPr>
                <w:rFonts w:ascii="Arial" w:cs="Arial" w:eastAsia="Arial" w:hAnsi="Arial"/>
                <w:sz w:val="20"/>
                <w:szCs w:val="20"/>
                <w:color w:val="auto"/>
              </w:rPr>
              <w:t>Pre-tax operating margin</w:t>
            </w:r>
          </w:p>
        </w:tc>
        <w:tc>
          <w:tcPr>
            <w:tcW w:w="2580" w:type="dxa"/>
            <w:vAlign w:val="bottom"/>
          </w:tcPr>
          <w:p>
            <w:pPr>
              <w:ind w:left="560"/>
              <w:spacing w:after="0"/>
              <w:rPr>
                <w:sz w:val="20"/>
                <w:szCs w:val="20"/>
                <w:color w:val="auto"/>
              </w:rPr>
            </w:pPr>
            <w:r>
              <w:rPr>
                <w:rFonts w:ascii="Arial" w:cs="Arial" w:eastAsia="Arial" w:hAnsi="Arial"/>
                <w:sz w:val="20"/>
                <w:szCs w:val="20"/>
                <w:color w:val="auto"/>
              </w:rPr>
              <w:t>13-16%</w:t>
            </w:r>
          </w:p>
        </w:tc>
      </w:tr>
      <w:tr>
        <w:trPr>
          <w:trHeight w:val="23"/>
        </w:trPr>
        <w:tc>
          <w:tcPr>
            <w:tcW w:w="6280" w:type="dxa"/>
            <w:vAlign w:val="bottom"/>
            <w:tcBorders>
              <w:bottom w:val="single" w:sz="8" w:color="auto"/>
            </w:tcBorders>
          </w:tcPr>
          <w:p>
            <w:pPr>
              <w:spacing w:after="0"/>
              <w:rPr>
                <w:sz w:val="2"/>
                <w:szCs w:val="2"/>
                <w:color w:val="auto"/>
              </w:rPr>
            </w:pPr>
          </w:p>
        </w:tc>
        <w:tc>
          <w:tcPr>
            <w:tcW w:w="2580" w:type="dxa"/>
            <w:vAlign w:val="bottom"/>
            <w:tcBorders>
              <w:bottom w:val="single" w:sz="8" w:color="auto"/>
            </w:tcBorders>
          </w:tcPr>
          <w:p>
            <w:pPr>
              <w:spacing w:after="0"/>
              <w:rPr>
                <w:sz w:val="2"/>
                <w:szCs w:val="2"/>
                <w:color w:val="auto"/>
              </w:rPr>
            </w:pPr>
          </w:p>
        </w:tc>
      </w:tr>
      <w:tr>
        <w:trPr>
          <w:trHeight w:val="254"/>
        </w:trPr>
        <w:tc>
          <w:tcPr>
            <w:tcW w:w="6280" w:type="dxa"/>
            <w:vAlign w:val="bottom"/>
          </w:tcPr>
          <w:p>
            <w:pPr>
              <w:ind w:left="40"/>
              <w:spacing w:after="0"/>
              <w:rPr>
                <w:sz w:val="20"/>
                <w:szCs w:val="20"/>
                <w:color w:val="auto"/>
              </w:rPr>
            </w:pPr>
            <w:r>
              <w:rPr>
                <w:rFonts w:ascii="Arial" w:cs="Arial" w:eastAsia="Arial" w:hAnsi="Arial"/>
                <w:sz w:val="20"/>
                <w:szCs w:val="20"/>
                <w:b w:val="1"/>
                <w:bCs w:val="1"/>
                <w:color w:val="auto"/>
              </w:rPr>
              <w:t>Specialty Benefits</w:t>
            </w:r>
          </w:p>
        </w:tc>
        <w:tc>
          <w:tcPr>
            <w:tcW w:w="2580" w:type="dxa"/>
            <w:vAlign w:val="bottom"/>
          </w:tcPr>
          <w:p>
            <w:pPr>
              <w:spacing w:after="0"/>
              <w:rPr>
                <w:sz w:val="22"/>
                <w:szCs w:val="22"/>
                <w:color w:val="auto"/>
              </w:rPr>
            </w:pPr>
          </w:p>
        </w:tc>
      </w:tr>
      <w:tr>
        <w:trPr>
          <w:trHeight w:val="284"/>
        </w:trPr>
        <w:tc>
          <w:tcPr>
            <w:tcW w:w="6280" w:type="dxa"/>
            <w:vAlign w:val="bottom"/>
          </w:tcPr>
          <w:p>
            <w:pPr>
              <w:ind w:left="1360"/>
              <w:spacing w:after="0"/>
              <w:rPr>
                <w:sz w:val="20"/>
                <w:szCs w:val="20"/>
                <w:color w:val="auto"/>
              </w:rPr>
            </w:pPr>
            <w:r>
              <w:rPr>
                <w:rFonts w:ascii="Arial" w:cs="Arial" w:eastAsia="Arial" w:hAnsi="Arial"/>
                <w:sz w:val="20"/>
                <w:szCs w:val="20"/>
                <w:color w:val="auto"/>
              </w:rPr>
              <w:t>Premium and fee growth</w:t>
            </w:r>
          </w:p>
        </w:tc>
        <w:tc>
          <w:tcPr>
            <w:tcW w:w="2580" w:type="dxa"/>
            <w:vAlign w:val="bottom"/>
          </w:tcPr>
          <w:p>
            <w:pPr>
              <w:ind w:left="560"/>
              <w:spacing w:after="0"/>
              <w:rPr>
                <w:sz w:val="20"/>
                <w:szCs w:val="20"/>
                <w:color w:val="auto"/>
              </w:rPr>
            </w:pPr>
            <w:r>
              <w:rPr>
                <w:rFonts w:ascii="Arial" w:cs="Arial" w:eastAsia="Arial" w:hAnsi="Arial"/>
                <w:sz w:val="20"/>
                <w:szCs w:val="20"/>
                <w:color w:val="auto"/>
              </w:rPr>
              <w:t>6-8%</w:t>
            </w:r>
          </w:p>
        </w:tc>
      </w:tr>
      <w:tr>
        <w:trPr>
          <w:trHeight w:val="284"/>
        </w:trPr>
        <w:tc>
          <w:tcPr>
            <w:tcW w:w="6280" w:type="dxa"/>
            <w:vAlign w:val="bottom"/>
          </w:tcPr>
          <w:p>
            <w:pPr>
              <w:ind w:left="1360"/>
              <w:spacing w:after="0"/>
              <w:rPr>
                <w:sz w:val="20"/>
                <w:szCs w:val="20"/>
                <w:color w:val="auto"/>
              </w:rPr>
            </w:pPr>
            <w:r>
              <w:rPr>
                <w:rFonts w:ascii="Arial" w:cs="Arial" w:eastAsia="Arial" w:hAnsi="Arial"/>
                <w:sz w:val="20"/>
                <w:szCs w:val="20"/>
                <w:color w:val="auto"/>
              </w:rPr>
              <w:t>Pre-tax operating margin</w:t>
            </w:r>
          </w:p>
        </w:tc>
        <w:tc>
          <w:tcPr>
            <w:tcW w:w="2580" w:type="dxa"/>
            <w:vAlign w:val="bottom"/>
          </w:tcPr>
          <w:p>
            <w:pPr>
              <w:ind w:left="560"/>
              <w:spacing w:after="0"/>
              <w:rPr>
                <w:sz w:val="20"/>
                <w:szCs w:val="20"/>
                <w:color w:val="auto"/>
              </w:rPr>
            </w:pPr>
            <w:r>
              <w:rPr>
                <w:rFonts w:ascii="Arial" w:cs="Arial" w:eastAsia="Arial" w:hAnsi="Arial"/>
                <w:sz w:val="20"/>
                <w:szCs w:val="20"/>
                <w:color w:val="auto"/>
              </w:rPr>
              <w:t>10-12%</w:t>
            </w:r>
          </w:p>
        </w:tc>
      </w:tr>
      <w:tr>
        <w:trPr>
          <w:trHeight w:val="284"/>
        </w:trPr>
        <w:tc>
          <w:tcPr>
            <w:tcW w:w="6280" w:type="dxa"/>
            <w:vAlign w:val="bottom"/>
          </w:tcPr>
          <w:p>
            <w:pPr>
              <w:ind w:left="1360"/>
              <w:spacing w:after="0"/>
              <w:rPr>
                <w:sz w:val="20"/>
                <w:szCs w:val="20"/>
                <w:color w:val="auto"/>
              </w:rPr>
            </w:pPr>
            <w:r>
              <w:rPr>
                <w:rFonts w:ascii="Arial" w:cs="Arial" w:eastAsia="Arial" w:hAnsi="Arial"/>
                <w:sz w:val="20"/>
                <w:szCs w:val="20"/>
                <w:color w:val="auto"/>
              </w:rPr>
              <w:t>Loss ratio</w:t>
            </w:r>
          </w:p>
        </w:tc>
        <w:tc>
          <w:tcPr>
            <w:tcW w:w="2580" w:type="dxa"/>
            <w:vAlign w:val="bottom"/>
          </w:tcPr>
          <w:p>
            <w:pPr>
              <w:ind w:left="560"/>
              <w:spacing w:after="0"/>
              <w:rPr>
                <w:sz w:val="20"/>
                <w:szCs w:val="20"/>
                <w:color w:val="auto"/>
              </w:rPr>
            </w:pPr>
            <w:r>
              <w:rPr>
                <w:rFonts w:ascii="Arial" w:cs="Arial" w:eastAsia="Arial" w:hAnsi="Arial"/>
                <w:sz w:val="20"/>
                <w:szCs w:val="20"/>
                <w:color w:val="auto"/>
              </w:rPr>
              <w:t>64-70%</w:t>
            </w:r>
          </w:p>
        </w:tc>
      </w:tr>
      <w:tr>
        <w:trPr>
          <w:trHeight w:val="23"/>
        </w:trPr>
        <w:tc>
          <w:tcPr>
            <w:tcW w:w="6280" w:type="dxa"/>
            <w:vAlign w:val="bottom"/>
            <w:tcBorders>
              <w:bottom w:val="single" w:sz="8" w:color="auto"/>
            </w:tcBorders>
          </w:tcPr>
          <w:p>
            <w:pPr>
              <w:spacing w:after="0"/>
              <w:rPr>
                <w:sz w:val="2"/>
                <w:szCs w:val="2"/>
                <w:color w:val="auto"/>
              </w:rPr>
            </w:pPr>
          </w:p>
        </w:tc>
        <w:tc>
          <w:tcPr>
            <w:tcW w:w="2580" w:type="dxa"/>
            <w:vAlign w:val="bottom"/>
            <w:tcBorders>
              <w:bottom w:val="single" w:sz="8" w:color="auto"/>
            </w:tcBorders>
          </w:tcPr>
          <w:p>
            <w:pPr>
              <w:spacing w:after="0"/>
              <w:rPr>
                <w:sz w:val="2"/>
                <w:szCs w:val="2"/>
                <w:color w:val="auto"/>
              </w:rPr>
            </w:pPr>
          </w:p>
        </w:tc>
      </w:tr>
      <w:tr>
        <w:trPr>
          <w:trHeight w:val="254"/>
        </w:trPr>
        <w:tc>
          <w:tcPr>
            <w:tcW w:w="6280" w:type="dxa"/>
            <w:vAlign w:val="bottom"/>
          </w:tcPr>
          <w:p>
            <w:pPr>
              <w:ind w:left="40"/>
              <w:spacing w:after="0"/>
              <w:rPr>
                <w:sz w:val="20"/>
                <w:szCs w:val="20"/>
                <w:color w:val="auto"/>
              </w:rPr>
            </w:pPr>
            <w:r>
              <w:rPr>
                <w:rFonts w:ascii="Arial" w:cs="Arial" w:eastAsia="Arial" w:hAnsi="Arial"/>
                <w:sz w:val="20"/>
                <w:szCs w:val="20"/>
                <w:b w:val="1"/>
                <w:bCs w:val="1"/>
                <w:color w:val="auto"/>
              </w:rPr>
              <w:t>Corporate</w:t>
            </w:r>
          </w:p>
        </w:tc>
        <w:tc>
          <w:tcPr>
            <w:tcW w:w="2580" w:type="dxa"/>
            <w:vAlign w:val="bottom"/>
          </w:tcPr>
          <w:p>
            <w:pPr>
              <w:spacing w:after="0"/>
              <w:rPr>
                <w:sz w:val="22"/>
                <w:szCs w:val="22"/>
                <w:color w:val="auto"/>
              </w:rPr>
            </w:pPr>
          </w:p>
        </w:tc>
      </w:tr>
      <w:tr>
        <w:trPr>
          <w:trHeight w:val="284"/>
        </w:trPr>
        <w:tc>
          <w:tcPr>
            <w:tcW w:w="6280" w:type="dxa"/>
            <w:vAlign w:val="bottom"/>
          </w:tcPr>
          <w:p>
            <w:pPr>
              <w:ind w:left="1360"/>
              <w:spacing w:after="0"/>
              <w:rPr>
                <w:sz w:val="20"/>
                <w:szCs w:val="20"/>
                <w:color w:val="auto"/>
              </w:rPr>
            </w:pPr>
            <w:r>
              <w:rPr>
                <w:rFonts w:ascii="Arial" w:cs="Arial" w:eastAsia="Arial" w:hAnsi="Arial"/>
                <w:sz w:val="20"/>
                <w:szCs w:val="20"/>
                <w:color w:val="auto"/>
              </w:rPr>
              <w:t>After-tax operating losses</w:t>
            </w:r>
          </w:p>
        </w:tc>
        <w:tc>
          <w:tcPr>
            <w:tcW w:w="2580" w:type="dxa"/>
            <w:vAlign w:val="bottom"/>
          </w:tcPr>
          <w:p>
            <w:pPr>
              <w:ind w:left="560"/>
              <w:spacing w:after="0"/>
              <w:rPr>
                <w:sz w:val="20"/>
                <w:szCs w:val="20"/>
                <w:color w:val="auto"/>
              </w:rPr>
            </w:pPr>
            <w:r>
              <w:rPr>
                <w:rFonts w:ascii="Arial" w:cs="Arial" w:eastAsia="Arial" w:hAnsi="Arial"/>
                <w:sz w:val="20"/>
                <w:szCs w:val="20"/>
                <w:color w:val="auto"/>
              </w:rPr>
              <w:t>$130-$150 million</w:t>
            </w:r>
          </w:p>
        </w:tc>
      </w:tr>
    </w:tbl>
    <w:p>
      <w:pPr>
        <w:sectPr>
          <w:pgSz w:w="11900" w:h="16838" w:orient="portrait"/>
          <w:cols w:equalWidth="0" w:num="1">
            <w:col w:w="11360"/>
          </w:cols>
          <w:pgMar w:left="240" w:top="625" w:right="299" w:bottom="1440" w:gutter="0" w:footer="0" w:header="0"/>
        </w:sectPr>
      </w:pPr>
    </w:p>
    <w:bookmarkStart w:id="3" w:name="page4"/>
    <w:bookmarkEnd w:id="3"/>
    <w:p>
      <w:pPr>
        <w:spacing w:after="0"/>
        <w:rPr>
          <w:sz w:val="20"/>
          <w:szCs w:val="20"/>
          <w:color w:val="auto"/>
        </w:rPr>
      </w:pPr>
      <w:r>
        <w:rPr>
          <w:rFonts w:ascii="Arial" w:cs="Arial" w:eastAsia="Arial" w:hAnsi="Arial"/>
          <w:sz w:val="20"/>
          <w:szCs w:val="20"/>
          <w:color w:val="auto"/>
        </w:rPr>
        <w:t>The outlook for 2015 incorporates certain assumptions including:</w:t>
      </w:r>
    </w:p>
    <w:p>
      <w:pPr>
        <w:spacing w:after="0" w:line="54" w:lineRule="exact"/>
        <w:rPr>
          <w:sz w:val="20"/>
          <w:szCs w:val="20"/>
          <w:color w:val="auto"/>
        </w:rPr>
      </w:pPr>
    </w:p>
    <w:p>
      <w:pPr>
        <w:ind w:left="980" w:hanging="324"/>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Average S&amp;P 500 index in 2015 of 2,140 assuming a 2 percent quarterly total return on levels as of the end of November 2014;</w:t>
      </w:r>
    </w:p>
    <w:p>
      <w:pPr>
        <w:spacing w:after="0" w:line="38" w:lineRule="exact"/>
        <w:rPr>
          <w:rFonts w:ascii="Arial" w:cs="Arial" w:eastAsia="Arial" w:hAnsi="Arial"/>
          <w:sz w:val="18"/>
          <w:szCs w:val="18"/>
          <w:color w:val="auto"/>
        </w:rPr>
      </w:pPr>
    </w:p>
    <w:p>
      <w:pPr>
        <w:ind w:left="980" w:hanging="324"/>
        <w:spacing w:after="0"/>
        <w:tabs>
          <w:tab w:leader="none" w:pos="980" w:val="left"/>
        </w:tabs>
        <w:numPr>
          <w:ilvl w:val="0"/>
          <w:numId w:val="2"/>
        </w:numPr>
        <w:rPr>
          <w:rFonts w:ascii="Arial" w:cs="Arial" w:eastAsia="Arial" w:hAnsi="Arial"/>
          <w:sz w:val="20"/>
          <w:szCs w:val="20"/>
          <w:color w:val="auto"/>
        </w:rPr>
      </w:pPr>
      <w:r>
        <w:rPr>
          <w:rFonts w:ascii="Arial" w:cs="Arial" w:eastAsia="Arial" w:hAnsi="Arial"/>
          <w:sz w:val="20"/>
          <w:szCs w:val="20"/>
          <w:color w:val="auto"/>
        </w:rPr>
        <w:t>10-year treasury yield increase to 2.75-3.00 percent at year-end 2015;</w:t>
      </w:r>
    </w:p>
    <w:p>
      <w:pPr>
        <w:ind w:left="980" w:right="320" w:hanging="324"/>
        <w:spacing w:after="0" w:line="212" w:lineRule="auto"/>
        <w:tabs>
          <w:tab w:leader="none" w:pos="980" w:val="left"/>
        </w:tabs>
        <w:numPr>
          <w:ilvl w:val="0"/>
          <w:numId w:val="2"/>
        </w:numPr>
        <w:rPr>
          <w:rFonts w:ascii="Arial" w:cs="Arial" w:eastAsia="Arial" w:hAnsi="Arial"/>
          <w:sz w:val="20"/>
          <w:szCs w:val="20"/>
          <w:color w:val="auto"/>
        </w:rPr>
      </w:pPr>
      <w:r>
        <w:rPr>
          <w:rFonts w:ascii="Arial" w:cs="Arial" w:eastAsia="Arial" w:hAnsi="Arial"/>
          <w:sz w:val="20"/>
          <w:szCs w:val="20"/>
          <w:color w:val="auto"/>
        </w:rPr>
        <w:t>Future foreign exchange rates follow external</w:t>
      </w:r>
      <w:r>
        <w:rPr>
          <w:rFonts w:ascii="Arial" w:cs="Arial" w:eastAsia="Arial" w:hAnsi="Arial"/>
          <w:sz w:val="25"/>
          <w:szCs w:val="25"/>
          <w:color w:val="auto"/>
          <w:vertAlign w:val="superscript"/>
        </w:rPr>
        <w:t>1</w:t>
      </w:r>
      <w:r>
        <w:rPr>
          <w:rFonts w:ascii="Arial" w:cs="Arial" w:eastAsia="Arial" w:hAnsi="Arial"/>
          <w:sz w:val="20"/>
          <w:szCs w:val="20"/>
          <w:color w:val="auto"/>
        </w:rPr>
        <w:t xml:space="preserve"> consensus as of the end of third quarter 2014; reflects a strengthening of the U.S. dollar in 2015;</w:t>
      </w:r>
    </w:p>
    <w:p>
      <w:pPr>
        <w:spacing w:after="0" w:line="2" w:lineRule="exact"/>
        <w:rPr>
          <w:rFonts w:ascii="Arial" w:cs="Arial" w:eastAsia="Arial" w:hAnsi="Arial"/>
          <w:sz w:val="20"/>
          <w:szCs w:val="20"/>
          <w:color w:val="auto"/>
        </w:rPr>
      </w:pPr>
    </w:p>
    <w:p>
      <w:pPr>
        <w:ind w:left="980" w:hanging="324"/>
        <w:spacing w:after="0"/>
        <w:tabs>
          <w:tab w:leader="none" w:pos="980" w:val="left"/>
        </w:tabs>
        <w:numPr>
          <w:ilvl w:val="0"/>
          <w:numId w:val="2"/>
        </w:numPr>
        <w:rPr>
          <w:rFonts w:ascii="Arial" w:cs="Arial" w:eastAsia="Arial" w:hAnsi="Arial"/>
          <w:sz w:val="20"/>
          <w:szCs w:val="20"/>
          <w:color w:val="auto"/>
        </w:rPr>
      </w:pPr>
      <w:r>
        <w:rPr>
          <w:rFonts w:ascii="Arial" w:cs="Arial" w:eastAsia="Arial" w:hAnsi="Arial"/>
          <w:sz w:val="20"/>
          <w:szCs w:val="20"/>
          <w:color w:val="auto"/>
        </w:rPr>
        <w:t>Total company effective tax rate of 21 – 23 percent;</w:t>
      </w:r>
    </w:p>
    <w:p>
      <w:pPr>
        <w:ind w:left="980" w:right="500" w:hanging="324"/>
        <w:spacing w:after="0" w:line="266" w:lineRule="auto"/>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$800 to $1,000 million of total capital deployed for common stock dividend, strategic acquisitions, and share repurchase (this includes $335 million for the recently announced acquisition of AXA’s pension business in Hong Kong); and</w:t>
      </w:r>
    </w:p>
    <w:p>
      <w:pPr>
        <w:ind w:left="980" w:hanging="324"/>
        <w:spacing w:after="0"/>
        <w:tabs>
          <w:tab w:leader="none" w:pos="980" w:val="left"/>
        </w:tabs>
        <w:numPr>
          <w:ilvl w:val="0"/>
          <w:numId w:val="2"/>
        </w:numPr>
        <w:rPr>
          <w:rFonts w:ascii="Arial" w:cs="Arial" w:eastAsia="Arial" w:hAnsi="Arial"/>
          <w:sz w:val="20"/>
          <w:szCs w:val="20"/>
          <w:color w:val="auto"/>
        </w:rPr>
      </w:pPr>
      <w:r>
        <w:rPr>
          <w:rFonts w:ascii="Arial" w:cs="Arial" w:eastAsia="Arial" w:hAnsi="Arial"/>
          <w:sz w:val="20"/>
          <w:szCs w:val="20"/>
          <w:color w:val="auto"/>
        </w:rPr>
        <w:t>Diluted weighted average number of common shares outstanding ranging from 297 – 300 million.</w:t>
      </w:r>
    </w:p>
    <w:p>
      <w:pPr>
        <w:spacing w:after="0" w:line="121" w:lineRule="exact"/>
        <w:rPr>
          <w:sz w:val="20"/>
          <w:szCs w:val="20"/>
          <w:color w:val="auto"/>
        </w:rPr>
      </w:pPr>
    </w:p>
    <w:p>
      <w:pPr>
        <w:spacing w:after="0"/>
        <w:rPr>
          <w:sz w:val="20"/>
          <w:szCs w:val="20"/>
          <w:color w:val="auto"/>
        </w:rPr>
      </w:pPr>
      <w:r>
        <w:rPr>
          <w:rFonts w:ascii="Arial" w:cs="Arial" w:eastAsia="Arial" w:hAnsi="Arial"/>
          <w:sz w:val="19"/>
          <w:szCs w:val="19"/>
          <w:color w:val="auto"/>
        </w:rPr>
        <w:t xml:space="preserve">The 30-minute call at </w:t>
      </w:r>
      <w:r>
        <w:rPr>
          <w:rFonts w:ascii="Arial" w:cs="Arial" w:eastAsia="Arial" w:hAnsi="Arial"/>
          <w:sz w:val="19"/>
          <w:szCs w:val="19"/>
          <w:b w:val="1"/>
          <w:bCs w:val="1"/>
          <w:color w:val="auto"/>
        </w:rPr>
        <w:t>9:00 a.m. EST on Dec. 8</w:t>
      </w:r>
      <w:r>
        <w:rPr>
          <w:rFonts w:ascii="Arial" w:cs="Arial" w:eastAsia="Arial" w:hAnsi="Arial"/>
          <w:sz w:val="19"/>
          <w:szCs w:val="19"/>
          <w:color w:val="auto"/>
        </w:rPr>
        <w:t xml:space="preserve"> can be accessed the following ways:</w:t>
      </w:r>
    </w:p>
    <w:p>
      <w:pPr>
        <w:spacing w:after="0" w:line="139" w:lineRule="exact"/>
        <w:rPr>
          <w:sz w:val="20"/>
          <w:szCs w:val="20"/>
          <w:color w:val="auto"/>
        </w:rPr>
      </w:pPr>
    </w:p>
    <w:p>
      <w:pPr>
        <w:ind w:left="660" w:right="540" w:hanging="328"/>
        <w:spacing w:after="0" w:line="261" w:lineRule="auto"/>
        <w:tabs>
          <w:tab w:leader="none" w:pos="660" w:val="left"/>
        </w:tabs>
        <w:numPr>
          <w:ilvl w:val="0"/>
          <w:numId w:val="3"/>
        </w:numPr>
        <w:rPr>
          <w:rFonts w:ascii="Arial" w:cs="Arial" w:eastAsia="Arial" w:hAnsi="Arial"/>
          <w:sz w:val="19"/>
          <w:szCs w:val="19"/>
          <w:color w:val="auto"/>
        </w:rPr>
      </w:pPr>
      <w:r>
        <w:rPr>
          <w:rFonts w:ascii="Arial" w:cs="Arial" w:eastAsia="Arial" w:hAnsi="Arial"/>
          <w:sz w:val="19"/>
          <w:szCs w:val="19"/>
          <w:color w:val="auto"/>
        </w:rPr>
        <w:t>Via live Internet webcast. Please go to www.principal.com/investor at least 10-15 minutes prior to the start of the call to register, and to download and install any necessary audio software.</w:t>
      </w:r>
    </w:p>
    <w:p>
      <w:pPr>
        <w:spacing w:after="0" w:line="173" w:lineRule="exact"/>
        <w:rPr>
          <w:rFonts w:ascii="Arial" w:cs="Arial" w:eastAsia="Arial" w:hAnsi="Arial"/>
          <w:sz w:val="19"/>
          <w:szCs w:val="19"/>
          <w:color w:val="auto"/>
        </w:rPr>
      </w:pPr>
    </w:p>
    <w:p>
      <w:pPr>
        <w:ind w:left="660" w:right="3020" w:hanging="328"/>
        <w:spacing w:after="0" w:line="246" w:lineRule="auto"/>
        <w:tabs>
          <w:tab w:leader="none" w:pos="660" w:val="left"/>
        </w:tabs>
        <w:numPr>
          <w:ilvl w:val="0"/>
          <w:numId w:val="3"/>
        </w:numPr>
        <w:rPr>
          <w:rFonts w:ascii="Arial" w:cs="Arial" w:eastAsia="Arial" w:hAnsi="Arial"/>
          <w:sz w:val="19"/>
          <w:szCs w:val="19"/>
          <w:color w:val="auto"/>
        </w:rPr>
      </w:pPr>
      <w:r>
        <w:rPr>
          <w:rFonts w:ascii="Arial" w:cs="Arial" w:eastAsia="Arial" w:hAnsi="Arial"/>
          <w:sz w:val="19"/>
          <w:szCs w:val="19"/>
          <w:color w:val="auto"/>
        </w:rPr>
        <w:t>Via telephone by dialing the following numbers approximately 10 minutes prior to the start of the call. 866-427-0175 (U.S. and Canadian callers)</w:t>
      </w:r>
    </w:p>
    <w:p>
      <w:pPr>
        <w:ind w:left="660" w:right="8020"/>
        <w:spacing w:after="0" w:line="243" w:lineRule="auto"/>
        <w:rPr>
          <w:rFonts w:ascii="Arial" w:cs="Arial" w:eastAsia="Arial" w:hAnsi="Arial"/>
          <w:sz w:val="19"/>
          <w:szCs w:val="19"/>
          <w:color w:val="auto"/>
        </w:rPr>
      </w:pPr>
      <w:r>
        <w:rPr>
          <w:rFonts w:ascii="Arial" w:cs="Arial" w:eastAsia="Arial" w:hAnsi="Arial"/>
          <w:sz w:val="19"/>
          <w:szCs w:val="19"/>
          <w:color w:val="auto"/>
        </w:rPr>
        <w:t xml:space="preserve">706-643-7701 (International callers) Access code </w:t>
      </w:r>
      <w:r>
        <w:rPr>
          <w:rFonts w:ascii="Arial" w:cs="Arial" w:eastAsia="Arial" w:hAnsi="Arial"/>
          <w:sz w:val="19"/>
          <w:szCs w:val="19"/>
          <w:b w:val="1"/>
          <w:bCs w:val="1"/>
          <w:color w:val="auto"/>
        </w:rPr>
        <w:t>29138654</w:t>
      </w:r>
    </w:p>
    <w:p>
      <w:pPr>
        <w:spacing w:after="0" w:line="189" w:lineRule="exact"/>
        <w:rPr>
          <w:rFonts w:ascii="Arial" w:cs="Arial" w:eastAsia="Arial" w:hAnsi="Arial"/>
          <w:sz w:val="19"/>
          <w:szCs w:val="19"/>
          <w:color w:val="auto"/>
        </w:rPr>
      </w:pPr>
    </w:p>
    <w:p>
      <w:pPr>
        <w:ind w:left="660" w:hanging="328"/>
        <w:spacing w:after="0"/>
        <w:tabs>
          <w:tab w:leader="none" w:pos="660" w:val="left"/>
        </w:tabs>
        <w:numPr>
          <w:ilvl w:val="0"/>
          <w:numId w:val="3"/>
        </w:numPr>
        <w:rPr>
          <w:rFonts w:ascii="Arial" w:cs="Arial" w:eastAsia="Arial" w:hAnsi="Arial"/>
          <w:sz w:val="19"/>
          <w:szCs w:val="19"/>
          <w:color w:val="auto"/>
        </w:rPr>
      </w:pPr>
      <w:r>
        <w:rPr>
          <w:rFonts w:ascii="Arial" w:cs="Arial" w:eastAsia="Arial" w:hAnsi="Arial"/>
          <w:sz w:val="19"/>
          <w:szCs w:val="19"/>
          <w:color w:val="auto"/>
        </w:rPr>
        <w:t>An audio replay will be available via:</w:t>
      </w:r>
    </w:p>
    <w:p>
      <w:pPr>
        <w:spacing w:after="0" w:line="17" w:lineRule="exact"/>
        <w:rPr>
          <w:sz w:val="20"/>
          <w:szCs w:val="20"/>
          <w:color w:val="auto"/>
        </w:rPr>
      </w:pPr>
    </w:p>
    <w:p>
      <w:pPr>
        <w:ind w:left="660"/>
        <w:spacing w:after="0"/>
        <w:rPr>
          <w:sz w:val="20"/>
          <w:szCs w:val="20"/>
          <w:color w:val="auto"/>
        </w:rPr>
      </w:pPr>
      <w:r>
        <w:rPr>
          <w:rFonts w:ascii="Arial" w:cs="Arial" w:eastAsia="Arial" w:hAnsi="Arial"/>
          <w:sz w:val="22"/>
          <w:szCs w:val="22"/>
          <w:u w:val="single" w:color="auto"/>
          <w:color w:val="0000FF"/>
        </w:rPr>
        <w:t>www.principal.com/investor</w:t>
      </w:r>
    </w:p>
    <w:p>
      <w:pPr>
        <w:ind w:left="660"/>
        <w:spacing w:after="0" w:line="237" w:lineRule="auto"/>
        <w:rPr>
          <w:sz w:val="20"/>
          <w:szCs w:val="20"/>
          <w:color w:val="auto"/>
        </w:rPr>
      </w:pPr>
      <w:r>
        <w:rPr>
          <w:rFonts w:ascii="Arial" w:cs="Arial" w:eastAsia="Arial" w:hAnsi="Arial"/>
          <w:sz w:val="19"/>
          <w:szCs w:val="19"/>
          <w:color w:val="auto"/>
        </w:rPr>
        <w:t>855-859-2056 (U.S. and Canadian callers)</w:t>
      </w:r>
    </w:p>
    <w:p>
      <w:pPr>
        <w:ind w:left="660"/>
        <w:spacing w:after="0" w:line="237" w:lineRule="auto"/>
        <w:rPr>
          <w:sz w:val="20"/>
          <w:szCs w:val="20"/>
          <w:color w:val="auto"/>
        </w:rPr>
      </w:pPr>
      <w:r>
        <w:rPr>
          <w:rFonts w:ascii="Arial" w:cs="Arial" w:eastAsia="Arial" w:hAnsi="Arial"/>
          <w:sz w:val="19"/>
          <w:szCs w:val="19"/>
          <w:color w:val="auto"/>
        </w:rPr>
        <w:t>404-537-3406 (International callers)</w:t>
      </w:r>
    </w:p>
    <w:p>
      <w:pPr>
        <w:ind w:left="660"/>
        <w:spacing w:after="0" w:line="238" w:lineRule="auto"/>
        <w:rPr>
          <w:sz w:val="20"/>
          <w:szCs w:val="20"/>
          <w:color w:val="auto"/>
        </w:rPr>
      </w:pPr>
      <w:r>
        <w:rPr>
          <w:rFonts w:ascii="Arial" w:cs="Arial" w:eastAsia="Arial" w:hAnsi="Arial"/>
          <w:sz w:val="19"/>
          <w:szCs w:val="19"/>
          <w:color w:val="auto"/>
        </w:rPr>
        <w:t xml:space="preserve">Access code </w:t>
      </w:r>
      <w:r>
        <w:rPr>
          <w:rFonts w:ascii="Arial" w:cs="Arial" w:eastAsia="Arial" w:hAnsi="Arial"/>
          <w:sz w:val="19"/>
          <w:szCs w:val="19"/>
          <w:b w:val="1"/>
          <w:bCs w:val="1"/>
          <w:color w:val="auto"/>
        </w:rPr>
        <w:t>29138654</w:t>
      </w:r>
    </w:p>
    <w:p>
      <w:pPr>
        <w:ind w:left="660"/>
        <w:spacing w:after="0"/>
        <w:rPr>
          <w:sz w:val="20"/>
          <w:szCs w:val="20"/>
          <w:color w:val="auto"/>
        </w:rPr>
      </w:pPr>
      <w:r>
        <w:rPr>
          <w:rFonts w:ascii="Arial" w:cs="Arial" w:eastAsia="Arial" w:hAnsi="Arial"/>
          <w:sz w:val="18"/>
          <w:szCs w:val="18"/>
          <w:color w:val="auto"/>
        </w:rPr>
        <w:t>Replay will be available approximately two hours after the completion of the live outlook call through the end of day Dec. 15, 2014.</w:t>
      </w:r>
    </w:p>
    <w:p>
      <w:pPr>
        <w:spacing w:after="0" w:line="203"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Forward looking and cautionary statements</w:t>
      </w:r>
    </w:p>
    <w:p>
      <w:pPr>
        <w:spacing w:after="0" w:line="28" w:lineRule="exact"/>
        <w:rPr>
          <w:sz w:val="20"/>
          <w:szCs w:val="20"/>
          <w:color w:val="auto"/>
        </w:rPr>
      </w:pPr>
    </w:p>
    <w:p>
      <w:pPr>
        <w:ind w:left="340"/>
        <w:spacing w:after="0" w:line="266" w:lineRule="auto"/>
        <w:rPr>
          <w:sz w:val="20"/>
          <w:szCs w:val="20"/>
          <w:color w:val="auto"/>
        </w:rPr>
      </w:pPr>
      <w:r>
        <w:rPr>
          <w:rFonts w:ascii="Arial" w:cs="Arial" w:eastAsia="Arial" w:hAnsi="Arial"/>
          <w:sz w:val="17"/>
          <w:szCs w:val="17"/>
          <w:color w:val="auto"/>
        </w:rPr>
        <w:t>This press release contains forward-looking statements, including, without limitation, statements as to operating earnings, net income available to common stockholders, net cash flows, realized and unrealized gains and losses, capital and liquidity positions, sales and earnings trends, and management's beliefs, expectations, goals and opinions. The company does not undertake to update these statements, which are based on a number of assumptions concerning future conditions that may ultimately prove to be inaccurate. Future events and their effects on the company may not be those anticipated, and actual results may differ materially from the results anticipated in these forward-looking statements. The risks, uncertainties and factors that could cause or contribute to such material differences are discussed in the company's annual report on Form 10-K for the year ended Dec. 31, 2013, and in the company’s quarterly report on Form 10-Q for the quarter ended Sept. 30, 2014, filed by the company with the Securities and Exchange Commission, as updated or supplemented from time to time in subsequent filings. These risks and uncertainties include, without limitation: adverse capital and credit market conditions may significantly affect the company’s ability to meet liquidity needs, access to capital and cost of capital; conditions in the global capital markets and the economy generally; continued volatility or declines in the equity, bond or real estate markets; changes in interest rates or credit spreads; the company’s investment portfolio is subject to several risks that may diminish the value of its invested assets and the investment returns credited to customers; the company’s valuation of securities may include methodologies, estimations and assumptions that are subject to differing interpretations; the determination of the amount of allowances and impairments taken on the company’s investments requires estimations and assumptions that are subject to differing interpretations; gross unrealized losses may be realized or result in future impairments; competition from companies that may have greater financial resources, broader arrays of products, higher ratings and stronger financial performance; a downgrade in the company’s financial strength or credit ratings; inability to attract and retain sales representatives and develop new distribution sources; international business risks; the company’s actual experience could differ significantly from its pricing and reserving assumptions; the company’s ability to pay stockholder dividends and meet its obligations may be constrained by the limitations on dividends or distributions Iowa insurance laws impose on Principal Life; the pattern of amortizing the company’s DAC and other actuarial balances on its universal life-type insurance contracts, participating life insurance policies and certain investment contracts may change; the company may need to fund deficiencies in its “Closed Block” assets that support participating ordinary life insurance policies that had a dividend scale in force at the time of Principal Life’s 1998 conversion into a stock life insurance company; the company’s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2268855</wp:posOffset>
            </wp:positionH>
            <wp:positionV relativeFrom="paragraph">
              <wp:posOffset>102235</wp:posOffset>
            </wp:positionV>
            <wp:extent cx="57150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1500" cy="8890"/>
                    </a:xfrm>
                    <a:prstGeom prst="rect">
                      <a:avLst/>
                    </a:prstGeom>
                    <a:noFill/>
                  </pic:spPr>
                </pic:pic>
              </a:graphicData>
            </a:graphic>
          </wp:anchor>
        </w:drawing>
      </w:r>
    </w:p>
    <w:p>
      <w:pPr>
        <w:spacing w:after="0" w:line="163" w:lineRule="exact"/>
        <w:rPr>
          <w:sz w:val="20"/>
          <w:szCs w:val="20"/>
          <w:color w:val="auto"/>
        </w:rPr>
      </w:pPr>
    </w:p>
    <w:p>
      <w:pPr>
        <w:ind w:left="420" w:hanging="88"/>
        <w:spacing w:after="0"/>
        <w:tabs>
          <w:tab w:leader="none" w:pos="420" w:val="left"/>
        </w:tabs>
        <w:numPr>
          <w:ilvl w:val="0"/>
          <w:numId w:val="4"/>
        </w:numPr>
        <w:rPr>
          <w:rFonts w:ascii="Arial" w:cs="Arial" w:eastAsia="Arial" w:hAnsi="Arial"/>
          <w:sz w:val="9"/>
          <w:szCs w:val="9"/>
          <w:color w:val="auto"/>
        </w:rPr>
      </w:pPr>
      <w:r>
        <w:rPr>
          <w:rFonts w:ascii="Arial" w:cs="Arial" w:eastAsia="Arial" w:hAnsi="Arial"/>
          <w:sz w:val="14"/>
          <w:szCs w:val="14"/>
          <w:color w:val="auto"/>
        </w:rPr>
        <w:t>Latin America utilizes Central Bank estimates, while Asia uses Bloomberg.</w:t>
      </w:r>
    </w:p>
    <w:p>
      <w:pPr>
        <w:sectPr>
          <w:pgSz w:w="11900" w:h="16838" w:orient="portrait"/>
          <w:cols w:equalWidth="0" w:num="1">
            <w:col w:w="11420"/>
          </w:cols>
          <w:pgMar w:left="240" w:top="433" w:right="239" w:bottom="1440" w:gutter="0" w:footer="0" w:header="0"/>
        </w:sectPr>
      </w:pPr>
    </w:p>
    <w:bookmarkStart w:id="4" w:name="page5"/>
    <w:bookmarkEnd w:id="4"/>
    <w:p>
      <w:pPr>
        <w:ind w:left="340" w:right="140"/>
        <w:spacing w:after="0" w:line="255" w:lineRule="auto"/>
        <w:rPr>
          <w:sz w:val="20"/>
          <w:szCs w:val="20"/>
          <w:color w:val="auto"/>
        </w:rPr>
      </w:pPr>
      <w:r>
        <w:rPr>
          <w:rFonts w:ascii="Arial" w:cs="Arial" w:eastAsia="Arial" w:hAnsi="Arial"/>
          <w:sz w:val="18"/>
          <w:szCs w:val="18"/>
          <w:color w:val="auto"/>
        </w:rPr>
        <w:t>reinsurers could default on their obligations or increase their rates; risks arising from acquisitions of businesses; changes in laws, regulations or accounting standards; a computer system failure or security breach could disrupt the company’s business and damage its reputation; results of litigation and regulatory investigations; from time to time the company may become subject to tax audits, tax litigation or similar proceedings, and as a result it may owe additional taxes, interest and penalties in amounts that may be material; fluctuations in foreign currency exchange rates; and applicable laws and the company’s certificate of incorporation and by-laws may discourage takeovers and business combinations that some stockholders might consider in their best interests.</w:t>
      </w:r>
    </w:p>
    <w:p>
      <w:pPr>
        <w:spacing w:after="0" w:line="17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Use of Non-GAAP Financial Measures</w:t>
      </w:r>
    </w:p>
    <w:p>
      <w:pPr>
        <w:spacing w:after="0" w:line="28" w:lineRule="exact"/>
        <w:rPr>
          <w:sz w:val="20"/>
          <w:szCs w:val="20"/>
          <w:color w:val="auto"/>
        </w:rPr>
      </w:pPr>
    </w:p>
    <w:p>
      <w:pPr>
        <w:ind w:left="340"/>
        <w:spacing w:after="0" w:line="286" w:lineRule="auto"/>
        <w:rPr>
          <w:sz w:val="20"/>
          <w:szCs w:val="20"/>
          <w:color w:val="auto"/>
        </w:rPr>
      </w:pPr>
      <w:r>
        <w:rPr>
          <w:rFonts w:ascii="Arial" w:cs="Arial" w:eastAsia="Arial" w:hAnsi="Arial"/>
          <w:sz w:val="16"/>
          <w:szCs w:val="16"/>
          <w:color w:val="auto"/>
        </w:rPr>
        <w:t>In this presentation, the company provides outlook on certain metrics that impact operating earnings (losses) and earnings growth. Operating earnings is a non-GAAP financial measure that management believes is useful to investors because it illustrates the performance of normal, ongoing operations. Operating earnings are determined by adjusting GAAP net income available to common stockholders for net realized capital gains and losses, as adjusted, and other after-tax adjustments the company believes are not indicative of overall operating trends. However, it is possible these adjusting items have occurred in the past and could recur in future reporting periods. Management uses non-GAAP measures for goal setting, as a basis for determining employee compensation, and evaluating performance on a basis comparable to that used by investors and securities analysts. A reconciliation of the non-GAAP measures to the most directly comparable GAAP measures is not accessible on a forward-looking basis because the company does not believe it is possible to provide other than a range of net investment gains and losses, which can fluctuate significantly within or without the range and from period to period and may have a significant impact on GAAP net income available to common stockholders.</w:t>
      </w:r>
    </w:p>
    <w:p>
      <w:pPr>
        <w:spacing w:after="0" w:line="36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the Principal Financial Group</w:t>
      </w:r>
    </w:p>
    <w:p>
      <w:pPr>
        <w:spacing w:after="0" w:line="62" w:lineRule="exact"/>
        <w:rPr>
          <w:sz w:val="20"/>
          <w:szCs w:val="20"/>
          <w:color w:val="auto"/>
        </w:rPr>
      </w:pPr>
    </w:p>
    <w:p>
      <w:pPr>
        <w:ind w:left="340" w:right="20"/>
        <w:spacing w:after="0" w:line="399" w:lineRule="auto"/>
        <w:rPr>
          <w:sz w:val="20"/>
          <w:szCs w:val="20"/>
          <w:color w:val="auto"/>
        </w:rPr>
      </w:pPr>
      <w:r>
        <w:rPr>
          <w:rFonts w:ascii="Arial" w:cs="Arial" w:eastAsia="Arial" w:hAnsi="Arial"/>
          <w:sz w:val="17"/>
          <w:szCs w:val="17"/>
          <w:color w:val="auto"/>
        </w:rPr>
        <w:t>The Principal Financial Group</w:t>
      </w:r>
      <w:r>
        <w:rPr>
          <w:rFonts w:ascii="Arial" w:cs="Arial" w:eastAsia="Arial" w:hAnsi="Arial"/>
          <w:sz w:val="21"/>
          <w:szCs w:val="21"/>
          <w:color w:val="auto"/>
          <w:vertAlign w:val="superscript"/>
        </w:rPr>
        <w:t>®</w:t>
      </w:r>
      <w:r>
        <w:rPr>
          <w:rFonts w:ascii="Arial" w:cs="Arial" w:eastAsia="Arial" w:hAnsi="Arial"/>
          <w:sz w:val="17"/>
          <w:szCs w:val="17"/>
          <w:color w:val="auto"/>
        </w:rPr>
        <w:t xml:space="preserve"> (The Principal</w:t>
      </w:r>
      <w:r>
        <w:rPr>
          <w:rFonts w:ascii="Arial" w:cs="Arial" w:eastAsia="Arial" w:hAnsi="Arial"/>
          <w:sz w:val="21"/>
          <w:szCs w:val="21"/>
          <w:color w:val="auto"/>
          <w:vertAlign w:val="superscript"/>
        </w:rPr>
        <w:t>®</w:t>
      </w:r>
      <w:r>
        <w:rPr>
          <w:rFonts w:ascii="Arial" w:cs="Arial" w:eastAsia="Arial" w:hAnsi="Arial"/>
          <w:sz w:val="17"/>
          <w:szCs w:val="17"/>
          <w:color w:val="auto"/>
        </w:rPr>
        <w:t>)</w:t>
      </w:r>
      <w:r>
        <w:rPr>
          <w:rFonts w:ascii="Arial" w:cs="Arial" w:eastAsia="Arial" w:hAnsi="Arial"/>
          <w:sz w:val="21"/>
          <w:szCs w:val="21"/>
          <w:color w:val="auto"/>
          <w:vertAlign w:val="superscript"/>
        </w:rPr>
        <w:t>2</w:t>
      </w:r>
      <w:r>
        <w:rPr>
          <w:rFonts w:ascii="Arial" w:cs="Arial" w:eastAsia="Arial" w:hAnsi="Arial"/>
          <w:sz w:val="17"/>
          <w:szCs w:val="17"/>
          <w:color w:val="auto"/>
        </w:rPr>
        <w:t xml:space="preserve"> is a global investment management leader offering retirement services, insurance solutions and asset management. The Principal offers businesses, individuals and institutional clients a wide range of financial products and services, including retirement, asset management and insurance through its diverse family of financial services companies. Founded in</w:t>
      </w:r>
    </w:p>
    <w:p>
      <w:pPr>
        <w:spacing w:after="0" w:line="2" w:lineRule="exact"/>
        <w:rPr>
          <w:sz w:val="20"/>
          <w:szCs w:val="20"/>
          <w:color w:val="auto"/>
        </w:rPr>
      </w:pPr>
    </w:p>
    <w:p>
      <w:pPr>
        <w:jc w:val="both"/>
        <w:ind w:left="340" w:right="40"/>
        <w:spacing w:after="0" w:line="412" w:lineRule="auto"/>
        <w:rPr>
          <w:sz w:val="20"/>
          <w:szCs w:val="20"/>
          <w:color w:val="auto"/>
        </w:rPr>
      </w:pPr>
      <w:r>
        <w:rPr>
          <w:rFonts w:ascii="Arial" w:cs="Arial" w:eastAsia="Arial" w:hAnsi="Arial"/>
          <w:sz w:val="18"/>
          <w:szCs w:val="18"/>
          <w:color w:val="auto"/>
        </w:rPr>
        <w:t>1879 and a member of the FORTUNE 500</w:t>
      </w:r>
      <w:r>
        <w:rPr>
          <w:rFonts w:ascii="Arial" w:cs="Arial" w:eastAsia="Arial" w:hAnsi="Arial"/>
          <w:sz w:val="23"/>
          <w:szCs w:val="23"/>
          <w:color w:val="auto"/>
          <w:vertAlign w:val="superscript"/>
        </w:rPr>
        <w:t>®</w:t>
      </w:r>
      <w:r>
        <w:rPr>
          <w:rFonts w:ascii="Arial" w:cs="Arial" w:eastAsia="Arial" w:hAnsi="Arial"/>
          <w:sz w:val="18"/>
          <w:szCs w:val="18"/>
          <w:color w:val="auto"/>
        </w:rPr>
        <w:t>, the Principal Financial Group has $513.5 billion in assets under management</w:t>
      </w:r>
      <w:r>
        <w:rPr>
          <w:rFonts w:ascii="Arial" w:cs="Arial" w:eastAsia="Arial" w:hAnsi="Arial"/>
          <w:sz w:val="23"/>
          <w:szCs w:val="23"/>
          <w:color w:val="auto"/>
          <w:vertAlign w:val="superscript"/>
        </w:rPr>
        <w:t>3</w:t>
      </w:r>
      <w:r>
        <w:rPr>
          <w:rFonts w:ascii="Arial" w:cs="Arial" w:eastAsia="Arial" w:hAnsi="Arial"/>
          <w:sz w:val="18"/>
          <w:szCs w:val="18"/>
          <w:color w:val="auto"/>
        </w:rPr>
        <w:t xml:space="preserve"> and serves some 19.5 million customers worldwide from offices in Asia, Australia, Europe, Latin America and the United States. Principal Financial Group, Inc. is traded on the New York Stock Exchange under the ticker symbol PFG. For more information, visit www.principal.com.</w:t>
      </w:r>
    </w:p>
    <w:p>
      <w:pPr>
        <w:spacing w:after="0" w:line="305"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2063115</wp:posOffset>
            </wp:positionH>
            <wp:positionV relativeFrom="paragraph">
              <wp:posOffset>2351405</wp:posOffset>
            </wp:positionV>
            <wp:extent cx="57150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7150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80" w:hanging="72"/>
        <w:spacing w:after="0"/>
        <w:tabs>
          <w:tab w:leader="none" w:pos="80" w:val="left"/>
        </w:tabs>
        <w:numPr>
          <w:ilvl w:val="0"/>
          <w:numId w:val="5"/>
        </w:numPr>
        <w:rPr>
          <w:rFonts w:ascii="Arial" w:cs="Arial" w:eastAsia="Arial" w:hAnsi="Arial"/>
          <w:sz w:val="9"/>
          <w:szCs w:val="9"/>
          <w:color w:val="auto"/>
        </w:rPr>
      </w:pPr>
      <w:r>
        <w:rPr>
          <w:rFonts w:ascii="Arial" w:cs="Arial" w:eastAsia="Arial" w:hAnsi="Arial"/>
          <w:sz w:val="14"/>
          <w:szCs w:val="14"/>
          <w:color w:val="auto"/>
        </w:rPr>
        <w:t>“The Principal Financial Group” and “The Principal” are registered service marks of Principal Financial Services, Inc., a member of the Principal Financial Group.</w:t>
      </w:r>
    </w:p>
    <w:p>
      <w:pPr>
        <w:spacing w:after="0" w:line="13" w:lineRule="exact"/>
        <w:rPr>
          <w:rFonts w:ascii="Arial" w:cs="Arial" w:eastAsia="Arial" w:hAnsi="Arial"/>
          <w:sz w:val="9"/>
          <w:szCs w:val="9"/>
          <w:color w:val="auto"/>
        </w:rPr>
      </w:pPr>
    </w:p>
    <w:p>
      <w:pPr>
        <w:spacing w:after="0"/>
        <w:rPr>
          <w:rFonts w:ascii="Arial" w:cs="Arial" w:eastAsia="Arial" w:hAnsi="Arial"/>
          <w:sz w:val="9"/>
          <w:szCs w:val="9"/>
          <w:color w:val="auto"/>
        </w:rPr>
      </w:pPr>
      <w:r>
        <w:rPr>
          <w:rFonts w:ascii="Arial" w:cs="Arial" w:eastAsia="Arial" w:hAnsi="Arial"/>
          <w:sz w:val="9"/>
          <w:szCs w:val="9"/>
          <w:color w:val="auto"/>
        </w:rPr>
        <w:t xml:space="preserve">3 </w:t>
      </w:r>
      <w:r>
        <w:rPr>
          <w:rFonts w:ascii="Arial" w:cs="Arial" w:eastAsia="Arial" w:hAnsi="Arial"/>
          <w:sz w:val="14"/>
          <w:szCs w:val="14"/>
          <w:color w:val="auto"/>
        </w:rPr>
        <w:t>As of Sept. 30, 2014.</w:t>
      </w:r>
    </w:p>
    <w:sectPr>
      <w:pgSz w:w="11900" w:h="16838" w:orient="portrait"/>
      <w:cols w:equalWidth="0" w:num="1">
        <w:col w:w="11420"/>
      </w:cols>
      <w:pgMar w:left="240" w:top="58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1"/>
      <w:numFmt w:val="bullet"/>
      <w:start w:val="1"/>
    </w:lvl>
  </w:abstractNum>
  <w:abstractNum w:abstractNumId="4">
    <w:nsid w:val="46E87CCD"/>
    <w:multiLevelType w:val="hybridMultilevel"/>
    <w:lvl w:ilvl="0">
      <w:lvlJc w:val="left"/>
      <w:lvlText w:val="2"/>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2020-01-29T22:20:00Z</dcterms:created>
  <dcterms:modified xsi:type="dcterms:W3CDTF">2020-01-29T22:20:00Z</dcterms:modified>
</cp:coreProperties>
</file>