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spacing w:after="0" w:line="26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01"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FORM 8-K</w:t>
      </w:r>
    </w:p>
    <w:p>
      <w:pPr>
        <w:spacing w:after="0" w:line="200" w:lineRule="exact"/>
        <w:rPr>
          <w:sz w:val="24"/>
          <w:szCs w:val="24"/>
          <w:color w:val="auto"/>
        </w:rPr>
      </w:pPr>
    </w:p>
    <w:p>
      <w:pPr>
        <w:spacing w:after="0" w:line="26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Exchange Act of 1934</w:t>
      </w:r>
    </w:p>
    <w:p>
      <w:pPr>
        <w:spacing w:after="0" w:line="236"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October 25, 2018</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(Date of earliest event reported)</w:t>
      </w:r>
    </w:p>
    <w:p>
      <w:pPr>
        <w:spacing w:after="0" w:line="200" w:lineRule="exact"/>
        <w:rPr>
          <w:sz w:val="24"/>
          <w:szCs w:val="24"/>
          <w:color w:val="auto"/>
        </w:rPr>
      </w:pPr>
    </w:p>
    <w:p>
      <w:pPr>
        <w:spacing w:after="0" w:line="315"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PRINCIPAL FINANCIAL GROUP, INC.</w:t>
      </w:r>
    </w:p>
    <w:p>
      <w:pPr>
        <w:spacing w:after="0" w:line="4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375" w:lineRule="exact"/>
        <w:rPr>
          <w:sz w:val="24"/>
          <w:szCs w:val="24"/>
          <w:color w:val="auto"/>
        </w:rPr>
      </w:pPr>
    </w:p>
    <w:tbl>
      <w:tblPr>
        <w:tblLayout w:type="fixed"/>
        <w:tblInd w:w="2660" w:type="dxa"/>
        <w:tblCellMar>
          <w:top w:w="0" w:type="dxa"/>
          <w:left w:w="0" w:type="dxa"/>
          <w:bottom w:w="0" w:type="dxa"/>
          <w:right w:w="0" w:type="dxa"/>
        </w:tblCellMar>
      </w:tblPr>
      <w:tr>
        <w:trPr>
          <w:trHeight w:val="234"/>
        </w:trPr>
        <w:tc>
          <w:tcPr>
            <w:tcW w:w="2100" w:type="dxa"/>
            <w:vAlign w:val="bottom"/>
          </w:tcPr>
          <w:p>
            <w:pPr>
              <w:jc w:val="center"/>
              <w:ind w:right="90"/>
              <w:spacing w:after="0"/>
              <w:rPr>
                <w:sz w:val="20"/>
                <w:szCs w:val="20"/>
                <w:color w:val="auto"/>
              </w:rPr>
            </w:pPr>
            <w:r>
              <w:rPr>
                <w:rFonts w:ascii="Arial" w:cs="Arial" w:eastAsia="Arial" w:hAnsi="Arial"/>
                <w:sz w:val="18"/>
                <w:szCs w:val="18"/>
                <w:b w:val="1"/>
                <w:bCs w:val="1"/>
                <w:color w:val="auto"/>
                <w:w w:val="91"/>
              </w:rPr>
              <w:t>Delaware</w:t>
            </w:r>
          </w:p>
        </w:tc>
        <w:tc>
          <w:tcPr>
            <w:tcW w:w="2260" w:type="dxa"/>
            <w:vAlign w:val="bottom"/>
          </w:tcPr>
          <w:p>
            <w:pPr>
              <w:jc w:val="right"/>
              <w:ind w:right="730"/>
              <w:spacing w:after="0"/>
              <w:rPr>
                <w:sz w:val="20"/>
                <w:szCs w:val="20"/>
                <w:color w:val="auto"/>
              </w:rPr>
            </w:pPr>
            <w:r>
              <w:rPr>
                <w:rFonts w:ascii="Arial" w:cs="Arial" w:eastAsia="Arial" w:hAnsi="Arial"/>
                <w:sz w:val="18"/>
                <w:szCs w:val="18"/>
                <w:b w:val="1"/>
                <w:bCs w:val="1"/>
                <w:color w:val="auto"/>
              </w:rPr>
              <w:t>1-16725</w:t>
            </w:r>
          </w:p>
        </w:tc>
        <w:tc>
          <w:tcPr>
            <w:tcW w:w="182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42-1520346</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2"/>
              </w:rPr>
              <w:t>(State or other jurisdiction</w:t>
            </w:r>
          </w:p>
        </w:tc>
        <w:tc>
          <w:tcPr>
            <w:tcW w:w="2260" w:type="dxa"/>
            <w:vAlign w:val="bottom"/>
          </w:tcPr>
          <w:p>
            <w:pPr>
              <w:jc w:val="center"/>
              <w:spacing w:after="0"/>
              <w:rPr>
                <w:sz w:val="20"/>
                <w:szCs w:val="20"/>
                <w:color w:val="auto"/>
              </w:rPr>
            </w:pPr>
            <w:r>
              <w:rPr>
                <w:rFonts w:ascii="Arial" w:cs="Arial" w:eastAsia="Arial" w:hAnsi="Arial"/>
                <w:sz w:val="18"/>
                <w:szCs w:val="18"/>
                <w:color w:val="auto"/>
                <w:w w:val="93"/>
              </w:rPr>
              <w:t>(Commission file number)</w:t>
            </w:r>
          </w:p>
        </w:tc>
        <w:tc>
          <w:tcPr>
            <w:tcW w:w="1820" w:type="dxa"/>
            <w:vAlign w:val="bottom"/>
          </w:tcPr>
          <w:p>
            <w:pPr>
              <w:jc w:val="center"/>
              <w:ind w:left="50"/>
              <w:spacing w:after="0"/>
              <w:rPr>
                <w:sz w:val="20"/>
                <w:szCs w:val="20"/>
                <w:color w:val="auto"/>
              </w:rPr>
            </w:pPr>
            <w:r>
              <w:rPr>
                <w:rFonts w:ascii="Arial" w:cs="Arial" w:eastAsia="Arial" w:hAnsi="Arial"/>
                <w:sz w:val="18"/>
                <w:szCs w:val="18"/>
                <w:color w:val="auto"/>
                <w:w w:val="93"/>
              </w:rPr>
              <w:t>(I.R.S. Employer</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3"/>
              </w:rPr>
              <w:t>of incorporation)</w:t>
            </w:r>
          </w:p>
        </w:tc>
        <w:tc>
          <w:tcPr>
            <w:tcW w:w="2260" w:type="dxa"/>
            <w:vAlign w:val="bottom"/>
          </w:tcPr>
          <w:p>
            <w:pPr>
              <w:spacing w:after="0"/>
              <w:rPr>
                <w:sz w:val="23"/>
                <w:szCs w:val="23"/>
                <w:color w:val="auto"/>
              </w:rPr>
            </w:pPr>
          </w:p>
        </w:tc>
        <w:tc>
          <w:tcPr>
            <w:tcW w:w="1820" w:type="dxa"/>
            <w:vAlign w:val="bottom"/>
          </w:tcPr>
          <w:p>
            <w:pPr>
              <w:jc w:val="center"/>
              <w:ind w:left="70"/>
              <w:spacing w:after="0"/>
              <w:rPr>
                <w:sz w:val="20"/>
                <w:szCs w:val="20"/>
                <w:color w:val="auto"/>
              </w:rPr>
            </w:pPr>
            <w:r>
              <w:rPr>
                <w:rFonts w:ascii="Arial" w:cs="Arial" w:eastAsia="Arial" w:hAnsi="Arial"/>
                <w:sz w:val="18"/>
                <w:szCs w:val="18"/>
                <w:color w:val="auto"/>
                <w:w w:val="94"/>
              </w:rPr>
              <w:t>Identification Number)</w:t>
            </w:r>
          </w:p>
        </w:tc>
      </w:tr>
    </w:tbl>
    <w:p>
      <w:pPr>
        <w:spacing w:after="0" w:line="200" w:lineRule="exact"/>
        <w:rPr>
          <w:sz w:val="24"/>
          <w:szCs w:val="24"/>
          <w:color w:val="auto"/>
        </w:rPr>
      </w:pPr>
    </w:p>
    <w:p>
      <w:pPr>
        <w:spacing w:after="0" w:line="30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(Address of principal executive offices)</w:t>
      </w:r>
    </w:p>
    <w:p>
      <w:pPr>
        <w:spacing w:after="0" w:line="27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(515) 247-5111</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w:t>
      </w:r>
    </w:p>
    <w:p>
      <w:pPr>
        <w:spacing w:after="0" w:line="279" w:lineRule="exact"/>
        <w:rPr>
          <w:sz w:val="24"/>
          <w:szCs w:val="24"/>
          <w:color w:val="auto"/>
        </w:rPr>
      </w:pPr>
    </w:p>
    <w:p>
      <w:pPr>
        <w:spacing w:after="0" w:line="309"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6"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36"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36" w:lineRule="exact"/>
        <w:rPr>
          <w:rFonts w:ascii="Arial" w:cs="Arial" w:eastAsia="Arial" w:hAnsi="Arial"/>
          <w:sz w:val="18"/>
          <w:szCs w:val="18"/>
          <w:color w:val="auto"/>
        </w:rPr>
      </w:pPr>
    </w:p>
    <w:p>
      <w:pPr>
        <w:ind w:left="660" w:right="3920" w:hanging="652"/>
        <w:spacing w:after="0" w:line="281"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1" w:lineRule="exact"/>
        <w:rPr>
          <w:rFonts w:ascii="Arial" w:cs="Arial" w:eastAsia="Arial" w:hAnsi="Arial"/>
          <w:sz w:val="18"/>
          <w:szCs w:val="18"/>
          <w:color w:val="auto"/>
        </w:rPr>
      </w:pPr>
    </w:p>
    <w:p>
      <w:pPr>
        <w:ind w:left="660" w:right="3940" w:hanging="652"/>
        <w:spacing w:after="0" w:line="309"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140" w:lineRule="exact"/>
        <w:rPr>
          <w:sz w:val="24"/>
          <w:szCs w:val="24"/>
          <w:color w:val="auto"/>
        </w:rPr>
      </w:pPr>
    </w:p>
    <w:p>
      <w:pPr>
        <w:ind w:left="4820"/>
        <w:spacing w:after="0"/>
        <w:rPr>
          <w:sz w:val="20"/>
          <w:szCs w:val="20"/>
          <w:color w:val="auto"/>
        </w:rPr>
      </w:pPr>
      <w:r>
        <w:rPr>
          <w:rFonts w:ascii="Arial" w:cs="Arial" w:eastAsia="Arial" w:hAnsi="Arial"/>
          <w:sz w:val="20"/>
          <w:szCs w:val="20"/>
          <w:color w:val="auto"/>
        </w:rPr>
        <w:t>__________________</w:t>
      </w:r>
    </w:p>
    <w:p>
      <w:pPr>
        <w:sectPr>
          <w:pgSz w:w="11900" w:h="16838" w:orient="portrait"/>
          <w:cols w:equalWidth="0" w:num="1">
            <w:col w:w="11300"/>
          </w:cols>
          <w:pgMar w:left="240" w:top="747" w:right="35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Item 2.02. Results of Operations and Financial Condition</w:t>
      </w:r>
    </w:p>
    <w:p>
      <w:pPr>
        <w:spacing w:after="0" w:line="226" w:lineRule="exact"/>
        <w:rPr>
          <w:sz w:val="20"/>
          <w:szCs w:val="20"/>
          <w:color w:val="auto"/>
        </w:rPr>
      </w:pPr>
    </w:p>
    <w:p>
      <w:pPr>
        <w:ind w:right="140"/>
        <w:spacing w:after="0" w:line="343" w:lineRule="auto"/>
        <w:rPr>
          <w:sz w:val="20"/>
          <w:szCs w:val="20"/>
          <w:color w:val="auto"/>
        </w:rPr>
      </w:pPr>
      <w:r>
        <w:rPr>
          <w:rFonts w:ascii="Arial" w:cs="Arial" w:eastAsia="Arial" w:hAnsi="Arial"/>
          <w:sz w:val="19"/>
          <w:szCs w:val="19"/>
          <w:color w:val="auto"/>
        </w:rPr>
        <w:t>On October 25, 2018, Principal Financial Group, Inc. publicly announced information regarding its results of operations and financial condition for the quarter ended September 30, 2018. The text of the announcement is included herewith as Exhibit 99.</w:t>
      </w:r>
    </w:p>
    <w:p>
      <w:pPr>
        <w:spacing w:after="0" w:line="9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9.01 Financial Statements and Exhibits</w:t>
      </w:r>
    </w:p>
    <w:p>
      <w:pPr>
        <w:spacing w:after="0" w:line="320" w:lineRule="exact"/>
        <w:rPr>
          <w:sz w:val="20"/>
          <w:szCs w:val="20"/>
          <w:color w:val="auto"/>
        </w:rPr>
      </w:pPr>
    </w:p>
    <w:p>
      <w:pPr>
        <w:ind w:left="40"/>
        <w:spacing w:after="0"/>
        <w:tabs>
          <w:tab w:leader="none" w:pos="720" w:val="left"/>
        </w:tabs>
        <w:rPr>
          <w:rFonts w:ascii="Arial" w:cs="Arial" w:eastAsia="Arial" w:hAnsi="Arial"/>
          <w:sz w:val="22"/>
          <w:szCs w:val="22"/>
          <w:u w:val="single" w:color="auto"/>
          <w:color w:val="0000FF"/>
        </w:rPr>
      </w:pPr>
      <w:r>
        <w:rPr>
          <w:rFonts w:ascii="Arial" w:cs="Arial" w:eastAsia="Arial" w:hAnsi="Arial"/>
          <w:sz w:val="22"/>
          <w:szCs w:val="22"/>
          <w:u w:val="single" w:color="auto"/>
          <w:color w:val="0000FF"/>
        </w:rPr>
        <w:t>99</w:t>
      </w:r>
      <w:r>
        <w:rPr>
          <w:sz w:val="20"/>
          <w:szCs w:val="20"/>
          <w:color w:val="auto"/>
        </w:rPr>
        <w:tab/>
      </w:r>
      <w:hyperlink w:anchor="page3">
        <w:r>
          <w:rPr>
            <w:rFonts w:ascii="Arial" w:cs="Arial" w:eastAsia="Arial" w:hAnsi="Arial"/>
            <w:sz w:val="22"/>
            <w:szCs w:val="22"/>
            <w:u w:val="single" w:color="auto"/>
            <w:color w:val="0000FF"/>
          </w:rPr>
          <w:t>Third Quarter 2018 Earnings Release</w:t>
        </w:r>
      </w:hyperlink>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259"/>
        <w:spacing w:after="0"/>
        <w:rPr>
          <w:sz w:val="20"/>
          <w:szCs w:val="20"/>
          <w:color w:val="auto"/>
        </w:rPr>
      </w:pPr>
      <w:r>
        <w:rPr>
          <w:rFonts w:ascii="Arial" w:cs="Arial" w:eastAsia="Arial" w:hAnsi="Arial"/>
          <w:sz w:val="22"/>
          <w:szCs w:val="22"/>
          <w:color w:val="auto"/>
        </w:rPr>
        <w:t>SIGNATURE</w:t>
      </w:r>
    </w:p>
    <w:p>
      <w:pPr>
        <w:spacing w:after="0" w:line="260"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31" w:lineRule="exact"/>
        <w:rPr>
          <w:sz w:val="20"/>
          <w:szCs w:val="20"/>
          <w:color w:val="auto"/>
        </w:rPr>
      </w:pPr>
    </w:p>
    <w:p>
      <w:pPr>
        <w:ind w:left="4660"/>
        <w:spacing w:after="0"/>
        <w:rPr>
          <w:sz w:val="20"/>
          <w:szCs w:val="20"/>
          <w:color w:val="auto"/>
        </w:rPr>
      </w:pPr>
      <w:r>
        <w:rPr>
          <w:rFonts w:ascii="Arial" w:cs="Arial" w:eastAsia="Arial" w:hAnsi="Arial"/>
          <w:sz w:val="22"/>
          <w:szCs w:val="22"/>
          <w:color w:val="auto"/>
        </w:rPr>
        <w:t>PRINCIPAL FINANCIAL GROUP, INC.</w:t>
      </w:r>
    </w:p>
    <w:p>
      <w:pPr>
        <w:spacing w:after="0" w:line="368" w:lineRule="exact"/>
        <w:rPr>
          <w:sz w:val="20"/>
          <w:szCs w:val="20"/>
          <w:color w:val="auto"/>
        </w:rPr>
      </w:pPr>
    </w:p>
    <w:p>
      <w:pPr>
        <w:ind w:left="4660"/>
        <w:spacing w:after="0"/>
        <w:rPr>
          <w:sz w:val="20"/>
          <w:szCs w:val="20"/>
          <w:color w:val="auto"/>
        </w:rPr>
      </w:pPr>
      <w:r>
        <w:rPr>
          <w:rFonts w:ascii="Arial" w:cs="Arial" w:eastAsia="Arial" w:hAnsi="Arial"/>
          <w:sz w:val="22"/>
          <w:szCs w:val="22"/>
          <w:color w:val="auto"/>
        </w:rPr>
        <w:t>By: /s/ 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2946400</wp:posOffset>
            </wp:positionH>
            <wp:positionV relativeFrom="paragraph">
              <wp:posOffset>24765</wp:posOffset>
            </wp:positionV>
            <wp:extent cx="361061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610610" cy="8890"/>
                    </a:xfrm>
                    <a:prstGeom prst="rect">
                      <a:avLst/>
                    </a:prstGeom>
                    <a:noFill/>
                  </pic:spPr>
                </pic:pic>
              </a:graphicData>
            </a:graphic>
          </wp:anchor>
        </w:drawing>
      </w:r>
    </w:p>
    <w:p>
      <w:pPr>
        <w:spacing w:after="0" w:line="38" w:lineRule="exact"/>
        <w:rPr>
          <w:sz w:val="20"/>
          <w:szCs w:val="20"/>
          <w:color w:val="auto"/>
        </w:rPr>
      </w:pPr>
    </w:p>
    <w:p>
      <w:pPr>
        <w:ind w:left="4660"/>
        <w:spacing w:after="0"/>
        <w:tabs>
          <w:tab w:leader="none" w:pos="5440" w:val="left"/>
        </w:tabs>
        <w:rPr>
          <w:sz w:val="20"/>
          <w:szCs w:val="20"/>
          <w:color w:val="auto"/>
        </w:rPr>
      </w:pPr>
      <w:r>
        <w:rPr>
          <w:rFonts w:ascii="Arial" w:cs="Arial" w:eastAsia="Arial" w:hAnsi="Arial"/>
          <w:sz w:val="22"/>
          <w:szCs w:val="22"/>
          <w:color w:val="auto"/>
        </w:rPr>
        <w:t>Name:</w:t>
        <w:tab/>
        <w:t>Deanna D. Strable-Soethout</w:t>
      </w:r>
    </w:p>
    <w:p>
      <w:pPr>
        <w:spacing w:after="0" w:line="44" w:lineRule="exact"/>
        <w:rPr>
          <w:sz w:val="20"/>
          <w:szCs w:val="20"/>
          <w:color w:val="auto"/>
        </w:rPr>
      </w:pPr>
    </w:p>
    <w:p>
      <w:pPr>
        <w:ind w:left="4660"/>
        <w:spacing w:after="0"/>
        <w:rPr>
          <w:sz w:val="20"/>
          <w:szCs w:val="20"/>
          <w:color w:val="auto"/>
        </w:rPr>
      </w:pPr>
      <w:r>
        <w:rPr>
          <w:rFonts w:ascii="Arial" w:cs="Arial" w:eastAsia="Arial" w:hAnsi="Arial"/>
          <w:sz w:val="22"/>
          <w:szCs w:val="22"/>
          <w:color w:val="auto"/>
        </w:rPr>
        <w:t>Title: Executive Vice President and Chief Financial Officer</w:t>
      </w:r>
    </w:p>
    <w:p>
      <w:pPr>
        <w:spacing w:after="0" w:line="368" w:lineRule="exact"/>
        <w:rPr>
          <w:sz w:val="20"/>
          <w:szCs w:val="20"/>
          <w:color w:val="auto"/>
        </w:rPr>
      </w:pPr>
    </w:p>
    <w:p>
      <w:pPr>
        <w:ind w:left="1120"/>
        <w:spacing w:after="0"/>
        <w:rPr>
          <w:sz w:val="20"/>
          <w:szCs w:val="20"/>
          <w:color w:val="auto"/>
        </w:rPr>
      </w:pPr>
      <w:r>
        <w:rPr>
          <w:rFonts w:ascii="Arial" w:cs="Arial" w:eastAsia="Arial" w:hAnsi="Arial"/>
          <w:sz w:val="22"/>
          <w:szCs w:val="22"/>
          <w:color w:val="auto"/>
        </w:rPr>
        <w:t>Date: October 25, 2018</w:t>
      </w:r>
    </w:p>
    <w:p>
      <w:pPr>
        <w:sectPr>
          <w:pgSz w:w="11900" w:h="16838" w:orient="portrait"/>
          <w:cols w:equalWidth="0" w:num="1">
            <w:col w:w="11160"/>
          </w:cols>
          <w:pgMar w:left="240" w:top="585" w:right="499" w:bottom="1440" w:gutter="0" w:footer="0" w:header="0"/>
        </w:sectPr>
      </w:pPr>
    </w:p>
    <w:bookmarkStart w:id="2" w:name="page3"/>
    <w:bookmarkEnd w:id="2"/>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t>EXHIBIT 99</w:t>
      </w:r>
    </w:p>
    <w:p>
      <w:pPr>
        <w:spacing w:after="0" w:line="23" w:lineRule="exact"/>
        <w:rPr>
          <w:sz w:val="20"/>
          <w:szCs w:val="20"/>
          <w:color w:val="auto"/>
        </w:rPr>
      </w:pPr>
    </w:p>
    <w:p>
      <w:pPr>
        <w:spacing w:after="0"/>
        <w:tabs>
          <w:tab w:leader="none" w:pos="1040" w:val="left"/>
        </w:tabs>
        <w:rPr>
          <w:sz w:val="20"/>
          <w:szCs w:val="20"/>
          <w:color w:val="auto"/>
        </w:rPr>
      </w:pPr>
      <w:r>
        <w:rPr>
          <w:rFonts w:ascii="Arial" w:cs="Arial" w:eastAsia="Arial" w:hAnsi="Arial"/>
          <w:sz w:val="20"/>
          <w:szCs w:val="20"/>
          <w:color w:val="auto"/>
        </w:rPr>
        <w:t>Release:</w:t>
        <w:tab/>
        <w:t>On receipt, Oct. 25, 2018</w:t>
      </w:r>
    </w:p>
    <w:p>
      <w:pPr>
        <w:spacing w:after="0"/>
        <w:tabs>
          <w:tab w:leader="none" w:pos="1540" w:val="left"/>
        </w:tabs>
        <w:rPr>
          <w:sz w:val="20"/>
          <w:szCs w:val="20"/>
          <w:color w:val="auto"/>
        </w:rPr>
      </w:pPr>
      <w:r>
        <w:rPr>
          <w:rFonts w:ascii="Arial" w:cs="Arial" w:eastAsia="Arial" w:hAnsi="Arial"/>
          <w:sz w:val="20"/>
          <w:szCs w:val="20"/>
          <w:color w:val="auto"/>
        </w:rPr>
        <w:t>Media Contact:</w:t>
      </w:r>
      <w:r>
        <w:rPr>
          <w:sz w:val="20"/>
          <w:szCs w:val="20"/>
          <w:color w:val="auto"/>
        </w:rPr>
        <w:tab/>
      </w:r>
      <w:r>
        <w:rPr>
          <w:rFonts w:ascii="Arial" w:cs="Arial" w:eastAsia="Arial" w:hAnsi="Arial"/>
          <w:sz w:val="19"/>
          <w:szCs w:val="19"/>
          <w:color w:val="auto"/>
        </w:rPr>
        <w:t>Erica Jensen, 515-362-0049, jensen.erica@principal.com</w:t>
      </w:r>
    </w:p>
    <w:p>
      <w:pPr>
        <w:spacing w:after="0"/>
        <w:tabs>
          <w:tab w:leader="none" w:pos="1700" w:val="left"/>
        </w:tabs>
        <w:rPr>
          <w:sz w:val="20"/>
          <w:szCs w:val="20"/>
          <w:color w:val="auto"/>
        </w:rPr>
      </w:pPr>
      <w:r>
        <w:rPr>
          <w:rFonts w:ascii="Arial" w:cs="Arial" w:eastAsia="Arial" w:hAnsi="Arial"/>
          <w:sz w:val="20"/>
          <w:szCs w:val="20"/>
          <w:color w:val="auto"/>
        </w:rPr>
        <w:t>Investor Contact:</w:t>
      </w:r>
      <w:r>
        <w:rPr>
          <w:sz w:val="20"/>
          <w:szCs w:val="20"/>
          <w:color w:val="auto"/>
        </w:rPr>
        <w:tab/>
      </w:r>
      <w:r>
        <w:rPr>
          <w:rFonts w:ascii="Arial" w:cs="Arial" w:eastAsia="Arial" w:hAnsi="Arial"/>
          <w:sz w:val="19"/>
          <w:szCs w:val="19"/>
          <w:color w:val="auto"/>
        </w:rPr>
        <w:t>John Egan, 515-235-9500, egan.john@principal.com</w:t>
      </w:r>
    </w:p>
    <w:p>
      <w:pPr>
        <w:spacing w:after="0" w:line="37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Principal Announces Third Quarter 2018 Results</w:t>
      </w:r>
    </w:p>
    <w:p>
      <w:pPr>
        <w:spacing w:after="0" w:line="4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Company Also Announces Increase to Common Stock Dividend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116840</wp:posOffset>
            </wp:positionV>
            <wp:extent cx="5711190" cy="13290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1190" cy="1329055"/>
                    </a:xfrm>
                    <a:prstGeom prst="rect">
                      <a:avLst/>
                    </a:prstGeom>
                    <a:noFill/>
                  </pic:spPr>
                </pic:pic>
              </a:graphicData>
            </a:graphic>
          </wp:anchor>
        </w:drawing>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20"/>
          <w:szCs w:val="20"/>
          <w:i w:val="1"/>
          <w:iCs w:val="1"/>
          <w:color w:val="auto"/>
        </w:rPr>
        <w:t>Company Highlights</w:t>
      </w:r>
    </w:p>
    <w:p>
      <w:pPr>
        <w:spacing w:after="0" w:line="90" w:lineRule="exact"/>
        <w:rPr>
          <w:sz w:val="20"/>
          <w:szCs w:val="20"/>
          <w:color w:val="auto"/>
        </w:rPr>
      </w:pPr>
    </w:p>
    <w:p>
      <w:pPr>
        <w:ind w:left="1660" w:right="1260" w:hanging="234"/>
        <w:spacing w:after="0" w:line="253" w:lineRule="auto"/>
        <w:tabs>
          <w:tab w:leader="none" w:pos="1541"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Third quarter 2018 net income attributable to Principal Financial Group, Inc. (PFG) of $456.3 million, or $1.59 per diluted share</w:t>
      </w:r>
    </w:p>
    <w:p>
      <w:pPr>
        <w:spacing w:after="0" w:line="1" w:lineRule="exact"/>
        <w:rPr>
          <w:rFonts w:ascii="Arial" w:cs="Arial" w:eastAsia="Arial" w:hAnsi="Arial"/>
          <w:sz w:val="20"/>
          <w:szCs w:val="20"/>
          <w:b w:val="1"/>
          <w:bCs w:val="1"/>
          <w:color w:val="auto"/>
        </w:rPr>
      </w:pPr>
    </w:p>
    <w:p>
      <w:pPr>
        <w:ind w:left="1660" w:right="1660" w:hanging="234"/>
        <w:spacing w:after="0" w:line="221" w:lineRule="auto"/>
        <w:tabs>
          <w:tab w:leader="none" w:pos="1541"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Third quarter 2018 non-GAAP operating earnings</w:t>
      </w:r>
      <w:r>
        <w:rPr>
          <w:rFonts w:ascii="Arial" w:cs="Arial" w:eastAsia="Arial" w:hAnsi="Arial"/>
          <w:sz w:val="25"/>
          <w:szCs w:val="25"/>
          <w:b w:val="1"/>
          <w:bCs w:val="1"/>
          <w:color w:val="auto"/>
          <w:vertAlign w:val="superscript"/>
        </w:rPr>
        <w:t>1</w:t>
      </w:r>
      <w:r>
        <w:rPr>
          <w:rFonts w:ascii="Arial" w:cs="Arial" w:eastAsia="Arial" w:hAnsi="Arial"/>
          <w:sz w:val="20"/>
          <w:szCs w:val="20"/>
          <w:b w:val="1"/>
          <w:bCs w:val="1"/>
          <w:color w:val="auto"/>
        </w:rPr>
        <w:t xml:space="preserve"> of $481.2 million, or $1.67 per diluted share</w:t>
      </w:r>
    </w:p>
    <w:p>
      <w:pPr>
        <w:spacing w:after="0" w:line="9" w:lineRule="exact"/>
        <w:rPr>
          <w:rFonts w:ascii="Arial" w:cs="Arial" w:eastAsia="Arial" w:hAnsi="Arial"/>
          <w:sz w:val="20"/>
          <w:szCs w:val="20"/>
          <w:b w:val="1"/>
          <w:bCs w:val="1"/>
          <w:color w:val="auto"/>
        </w:rPr>
      </w:pPr>
    </w:p>
    <w:p>
      <w:pPr>
        <w:ind w:left="1560" w:hanging="134"/>
        <w:spacing w:after="0"/>
        <w:tabs>
          <w:tab w:leader="none" w:pos="1560"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Assets under management (AUM) of $667.8 billion, up 2 percent over third quarter 2017</w:t>
      </w:r>
    </w:p>
    <w:p>
      <w:pPr>
        <w:spacing w:after="0" w:line="40" w:lineRule="exact"/>
        <w:rPr>
          <w:rFonts w:ascii="Arial" w:cs="Arial" w:eastAsia="Arial" w:hAnsi="Arial"/>
          <w:sz w:val="20"/>
          <w:szCs w:val="20"/>
          <w:b w:val="1"/>
          <w:bCs w:val="1"/>
          <w:color w:val="auto"/>
        </w:rPr>
      </w:pPr>
    </w:p>
    <w:p>
      <w:pPr>
        <w:ind w:left="1660" w:right="1680" w:hanging="234"/>
        <w:spacing w:after="0" w:line="258" w:lineRule="auto"/>
        <w:tabs>
          <w:tab w:leader="none" w:pos="1541"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Company declares fourth quarter 2018 common stock dividend of $0.54 per share; a 10 percent increase over the fourth quarter 2017</w:t>
      </w:r>
    </w:p>
    <w:p>
      <w:pPr>
        <w:spacing w:after="0" w:line="121" w:lineRule="exact"/>
        <w:rPr>
          <w:sz w:val="20"/>
          <w:szCs w:val="20"/>
          <w:color w:val="auto"/>
        </w:rPr>
      </w:pPr>
    </w:p>
    <w:p>
      <w:pPr>
        <w:spacing w:after="0"/>
        <w:rPr>
          <w:sz w:val="20"/>
          <w:szCs w:val="20"/>
          <w:color w:val="auto"/>
        </w:rPr>
      </w:pPr>
      <w:r>
        <w:rPr>
          <w:rFonts w:ascii="Arial" w:cs="Arial" w:eastAsia="Arial" w:hAnsi="Arial"/>
          <w:sz w:val="20"/>
          <w:szCs w:val="20"/>
          <w:color w:val="auto"/>
        </w:rPr>
        <w:t>(Des Moines, Iowa) – Principal Financial Group</w:t>
      </w:r>
      <w:r>
        <w:rPr>
          <w:rFonts w:ascii="Arial" w:cs="Arial" w:eastAsia="Arial" w:hAnsi="Arial"/>
          <w:sz w:val="25"/>
          <w:szCs w:val="25"/>
          <w:color w:val="auto"/>
          <w:vertAlign w:val="superscript"/>
        </w:rPr>
        <w:t>®</w:t>
      </w:r>
      <w:r>
        <w:rPr>
          <w:rFonts w:ascii="Arial" w:cs="Arial" w:eastAsia="Arial" w:hAnsi="Arial"/>
          <w:sz w:val="20"/>
          <w:szCs w:val="20"/>
          <w:color w:val="auto"/>
        </w:rPr>
        <w:t xml:space="preserve"> (Nasdaq: PFG) today announced results for third quarter 2018.</w:t>
      </w:r>
    </w:p>
    <w:p>
      <w:pPr>
        <w:spacing w:after="0" w:line="56" w:lineRule="exact"/>
        <w:rPr>
          <w:sz w:val="20"/>
          <w:szCs w:val="20"/>
          <w:color w:val="auto"/>
        </w:rPr>
      </w:pPr>
    </w:p>
    <w:p>
      <w:pPr>
        <w:ind w:left="820" w:right="160" w:hanging="326"/>
        <w:spacing w:after="0" w:line="314" w:lineRule="auto"/>
        <w:tabs>
          <w:tab w:leader="none" w:pos="820" w:val="left"/>
        </w:tabs>
        <w:numPr>
          <w:ilvl w:val="0"/>
          <w:numId w:val="3"/>
        </w:numPr>
        <w:rPr>
          <w:rFonts w:ascii="Arial" w:cs="Arial" w:eastAsia="Arial" w:hAnsi="Arial"/>
          <w:sz w:val="20"/>
          <w:szCs w:val="20"/>
          <w:color w:val="auto"/>
        </w:rPr>
      </w:pPr>
      <w:r>
        <w:rPr>
          <w:rFonts w:ascii="Arial" w:cs="Arial" w:eastAsia="Arial" w:hAnsi="Arial"/>
          <w:sz w:val="20"/>
          <w:szCs w:val="20"/>
          <w:b w:val="1"/>
          <w:bCs w:val="1"/>
          <w:color w:val="auto"/>
        </w:rPr>
        <w:t>Net income attributable to PFG for third quarter 2018 of $456.3 million</w:t>
      </w:r>
      <w:r>
        <w:rPr>
          <w:rFonts w:ascii="Arial" w:cs="Arial" w:eastAsia="Arial" w:hAnsi="Arial"/>
          <w:sz w:val="20"/>
          <w:szCs w:val="20"/>
          <w:color w:val="auto"/>
        </w:rPr>
        <w:t>, compared to $810.2 million for third quarter</w:t>
      </w:r>
      <w:r>
        <w:rPr>
          <w:rFonts w:ascii="Arial" w:cs="Arial" w:eastAsia="Arial" w:hAnsi="Arial"/>
          <w:sz w:val="20"/>
          <w:szCs w:val="20"/>
          <w:b w:val="1"/>
          <w:bCs w:val="1"/>
          <w:color w:val="auto"/>
        </w:rPr>
        <w:t xml:space="preserve"> </w:t>
      </w:r>
      <w:r>
        <w:rPr>
          <w:rFonts w:ascii="Arial" w:cs="Arial" w:eastAsia="Arial" w:hAnsi="Arial"/>
          <w:sz w:val="20"/>
          <w:szCs w:val="20"/>
          <w:color w:val="auto"/>
        </w:rPr>
        <w:t>2017. Net income per diluted share of $1.59 for third quarter 2018 compared to $2.76 in prior year quarter.</w:t>
      </w:r>
    </w:p>
    <w:p>
      <w:pPr>
        <w:spacing w:after="0" w:line="19" w:lineRule="exact"/>
        <w:rPr>
          <w:rFonts w:ascii="Arial" w:cs="Arial" w:eastAsia="Arial" w:hAnsi="Arial"/>
          <w:sz w:val="20"/>
          <w:szCs w:val="20"/>
          <w:color w:val="auto"/>
        </w:rPr>
      </w:pPr>
    </w:p>
    <w:p>
      <w:pPr>
        <w:ind w:left="1460" w:right="60" w:hanging="318"/>
        <w:spacing w:after="0" w:line="255" w:lineRule="auto"/>
        <w:tabs>
          <w:tab w:leader="none" w:pos="1460" w:val="left"/>
        </w:tabs>
        <w:numPr>
          <w:ilvl w:val="1"/>
          <w:numId w:val="3"/>
        </w:numPr>
        <w:rPr>
          <w:rFonts w:ascii="Arial" w:cs="Arial" w:eastAsia="Arial" w:hAnsi="Arial"/>
          <w:sz w:val="18"/>
          <w:szCs w:val="18"/>
          <w:color w:val="auto"/>
        </w:rPr>
      </w:pPr>
      <w:r>
        <w:rPr>
          <w:rFonts w:ascii="Arial" w:cs="Arial" w:eastAsia="Arial" w:hAnsi="Arial"/>
          <w:sz w:val="20"/>
          <w:szCs w:val="20"/>
          <w:color w:val="auto"/>
        </w:rPr>
        <w:t xml:space="preserve">As noted in </w:t>
      </w:r>
      <w:r>
        <w:rPr>
          <w:rFonts w:ascii="Arial" w:cs="Arial" w:eastAsia="Arial" w:hAnsi="Arial"/>
          <w:sz w:val="20"/>
          <w:szCs w:val="20"/>
          <w:b w:val="1"/>
          <w:bCs w:val="1"/>
          <w:color w:val="auto"/>
        </w:rPr>
        <w:t>Exhibit 1</w:t>
      </w:r>
      <w:r>
        <w:rPr>
          <w:rFonts w:ascii="Arial" w:cs="Arial" w:eastAsia="Arial" w:hAnsi="Arial"/>
          <w:sz w:val="20"/>
          <w:szCs w:val="20"/>
          <w:color w:val="auto"/>
        </w:rPr>
        <w:t xml:space="preserve">, third quarter 2018 net income reflected the results of the </w:t>
      </w:r>
      <w:r>
        <w:rPr>
          <w:rFonts w:ascii="Arial" w:cs="Arial" w:eastAsia="Arial" w:hAnsi="Arial"/>
          <w:sz w:val="20"/>
          <w:szCs w:val="20"/>
          <w:b w:val="1"/>
          <w:bCs w:val="1"/>
          <w:color w:val="auto"/>
        </w:rPr>
        <w:t>significant variances, including</w:t>
      </w:r>
      <w:r>
        <w:rPr>
          <w:rFonts w:ascii="Arial" w:cs="Arial" w:eastAsia="Arial" w:hAnsi="Arial"/>
          <w:sz w:val="20"/>
          <w:szCs w:val="20"/>
          <w:color w:val="auto"/>
        </w:rPr>
        <w:t xml:space="preserve"> </w:t>
      </w:r>
      <w:r>
        <w:rPr>
          <w:rFonts w:ascii="Arial" w:cs="Arial" w:eastAsia="Arial" w:hAnsi="Arial"/>
          <w:sz w:val="20"/>
          <w:szCs w:val="20"/>
          <w:b w:val="1"/>
          <w:bCs w:val="1"/>
          <w:color w:val="auto"/>
        </w:rPr>
        <w:t>the annual actuarial assumption review</w:t>
      </w:r>
      <w:r>
        <w:rPr>
          <w:rFonts w:ascii="Arial" w:cs="Arial" w:eastAsia="Arial" w:hAnsi="Arial"/>
          <w:sz w:val="20"/>
          <w:szCs w:val="20"/>
          <w:color w:val="auto"/>
        </w:rPr>
        <w:t>, which benefited net income by $32.1 million, or $0.12 per diluted</w:t>
      </w:r>
      <w:r>
        <w:rPr>
          <w:rFonts w:ascii="Arial" w:cs="Arial" w:eastAsia="Arial" w:hAnsi="Arial"/>
          <w:sz w:val="20"/>
          <w:szCs w:val="20"/>
          <w:b w:val="1"/>
          <w:bCs w:val="1"/>
          <w:color w:val="auto"/>
        </w:rPr>
        <w:t xml:space="preserve"> </w:t>
      </w:r>
      <w:r>
        <w:rPr>
          <w:rFonts w:ascii="Arial" w:cs="Arial" w:eastAsia="Arial" w:hAnsi="Arial"/>
          <w:sz w:val="20"/>
          <w:szCs w:val="20"/>
          <w:color w:val="auto"/>
        </w:rPr>
        <w:t>share.</w:t>
      </w:r>
    </w:p>
    <w:p>
      <w:pPr>
        <w:spacing w:after="0" w:line="87" w:lineRule="exact"/>
        <w:rPr>
          <w:rFonts w:ascii="Arial" w:cs="Arial" w:eastAsia="Arial" w:hAnsi="Arial"/>
          <w:sz w:val="18"/>
          <w:szCs w:val="18"/>
          <w:color w:val="auto"/>
        </w:rPr>
      </w:pPr>
    </w:p>
    <w:p>
      <w:pPr>
        <w:ind w:left="1460" w:right="20" w:hanging="318"/>
        <w:spacing w:after="0" w:line="247" w:lineRule="auto"/>
        <w:tabs>
          <w:tab w:leader="none" w:pos="1460" w:val="left"/>
        </w:tabs>
        <w:numPr>
          <w:ilvl w:val="1"/>
          <w:numId w:val="3"/>
        </w:numPr>
        <w:rPr>
          <w:rFonts w:ascii="Arial" w:cs="Arial" w:eastAsia="Arial" w:hAnsi="Arial"/>
          <w:sz w:val="18"/>
          <w:szCs w:val="18"/>
          <w:color w:val="auto"/>
        </w:rPr>
      </w:pPr>
      <w:r>
        <w:rPr>
          <w:rFonts w:ascii="Arial" w:cs="Arial" w:eastAsia="Arial" w:hAnsi="Arial"/>
          <w:sz w:val="20"/>
          <w:szCs w:val="20"/>
          <w:color w:val="auto"/>
        </w:rPr>
        <w:t>As a reminder, third quarter 2017 net income benefited $410.8 million from a real estate exchange with one of our joint venture partners.</w:t>
      </w:r>
    </w:p>
    <w:p>
      <w:pPr>
        <w:spacing w:after="0" w:line="96" w:lineRule="exact"/>
        <w:rPr>
          <w:rFonts w:ascii="Arial" w:cs="Arial" w:eastAsia="Arial" w:hAnsi="Arial"/>
          <w:sz w:val="18"/>
          <w:szCs w:val="18"/>
          <w:color w:val="auto"/>
        </w:rPr>
      </w:pPr>
    </w:p>
    <w:p>
      <w:pPr>
        <w:ind w:left="820" w:right="60" w:hanging="326"/>
        <w:spacing w:after="0" w:line="298" w:lineRule="auto"/>
        <w:tabs>
          <w:tab w:leader="none" w:pos="820" w:val="left"/>
        </w:tabs>
        <w:numPr>
          <w:ilvl w:val="0"/>
          <w:numId w:val="3"/>
        </w:numPr>
        <w:rPr>
          <w:rFonts w:ascii="Arial" w:cs="Arial" w:eastAsia="Arial" w:hAnsi="Arial"/>
          <w:sz w:val="20"/>
          <w:szCs w:val="20"/>
          <w:color w:val="auto"/>
        </w:rPr>
      </w:pPr>
      <w:r>
        <w:rPr>
          <w:rFonts w:ascii="Arial" w:cs="Arial" w:eastAsia="Arial" w:hAnsi="Arial"/>
          <w:sz w:val="20"/>
          <w:szCs w:val="20"/>
          <w:b w:val="1"/>
          <w:bCs w:val="1"/>
          <w:color w:val="auto"/>
        </w:rPr>
        <w:t xml:space="preserve">Non-GAAP operating earnings for third quarter 2018 of $481.2 million, </w:t>
      </w:r>
      <w:r>
        <w:rPr>
          <w:rFonts w:ascii="Arial" w:cs="Arial" w:eastAsia="Arial" w:hAnsi="Arial"/>
          <w:sz w:val="20"/>
          <w:szCs w:val="20"/>
          <w:color w:val="auto"/>
        </w:rPr>
        <w:t>compared to $373.7 million for third quarter</w:t>
      </w:r>
      <w:r>
        <w:rPr>
          <w:rFonts w:ascii="Arial" w:cs="Arial" w:eastAsia="Arial" w:hAnsi="Arial"/>
          <w:sz w:val="20"/>
          <w:szCs w:val="20"/>
          <w:b w:val="1"/>
          <w:bCs w:val="1"/>
          <w:color w:val="auto"/>
        </w:rPr>
        <w:t xml:space="preserve"> </w:t>
      </w:r>
      <w:r>
        <w:rPr>
          <w:rFonts w:ascii="Arial" w:cs="Arial" w:eastAsia="Arial" w:hAnsi="Arial"/>
          <w:sz w:val="20"/>
          <w:szCs w:val="20"/>
          <w:color w:val="auto"/>
        </w:rPr>
        <w:t>2017. Non-GAAP operating earnings per diluted share of $1.67 for third quarter 2018 compared to $1.28 for third quarter 2017.</w:t>
      </w:r>
    </w:p>
    <w:p>
      <w:pPr>
        <w:spacing w:after="0" w:line="61" w:lineRule="exact"/>
        <w:rPr>
          <w:rFonts w:ascii="Arial" w:cs="Arial" w:eastAsia="Arial" w:hAnsi="Arial"/>
          <w:sz w:val="20"/>
          <w:szCs w:val="20"/>
          <w:color w:val="auto"/>
        </w:rPr>
      </w:pPr>
    </w:p>
    <w:p>
      <w:pPr>
        <w:ind w:left="1460" w:right="680" w:hanging="318"/>
        <w:spacing w:after="0" w:line="314" w:lineRule="auto"/>
        <w:tabs>
          <w:tab w:leader="none" w:pos="1460" w:val="left"/>
        </w:tabs>
        <w:numPr>
          <w:ilvl w:val="1"/>
          <w:numId w:val="3"/>
        </w:numPr>
        <w:rPr>
          <w:rFonts w:ascii="Arial" w:cs="Arial" w:eastAsia="Arial" w:hAnsi="Arial"/>
          <w:sz w:val="20"/>
          <w:szCs w:val="20"/>
          <w:color w:val="auto"/>
        </w:rPr>
      </w:pPr>
      <w:r>
        <w:rPr>
          <w:rFonts w:ascii="Arial" w:cs="Arial" w:eastAsia="Arial" w:hAnsi="Arial"/>
          <w:sz w:val="20"/>
          <w:szCs w:val="20"/>
          <w:b w:val="1"/>
          <w:bCs w:val="1"/>
          <w:color w:val="auto"/>
        </w:rPr>
        <w:t>Third quarter 2018 non-GAAP operating earnings reflected the following significant variances from expected as noted in Exhibit 1:</w:t>
      </w:r>
    </w:p>
    <w:p>
      <w:pPr>
        <w:spacing w:after="0" w:line="19" w:lineRule="exact"/>
        <w:rPr>
          <w:rFonts w:ascii="Arial" w:cs="Arial" w:eastAsia="Arial" w:hAnsi="Arial"/>
          <w:sz w:val="20"/>
          <w:szCs w:val="20"/>
          <w:color w:val="auto"/>
        </w:rPr>
      </w:pPr>
    </w:p>
    <w:p>
      <w:pPr>
        <w:ind w:left="2120" w:right="180" w:hanging="329"/>
        <w:spacing w:after="0" w:line="272" w:lineRule="auto"/>
        <w:tabs>
          <w:tab w:leader="none" w:pos="2120" w:val="left"/>
        </w:tabs>
        <w:numPr>
          <w:ilvl w:val="2"/>
          <w:numId w:val="3"/>
        </w:numPr>
        <w:rPr>
          <w:rFonts w:ascii="Arial" w:cs="Arial" w:eastAsia="Arial" w:hAnsi="Arial"/>
          <w:sz w:val="18"/>
          <w:szCs w:val="18"/>
          <w:color w:val="auto"/>
        </w:rPr>
      </w:pPr>
      <w:r>
        <w:rPr>
          <w:rFonts w:ascii="Arial" w:cs="Arial" w:eastAsia="Arial" w:hAnsi="Arial"/>
          <w:sz w:val="20"/>
          <w:szCs w:val="20"/>
          <w:color w:val="auto"/>
        </w:rPr>
        <w:t xml:space="preserve">Results of </w:t>
      </w:r>
      <w:r>
        <w:rPr>
          <w:rFonts w:ascii="Arial" w:cs="Arial" w:eastAsia="Arial" w:hAnsi="Arial"/>
          <w:sz w:val="20"/>
          <w:szCs w:val="20"/>
          <w:b w:val="1"/>
          <w:bCs w:val="1"/>
          <w:color w:val="auto"/>
        </w:rPr>
        <w:t>the annual actuarial assumption review</w:t>
      </w:r>
      <w:r>
        <w:rPr>
          <w:rFonts w:ascii="Arial" w:cs="Arial" w:eastAsia="Arial" w:hAnsi="Arial"/>
          <w:sz w:val="20"/>
          <w:szCs w:val="20"/>
          <w:color w:val="auto"/>
        </w:rPr>
        <w:t xml:space="preserve"> decreased non-GAAP operating earnings by $21.5 million, or $0.08 per diluted share;</w:t>
      </w:r>
    </w:p>
    <w:p>
      <w:pPr>
        <w:spacing w:after="0" w:line="69" w:lineRule="exact"/>
        <w:rPr>
          <w:rFonts w:ascii="Arial" w:cs="Arial" w:eastAsia="Arial" w:hAnsi="Arial"/>
          <w:sz w:val="18"/>
          <w:szCs w:val="18"/>
          <w:color w:val="auto"/>
        </w:rPr>
      </w:pPr>
    </w:p>
    <w:p>
      <w:pPr>
        <w:ind w:left="2120" w:right="40" w:hanging="329"/>
        <w:spacing w:after="0" w:line="243" w:lineRule="auto"/>
        <w:tabs>
          <w:tab w:leader="none" w:pos="2120" w:val="left"/>
        </w:tabs>
        <w:numPr>
          <w:ilvl w:val="2"/>
          <w:numId w:val="3"/>
        </w:numPr>
        <w:rPr>
          <w:rFonts w:ascii="Arial" w:cs="Arial" w:eastAsia="Arial" w:hAnsi="Arial"/>
          <w:sz w:val="18"/>
          <w:szCs w:val="18"/>
          <w:color w:val="auto"/>
        </w:rPr>
      </w:pPr>
      <w:r>
        <w:rPr>
          <w:rFonts w:ascii="Arial" w:cs="Arial" w:eastAsia="Arial" w:hAnsi="Arial"/>
          <w:sz w:val="20"/>
          <w:szCs w:val="20"/>
          <w:color w:val="auto"/>
        </w:rPr>
        <w:t xml:space="preserve">A net benefit in Principal Global Investors of $62.5 million after-tax, or $0.22 per diluted share, from a previously disclosed </w:t>
      </w:r>
      <w:r>
        <w:rPr>
          <w:rFonts w:ascii="Arial" w:cs="Arial" w:eastAsia="Arial" w:hAnsi="Arial"/>
          <w:sz w:val="20"/>
          <w:szCs w:val="20"/>
          <w:b w:val="1"/>
          <w:bCs w:val="1"/>
          <w:color w:val="auto"/>
        </w:rPr>
        <w:t>accelerated real estate performance fee of $0.24 per diluted share</w:t>
      </w:r>
      <w:r>
        <w:rPr>
          <w:rFonts w:ascii="Arial" w:cs="Arial" w:eastAsia="Arial" w:hAnsi="Arial"/>
          <w:sz w:val="20"/>
          <w:szCs w:val="20"/>
          <w:color w:val="auto"/>
        </w:rPr>
        <w:t xml:space="preserve"> partially offset by elevated expenses of $(0.02) per diluted share; and</w:t>
      </w:r>
    </w:p>
    <w:p>
      <w:pPr>
        <w:spacing w:after="0" w:line="74" w:lineRule="exact"/>
        <w:rPr>
          <w:rFonts w:ascii="Arial" w:cs="Arial" w:eastAsia="Arial" w:hAnsi="Arial"/>
          <w:sz w:val="18"/>
          <w:szCs w:val="18"/>
          <w:color w:val="auto"/>
        </w:rPr>
      </w:pPr>
    </w:p>
    <w:p>
      <w:pPr>
        <w:ind w:left="2120" w:right="100" w:hanging="329"/>
        <w:spacing w:after="0" w:line="299" w:lineRule="auto"/>
        <w:tabs>
          <w:tab w:leader="none" w:pos="2120" w:val="left"/>
        </w:tabs>
        <w:numPr>
          <w:ilvl w:val="2"/>
          <w:numId w:val="3"/>
        </w:numPr>
        <w:rPr>
          <w:rFonts w:ascii="Arial" w:cs="Arial" w:eastAsia="Arial" w:hAnsi="Arial"/>
          <w:sz w:val="17"/>
          <w:szCs w:val="17"/>
          <w:color w:val="auto"/>
        </w:rPr>
      </w:pPr>
      <w:r>
        <w:rPr>
          <w:rFonts w:ascii="Arial" w:cs="Arial" w:eastAsia="Arial" w:hAnsi="Arial"/>
          <w:sz w:val="19"/>
          <w:szCs w:val="19"/>
          <w:color w:val="auto"/>
        </w:rPr>
        <w:t xml:space="preserve">Higher than expected </w:t>
      </w:r>
      <w:r>
        <w:rPr>
          <w:rFonts w:ascii="Arial" w:cs="Arial" w:eastAsia="Arial" w:hAnsi="Arial"/>
          <w:sz w:val="19"/>
          <w:szCs w:val="19"/>
          <w:b w:val="1"/>
          <w:bCs w:val="1"/>
          <w:color w:val="auto"/>
        </w:rPr>
        <w:t>variable investment income</w:t>
      </w:r>
      <w:r>
        <w:rPr>
          <w:rFonts w:ascii="Arial" w:cs="Arial" w:eastAsia="Arial" w:hAnsi="Arial"/>
          <w:sz w:val="19"/>
          <w:szCs w:val="19"/>
          <w:color w:val="auto"/>
        </w:rPr>
        <w:t xml:space="preserve"> in Retirement and Income Solutions and U.S. Insurance Solutions increased non-GAAP operating earnings by $18.2 million, or $0.06 per diluted share.</w:t>
      </w:r>
    </w:p>
    <w:p>
      <w:pPr>
        <w:spacing w:after="0" w:line="35"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pacing w:after="0" w:line="75" w:lineRule="exact"/>
        <w:rPr>
          <w:sz w:val="20"/>
          <w:szCs w:val="20"/>
          <w:color w:val="auto"/>
        </w:rPr>
      </w:pPr>
    </w:p>
    <w:p>
      <w:pPr>
        <w:ind w:left="100" w:hanging="92"/>
        <w:spacing w:after="0"/>
        <w:tabs>
          <w:tab w:leader="none" w:pos="100" w:val="left"/>
        </w:tabs>
        <w:numPr>
          <w:ilvl w:val="0"/>
          <w:numId w:val="4"/>
        </w:numPr>
        <w:rPr>
          <w:rFonts w:ascii="Arial" w:cs="Arial" w:eastAsia="Arial" w:hAnsi="Arial"/>
          <w:sz w:val="18"/>
          <w:szCs w:val="18"/>
          <w:color w:val="auto"/>
          <w:vertAlign w:val="superscript"/>
        </w:rPr>
      </w:pPr>
      <w:r>
        <w:rPr>
          <w:rFonts w:ascii="Arial" w:cs="Arial" w:eastAsia="Arial" w:hAnsi="Arial"/>
          <w:sz w:val="14"/>
          <w:szCs w:val="14"/>
          <w:color w:val="auto"/>
        </w:rPr>
        <w:t>Use of non-GAAP financial measures is discussed in this release after segment results. Non-GAAP operating earnings for total company is after tax.</w:t>
      </w:r>
    </w:p>
    <w:p>
      <w:pPr>
        <w:sectPr>
          <w:pgSz w:w="11900" w:h="16838" w:orient="portrait"/>
          <w:cols w:equalWidth="0" w:num="1">
            <w:col w:w="11420"/>
          </w:cols>
          <w:pgMar w:left="240" w:top="1192" w:right="239" w:bottom="1440" w:gutter="0" w:footer="0" w:header="0"/>
        </w:sectPr>
      </w:pPr>
    </w:p>
    <w:bookmarkStart w:id="3" w:name="page4"/>
    <w:bookmarkEnd w:id="3"/>
    <w:p>
      <w:pPr>
        <w:ind w:left="1460" w:right="100" w:hanging="318"/>
        <w:spacing w:after="0" w:line="272" w:lineRule="auto"/>
        <w:tabs>
          <w:tab w:leader="none" w:pos="1460" w:val="left"/>
        </w:tabs>
        <w:numPr>
          <w:ilvl w:val="1"/>
          <w:numId w:val="5"/>
        </w:numPr>
        <w:rPr>
          <w:rFonts w:ascii="Arial" w:cs="Arial" w:eastAsia="Arial" w:hAnsi="Arial"/>
          <w:sz w:val="18"/>
          <w:szCs w:val="18"/>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t xml:space="preserve">After excluding the significant variances noted in Exhibit 1, non-GAAP </w:t>
      </w:r>
      <w:r>
        <w:rPr>
          <w:rFonts w:ascii="Arial" w:cs="Arial" w:eastAsia="Arial" w:hAnsi="Arial"/>
          <w:sz w:val="20"/>
          <w:szCs w:val="20"/>
          <w:b w:val="1"/>
          <w:bCs w:val="1"/>
          <w:color w:val="auto"/>
        </w:rPr>
        <w:t>operating earnings increased 1 percent</w:t>
      </w:r>
      <w:r>
        <w:rPr>
          <w:rFonts w:ascii="Arial" w:cs="Arial" w:eastAsia="Arial" w:hAnsi="Arial"/>
          <w:sz w:val="20"/>
          <w:szCs w:val="20"/>
          <w:color w:val="auto"/>
        </w:rPr>
        <w:t xml:space="preserve"> over the prior year quarter.</w:t>
      </w:r>
    </w:p>
    <w:p>
      <w:pPr>
        <w:spacing w:after="0" w:line="72" w:lineRule="exact"/>
        <w:rPr>
          <w:rFonts w:ascii="Arial" w:cs="Arial" w:eastAsia="Arial" w:hAnsi="Arial"/>
          <w:sz w:val="18"/>
          <w:szCs w:val="18"/>
          <w:color w:val="auto"/>
        </w:rPr>
      </w:pPr>
    </w:p>
    <w:p>
      <w:pPr>
        <w:jc w:val="both"/>
        <w:ind w:left="820" w:right="100" w:hanging="326"/>
        <w:spacing w:after="0" w:line="292" w:lineRule="auto"/>
        <w:tabs>
          <w:tab w:leader="none" w:pos="820" w:val="left"/>
        </w:tabs>
        <w:numPr>
          <w:ilvl w:val="0"/>
          <w:numId w:val="5"/>
        </w:numPr>
        <w:rPr>
          <w:rFonts w:ascii="Arial" w:cs="Arial" w:eastAsia="Arial" w:hAnsi="Arial"/>
          <w:sz w:val="20"/>
          <w:szCs w:val="20"/>
          <w:color w:val="auto"/>
        </w:rPr>
      </w:pPr>
      <w:r>
        <w:rPr>
          <w:rFonts w:ascii="Arial" w:cs="Arial" w:eastAsia="Arial" w:hAnsi="Arial"/>
          <w:sz w:val="20"/>
          <w:szCs w:val="20"/>
          <w:b w:val="1"/>
          <w:bCs w:val="1"/>
          <w:color w:val="auto"/>
        </w:rPr>
        <w:t xml:space="preserve">Quarterly common stock dividend </w:t>
      </w:r>
      <w:r>
        <w:rPr>
          <w:rFonts w:ascii="Arial" w:cs="Arial" w:eastAsia="Arial" w:hAnsi="Arial"/>
          <w:sz w:val="20"/>
          <w:szCs w:val="20"/>
          <w:color w:val="auto"/>
        </w:rPr>
        <w:t>of $0.54 per share for fourth quarter 2018 was authorized by the company’s Board</w:t>
      </w:r>
      <w:r>
        <w:rPr>
          <w:rFonts w:ascii="Arial" w:cs="Arial" w:eastAsia="Arial" w:hAnsi="Arial"/>
          <w:sz w:val="20"/>
          <w:szCs w:val="20"/>
          <w:b w:val="1"/>
          <w:bCs w:val="1"/>
          <w:color w:val="auto"/>
        </w:rPr>
        <w:t xml:space="preserve"> </w:t>
      </w:r>
      <w:r>
        <w:rPr>
          <w:rFonts w:ascii="Arial" w:cs="Arial" w:eastAsia="Arial" w:hAnsi="Arial"/>
          <w:sz w:val="20"/>
          <w:szCs w:val="20"/>
          <w:color w:val="auto"/>
        </w:rPr>
        <w:t>of Directors, bringing the trailing twelve-month dividend to $2.10 per share, a 12 percent increase compared to the prior year trailing twelve-month period. The dividend will be payable on Dec. 28, 2018, to shareholders of record as of Dec. 3, 2018.</w:t>
      </w:r>
    </w:p>
    <w:p>
      <w:pPr>
        <w:spacing w:after="0" w:line="174" w:lineRule="exact"/>
        <w:rPr>
          <w:sz w:val="20"/>
          <w:szCs w:val="20"/>
          <w:color w:val="auto"/>
        </w:rPr>
      </w:pPr>
    </w:p>
    <w:p>
      <w:pPr>
        <w:jc w:val="both"/>
        <w:ind w:right="220"/>
        <w:spacing w:after="0" w:line="243" w:lineRule="auto"/>
        <w:rPr>
          <w:sz w:val="20"/>
          <w:szCs w:val="20"/>
          <w:color w:val="auto"/>
        </w:rPr>
      </w:pPr>
      <w:r>
        <w:rPr>
          <w:rFonts w:ascii="Arial" w:cs="Arial" w:eastAsia="Arial" w:hAnsi="Arial"/>
          <w:sz w:val="20"/>
          <w:szCs w:val="20"/>
          <w:color w:val="auto"/>
        </w:rPr>
        <w:t>“I’m pleased with our results for the quarter and through nine months. Despite some unfavorable macroeconomic conditions and our accelerated investment in digital business solutions, we continued to deliver solid growth in non-GAAP operating earnings,” said Dan Houston, chairman, president and CEO.</w:t>
      </w:r>
    </w:p>
    <w:p>
      <w:pPr>
        <w:spacing w:after="0" w:line="206" w:lineRule="exact"/>
        <w:rPr>
          <w:sz w:val="20"/>
          <w:szCs w:val="20"/>
          <w:color w:val="auto"/>
        </w:rPr>
      </w:pPr>
    </w:p>
    <w:p>
      <w:pPr>
        <w:ind w:right="140"/>
        <w:spacing w:after="0" w:line="242" w:lineRule="auto"/>
        <w:rPr>
          <w:sz w:val="20"/>
          <w:szCs w:val="20"/>
          <w:color w:val="auto"/>
        </w:rPr>
      </w:pPr>
      <w:r>
        <w:rPr>
          <w:rFonts w:ascii="Arial" w:cs="Arial" w:eastAsia="Arial" w:hAnsi="Arial"/>
          <w:sz w:val="20"/>
          <w:szCs w:val="20"/>
          <w:color w:val="auto"/>
        </w:rPr>
        <w:t>“This year, we’ve returned $ 886 million to shareholders through common stock dividends and share repurchases, and committed $130 million to acquisitions, reflecting our balanced approach to capital deployment and our commitment to creating long-term shareholder value. Today we also announced our 11th consecutive common stock dividend increase, emphasizing our conviction around our earnings and our strong capital position.”</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Other third quarter highlights</w:t>
      </w:r>
    </w:p>
    <w:p>
      <w:pPr>
        <w:spacing w:after="0" w:line="143" w:lineRule="exact"/>
        <w:rPr>
          <w:sz w:val="20"/>
          <w:szCs w:val="20"/>
          <w:color w:val="auto"/>
        </w:rPr>
      </w:pPr>
    </w:p>
    <w:p>
      <w:pPr>
        <w:ind w:left="660" w:right="340" w:hanging="328"/>
        <w:spacing w:after="0" w:line="260" w:lineRule="auto"/>
        <w:tabs>
          <w:tab w:leader="none" w:pos="660" w:val="left"/>
        </w:tabs>
        <w:numPr>
          <w:ilvl w:val="0"/>
          <w:numId w:val="6"/>
        </w:numPr>
        <w:rPr>
          <w:rFonts w:ascii="Arial" w:cs="Arial" w:eastAsia="Arial" w:hAnsi="Arial"/>
          <w:sz w:val="20"/>
          <w:szCs w:val="20"/>
          <w:color w:val="auto"/>
        </w:rPr>
      </w:pPr>
      <w:r>
        <w:rPr>
          <w:rFonts w:ascii="Arial" w:cs="Arial" w:eastAsia="Arial" w:hAnsi="Arial"/>
          <w:sz w:val="20"/>
          <w:szCs w:val="20"/>
          <w:color w:val="auto"/>
        </w:rPr>
        <w:t>Strong Morningstar investment performance</w:t>
      </w:r>
      <w:r>
        <w:rPr>
          <w:rFonts w:ascii="Arial" w:cs="Arial" w:eastAsia="Arial" w:hAnsi="Arial"/>
          <w:sz w:val="25"/>
          <w:szCs w:val="25"/>
          <w:color w:val="auto"/>
          <w:vertAlign w:val="superscript"/>
        </w:rPr>
        <w:t>2</w:t>
      </w:r>
      <w:r>
        <w:rPr>
          <w:rFonts w:ascii="Arial" w:cs="Arial" w:eastAsia="Arial" w:hAnsi="Arial"/>
          <w:sz w:val="20"/>
          <w:szCs w:val="20"/>
          <w:color w:val="auto"/>
        </w:rPr>
        <w:t>, with 74 percent of Principal’s investment options above median on a one-year basis, 68 percent on a three-year basis and 89 percent on a five-year basis.</w:t>
      </w:r>
    </w:p>
    <w:p>
      <w:pPr>
        <w:spacing w:after="0" w:line="90" w:lineRule="exact"/>
        <w:rPr>
          <w:rFonts w:ascii="Arial" w:cs="Arial" w:eastAsia="Arial" w:hAnsi="Arial"/>
          <w:sz w:val="20"/>
          <w:szCs w:val="20"/>
          <w:color w:val="auto"/>
        </w:rPr>
      </w:pPr>
    </w:p>
    <w:p>
      <w:pPr>
        <w:ind w:left="660" w:right="420" w:hanging="328"/>
        <w:spacing w:after="0" w:line="255"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20"/>
          <w:szCs w:val="20"/>
          <w:color w:val="auto"/>
        </w:rPr>
        <w:t>We continue to execute on our accelerated investment in digital business strategies as we intensify our focus on the customer experience, direct-to-consumer offerings and our use of data science in investment research. More details to follow on our Nov. 15</w:t>
      </w:r>
      <w:r>
        <w:rPr>
          <w:rFonts w:ascii="Arial" w:cs="Arial" w:eastAsia="Arial" w:hAnsi="Arial"/>
          <w:sz w:val="25"/>
          <w:szCs w:val="25"/>
          <w:color w:val="auto"/>
          <w:vertAlign w:val="superscript"/>
        </w:rPr>
        <w:t>th</w:t>
      </w:r>
      <w:r>
        <w:rPr>
          <w:rFonts w:ascii="Arial" w:cs="Arial" w:eastAsia="Arial" w:hAnsi="Arial"/>
          <w:sz w:val="20"/>
          <w:szCs w:val="20"/>
          <w:color w:val="auto"/>
        </w:rPr>
        <w:t xml:space="preserve"> Investor Day in New York.</w:t>
      </w:r>
    </w:p>
    <w:p>
      <w:pPr>
        <w:spacing w:after="0" w:line="2"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20"/>
          <w:szCs w:val="20"/>
          <w:color w:val="auto"/>
        </w:rPr>
      </w:pPr>
      <w:r>
        <w:rPr>
          <w:rFonts w:ascii="Arial" w:cs="Arial" w:eastAsia="Arial" w:hAnsi="Arial"/>
          <w:sz w:val="20"/>
          <w:szCs w:val="20"/>
          <w:color w:val="auto"/>
        </w:rPr>
        <w:t>Total company AUM of $667.8 billion with total company net cash flows of $0.2 billion.</w:t>
      </w:r>
    </w:p>
    <w:p>
      <w:pPr>
        <w:spacing w:after="0" w:line="134" w:lineRule="exact"/>
        <w:rPr>
          <w:rFonts w:ascii="Arial" w:cs="Arial" w:eastAsia="Arial" w:hAnsi="Arial"/>
          <w:sz w:val="20"/>
          <w:szCs w:val="20"/>
          <w:color w:val="auto"/>
        </w:rPr>
      </w:pPr>
    </w:p>
    <w:p>
      <w:pPr>
        <w:ind w:left="660" w:hanging="328"/>
        <w:spacing w:after="0" w:line="289" w:lineRule="auto"/>
        <w:tabs>
          <w:tab w:leader="none" w:pos="660" w:val="left"/>
        </w:tabs>
        <w:numPr>
          <w:ilvl w:val="0"/>
          <w:numId w:val="6"/>
        </w:numPr>
        <w:rPr>
          <w:rFonts w:ascii="Arial" w:cs="Arial" w:eastAsia="Arial" w:hAnsi="Arial"/>
          <w:sz w:val="20"/>
          <w:szCs w:val="20"/>
          <w:color w:val="auto"/>
        </w:rPr>
      </w:pPr>
      <w:r>
        <w:rPr>
          <w:rFonts w:ascii="Arial" w:cs="Arial" w:eastAsia="Arial" w:hAnsi="Arial"/>
          <w:sz w:val="20"/>
          <w:szCs w:val="20"/>
          <w:color w:val="auto"/>
        </w:rPr>
        <w:t>Retirement and Income Solutions (RIS) - Fee sales of $2.9 billion and net cash flow of $0.9 billion contributed to higher end of period account values of $238.2 billion, a 10 percent increase over the prior year quarter.</w:t>
      </w:r>
    </w:p>
    <w:p>
      <w:pPr>
        <w:spacing w:after="0" w:line="67" w:lineRule="exact"/>
        <w:rPr>
          <w:rFonts w:ascii="Arial" w:cs="Arial" w:eastAsia="Arial" w:hAnsi="Arial"/>
          <w:sz w:val="20"/>
          <w:szCs w:val="20"/>
          <w:color w:val="auto"/>
        </w:rPr>
      </w:pPr>
    </w:p>
    <w:p>
      <w:pPr>
        <w:ind w:left="660" w:right="260" w:hanging="328"/>
        <w:spacing w:after="0" w:line="24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20"/>
          <w:szCs w:val="20"/>
          <w:color w:val="auto"/>
        </w:rPr>
        <w:t>RIS - Spread sales of $2.7 billion, including pension risk transfer sales of $1.2 billion, helped drive end of period account values to $44.7 billion, a 10 percent increase over the prior year quarter.</w:t>
      </w:r>
    </w:p>
    <w:p>
      <w:pPr>
        <w:spacing w:after="0" w:line="91" w:lineRule="exact"/>
        <w:rPr>
          <w:rFonts w:ascii="Arial" w:cs="Arial" w:eastAsia="Arial" w:hAnsi="Arial"/>
          <w:sz w:val="18"/>
          <w:szCs w:val="18"/>
          <w:color w:val="auto"/>
        </w:rPr>
      </w:pPr>
    </w:p>
    <w:p>
      <w:pPr>
        <w:ind w:left="660" w:right="280" w:hanging="328"/>
        <w:spacing w:after="0" w:line="260" w:lineRule="auto"/>
        <w:tabs>
          <w:tab w:leader="none" w:pos="660" w:val="left"/>
        </w:tabs>
        <w:numPr>
          <w:ilvl w:val="0"/>
          <w:numId w:val="6"/>
        </w:numPr>
        <w:rPr>
          <w:rFonts w:ascii="Arial" w:cs="Arial" w:eastAsia="Arial" w:hAnsi="Arial"/>
          <w:sz w:val="20"/>
          <w:szCs w:val="20"/>
          <w:color w:val="auto"/>
        </w:rPr>
      </w:pPr>
      <w:r>
        <w:rPr>
          <w:rFonts w:ascii="Arial" w:cs="Arial" w:eastAsia="Arial" w:hAnsi="Arial"/>
          <w:sz w:val="20"/>
          <w:szCs w:val="20"/>
          <w:color w:val="auto"/>
        </w:rPr>
        <w:t>Principal Global Investors (PGI) pre-tax return on operating revenues less pass-through commissions</w:t>
      </w:r>
      <w:r>
        <w:rPr>
          <w:rFonts w:ascii="Arial" w:cs="Arial" w:eastAsia="Arial" w:hAnsi="Arial"/>
          <w:sz w:val="25"/>
          <w:szCs w:val="25"/>
          <w:color w:val="auto"/>
          <w:vertAlign w:val="superscript"/>
        </w:rPr>
        <w:t>3</w:t>
      </w:r>
      <w:r>
        <w:rPr>
          <w:rFonts w:ascii="Arial" w:cs="Arial" w:eastAsia="Arial" w:hAnsi="Arial"/>
          <w:sz w:val="20"/>
          <w:szCs w:val="20"/>
          <w:color w:val="auto"/>
        </w:rPr>
        <w:t xml:space="preserve"> was 36.7 percent on a trailing twelve month basis.</w:t>
      </w:r>
    </w:p>
    <w:p>
      <w:pPr>
        <w:spacing w:after="0" w:line="87" w:lineRule="exact"/>
        <w:rPr>
          <w:rFonts w:ascii="Arial" w:cs="Arial" w:eastAsia="Arial" w:hAnsi="Arial"/>
          <w:sz w:val="20"/>
          <w:szCs w:val="20"/>
          <w:color w:val="auto"/>
        </w:rPr>
      </w:pPr>
    </w:p>
    <w:p>
      <w:pPr>
        <w:ind w:left="660" w:right="100" w:hanging="328"/>
        <w:spacing w:after="0" w:line="260" w:lineRule="auto"/>
        <w:tabs>
          <w:tab w:leader="none" w:pos="660" w:val="left"/>
        </w:tabs>
        <w:numPr>
          <w:ilvl w:val="0"/>
          <w:numId w:val="6"/>
        </w:numPr>
        <w:rPr>
          <w:rFonts w:ascii="Arial" w:cs="Arial" w:eastAsia="Arial" w:hAnsi="Arial"/>
          <w:sz w:val="20"/>
          <w:szCs w:val="20"/>
          <w:color w:val="auto"/>
        </w:rPr>
      </w:pPr>
      <w:r>
        <w:rPr>
          <w:rFonts w:ascii="Arial" w:cs="Arial" w:eastAsia="Arial" w:hAnsi="Arial"/>
          <w:sz w:val="20"/>
          <w:szCs w:val="20"/>
          <w:color w:val="auto"/>
        </w:rPr>
        <w:t>Principal International (PI) generated net cash flow of $0.7 billion which is the 40</w:t>
      </w:r>
      <w:r>
        <w:rPr>
          <w:rFonts w:ascii="Arial" w:cs="Arial" w:eastAsia="Arial" w:hAnsi="Arial"/>
          <w:sz w:val="25"/>
          <w:szCs w:val="25"/>
          <w:color w:val="auto"/>
          <w:vertAlign w:val="superscript"/>
        </w:rPr>
        <w:t>th</w:t>
      </w:r>
      <w:r>
        <w:rPr>
          <w:rFonts w:ascii="Arial" w:cs="Arial" w:eastAsia="Arial" w:hAnsi="Arial"/>
          <w:sz w:val="20"/>
          <w:szCs w:val="20"/>
          <w:color w:val="auto"/>
        </w:rPr>
        <w:t xml:space="preserve"> consecutive quarter of positive net cash flow. In addition, China, which is not included in our reported numbers, had $4.1 billion of positive net cash flows.</w:t>
      </w:r>
    </w:p>
    <w:p>
      <w:pPr>
        <w:spacing w:after="0" w:line="87" w:lineRule="exact"/>
        <w:rPr>
          <w:rFonts w:ascii="Arial" w:cs="Arial" w:eastAsia="Arial" w:hAnsi="Arial"/>
          <w:sz w:val="20"/>
          <w:szCs w:val="20"/>
          <w:color w:val="auto"/>
        </w:rPr>
      </w:pPr>
    </w:p>
    <w:p>
      <w:pPr>
        <w:ind w:left="660" w:right="20" w:hanging="328"/>
        <w:spacing w:after="0" w:line="260" w:lineRule="auto"/>
        <w:tabs>
          <w:tab w:leader="none" w:pos="660" w:val="left"/>
        </w:tabs>
        <w:numPr>
          <w:ilvl w:val="0"/>
          <w:numId w:val="6"/>
        </w:numPr>
        <w:rPr>
          <w:rFonts w:ascii="Arial" w:cs="Arial" w:eastAsia="Arial" w:hAnsi="Arial"/>
          <w:sz w:val="20"/>
          <w:szCs w:val="20"/>
          <w:color w:val="auto"/>
        </w:rPr>
      </w:pPr>
      <w:r>
        <w:rPr>
          <w:rFonts w:ascii="Arial" w:cs="Arial" w:eastAsia="Arial" w:hAnsi="Arial"/>
          <w:sz w:val="20"/>
          <w:szCs w:val="20"/>
          <w:color w:val="auto"/>
        </w:rPr>
        <w:t>Specialty Benefits premium and fees</w:t>
      </w:r>
      <w:r>
        <w:rPr>
          <w:rFonts w:ascii="Arial" w:cs="Arial" w:eastAsia="Arial" w:hAnsi="Arial"/>
          <w:sz w:val="25"/>
          <w:szCs w:val="25"/>
          <w:color w:val="auto"/>
          <w:vertAlign w:val="superscript"/>
        </w:rPr>
        <w:t>4</w:t>
      </w:r>
      <w:r>
        <w:rPr>
          <w:rFonts w:ascii="Arial" w:cs="Arial" w:eastAsia="Arial" w:hAnsi="Arial"/>
          <w:sz w:val="20"/>
          <w:szCs w:val="20"/>
          <w:color w:val="auto"/>
        </w:rPr>
        <w:t xml:space="preserve"> increased 7 percent compared to the year ago quarter driven by strong retention and sales.</w:t>
      </w:r>
    </w:p>
    <w:p>
      <w:pPr>
        <w:spacing w:after="0" w:line="78"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pacing w:after="0" w:line="110" w:lineRule="exact"/>
        <w:rPr>
          <w:sz w:val="20"/>
          <w:szCs w:val="20"/>
          <w:color w:val="auto"/>
        </w:rPr>
      </w:pPr>
    </w:p>
    <w:p>
      <w:pPr>
        <w:ind w:right="220" w:firstLine="8"/>
        <w:spacing w:after="0" w:line="211" w:lineRule="auto"/>
        <w:tabs>
          <w:tab w:leader="none" w:pos="90" w:val="left"/>
        </w:tabs>
        <w:numPr>
          <w:ilvl w:val="0"/>
          <w:numId w:val="7"/>
        </w:numPr>
        <w:rPr>
          <w:rFonts w:ascii="Arial" w:cs="Arial" w:eastAsia="Arial" w:hAnsi="Arial"/>
          <w:sz w:val="18"/>
          <w:szCs w:val="18"/>
          <w:color w:val="auto"/>
          <w:vertAlign w:val="superscript"/>
        </w:rPr>
      </w:pPr>
      <w:r>
        <w:rPr>
          <w:rFonts w:ascii="Arial" w:cs="Arial" w:eastAsia="Arial" w:hAnsi="Arial"/>
          <w:sz w:val="14"/>
          <w:szCs w:val="14"/>
          <w:color w:val="auto"/>
        </w:rPr>
        <w:t>Represents the percentage of Principal actively managed mutual funds, exchange traded funds (ETFs), insurance separate accounts, and collective investment trusts (CITs) in the top two Morningstar quartiles. Excludes Money Market, Stable Value, Liability Driven Investment, Hedge Fund Separate Account and US Property Separate Account.</w:t>
      </w:r>
    </w:p>
    <w:p>
      <w:pPr>
        <w:ind w:right="240"/>
        <w:spacing w:after="0" w:line="225" w:lineRule="auto"/>
        <w:rPr>
          <w:rFonts w:ascii="Arial" w:cs="Arial" w:eastAsia="Arial" w:hAnsi="Arial"/>
          <w:sz w:val="18"/>
          <w:szCs w:val="18"/>
          <w:color w:val="auto"/>
          <w:vertAlign w:val="superscript"/>
        </w:rPr>
      </w:pPr>
      <w:r>
        <w:rPr>
          <w:rFonts w:ascii="Arial" w:cs="Arial" w:eastAsia="Arial" w:hAnsi="Arial"/>
          <w:sz w:val="17"/>
          <w:szCs w:val="17"/>
          <w:color w:val="auto"/>
          <w:vertAlign w:val="superscript"/>
        </w:rPr>
        <w:t>3</w:t>
      </w:r>
      <w:r>
        <w:rPr>
          <w:rFonts w:ascii="Arial" w:cs="Arial" w:eastAsia="Arial" w:hAnsi="Arial"/>
          <w:sz w:val="14"/>
          <w:szCs w:val="14"/>
          <w:color w:val="auto"/>
        </w:rPr>
        <w:t xml:space="preserve"> The company has provided reconciliations of the non-GAAP measures to the most directly comparable U.S. GAAP measures at the end of the release. The company has determined this measure is more representative of underlying operating revenues growth for PGI as it removes commissions that are collected through fee revenue and passed through expenses with no impact to pre-tax operating earnings.</w:t>
      </w:r>
    </w:p>
    <w:p>
      <w:pPr>
        <w:spacing w:after="0" w:line="1" w:lineRule="exact"/>
        <w:rPr>
          <w:rFonts w:ascii="Arial" w:cs="Arial" w:eastAsia="Arial" w:hAnsi="Arial"/>
          <w:sz w:val="18"/>
          <w:szCs w:val="18"/>
          <w:color w:val="auto"/>
          <w:vertAlign w:val="superscript"/>
        </w:rPr>
      </w:pPr>
    </w:p>
    <w:p>
      <w:pPr>
        <w:spacing w:after="0"/>
        <w:rPr>
          <w:rFonts w:ascii="Arial" w:cs="Arial" w:eastAsia="Arial" w:hAnsi="Arial"/>
          <w:sz w:val="18"/>
          <w:szCs w:val="18"/>
          <w:color w:val="auto"/>
          <w:vertAlign w:val="superscript"/>
        </w:rPr>
      </w:pPr>
      <w:r>
        <w:rPr>
          <w:rFonts w:ascii="Arial" w:cs="Arial" w:eastAsia="Arial" w:hAnsi="Arial"/>
          <w:sz w:val="17"/>
          <w:szCs w:val="17"/>
          <w:color w:val="auto"/>
          <w:vertAlign w:val="superscript"/>
        </w:rPr>
        <w:t>4</w:t>
      </w:r>
      <w:r>
        <w:rPr>
          <w:rFonts w:ascii="Arial" w:cs="Arial" w:eastAsia="Arial" w:hAnsi="Arial"/>
          <w:sz w:val="14"/>
          <w:szCs w:val="14"/>
          <w:color w:val="auto"/>
        </w:rPr>
        <w:t xml:space="preserve"> Premium and fees = premiums and other considerations plus fees and other revenues.</w:t>
      </w:r>
    </w:p>
    <w:p>
      <w:pPr>
        <w:sectPr>
          <w:pgSz w:w="11900" w:h="16838" w:orient="portrait"/>
          <w:cols w:equalWidth="0" w:num="1">
            <w:col w:w="11420"/>
          </w:cols>
          <w:pgMar w:left="240" w:top="1192" w:right="239" w:bottom="1440" w:gutter="0" w:footer="0" w:header="0"/>
        </w:sectPr>
      </w:pPr>
    </w:p>
    <w:bookmarkStart w:id="4" w:name="page5"/>
    <w:bookmarkEnd w:id="4"/>
    <w:p>
      <w:pPr>
        <w:ind w:left="660" w:right="280" w:hanging="328"/>
        <w:spacing w:after="0" w:line="289" w:lineRule="auto"/>
        <w:tabs>
          <w:tab w:leader="none" w:pos="660" w:val="left"/>
        </w:tabs>
        <w:numPr>
          <w:ilvl w:val="0"/>
          <w:numId w:val="8"/>
        </w:numPr>
        <w:rPr>
          <w:rFonts w:ascii="Arial" w:cs="Arial" w:eastAsia="Arial" w:hAnsi="Arial"/>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t>Individual Life sales increased 13 percent over the year ago quarter with 58 percent of total sales from the business market.</w:t>
      </w:r>
    </w:p>
    <w:p>
      <w:pPr>
        <w:spacing w:after="0" w:line="67" w:lineRule="exact"/>
        <w:rPr>
          <w:rFonts w:ascii="Arial" w:cs="Arial" w:eastAsia="Arial" w:hAnsi="Arial"/>
          <w:sz w:val="20"/>
          <w:szCs w:val="20"/>
          <w:color w:val="auto"/>
        </w:rPr>
      </w:pPr>
    </w:p>
    <w:p>
      <w:pPr>
        <w:ind w:left="660" w:hanging="328"/>
        <w:spacing w:after="0" w:line="247" w:lineRule="auto"/>
        <w:tabs>
          <w:tab w:leader="none" w:pos="660" w:val="left"/>
        </w:tabs>
        <w:numPr>
          <w:ilvl w:val="0"/>
          <w:numId w:val="8"/>
        </w:numPr>
        <w:rPr>
          <w:rFonts w:ascii="Arial" w:cs="Arial" w:eastAsia="Arial" w:hAnsi="Arial"/>
          <w:sz w:val="20"/>
          <w:szCs w:val="20"/>
          <w:color w:val="auto"/>
        </w:rPr>
      </w:pPr>
      <w:r>
        <w:rPr>
          <w:rFonts w:ascii="Arial" w:cs="Arial" w:eastAsia="Arial" w:hAnsi="Arial"/>
          <w:sz w:val="20"/>
          <w:szCs w:val="20"/>
          <w:color w:val="auto"/>
        </w:rPr>
        <w:t>Continued strong capital position with a 2018 capital deployment target of $900 million to $1.3 billion. Deployed $215.6 million of capital in third quarter 2018, including:</w:t>
      </w:r>
    </w:p>
    <w:p>
      <w:pPr>
        <w:spacing w:after="0" w:line="93" w:lineRule="exact"/>
        <w:rPr>
          <w:rFonts w:ascii="Arial" w:cs="Arial" w:eastAsia="Arial" w:hAnsi="Arial"/>
          <w:sz w:val="20"/>
          <w:szCs w:val="20"/>
          <w:color w:val="auto"/>
        </w:rPr>
      </w:pPr>
    </w:p>
    <w:p>
      <w:pPr>
        <w:ind w:left="1300" w:hanging="320"/>
        <w:spacing w:after="0"/>
        <w:tabs>
          <w:tab w:leader="none" w:pos="1300" w:val="left"/>
        </w:tabs>
        <w:numPr>
          <w:ilvl w:val="1"/>
          <w:numId w:val="8"/>
        </w:numPr>
        <w:rPr>
          <w:rFonts w:ascii="Arial" w:cs="Arial" w:eastAsia="Arial" w:hAnsi="Arial"/>
          <w:sz w:val="20"/>
          <w:szCs w:val="20"/>
          <w:color w:val="auto"/>
        </w:rPr>
      </w:pPr>
      <w:r>
        <w:rPr>
          <w:rFonts w:ascii="Arial" w:cs="Arial" w:eastAsia="Arial" w:hAnsi="Arial"/>
          <w:sz w:val="20"/>
          <w:szCs w:val="20"/>
          <w:color w:val="auto"/>
        </w:rPr>
        <w:t>$64.9 million to repurchase 1.1 million shares of common stock; and</w:t>
      </w:r>
    </w:p>
    <w:p>
      <w:pPr>
        <w:spacing w:after="0" w:line="107" w:lineRule="exact"/>
        <w:rPr>
          <w:rFonts w:ascii="Arial" w:cs="Arial" w:eastAsia="Arial" w:hAnsi="Arial"/>
          <w:sz w:val="20"/>
          <w:szCs w:val="20"/>
          <w:color w:val="auto"/>
        </w:rPr>
      </w:pPr>
    </w:p>
    <w:p>
      <w:pPr>
        <w:ind w:left="1300" w:hanging="320"/>
        <w:spacing w:after="0"/>
        <w:tabs>
          <w:tab w:leader="none" w:pos="1300" w:val="left"/>
        </w:tabs>
        <w:numPr>
          <w:ilvl w:val="1"/>
          <w:numId w:val="8"/>
        </w:numPr>
        <w:rPr>
          <w:rFonts w:ascii="Arial" w:cs="Arial" w:eastAsia="Arial" w:hAnsi="Arial"/>
          <w:sz w:val="20"/>
          <w:szCs w:val="20"/>
          <w:color w:val="auto"/>
        </w:rPr>
      </w:pPr>
      <w:r>
        <w:rPr>
          <w:rFonts w:ascii="Arial" w:cs="Arial" w:eastAsia="Arial" w:hAnsi="Arial"/>
          <w:sz w:val="20"/>
          <w:szCs w:val="20"/>
          <w:color w:val="auto"/>
        </w:rPr>
        <w:t>$150.7 million of common stock dividends with the $0.53 per share common dividend paid in the third quarter.</w:t>
      </w:r>
    </w:p>
    <w:p>
      <w:pPr>
        <w:spacing w:after="0" w:line="31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Segment Results</w:t>
      </w:r>
    </w:p>
    <w:p>
      <w:pPr>
        <w:spacing w:after="0" w:line="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Retirement and Income Solutions - Fee</w:t>
      </w: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270"/>
        </w:trPr>
        <w:tc>
          <w:tcPr>
            <w:tcW w:w="3460" w:type="dxa"/>
            <w:vAlign w:val="bottom"/>
            <w:tcBorders>
              <w:top w:val="single" w:sz="8" w:color="auto"/>
              <w:left w:val="single" w:sz="8" w:color="auto"/>
            </w:tcBorders>
          </w:tcPr>
          <w:p>
            <w:pPr>
              <w:spacing w:after="0"/>
              <w:rPr>
                <w:sz w:val="23"/>
                <w:szCs w:val="23"/>
                <w:color w:val="auto"/>
              </w:rPr>
            </w:pPr>
          </w:p>
        </w:tc>
        <w:tc>
          <w:tcPr>
            <w:tcW w:w="900" w:type="dxa"/>
            <w:vAlign w:val="bottom"/>
            <w:tcBorders>
              <w:top w:val="single" w:sz="8" w:color="auto"/>
            </w:tcBorders>
            <w:shd w:val="clear" w:color="auto" w:fill="BFBFBF"/>
          </w:tcPr>
          <w:p>
            <w:pPr>
              <w:spacing w:after="0"/>
              <w:rPr>
                <w:sz w:val="23"/>
                <w:szCs w:val="23"/>
                <w:color w:val="auto"/>
              </w:rPr>
            </w:pPr>
          </w:p>
        </w:tc>
        <w:tc>
          <w:tcPr>
            <w:tcW w:w="900" w:type="dxa"/>
            <w:vAlign w:val="bottom"/>
            <w:tcBorders>
              <w:top w:val="single" w:sz="8" w:color="auto"/>
            </w:tcBorders>
            <w:shd w:val="clear" w:color="auto" w:fill="BFBFBF"/>
          </w:tcPr>
          <w:p>
            <w:pPr>
              <w:ind w:left="180"/>
              <w:spacing w:after="0"/>
              <w:rPr>
                <w:sz w:val="20"/>
                <w:szCs w:val="20"/>
                <w:color w:val="auto"/>
              </w:rPr>
            </w:pPr>
            <w:r>
              <w:rPr>
                <w:rFonts w:ascii="Arial" w:cs="Arial" w:eastAsia="Arial" w:hAnsi="Arial"/>
                <w:sz w:val="18"/>
                <w:szCs w:val="18"/>
                <w:b w:val="1"/>
                <w:bCs w:val="1"/>
                <w:i w:val="1"/>
                <w:iCs w:val="1"/>
                <w:color w:val="auto"/>
              </w:rPr>
              <w:t>Quarter</w:t>
            </w:r>
          </w:p>
        </w:tc>
        <w:tc>
          <w:tcPr>
            <w:tcW w:w="1020" w:type="dxa"/>
            <w:vAlign w:val="bottom"/>
            <w:tcBorders>
              <w:top w:val="single" w:sz="8" w:color="auto"/>
              <w:right w:val="single" w:sz="8" w:color="auto"/>
            </w:tcBorders>
            <w:shd w:val="clear" w:color="auto" w:fill="BFBFBF"/>
          </w:tcPr>
          <w:p>
            <w:pPr>
              <w:spacing w:after="0"/>
              <w:rPr>
                <w:sz w:val="23"/>
                <w:szCs w:val="23"/>
                <w:color w:val="auto"/>
              </w:rPr>
            </w:pPr>
          </w:p>
        </w:tc>
        <w:tc>
          <w:tcPr>
            <w:tcW w:w="3000" w:type="dxa"/>
            <w:vAlign w:val="bottom"/>
            <w:tcBorders>
              <w:top w:val="single" w:sz="8" w:color="auto"/>
              <w:right w:val="single" w:sz="8" w:color="auto"/>
            </w:tcBorders>
            <w:gridSpan w:val="3"/>
            <w:shd w:val="clear" w:color="auto" w:fill="BFBFBF"/>
          </w:tcPr>
          <w:p>
            <w:pPr>
              <w:ind w:left="500"/>
              <w:spacing w:after="0"/>
              <w:rPr>
                <w:sz w:val="20"/>
                <w:szCs w:val="20"/>
                <w:color w:val="auto"/>
              </w:rPr>
            </w:pPr>
            <w:r>
              <w:rPr>
                <w:rFonts w:ascii="Arial" w:cs="Arial" w:eastAsia="Arial" w:hAnsi="Arial"/>
                <w:sz w:val="18"/>
                <w:szCs w:val="18"/>
                <w:b w:val="1"/>
                <w:bCs w:val="1"/>
                <w:i w:val="1"/>
                <w:iCs w:val="1"/>
                <w:color w:val="auto"/>
              </w:rPr>
              <w:t>Trailing Twelve Months</w:t>
            </w:r>
          </w:p>
        </w:tc>
        <w:tc>
          <w:tcPr>
            <w:tcW w:w="0" w:type="dxa"/>
            <w:vAlign w:val="bottom"/>
          </w:tcPr>
          <w:p>
            <w:pPr>
              <w:spacing w:after="0"/>
              <w:rPr>
                <w:sz w:val="1"/>
                <w:szCs w:val="1"/>
                <w:color w:val="auto"/>
              </w:rPr>
            </w:pPr>
          </w:p>
        </w:tc>
      </w:tr>
      <w:tr>
        <w:trPr>
          <w:trHeight w:val="203"/>
        </w:trPr>
        <w:tc>
          <w:tcPr>
            <w:tcW w:w="3460" w:type="dxa"/>
            <w:vAlign w:val="bottom"/>
            <w:tcBorders>
              <w:left w:val="single" w:sz="8" w:color="auto"/>
            </w:tcBorders>
          </w:tcPr>
          <w:p>
            <w:pPr>
              <w:ind w:left="12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900" w:type="dxa"/>
            <w:vAlign w:val="bottom"/>
            <w:shd w:val="clear" w:color="auto" w:fill="BFBFBF"/>
          </w:tcPr>
          <w:p>
            <w:pPr>
              <w:spacing w:after="0"/>
              <w:rPr>
                <w:sz w:val="17"/>
                <w:szCs w:val="17"/>
                <w:color w:val="auto"/>
              </w:rPr>
            </w:pPr>
          </w:p>
        </w:tc>
        <w:tc>
          <w:tcPr>
            <w:tcW w:w="900" w:type="dxa"/>
            <w:vAlign w:val="bottom"/>
            <w:shd w:val="clear" w:color="auto" w:fill="BFBFBF"/>
          </w:tcPr>
          <w:p>
            <w:pPr>
              <w:spacing w:after="0"/>
              <w:rPr>
                <w:sz w:val="17"/>
                <w:szCs w:val="17"/>
                <w:color w:val="auto"/>
              </w:rPr>
            </w:pPr>
          </w:p>
        </w:tc>
        <w:tc>
          <w:tcPr>
            <w:tcW w:w="1020" w:type="dxa"/>
            <w:vAlign w:val="bottom"/>
            <w:tcBorders>
              <w:right w:val="single" w:sz="8" w:color="auto"/>
            </w:tcBorders>
            <w:shd w:val="clear" w:color="auto" w:fill="BFBFBF"/>
          </w:tcPr>
          <w:p>
            <w:pPr>
              <w:spacing w:after="0"/>
              <w:rPr>
                <w:sz w:val="17"/>
                <w:szCs w:val="17"/>
                <w:color w:val="auto"/>
              </w:rPr>
            </w:pPr>
          </w:p>
        </w:tc>
        <w:tc>
          <w:tcPr>
            <w:tcW w:w="880" w:type="dxa"/>
            <w:vAlign w:val="bottom"/>
            <w:shd w:val="clear" w:color="auto" w:fill="BFBFBF"/>
          </w:tcPr>
          <w:p>
            <w:pPr>
              <w:spacing w:after="0"/>
              <w:rPr>
                <w:sz w:val="17"/>
                <w:szCs w:val="17"/>
                <w:color w:val="auto"/>
              </w:rPr>
            </w:pPr>
          </w:p>
        </w:tc>
        <w:tc>
          <w:tcPr>
            <w:tcW w:w="940" w:type="dxa"/>
            <w:vAlign w:val="bottom"/>
            <w:shd w:val="clear" w:color="auto" w:fill="BFBFBF"/>
          </w:tcPr>
          <w:p>
            <w:pPr>
              <w:spacing w:after="0"/>
              <w:rPr>
                <w:sz w:val="17"/>
                <w:szCs w:val="17"/>
                <w:color w:val="auto"/>
              </w:rPr>
            </w:pPr>
          </w:p>
        </w:tc>
        <w:tc>
          <w:tcPr>
            <w:tcW w:w="1180" w:type="dxa"/>
            <w:vAlign w:val="bottom"/>
            <w:tcBorders>
              <w:right w:val="single" w:sz="8" w:color="auto"/>
            </w:tcBorders>
            <w:shd w:val="clear" w:color="auto" w:fill="BFBFBF"/>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3460" w:type="dxa"/>
            <w:vAlign w:val="bottom"/>
            <w:tcBorders>
              <w:left w:val="single" w:sz="8" w:color="auto"/>
            </w:tcBorders>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900" w:type="dxa"/>
            <w:vAlign w:val="bottom"/>
          </w:tcPr>
          <w:p>
            <w:pPr>
              <w:jc w:val="center"/>
              <w:spacing w:after="0"/>
              <w:rPr>
                <w:sz w:val="20"/>
                <w:szCs w:val="20"/>
                <w:color w:val="auto"/>
              </w:rPr>
            </w:pPr>
            <w:r>
              <w:rPr>
                <w:rFonts w:ascii="Arial" w:cs="Arial" w:eastAsia="Arial" w:hAnsi="Arial"/>
                <w:sz w:val="18"/>
                <w:szCs w:val="18"/>
                <w:b w:val="1"/>
                <w:bCs w:val="1"/>
                <w:color w:val="auto"/>
                <w:w w:val="99"/>
              </w:rPr>
              <w:t>3Q17</w:t>
            </w:r>
          </w:p>
        </w:tc>
        <w:tc>
          <w:tcPr>
            <w:tcW w:w="10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 Change</w:t>
            </w:r>
          </w:p>
        </w:tc>
        <w:tc>
          <w:tcPr>
            <w:tcW w:w="88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940" w:type="dxa"/>
            <w:vAlign w:val="bottom"/>
          </w:tcPr>
          <w:p>
            <w:pPr>
              <w:jc w:val="center"/>
              <w:spacing w:after="0"/>
              <w:rPr>
                <w:sz w:val="20"/>
                <w:szCs w:val="20"/>
                <w:color w:val="auto"/>
              </w:rPr>
            </w:pPr>
            <w:r>
              <w:rPr>
                <w:rFonts w:ascii="Arial" w:cs="Arial" w:eastAsia="Arial" w:hAnsi="Arial"/>
                <w:sz w:val="18"/>
                <w:szCs w:val="18"/>
                <w:b w:val="1"/>
                <w:bCs w:val="1"/>
                <w:color w:val="auto"/>
                <w:w w:val="99"/>
              </w:rPr>
              <w:t>3Q17</w:t>
            </w:r>
          </w:p>
        </w:tc>
        <w:tc>
          <w:tcPr>
            <w:tcW w:w="11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 Change</w:t>
            </w:r>
          </w:p>
        </w:tc>
        <w:tc>
          <w:tcPr>
            <w:tcW w:w="0" w:type="dxa"/>
            <w:vAlign w:val="bottom"/>
          </w:tcPr>
          <w:p>
            <w:pPr>
              <w:spacing w:after="0"/>
              <w:rPr>
                <w:sz w:val="1"/>
                <w:szCs w:val="1"/>
                <w:color w:val="auto"/>
              </w:rPr>
            </w:pPr>
          </w:p>
        </w:tc>
      </w:tr>
      <w:tr>
        <w:trPr>
          <w:trHeight w:val="203"/>
        </w:trPr>
        <w:tc>
          <w:tcPr>
            <w:tcW w:w="3460" w:type="dxa"/>
            <w:vAlign w:val="bottom"/>
            <w:tcBorders>
              <w:left w:val="single" w:sz="8" w:color="auto"/>
            </w:tcBorders>
            <w:vMerge w:val="restart"/>
          </w:tcPr>
          <w:p>
            <w:pPr>
              <w:ind w:left="180"/>
              <w:spacing w:after="0"/>
              <w:rPr>
                <w:sz w:val="20"/>
                <w:szCs w:val="20"/>
                <w:color w:val="auto"/>
              </w:rPr>
            </w:pPr>
            <w:r>
              <w:rPr>
                <w:rFonts w:ascii="Arial" w:cs="Arial" w:eastAsia="Arial" w:hAnsi="Arial"/>
                <w:sz w:val="18"/>
                <w:szCs w:val="18"/>
                <w:color w:val="auto"/>
              </w:rPr>
              <w:t>Pre-tax operating earnings</w:t>
            </w:r>
            <w:r>
              <w:rPr>
                <w:rFonts w:ascii="Arial" w:cs="Arial" w:eastAsia="Arial" w:hAnsi="Arial"/>
                <w:sz w:val="21"/>
                <w:szCs w:val="21"/>
                <w:color w:val="auto"/>
                <w:vertAlign w:val="superscript"/>
              </w:rPr>
              <w:t>5</w:t>
            </w:r>
          </w:p>
        </w:tc>
        <w:tc>
          <w:tcPr>
            <w:tcW w:w="9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1020" w:type="dxa"/>
            <w:vAlign w:val="bottom"/>
            <w:tcBorders>
              <w:bottom w:val="single" w:sz="8" w:color="auto"/>
              <w:right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c>
          <w:tcPr>
            <w:tcW w:w="11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80"/>
        </w:trPr>
        <w:tc>
          <w:tcPr>
            <w:tcW w:w="3460" w:type="dxa"/>
            <w:vAlign w:val="bottom"/>
            <w:tcBorders>
              <w:left w:val="single" w:sz="8" w:color="auto"/>
            </w:tcBorders>
            <w:vMerge w:val="continue"/>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8"/>
              </w:rPr>
              <w:t>$155.4</w:t>
            </w:r>
          </w:p>
        </w:tc>
        <w:tc>
          <w:tcPr>
            <w:tcW w:w="900" w:type="dxa"/>
            <w:vAlign w:val="bottom"/>
          </w:tcPr>
          <w:p>
            <w:pPr>
              <w:jc w:val="center"/>
              <w:spacing w:after="0"/>
              <w:rPr>
                <w:sz w:val="20"/>
                <w:szCs w:val="20"/>
                <w:color w:val="auto"/>
              </w:rPr>
            </w:pPr>
            <w:r>
              <w:rPr>
                <w:rFonts w:ascii="Arial" w:cs="Arial" w:eastAsia="Arial" w:hAnsi="Arial"/>
                <w:sz w:val="18"/>
                <w:szCs w:val="18"/>
                <w:color w:val="auto"/>
              </w:rPr>
              <w:t>$108.0</w:t>
            </w:r>
          </w:p>
        </w:tc>
        <w:tc>
          <w:tcPr>
            <w:tcW w:w="10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44%</w:t>
            </w:r>
          </w:p>
        </w:tc>
        <w:tc>
          <w:tcPr>
            <w:tcW w:w="880" w:type="dxa"/>
            <w:vAlign w:val="bottom"/>
          </w:tcPr>
          <w:p>
            <w:pPr>
              <w:jc w:val="center"/>
              <w:spacing w:after="0"/>
              <w:rPr>
                <w:sz w:val="20"/>
                <w:szCs w:val="20"/>
                <w:color w:val="auto"/>
              </w:rPr>
            </w:pPr>
            <w:r>
              <w:rPr>
                <w:rFonts w:ascii="Arial" w:cs="Arial" w:eastAsia="Arial" w:hAnsi="Arial"/>
                <w:sz w:val="18"/>
                <w:szCs w:val="18"/>
                <w:color w:val="auto"/>
                <w:w w:val="98"/>
              </w:rPr>
              <w:t>$549.0</w:t>
            </w:r>
          </w:p>
        </w:tc>
        <w:tc>
          <w:tcPr>
            <w:tcW w:w="940" w:type="dxa"/>
            <w:vAlign w:val="bottom"/>
          </w:tcPr>
          <w:p>
            <w:pPr>
              <w:jc w:val="center"/>
              <w:spacing w:after="0"/>
              <w:rPr>
                <w:sz w:val="20"/>
                <w:szCs w:val="20"/>
                <w:color w:val="auto"/>
              </w:rPr>
            </w:pPr>
            <w:r>
              <w:rPr>
                <w:rFonts w:ascii="Arial" w:cs="Arial" w:eastAsia="Arial" w:hAnsi="Arial"/>
                <w:sz w:val="18"/>
                <w:szCs w:val="18"/>
                <w:color w:val="auto"/>
              </w:rPr>
              <w:t>$524.2</w:t>
            </w:r>
          </w:p>
        </w:tc>
        <w:tc>
          <w:tcPr>
            <w:tcW w:w="11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5%</w:t>
            </w:r>
          </w:p>
        </w:tc>
        <w:tc>
          <w:tcPr>
            <w:tcW w:w="0" w:type="dxa"/>
            <w:vAlign w:val="bottom"/>
          </w:tcPr>
          <w:p>
            <w:pPr>
              <w:spacing w:after="0"/>
              <w:rPr>
                <w:sz w:val="1"/>
                <w:szCs w:val="1"/>
                <w:color w:val="auto"/>
              </w:rPr>
            </w:pPr>
          </w:p>
        </w:tc>
      </w:tr>
      <w:tr>
        <w:trPr>
          <w:trHeight w:val="459"/>
        </w:trPr>
        <w:tc>
          <w:tcPr>
            <w:tcW w:w="346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Net revenue</w:t>
            </w:r>
            <w:r>
              <w:rPr>
                <w:rFonts w:ascii="Arial" w:cs="Arial" w:eastAsia="Arial" w:hAnsi="Arial"/>
                <w:sz w:val="21"/>
                <w:szCs w:val="21"/>
                <w:color w:val="auto"/>
                <w:vertAlign w:val="superscript"/>
              </w:rPr>
              <w:t>6</w:t>
            </w:r>
          </w:p>
        </w:tc>
        <w:tc>
          <w:tcPr>
            <w:tcW w:w="900" w:type="dxa"/>
            <w:vAlign w:val="bottom"/>
          </w:tcPr>
          <w:p>
            <w:pPr>
              <w:jc w:val="center"/>
              <w:spacing w:after="0"/>
              <w:rPr>
                <w:sz w:val="20"/>
                <w:szCs w:val="20"/>
                <w:color w:val="auto"/>
              </w:rPr>
            </w:pPr>
            <w:r>
              <w:rPr>
                <w:rFonts w:ascii="Arial" w:cs="Arial" w:eastAsia="Arial" w:hAnsi="Arial"/>
                <w:sz w:val="18"/>
                <w:szCs w:val="18"/>
                <w:color w:val="auto"/>
                <w:w w:val="98"/>
              </w:rPr>
              <w:t>$415.8</w:t>
            </w:r>
          </w:p>
        </w:tc>
        <w:tc>
          <w:tcPr>
            <w:tcW w:w="900" w:type="dxa"/>
            <w:vAlign w:val="bottom"/>
          </w:tcPr>
          <w:p>
            <w:pPr>
              <w:jc w:val="center"/>
              <w:spacing w:after="0"/>
              <w:rPr>
                <w:sz w:val="20"/>
                <w:szCs w:val="20"/>
                <w:color w:val="auto"/>
              </w:rPr>
            </w:pPr>
            <w:r>
              <w:rPr>
                <w:rFonts w:ascii="Arial" w:cs="Arial" w:eastAsia="Arial" w:hAnsi="Arial"/>
                <w:sz w:val="18"/>
                <w:szCs w:val="18"/>
                <w:color w:val="auto"/>
              </w:rPr>
              <w:t>$372.1</w:t>
            </w:r>
          </w:p>
        </w:tc>
        <w:tc>
          <w:tcPr>
            <w:tcW w:w="10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12%</w:t>
            </w:r>
          </w:p>
        </w:tc>
        <w:tc>
          <w:tcPr>
            <w:tcW w:w="880" w:type="dxa"/>
            <w:vAlign w:val="bottom"/>
          </w:tcPr>
          <w:p>
            <w:pPr>
              <w:jc w:val="center"/>
              <w:spacing w:after="0"/>
              <w:rPr>
                <w:sz w:val="20"/>
                <w:szCs w:val="20"/>
                <w:color w:val="auto"/>
              </w:rPr>
            </w:pPr>
            <w:r>
              <w:rPr>
                <w:rFonts w:ascii="Arial" w:cs="Arial" w:eastAsia="Arial" w:hAnsi="Arial"/>
                <w:sz w:val="18"/>
                <w:szCs w:val="18"/>
                <w:color w:val="auto"/>
                <w:w w:val="99"/>
              </w:rPr>
              <w:t>$1,647.0</w:t>
            </w:r>
          </w:p>
        </w:tc>
        <w:tc>
          <w:tcPr>
            <w:tcW w:w="940" w:type="dxa"/>
            <w:vAlign w:val="bottom"/>
          </w:tcPr>
          <w:p>
            <w:pPr>
              <w:jc w:val="center"/>
              <w:spacing w:after="0"/>
              <w:rPr>
                <w:sz w:val="20"/>
                <w:szCs w:val="20"/>
                <w:color w:val="auto"/>
              </w:rPr>
            </w:pPr>
            <w:r>
              <w:rPr>
                <w:rFonts w:ascii="Arial" w:cs="Arial" w:eastAsia="Arial" w:hAnsi="Arial"/>
                <w:sz w:val="18"/>
                <w:szCs w:val="18"/>
                <w:color w:val="auto"/>
                <w:w w:val="99"/>
              </w:rPr>
              <w:t>$1,582.8</w:t>
            </w:r>
          </w:p>
        </w:tc>
        <w:tc>
          <w:tcPr>
            <w:tcW w:w="11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4%</w:t>
            </w:r>
          </w:p>
        </w:tc>
        <w:tc>
          <w:tcPr>
            <w:tcW w:w="0" w:type="dxa"/>
            <w:vAlign w:val="bottom"/>
          </w:tcPr>
          <w:p>
            <w:pPr>
              <w:spacing w:after="0"/>
              <w:rPr>
                <w:sz w:val="1"/>
                <w:szCs w:val="1"/>
                <w:color w:val="auto"/>
              </w:rPr>
            </w:pPr>
          </w:p>
        </w:tc>
      </w:tr>
      <w:tr>
        <w:trPr>
          <w:trHeight w:val="446"/>
        </w:trPr>
        <w:tc>
          <w:tcPr>
            <w:tcW w:w="346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Pre-tax return on net revenue</w:t>
            </w:r>
            <w:r>
              <w:rPr>
                <w:rFonts w:ascii="Arial" w:cs="Arial" w:eastAsia="Arial" w:hAnsi="Arial"/>
                <w:sz w:val="21"/>
                <w:szCs w:val="21"/>
                <w:color w:val="auto"/>
                <w:vertAlign w:val="superscript"/>
              </w:rPr>
              <w:t>7</w:t>
            </w:r>
          </w:p>
        </w:tc>
        <w:tc>
          <w:tcPr>
            <w:tcW w:w="900" w:type="dxa"/>
            <w:vAlign w:val="bottom"/>
          </w:tcPr>
          <w:p>
            <w:pPr>
              <w:jc w:val="center"/>
              <w:spacing w:after="0"/>
              <w:rPr>
                <w:sz w:val="20"/>
                <w:szCs w:val="20"/>
                <w:color w:val="auto"/>
              </w:rPr>
            </w:pPr>
            <w:r>
              <w:rPr>
                <w:rFonts w:ascii="Arial" w:cs="Arial" w:eastAsia="Arial" w:hAnsi="Arial"/>
                <w:sz w:val="18"/>
                <w:szCs w:val="18"/>
                <w:color w:val="auto"/>
                <w:w w:val="97"/>
              </w:rPr>
              <w:t>37.4%</w:t>
            </w:r>
          </w:p>
        </w:tc>
        <w:tc>
          <w:tcPr>
            <w:tcW w:w="900" w:type="dxa"/>
            <w:vAlign w:val="bottom"/>
          </w:tcPr>
          <w:p>
            <w:pPr>
              <w:jc w:val="center"/>
              <w:spacing w:after="0"/>
              <w:rPr>
                <w:sz w:val="20"/>
                <w:szCs w:val="20"/>
                <w:color w:val="auto"/>
              </w:rPr>
            </w:pPr>
            <w:r>
              <w:rPr>
                <w:rFonts w:ascii="Arial" w:cs="Arial" w:eastAsia="Arial" w:hAnsi="Arial"/>
                <w:sz w:val="18"/>
                <w:szCs w:val="18"/>
                <w:color w:val="auto"/>
              </w:rPr>
              <w:t>29.0%</w:t>
            </w:r>
          </w:p>
        </w:tc>
        <w:tc>
          <w:tcPr>
            <w:tcW w:w="1020" w:type="dxa"/>
            <w:vAlign w:val="bottom"/>
            <w:tcBorders>
              <w:right w:val="single" w:sz="8" w:color="auto"/>
            </w:tcBorders>
          </w:tcPr>
          <w:p>
            <w:pPr>
              <w:spacing w:after="0"/>
              <w:rPr>
                <w:sz w:val="24"/>
                <w:szCs w:val="24"/>
                <w:color w:val="auto"/>
              </w:rPr>
            </w:pPr>
          </w:p>
        </w:tc>
        <w:tc>
          <w:tcPr>
            <w:tcW w:w="880" w:type="dxa"/>
            <w:vAlign w:val="bottom"/>
          </w:tcPr>
          <w:p>
            <w:pPr>
              <w:jc w:val="center"/>
              <w:spacing w:after="0"/>
              <w:rPr>
                <w:sz w:val="20"/>
                <w:szCs w:val="20"/>
                <w:color w:val="auto"/>
              </w:rPr>
            </w:pPr>
            <w:r>
              <w:rPr>
                <w:rFonts w:ascii="Arial" w:cs="Arial" w:eastAsia="Arial" w:hAnsi="Arial"/>
                <w:sz w:val="18"/>
                <w:szCs w:val="18"/>
                <w:color w:val="auto"/>
                <w:w w:val="99"/>
              </w:rPr>
              <w:t>33.3%*</w:t>
            </w:r>
          </w:p>
        </w:tc>
        <w:tc>
          <w:tcPr>
            <w:tcW w:w="940" w:type="dxa"/>
            <w:vAlign w:val="bottom"/>
          </w:tcPr>
          <w:p>
            <w:pPr>
              <w:jc w:val="center"/>
              <w:spacing w:after="0"/>
              <w:rPr>
                <w:sz w:val="20"/>
                <w:szCs w:val="20"/>
                <w:color w:val="auto"/>
              </w:rPr>
            </w:pPr>
            <w:r>
              <w:rPr>
                <w:rFonts w:ascii="Arial" w:cs="Arial" w:eastAsia="Arial" w:hAnsi="Arial"/>
                <w:sz w:val="18"/>
                <w:szCs w:val="18"/>
                <w:color w:val="auto"/>
                <w:w w:val="99"/>
              </w:rPr>
              <w:t>33.1%*</w:t>
            </w:r>
          </w:p>
        </w:tc>
        <w:tc>
          <w:tcPr>
            <w:tcW w:w="1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5"/>
        </w:trPr>
        <w:tc>
          <w:tcPr>
            <w:tcW w:w="3460" w:type="dxa"/>
            <w:vAlign w:val="bottom"/>
            <w:tcBorders>
              <w:left w:val="single" w:sz="8" w:color="auto"/>
              <w:bottom w:val="single" w:sz="8" w:color="auto"/>
            </w:tcBorders>
          </w:tcPr>
          <w:p>
            <w:pPr>
              <w:spacing w:after="0"/>
              <w:rPr>
                <w:sz w:val="12"/>
                <w:szCs w:val="12"/>
                <w:color w:val="auto"/>
              </w:rPr>
            </w:pPr>
          </w:p>
        </w:tc>
        <w:tc>
          <w:tcPr>
            <w:tcW w:w="90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spacing w:after="0"/>
              <w:rPr>
                <w:sz w:val="12"/>
                <w:szCs w:val="12"/>
                <w:color w:val="auto"/>
              </w:rPr>
            </w:pPr>
          </w:p>
        </w:tc>
        <w:tc>
          <w:tcPr>
            <w:tcW w:w="1020" w:type="dxa"/>
            <w:vAlign w:val="bottom"/>
            <w:tcBorders>
              <w:bottom w:val="single" w:sz="8" w:color="auto"/>
              <w:right w:val="single" w:sz="8" w:color="auto"/>
            </w:tcBorders>
          </w:tcPr>
          <w:p>
            <w:pPr>
              <w:spacing w:after="0"/>
              <w:rPr>
                <w:sz w:val="12"/>
                <w:szCs w:val="12"/>
                <w:color w:val="auto"/>
              </w:rPr>
            </w:pPr>
          </w:p>
        </w:tc>
        <w:tc>
          <w:tcPr>
            <w:tcW w:w="88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11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95" w:lineRule="exact"/>
        <w:rPr>
          <w:sz w:val="20"/>
          <w:szCs w:val="20"/>
          <w:color w:val="auto"/>
        </w:rPr>
      </w:pPr>
    </w:p>
    <w:p>
      <w:pPr>
        <w:ind w:right="40"/>
        <w:spacing w:after="0" w:line="285" w:lineRule="auto"/>
        <w:rPr>
          <w:sz w:val="20"/>
          <w:szCs w:val="20"/>
          <w:color w:val="auto"/>
        </w:rPr>
      </w:pPr>
      <w:r>
        <w:rPr>
          <w:rFonts w:ascii="Arial" w:cs="Arial" w:eastAsia="Arial" w:hAnsi="Arial"/>
          <w:sz w:val="14"/>
          <w:szCs w:val="14"/>
          <w:b w:val="1"/>
          <w:bCs w:val="1"/>
          <w:color w:val="auto"/>
        </w:rPr>
        <w:t xml:space="preserve">*Pre-tax return on net revenue - </w:t>
      </w:r>
      <w:r>
        <w:rPr>
          <w:rFonts w:ascii="Arial" w:cs="Arial" w:eastAsia="Arial" w:hAnsi="Arial"/>
          <w:sz w:val="14"/>
          <w:szCs w:val="14"/>
          <w:color w:val="auto"/>
        </w:rPr>
        <w:t>Excluding the third quarter actuarial assumption reviews, the trailing twelve-month pre-tax return on net revenue was 32.8 percent for third</w:t>
      </w:r>
      <w:r>
        <w:rPr>
          <w:rFonts w:ascii="Arial" w:cs="Arial" w:eastAsia="Arial" w:hAnsi="Arial"/>
          <w:sz w:val="14"/>
          <w:szCs w:val="14"/>
          <w:b w:val="1"/>
          <w:bCs w:val="1"/>
          <w:color w:val="auto"/>
        </w:rPr>
        <w:t xml:space="preserve"> </w:t>
      </w:r>
      <w:r>
        <w:rPr>
          <w:rFonts w:ascii="Arial" w:cs="Arial" w:eastAsia="Arial" w:hAnsi="Arial"/>
          <w:sz w:val="14"/>
          <w:szCs w:val="14"/>
          <w:color w:val="auto"/>
        </w:rPr>
        <w:t>quarter 2018 and 34.9 percent for third quarter 2017.</w:t>
      </w:r>
    </w:p>
    <w:p>
      <w:pPr>
        <w:spacing w:after="0" w:line="35" w:lineRule="exact"/>
        <w:rPr>
          <w:sz w:val="20"/>
          <w:szCs w:val="20"/>
          <w:color w:val="auto"/>
        </w:rPr>
      </w:pPr>
    </w:p>
    <w:p>
      <w:pPr>
        <w:jc w:val="both"/>
        <w:ind w:left="660" w:right="140" w:hanging="328"/>
        <w:spacing w:after="0" w:line="255"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earnings </w:t>
      </w:r>
      <w:r>
        <w:rPr>
          <w:rFonts w:ascii="Arial" w:cs="Arial" w:eastAsia="Arial" w:hAnsi="Arial"/>
          <w:sz w:val="20"/>
          <w:szCs w:val="20"/>
          <w:color w:val="auto"/>
        </w:rPr>
        <w:t>increased $47.4 million. Excluding the significant variances outlined in Exhibit 1, pre-tax</w:t>
      </w:r>
      <w:r>
        <w:rPr>
          <w:rFonts w:ascii="Arial" w:cs="Arial" w:eastAsia="Arial" w:hAnsi="Arial"/>
          <w:sz w:val="20"/>
          <w:szCs w:val="20"/>
          <w:b w:val="1"/>
          <w:bCs w:val="1"/>
          <w:color w:val="auto"/>
        </w:rPr>
        <w:t xml:space="preserve"> </w:t>
      </w:r>
      <w:r>
        <w:rPr>
          <w:rFonts w:ascii="Arial" w:cs="Arial" w:eastAsia="Arial" w:hAnsi="Arial"/>
          <w:sz w:val="20"/>
          <w:szCs w:val="20"/>
          <w:color w:val="auto"/>
        </w:rPr>
        <w:t>operating earnings were down 6 percent over the year ago quarter as growth in net revenue was more than offset by higher operating expenses.</w:t>
      </w:r>
    </w:p>
    <w:p>
      <w:pPr>
        <w:spacing w:after="0" w:line="63" w:lineRule="exact"/>
        <w:rPr>
          <w:rFonts w:ascii="Arial" w:cs="Arial" w:eastAsia="Arial" w:hAnsi="Arial"/>
          <w:sz w:val="18"/>
          <w:szCs w:val="18"/>
          <w:color w:val="auto"/>
        </w:rPr>
      </w:pPr>
    </w:p>
    <w:p>
      <w:pPr>
        <w:ind w:left="660" w:right="240" w:hanging="328"/>
        <w:spacing w:after="0" w:line="272"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20"/>
          <w:szCs w:val="20"/>
          <w:b w:val="1"/>
          <w:bCs w:val="1"/>
          <w:color w:val="auto"/>
        </w:rPr>
        <w:t xml:space="preserve">Net revenue </w:t>
      </w:r>
      <w:r>
        <w:rPr>
          <w:rFonts w:ascii="Arial" w:cs="Arial" w:eastAsia="Arial" w:hAnsi="Arial"/>
          <w:sz w:val="20"/>
          <w:szCs w:val="20"/>
          <w:color w:val="auto"/>
        </w:rPr>
        <w:t>increased $43.7 million. Excluding the significant variances outlined in Exhibit 1, net revenue was up 1</w:t>
      </w:r>
      <w:r>
        <w:rPr>
          <w:rFonts w:ascii="Arial" w:cs="Arial" w:eastAsia="Arial" w:hAnsi="Arial"/>
          <w:sz w:val="20"/>
          <w:szCs w:val="20"/>
          <w:b w:val="1"/>
          <w:bCs w:val="1"/>
          <w:color w:val="auto"/>
        </w:rPr>
        <w:t xml:space="preserve"> </w:t>
      </w:r>
      <w:r>
        <w:rPr>
          <w:rFonts w:ascii="Arial" w:cs="Arial" w:eastAsia="Arial" w:hAnsi="Arial"/>
          <w:sz w:val="20"/>
          <w:szCs w:val="20"/>
          <w:color w:val="auto"/>
        </w:rPr>
        <w:t>percent primarily due to higher fees driven by account value growth.</w:t>
      </w:r>
    </w:p>
    <w:p>
      <w:pPr>
        <w:spacing w:after="0" w:line="27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Retirement and Income Solutions - Spread</w:t>
      </w:r>
    </w:p>
    <w:p>
      <w:pPr>
        <w:spacing w:after="0" w:line="250"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3460" w:type="dxa"/>
            <w:vAlign w:val="bottom"/>
            <w:tcBorders>
              <w:top w:val="single" w:sz="8" w:color="auto"/>
              <w:left w:val="single" w:sz="8" w:color="auto"/>
            </w:tcBorders>
          </w:tcPr>
          <w:p>
            <w:pPr>
              <w:spacing w:after="0"/>
              <w:rPr>
                <w:sz w:val="22"/>
                <w:szCs w:val="22"/>
                <w:color w:val="auto"/>
              </w:rPr>
            </w:pPr>
          </w:p>
        </w:tc>
        <w:tc>
          <w:tcPr>
            <w:tcW w:w="880" w:type="dxa"/>
            <w:vAlign w:val="bottom"/>
            <w:tcBorders>
              <w:top w:val="single" w:sz="8" w:color="auto"/>
            </w:tcBorders>
            <w:shd w:val="clear" w:color="auto" w:fill="BFBFBF"/>
          </w:tcPr>
          <w:p>
            <w:pPr>
              <w:spacing w:after="0"/>
              <w:rPr>
                <w:sz w:val="22"/>
                <w:szCs w:val="22"/>
                <w:color w:val="auto"/>
              </w:rPr>
            </w:pPr>
          </w:p>
        </w:tc>
        <w:tc>
          <w:tcPr>
            <w:tcW w:w="980" w:type="dxa"/>
            <w:vAlign w:val="bottom"/>
            <w:tcBorders>
              <w:top w:val="single" w:sz="8" w:color="auto"/>
            </w:tcBorders>
            <w:shd w:val="clear" w:color="auto" w:fill="BFBFBF"/>
          </w:tcPr>
          <w:p>
            <w:pPr>
              <w:ind w:left="260"/>
              <w:spacing w:after="0"/>
              <w:rPr>
                <w:sz w:val="20"/>
                <w:szCs w:val="20"/>
                <w:color w:val="auto"/>
              </w:rPr>
            </w:pPr>
            <w:r>
              <w:rPr>
                <w:rFonts w:ascii="Arial" w:cs="Arial" w:eastAsia="Arial" w:hAnsi="Arial"/>
                <w:sz w:val="18"/>
                <w:szCs w:val="18"/>
                <w:b w:val="1"/>
                <w:bCs w:val="1"/>
                <w:i w:val="1"/>
                <w:iCs w:val="1"/>
                <w:color w:val="auto"/>
              </w:rPr>
              <w:t>Quarter</w:t>
            </w:r>
          </w:p>
        </w:tc>
        <w:tc>
          <w:tcPr>
            <w:tcW w:w="1080" w:type="dxa"/>
            <w:vAlign w:val="bottom"/>
            <w:tcBorders>
              <w:top w:val="single" w:sz="8" w:color="auto"/>
              <w:right w:val="single" w:sz="8" w:color="auto"/>
            </w:tcBorders>
            <w:shd w:val="clear" w:color="auto" w:fill="BFBFBF"/>
          </w:tcPr>
          <w:p>
            <w:pPr>
              <w:spacing w:after="0"/>
              <w:rPr>
                <w:sz w:val="22"/>
                <w:szCs w:val="22"/>
                <w:color w:val="auto"/>
              </w:rPr>
            </w:pPr>
          </w:p>
        </w:tc>
        <w:tc>
          <w:tcPr>
            <w:tcW w:w="2860" w:type="dxa"/>
            <w:vAlign w:val="bottom"/>
            <w:tcBorders>
              <w:top w:val="single" w:sz="8" w:color="auto"/>
              <w:right w:val="single" w:sz="8" w:color="auto"/>
            </w:tcBorders>
            <w:gridSpan w:val="3"/>
            <w:shd w:val="clear" w:color="auto" w:fill="BFBFBF"/>
          </w:tcPr>
          <w:p>
            <w:pPr>
              <w:ind w:left="420"/>
              <w:spacing w:after="0"/>
              <w:rPr>
                <w:sz w:val="20"/>
                <w:szCs w:val="20"/>
                <w:color w:val="auto"/>
              </w:rPr>
            </w:pPr>
            <w:r>
              <w:rPr>
                <w:rFonts w:ascii="Arial" w:cs="Arial" w:eastAsia="Arial" w:hAnsi="Arial"/>
                <w:sz w:val="18"/>
                <w:szCs w:val="18"/>
                <w:b w:val="1"/>
                <w:bCs w:val="1"/>
                <w:i w:val="1"/>
                <w:iCs w:val="1"/>
                <w:color w:val="auto"/>
                <w:highlight w:val="lightGray"/>
              </w:rPr>
              <w:t>Trailing Twelve Months</w:t>
            </w:r>
          </w:p>
        </w:tc>
        <w:tc>
          <w:tcPr>
            <w:tcW w:w="0" w:type="dxa"/>
            <w:vAlign w:val="bottom"/>
          </w:tcPr>
          <w:p>
            <w:pPr>
              <w:spacing w:after="0"/>
              <w:rPr>
                <w:sz w:val="1"/>
                <w:szCs w:val="1"/>
                <w:color w:val="auto"/>
              </w:rPr>
            </w:pPr>
          </w:p>
        </w:tc>
      </w:tr>
      <w:tr>
        <w:trPr>
          <w:trHeight w:val="216"/>
        </w:trPr>
        <w:tc>
          <w:tcPr>
            <w:tcW w:w="3460" w:type="dxa"/>
            <w:vAlign w:val="bottom"/>
            <w:tcBorders>
              <w:left w:val="single" w:sz="8" w:color="auto"/>
            </w:tcBorders>
          </w:tcPr>
          <w:p>
            <w:pPr>
              <w:ind w:left="12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880" w:type="dxa"/>
            <w:vAlign w:val="bottom"/>
            <w:shd w:val="clear" w:color="auto" w:fill="BFBFBF"/>
          </w:tcPr>
          <w:p>
            <w:pPr>
              <w:spacing w:after="0"/>
              <w:rPr>
                <w:sz w:val="18"/>
                <w:szCs w:val="18"/>
                <w:color w:val="auto"/>
              </w:rPr>
            </w:pPr>
          </w:p>
        </w:tc>
        <w:tc>
          <w:tcPr>
            <w:tcW w:w="980" w:type="dxa"/>
            <w:vAlign w:val="bottom"/>
            <w:shd w:val="clear" w:color="auto" w:fill="BFBFBF"/>
          </w:tcPr>
          <w:p>
            <w:pPr>
              <w:spacing w:after="0"/>
              <w:rPr>
                <w:sz w:val="18"/>
                <w:szCs w:val="18"/>
                <w:color w:val="auto"/>
              </w:rPr>
            </w:pPr>
          </w:p>
        </w:tc>
        <w:tc>
          <w:tcPr>
            <w:tcW w:w="1080" w:type="dxa"/>
            <w:vAlign w:val="bottom"/>
            <w:tcBorders>
              <w:right w:val="single" w:sz="8" w:color="auto"/>
            </w:tcBorders>
            <w:shd w:val="clear" w:color="auto" w:fill="BFBFBF"/>
          </w:tcPr>
          <w:p>
            <w:pPr>
              <w:spacing w:after="0"/>
              <w:rPr>
                <w:sz w:val="18"/>
                <w:szCs w:val="18"/>
                <w:color w:val="auto"/>
              </w:rPr>
            </w:pPr>
          </w:p>
        </w:tc>
        <w:tc>
          <w:tcPr>
            <w:tcW w:w="820" w:type="dxa"/>
            <w:vAlign w:val="bottom"/>
            <w:shd w:val="clear" w:color="auto" w:fill="BFBFBF"/>
          </w:tcPr>
          <w:p>
            <w:pPr>
              <w:spacing w:after="0"/>
              <w:rPr>
                <w:sz w:val="18"/>
                <w:szCs w:val="18"/>
                <w:color w:val="auto"/>
              </w:rPr>
            </w:pPr>
          </w:p>
        </w:tc>
        <w:tc>
          <w:tcPr>
            <w:tcW w:w="860" w:type="dxa"/>
            <w:vAlign w:val="bottom"/>
            <w:shd w:val="clear" w:color="auto" w:fill="BFBFBF"/>
          </w:tcPr>
          <w:p>
            <w:pPr>
              <w:spacing w:after="0"/>
              <w:rPr>
                <w:sz w:val="18"/>
                <w:szCs w:val="18"/>
                <w:color w:val="auto"/>
              </w:rPr>
            </w:pPr>
          </w:p>
        </w:tc>
        <w:tc>
          <w:tcPr>
            <w:tcW w:w="1180" w:type="dxa"/>
            <w:vAlign w:val="bottom"/>
            <w:tcBorders>
              <w:right w:val="single" w:sz="8" w:color="auto"/>
            </w:tcBorders>
            <w:shd w:val="clear" w:color="auto" w:fill="BFBFB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460" w:type="dxa"/>
            <w:vAlign w:val="bottom"/>
            <w:tcBorders>
              <w:left w:val="single" w:sz="8" w:color="auto"/>
            </w:tcBorders>
          </w:tcPr>
          <w:p>
            <w:pPr>
              <w:spacing w:after="0"/>
              <w:rPr>
                <w:sz w:val="21"/>
                <w:szCs w:val="21"/>
                <w:color w:val="auto"/>
              </w:rPr>
            </w:pPr>
          </w:p>
        </w:tc>
        <w:tc>
          <w:tcPr>
            <w:tcW w:w="88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980" w:type="dxa"/>
            <w:vAlign w:val="bottom"/>
          </w:tcPr>
          <w:p>
            <w:pPr>
              <w:jc w:val="center"/>
              <w:ind w:right="10"/>
              <w:spacing w:after="0"/>
              <w:rPr>
                <w:sz w:val="20"/>
                <w:szCs w:val="20"/>
                <w:color w:val="auto"/>
              </w:rPr>
            </w:pPr>
            <w:r>
              <w:rPr>
                <w:rFonts w:ascii="Arial" w:cs="Arial" w:eastAsia="Arial" w:hAnsi="Arial"/>
                <w:sz w:val="18"/>
                <w:szCs w:val="18"/>
                <w:b w:val="1"/>
                <w:bCs w:val="1"/>
                <w:color w:val="auto"/>
                <w:w w:val="99"/>
              </w:rPr>
              <w:t>3Q17</w:t>
            </w:r>
          </w:p>
        </w:tc>
        <w:tc>
          <w:tcPr>
            <w:tcW w:w="1080" w:type="dxa"/>
            <w:vAlign w:val="bottom"/>
            <w:tcBorders>
              <w:right w:val="single" w:sz="8" w:color="auto"/>
            </w:tcBorders>
          </w:tcPr>
          <w:p>
            <w:pPr>
              <w:jc w:val="center"/>
              <w:ind w:right="30"/>
              <w:spacing w:after="0"/>
              <w:rPr>
                <w:sz w:val="20"/>
                <w:szCs w:val="20"/>
                <w:color w:val="auto"/>
              </w:rPr>
            </w:pPr>
            <w:r>
              <w:rPr>
                <w:rFonts w:ascii="Arial" w:cs="Arial" w:eastAsia="Arial" w:hAnsi="Arial"/>
                <w:sz w:val="18"/>
                <w:szCs w:val="18"/>
                <w:color w:val="auto"/>
                <w:w w:val="99"/>
              </w:rPr>
              <w:t>% Change</w:t>
            </w:r>
          </w:p>
        </w:tc>
        <w:tc>
          <w:tcPr>
            <w:tcW w:w="82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860" w:type="dxa"/>
            <w:vAlign w:val="bottom"/>
          </w:tcPr>
          <w:p>
            <w:pPr>
              <w:jc w:val="center"/>
              <w:spacing w:after="0"/>
              <w:rPr>
                <w:sz w:val="20"/>
                <w:szCs w:val="20"/>
                <w:color w:val="auto"/>
              </w:rPr>
            </w:pPr>
            <w:r>
              <w:rPr>
                <w:rFonts w:ascii="Arial" w:cs="Arial" w:eastAsia="Arial" w:hAnsi="Arial"/>
                <w:sz w:val="18"/>
                <w:szCs w:val="18"/>
                <w:b w:val="1"/>
                <w:bCs w:val="1"/>
                <w:color w:val="auto"/>
                <w:w w:val="99"/>
              </w:rPr>
              <w:t>3Q17</w:t>
            </w:r>
          </w:p>
        </w:tc>
        <w:tc>
          <w:tcPr>
            <w:tcW w:w="11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 Change</w:t>
            </w:r>
          </w:p>
        </w:tc>
        <w:tc>
          <w:tcPr>
            <w:tcW w:w="0" w:type="dxa"/>
            <w:vAlign w:val="bottom"/>
          </w:tcPr>
          <w:p>
            <w:pPr>
              <w:spacing w:after="0"/>
              <w:rPr>
                <w:sz w:val="1"/>
                <w:szCs w:val="1"/>
                <w:color w:val="auto"/>
              </w:rPr>
            </w:pPr>
          </w:p>
        </w:tc>
      </w:tr>
      <w:tr>
        <w:trPr>
          <w:trHeight w:val="203"/>
        </w:trPr>
        <w:tc>
          <w:tcPr>
            <w:tcW w:w="3460" w:type="dxa"/>
            <w:vAlign w:val="bottom"/>
            <w:tcBorders>
              <w:left w:val="single" w:sz="8" w:color="auto"/>
            </w:tcBorders>
            <w:vMerge w:val="restart"/>
          </w:tcPr>
          <w:p>
            <w:pPr>
              <w:ind w:left="180"/>
              <w:spacing w:after="0"/>
              <w:rPr>
                <w:sz w:val="20"/>
                <w:szCs w:val="20"/>
                <w:color w:val="auto"/>
              </w:rPr>
            </w:pPr>
            <w:r>
              <w:rPr>
                <w:rFonts w:ascii="Arial" w:cs="Arial" w:eastAsia="Arial" w:hAnsi="Arial"/>
                <w:sz w:val="18"/>
                <w:szCs w:val="18"/>
                <w:color w:val="auto"/>
              </w:rPr>
              <w:t>Pre-tax operating earnings</w:t>
            </w:r>
          </w:p>
        </w:tc>
        <w:tc>
          <w:tcPr>
            <w:tcW w:w="8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11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3460" w:type="dxa"/>
            <w:vAlign w:val="bottom"/>
            <w:tcBorders>
              <w:left w:val="single" w:sz="8" w:color="auto"/>
            </w:tcBorders>
            <w:vMerge w:val="continue"/>
          </w:tcPr>
          <w:p>
            <w:pPr>
              <w:spacing w:after="0"/>
              <w:rPr>
                <w:sz w:val="20"/>
                <w:szCs w:val="20"/>
                <w:color w:val="auto"/>
              </w:rPr>
            </w:pPr>
          </w:p>
        </w:tc>
        <w:tc>
          <w:tcPr>
            <w:tcW w:w="880" w:type="dxa"/>
            <w:vAlign w:val="bottom"/>
          </w:tcPr>
          <w:p>
            <w:pPr>
              <w:jc w:val="center"/>
              <w:spacing w:after="0"/>
              <w:rPr>
                <w:sz w:val="20"/>
                <w:szCs w:val="20"/>
                <w:color w:val="auto"/>
              </w:rPr>
            </w:pPr>
            <w:r>
              <w:rPr>
                <w:rFonts w:ascii="Arial" w:cs="Arial" w:eastAsia="Arial" w:hAnsi="Arial"/>
                <w:sz w:val="18"/>
                <w:szCs w:val="18"/>
                <w:color w:val="auto"/>
              </w:rPr>
              <w:t>$104.4</w:t>
            </w:r>
          </w:p>
        </w:tc>
        <w:tc>
          <w:tcPr>
            <w:tcW w:w="980" w:type="dxa"/>
            <w:vAlign w:val="bottom"/>
          </w:tcPr>
          <w:p>
            <w:pPr>
              <w:jc w:val="center"/>
              <w:spacing w:after="0"/>
              <w:rPr>
                <w:sz w:val="20"/>
                <w:szCs w:val="20"/>
                <w:color w:val="auto"/>
              </w:rPr>
            </w:pPr>
            <w:r>
              <w:rPr>
                <w:rFonts w:ascii="Arial" w:cs="Arial" w:eastAsia="Arial" w:hAnsi="Arial"/>
                <w:sz w:val="18"/>
                <w:szCs w:val="18"/>
                <w:color w:val="auto"/>
                <w:w w:val="98"/>
              </w:rPr>
              <w:t>$102.1</w:t>
            </w:r>
          </w:p>
        </w:tc>
        <w:tc>
          <w:tcPr>
            <w:tcW w:w="1080" w:type="dxa"/>
            <w:vAlign w:val="bottom"/>
            <w:tcBorders>
              <w:right w:val="single" w:sz="8" w:color="auto"/>
            </w:tcBorders>
          </w:tcPr>
          <w:p>
            <w:pPr>
              <w:jc w:val="center"/>
              <w:ind w:right="10"/>
              <w:spacing w:after="0"/>
              <w:rPr>
                <w:sz w:val="20"/>
                <w:szCs w:val="20"/>
                <w:color w:val="auto"/>
              </w:rPr>
            </w:pPr>
            <w:r>
              <w:rPr>
                <w:rFonts w:ascii="Arial" w:cs="Arial" w:eastAsia="Arial" w:hAnsi="Arial"/>
                <w:sz w:val="18"/>
                <w:szCs w:val="18"/>
                <w:color w:val="auto"/>
                <w:w w:val="99"/>
              </w:rPr>
              <w:t>2%</w:t>
            </w:r>
          </w:p>
        </w:tc>
        <w:tc>
          <w:tcPr>
            <w:tcW w:w="820" w:type="dxa"/>
            <w:vAlign w:val="bottom"/>
          </w:tcPr>
          <w:p>
            <w:pPr>
              <w:jc w:val="center"/>
              <w:spacing w:after="0"/>
              <w:rPr>
                <w:sz w:val="20"/>
                <w:szCs w:val="20"/>
                <w:color w:val="auto"/>
              </w:rPr>
            </w:pPr>
            <w:r>
              <w:rPr>
                <w:rFonts w:ascii="Arial" w:cs="Arial" w:eastAsia="Arial" w:hAnsi="Arial"/>
                <w:sz w:val="18"/>
                <w:szCs w:val="18"/>
                <w:color w:val="auto"/>
              </w:rPr>
              <w:t>$362.0</w:t>
            </w:r>
          </w:p>
        </w:tc>
        <w:tc>
          <w:tcPr>
            <w:tcW w:w="860" w:type="dxa"/>
            <w:vAlign w:val="bottom"/>
          </w:tcPr>
          <w:p>
            <w:pPr>
              <w:jc w:val="center"/>
              <w:spacing w:after="0"/>
              <w:rPr>
                <w:sz w:val="20"/>
                <w:szCs w:val="20"/>
                <w:color w:val="auto"/>
              </w:rPr>
            </w:pPr>
            <w:r>
              <w:rPr>
                <w:rFonts w:ascii="Arial" w:cs="Arial" w:eastAsia="Arial" w:hAnsi="Arial"/>
                <w:sz w:val="18"/>
                <w:szCs w:val="18"/>
                <w:color w:val="auto"/>
              </w:rPr>
              <w:t>$385.4</w:t>
            </w:r>
          </w:p>
        </w:tc>
        <w:tc>
          <w:tcPr>
            <w:tcW w:w="11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(6)%</w:t>
            </w:r>
          </w:p>
        </w:tc>
        <w:tc>
          <w:tcPr>
            <w:tcW w:w="0" w:type="dxa"/>
            <w:vAlign w:val="bottom"/>
          </w:tcPr>
          <w:p>
            <w:pPr>
              <w:spacing w:after="0"/>
              <w:rPr>
                <w:sz w:val="1"/>
                <w:szCs w:val="1"/>
                <w:color w:val="auto"/>
              </w:rPr>
            </w:pPr>
          </w:p>
        </w:tc>
      </w:tr>
      <w:tr>
        <w:trPr>
          <w:trHeight w:val="446"/>
        </w:trPr>
        <w:tc>
          <w:tcPr>
            <w:tcW w:w="346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Net revenue</w:t>
            </w:r>
          </w:p>
        </w:tc>
        <w:tc>
          <w:tcPr>
            <w:tcW w:w="880" w:type="dxa"/>
            <w:vAlign w:val="bottom"/>
          </w:tcPr>
          <w:p>
            <w:pPr>
              <w:jc w:val="center"/>
              <w:spacing w:after="0"/>
              <w:rPr>
                <w:sz w:val="20"/>
                <w:szCs w:val="20"/>
                <w:color w:val="auto"/>
              </w:rPr>
            </w:pPr>
            <w:r>
              <w:rPr>
                <w:rFonts w:ascii="Arial" w:cs="Arial" w:eastAsia="Arial" w:hAnsi="Arial"/>
                <w:sz w:val="18"/>
                <w:szCs w:val="18"/>
                <w:color w:val="auto"/>
              </w:rPr>
              <w:t>$141.9</w:t>
            </w:r>
          </w:p>
        </w:tc>
        <w:tc>
          <w:tcPr>
            <w:tcW w:w="980" w:type="dxa"/>
            <w:vAlign w:val="bottom"/>
          </w:tcPr>
          <w:p>
            <w:pPr>
              <w:jc w:val="center"/>
              <w:spacing w:after="0"/>
              <w:rPr>
                <w:sz w:val="20"/>
                <w:szCs w:val="20"/>
                <w:color w:val="auto"/>
              </w:rPr>
            </w:pPr>
            <w:r>
              <w:rPr>
                <w:rFonts w:ascii="Arial" w:cs="Arial" w:eastAsia="Arial" w:hAnsi="Arial"/>
                <w:sz w:val="18"/>
                <w:szCs w:val="18"/>
                <w:color w:val="auto"/>
                <w:w w:val="98"/>
              </w:rPr>
              <w:t>$131.0</w:t>
            </w:r>
          </w:p>
        </w:tc>
        <w:tc>
          <w:tcPr>
            <w:tcW w:w="1080" w:type="dxa"/>
            <w:vAlign w:val="bottom"/>
            <w:tcBorders>
              <w:right w:val="single" w:sz="8" w:color="auto"/>
            </w:tcBorders>
          </w:tcPr>
          <w:p>
            <w:pPr>
              <w:jc w:val="center"/>
              <w:ind w:right="10"/>
              <w:spacing w:after="0"/>
              <w:rPr>
                <w:sz w:val="20"/>
                <w:szCs w:val="20"/>
                <w:color w:val="auto"/>
              </w:rPr>
            </w:pPr>
            <w:r>
              <w:rPr>
                <w:rFonts w:ascii="Arial" w:cs="Arial" w:eastAsia="Arial" w:hAnsi="Arial"/>
                <w:sz w:val="18"/>
                <w:szCs w:val="18"/>
                <w:color w:val="auto"/>
                <w:w w:val="99"/>
              </w:rPr>
              <w:t>8%</w:t>
            </w:r>
          </w:p>
        </w:tc>
        <w:tc>
          <w:tcPr>
            <w:tcW w:w="820" w:type="dxa"/>
            <w:vAlign w:val="bottom"/>
          </w:tcPr>
          <w:p>
            <w:pPr>
              <w:jc w:val="center"/>
              <w:spacing w:after="0"/>
              <w:rPr>
                <w:sz w:val="20"/>
                <w:szCs w:val="20"/>
                <w:color w:val="auto"/>
              </w:rPr>
            </w:pPr>
            <w:r>
              <w:rPr>
                <w:rFonts w:ascii="Arial" w:cs="Arial" w:eastAsia="Arial" w:hAnsi="Arial"/>
                <w:sz w:val="18"/>
                <w:szCs w:val="18"/>
                <w:color w:val="auto"/>
              </w:rPr>
              <w:t>$536.8</w:t>
            </w:r>
          </w:p>
        </w:tc>
        <w:tc>
          <w:tcPr>
            <w:tcW w:w="860" w:type="dxa"/>
            <w:vAlign w:val="bottom"/>
          </w:tcPr>
          <w:p>
            <w:pPr>
              <w:jc w:val="center"/>
              <w:spacing w:after="0"/>
              <w:rPr>
                <w:sz w:val="20"/>
                <w:szCs w:val="20"/>
                <w:color w:val="auto"/>
              </w:rPr>
            </w:pPr>
            <w:r>
              <w:rPr>
                <w:rFonts w:ascii="Arial" w:cs="Arial" w:eastAsia="Arial" w:hAnsi="Arial"/>
                <w:sz w:val="18"/>
                <w:szCs w:val="18"/>
                <w:color w:val="auto"/>
              </w:rPr>
              <w:t>$553.1</w:t>
            </w:r>
          </w:p>
        </w:tc>
        <w:tc>
          <w:tcPr>
            <w:tcW w:w="11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(3)%</w:t>
            </w:r>
          </w:p>
        </w:tc>
        <w:tc>
          <w:tcPr>
            <w:tcW w:w="0" w:type="dxa"/>
            <w:vAlign w:val="bottom"/>
          </w:tcPr>
          <w:p>
            <w:pPr>
              <w:spacing w:after="0"/>
              <w:rPr>
                <w:sz w:val="1"/>
                <w:szCs w:val="1"/>
                <w:color w:val="auto"/>
              </w:rPr>
            </w:pPr>
          </w:p>
        </w:tc>
      </w:tr>
      <w:tr>
        <w:trPr>
          <w:trHeight w:val="446"/>
        </w:trPr>
        <w:tc>
          <w:tcPr>
            <w:tcW w:w="346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Pre-tax return on net revenue</w:t>
            </w:r>
          </w:p>
        </w:tc>
        <w:tc>
          <w:tcPr>
            <w:tcW w:w="880" w:type="dxa"/>
            <w:vAlign w:val="bottom"/>
          </w:tcPr>
          <w:p>
            <w:pPr>
              <w:jc w:val="center"/>
              <w:spacing w:after="0"/>
              <w:rPr>
                <w:sz w:val="20"/>
                <w:szCs w:val="20"/>
                <w:color w:val="auto"/>
              </w:rPr>
            </w:pPr>
            <w:r>
              <w:rPr>
                <w:rFonts w:ascii="Arial" w:cs="Arial" w:eastAsia="Arial" w:hAnsi="Arial"/>
                <w:sz w:val="18"/>
                <w:szCs w:val="18"/>
                <w:color w:val="auto"/>
              </w:rPr>
              <w:t>73.6%</w:t>
            </w:r>
          </w:p>
        </w:tc>
        <w:tc>
          <w:tcPr>
            <w:tcW w:w="980" w:type="dxa"/>
            <w:vAlign w:val="bottom"/>
          </w:tcPr>
          <w:p>
            <w:pPr>
              <w:jc w:val="center"/>
              <w:spacing w:after="0"/>
              <w:rPr>
                <w:sz w:val="20"/>
                <w:szCs w:val="20"/>
                <w:color w:val="auto"/>
              </w:rPr>
            </w:pPr>
            <w:r>
              <w:rPr>
                <w:rFonts w:ascii="Arial" w:cs="Arial" w:eastAsia="Arial" w:hAnsi="Arial"/>
                <w:sz w:val="18"/>
                <w:szCs w:val="18"/>
                <w:color w:val="auto"/>
                <w:w w:val="97"/>
              </w:rPr>
              <w:t>77.9%</w:t>
            </w:r>
          </w:p>
        </w:tc>
        <w:tc>
          <w:tcPr>
            <w:tcW w:w="1080" w:type="dxa"/>
            <w:vAlign w:val="bottom"/>
            <w:tcBorders>
              <w:right w:val="single" w:sz="8" w:color="auto"/>
            </w:tcBorders>
          </w:tcPr>
          <w:p>
            <w:pPr>
              <w:spacing w:after="0"/>
              <w:rPr>
                <w:sz w:val="24"/>
                <w:szCs w:val="24"/>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w w:val="99"/>
              </w:rPr>
              <w:t>67.4%*</w:t>
            </w:r>
          </w:p>
        </w:tc>
        <w:tc>
          <w:tcPr>
            <w:tcW w:w="860" w:type="dxa"/>
            <w:vAlign w:val="bottom"/>
          </w:tcPr>
          <w:p>
            <w:pPr>
              <w:jc w:val="center"/>
              <w:spacing w:after="0"/>
              <w:rPr>
                <w:sz w:val="20"/>
                <w:szCs w:val="20"/>
                <w:color w:val="auto"/>
              </w:rPr>
            </w:pPr>
            <w:r>
              <w:rPr>
                <w:rFonts w:ascii="Arial" w:cs="Arial" w:eastAsia="Arial" w:hAnsi="Arial"/>
                <w:sz w:val="18"/>
                <w:szCs w:val="18"/>
                <w:color w:val="auto"/>
                <w:w w:val="99"/>
              </w:rPr>
              <w:t>69.7%*</w:t>
            </w:r>
          </w:p>
        </w:tc>
        <w:tc>
          <w:tcPr>
            <w:tcW w:w="1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460" w:type="dxa"/>
            <w:vAlign w:val="bottom"/>
            <w:tcBorders>
              <w:left w:val="single" w:sz="8" w:color="auto"/>
              <w:bottom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11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pacing w:after="0" w:line="95" w:lineRule="exact"/>
        <w:rPr>
          <w:sz w:val="20"/>
          <w:szCs w:val="20"/>
          <w:color w:val="auto"/>
        </w:rPr>
      </w:pPr>
    </w:p>
    <w:p>
      <w:pPr>
        <w:ind w:right="40"/>
        <w:spacing w:after="0" w:line="285" w:lineRule="auto"/>
        <w:rPr>
          <w:sz w:val="20"/>
          <w:szCs w:val="20"/>
          <w:color w:val="auto"/>
        </w:rPr>
      </w:pPr>
      <w:r>
        <w:rPr>
          <w:rFonts w:ascii="Arial" w:cs="Arial" w:eastAsia="Arial" w:hAnsi="Arial"/>
          <w:sz w:val="14"/>
          <w:szCs w:val="14"/>
          <w:b w:val="1"/>
          <w:bCs w:val="1"/>
          <w:color w:val="auto"/>
        </w:rPr>
        <w:t xml:space="preserve">*Pre-tax return on net revenue - </w:t>
      </w:r>
      <w:r>
        <w:rPr>
          <w:rFonts w:ascii="Arial" w:cs="Arial" w:eastAsia="Arial" w:hAnsi="Arial"/>
          <w:sz w:val="14"/>
          <w:szCs w:val="14"/>
          <w:color w:val="auto"/>
        </w:rPr>
        <w:t>Excluding the third quarter actuarial assumption reviews, the trailing twelve-month pre-tax return on net revenue was 64.8 percent for third</w:t>
      </w:r>
      <w:r>
        <w:rPr>
          <w:rFonts w:ascii="Arial" w:cs="Arial" w:eastAsia="Arial" w:hAnsi="Arial"/>
          <w:sz w:val="14"/>
          <w:szCs w:val="14"/>
          <w:b w:val="1"/>
          <w:bCs w:val="1"/>
          <w:color w:val="auto"/>
        </w:rPr>
        <w:t xml:space="preserve"> </w:t>
      </w:r>
      <w:r>
        <w:rPr>
          <w:rFonts w:ascii="Arial" w:cs="Arial" w:eastAsia="Arial" w:hAnsi="Arial"/>
          <w:sz w:val="14"/>
          <w:szCs w:val="14"/>
          <w:color w:val="auto"/>
        </w:rPr>
        <w:t>quarter 2018 and 66.6 percent for third quarter 2017.</w:t>
      </w:r>
    </w:p>
    <w:p>
      <w:pPr>
        <w:spacing w:after="0" w:line="35" w:lineRule="exact"/>
        <w:rPr>
          <w:sz w:val="20"/>
          <w:szCs w:val="20"/>
          <w:color w:val="auto"/>
        </w:rPr>
      </w:pPr>
    </w:p>
    <w:p>
      <w:pPr>
        <w:ind w:left="660" w:right="20" w:hanging="328"/>
        <w:spacing w:after="0" w:line="255"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earnings </w:t>
      </w:r>
      <w:r>
        <w:rPr>
          <w:rFonts w:ascii="Arial" w:cs="Arial" w:eastAsia="Arial" w:hAnsi="Arial"/>
          <w:sz w:val="20"/>
          <w:szCs w:val="20"/>
          <w:color w:val="auto"/>
        </w:rPr>
        <w:t>increased $2.3 million. Excluding the significant variances outlined in Exhibit 1, pre-tax</w:t>
      </w:r>
      <w:r>
        <w:rPr>
          <w:rFonts w:ascii="Arial" w:cs="Arial" w:eastAsia="Arial" w:hAnsi="Arial"/>
          <w:sz w:val="20"/>
          <w:szCs w:val="20"/>
          <w:b w:val="1"/>
          <w:bCs w:val="1"/>
          <w:color w:val="auto"/>
        </w:rPr>
        <w:t xml:space="preserve"> </w:t>
      </w:r>
      <w:r>
        <w:rPr>
          <w:rFonts w:ascii="Arial" w:cs="Arial" w:eastAsia="Arial" w:hAnsi="Arial"/>
          <w:sz w:val="20"/>
          <w:szCs w:val="20"/>
          <w:color w:val="auto"/>
        </w:rPr>
        <w:t>operating earnings were flat compared to the year ago quarter as growth in net revenue was offset by higher operating expenses.</w:t>
      </w:r>
    </w:p>
    <w:p>
      <w:pPr>
        <w:spacing w:after="0" w:line="63" w:lineRule="exact"/>
        <w:rPr>
          <w:rFonts w:ascii="Arial" w:cs="Arial" w:eastAsia="Arial" w:hAnsi="Arial"/>
          <w:sz w:val="18"/>
          <w:szCs w:val="18"/>
          <w:color w:val="auto"/>
        </w:rPr>
      </w:pPr>
    </w:p>
    <w:p>
      <w:pPr>
        <w:ind w:left="660" w:right="240" w:hanging="328"/>
        <w:spacing w:after="0" w:line="272"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20"/>
          <w:szCs w:val="20"/>
          <w:b w:val="1"/>
          <w:bCs w:val="1"/>
          <w:color w:val="auto"/>
        </w:rPr>
        <w:t xml:space="preserve">Net revenue </w:t>
      </w:r>
      <w:r>
        <w:rPr>
          <w:rFonts w:ascii="Arial" w:cs="Arial" w:eastAsia="Arial" w:hAnsi="Arial"/>
          <w:sz w:val="20"/>
          <w:szCs w:val="20"/>
          <w:color w:val="auto"/>
        </w:rPr>
        <w:t>increased $10.9 million. Excluding the significant variances outlined in Exhibit 1, net revenue was up 7</w:t>
      </w:r>
      <w:r>
        <w:rPr>
          <w:rFonts w:ascii="Arial" w:cs="Arial" w:eastAsia="Arial" w:hAnsi="Arial"/>
          <w:sz w:val="20"/>
          <w:szCs w:val="20"/>
          <w:b w:val="1"/>
          <w:bCs w:val="1"/>
          <w:color w:val="auto"/>
        </w:rPr>
        <w:t xml:space="preserve"> </w:t>
      </w:r>
      <w:r>
        <w:rPr>
          <w:rFonts w:ascii="Arial" w:cs="Arial" w:eastAsia="Arial" w:hAnsi="Arial"/>
          <w:sz w:val="20"/>
          <w:szCs w:val="20"/>
          <w:color w:val="auto"/>
        </w:rPr>
        <w:t>percent due mainly to growth in the business.</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ectPr>
          <w:pgSz w:w="11900" w:h="16838" w:orient="portrait"/>
          <w:cols w:equalWidth="0" w:num="1">
            <w:col w:w="11020"/>
          </w:cols>
          <w:pgMar w:left="240" w:top="1243" w:right="639" w:bottom="1440" w:gutter="0" w:footer="0" w:header="0"/>
        </w:sectPr>
      </w:pPr>
    </w:p>
    <w:p>
      <w:pPr>
        <w:spacing w:after="0" w:line="60" w:lineRule="exact"/>
        <w:rPr>
          <w:sz w:val="20"/>
          <w:szCs w:val="20"/>
          <w:color w:val="auto"/>
        </w:rPr>
      </w:pPr>
    </w:p>
    <w:p>
      <w:pPr>
        <w:ind w:left="100" w:hanging="92"/>
        <w:spacing w:after="0"/>
        <w:tabs>
          <w:tab w:leader="none" w:pos="100" w:val="left"/>
        </w:tabs>
        <w:numPr>
          <w:ilvl w:val="0"/>
          <w:numId w:val="11"/>
        </w:numPr>
        <w:rPr>
          <w:rFonts w:ascii="Arial" w:cs="Arial" w:eastAsia="Arial" w:hAnsi="Arial"/>
          <w:sz w:val="18"/>
          <w:szCs w:val="18"/>
          <w:color w:val="auto"/>
          <w:vertAlign w:val="superscript"/>
        </w:rPr>
      </w:pPr>
      <w:r>
        <w:rPr>
          <w:rFonts w:ascii="Arial" w:cs="Arial" w:eastAsia="Arial" w:hAnsi="Arial"/>
          <w:sz w:val="14"/>
          <w:szCs w:val="14"/>
          <w:color w:val="auto"/>
        </w:rPr>
        <w:t>Pre-tax operating earnings = operating earnings before income taxes and after noncontrolling interest.5</w:t>
      </w:r>
    </w:p>
    <w:p>
      <w:pPr>
        <w:ind w:left="100" w:hanging="92"/>
        <w:spacing w:after="0" w:line="193" w:lineRule="auto"/>
        <w:tabs>
          <w:tab w:leader="none" w:pos="100" w:val="left"/>
        </w:tabs>
        <w:numPr>
          <w:ilvl w:val="0"/>
          <w:numId w:val="12"/>
        </w:numPr>
        <w:rPr>
          <w:rFonts w:ascii="Arial" w:cs="Arial" w:eastAsia="Arial" w:hAnsi="Arial"/>
          <w:sz w:val="18"/>
          <w:szCs w:val="18"/>
          <w:color w:val="auto"/>
          <w:vertAlign w:val="superscript"/>
        </w:rPr>
      </w:pPr>
      <w:r>
        <w:rPr>
          <w:rFonts w:ascii="Arial" w:cs="Arial" w:eastAsia="Arial" w:hAnsi="Arial"/>
          <w:sz w:val="14"/>
          <w:szCs w:val="14"/>
          <w:color w:val="auto"/>
        </w:rPr>
        <w:t>Net revenue = operating revenues less benefits, claims and settlement expenses less dividends to policyholders.</w:t>
      </w:r>
    </w:p>
    <w:p>
      <w:pPr>
        <w:spacing w:after="0"/>
        <w:rPr>
          <w:rFonts w:ascii="Arial" w:cs="Arial" w:eastAsia="Arial" w:hAnsi="Arial"/>
          <w:sz w:val="18"/>
          <w:szCs w:val="18"/>
          <w:color w:val="auto"/>
          <w:vertAlign w:val="superscript"/>
        </w:rPr>
      </w:pPr>
      <w:r>
        <w:rPr>
          <w:rFonts w:ascii="Arial" w:cs="Arial" w:eastAsia="Arial" w:hAnsi="Arial"/>
          <w:sz w:val="17"/>
          <w:szCs w:val="17"/>
          <w:color w:val="auto"/>
          <w:vertAlign w:val="superscript"/>
        </w:rPr>
        <w:t>7</w:t>
      </w:r>
      <w:r>
        <w:rPr>
          <w:rFonts w:ascii="Arial" w:cs="Arial" w:eastAsia="Arial" w:hAnsi="Arial"/>
          <w:sz w:val="14"/>
          <w:szCs w:val="14"/>
          <w:color w:val="auto"/>
        </w:rPr>
        <w:t xml:space="preserve"> Pre-tax return on net revenue = pre-tax operating earnings divided by net revenue.</w:t>
      </w:r>
    </w:p>
    <w:p>
      <w:pPr>
        <w:sectPr>
          <w:pgSz w:w="11900" w:h="16838" w:orient="portrait"/>
          <w:cols w:equalWidth="0" w:num="1">
            <w:col w:w="11020"/>
          </w:cols>
          <w:pgMar w:left="240" w:top="1243" w:right="639" w:bottom="1440" w:gutter="0" w:footer="0" w:header="0"/>
          <w:type w:val="continuous"/>
        </w:sectPr>
      </w:pPr>
    </w:p>
    <w:bookmarkStart w:id="5" w:name="page6"/>
    <w:bookmarkEnd w:id="5"/>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t>Principal Global Investors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171450</wp:posOffset>
            </wp:positionV>
            <wp:extent cx="5676900" cy="21183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676900" cy="2118360"/>
                    </a:xfrm>
                    <a:prstGeom prst="rect">
                      <a:avLst/>
                    </a:prstGeom>
                    <a:noFill/>
                  </pic:spPr>
                </pic:pic>
              </a:graphicData>
            </a:graphic>
          </wp:anchor>
        </w:drawing>
      </w:r>
    </w:p>
    <w:p>
      <w:pPr>
        <w:spacing w:after="0" w:line="264" w:lineRule="exact"/>
        <w:rPr>
          <w:sz w:val="20"/>
          <w:szCs w:val="20"/>
          <w:color w:val="auto"/>
        </w:rPr>
      </w:pPr>
    </w:p>
    <w:tbl>
      <w:tblPr>
        <w:tblLayout w:type="fixed"/>
        <w:tblInd w:w="100" w:type="dxa"/>
        <w:tblCellMar>
          <w:top w:w="0" w:type="dxa"/>
          <w:left w:w="0" w:type="dxa"/>
          <w:bottom w:w="0" w:type="dxa"/>
          <w:right w:w="0" w:type="dxa"/>
        </w:tblCellMar>
      </w:tblPr>
      <w:tr>
        <w:trPr>
          <w:trHeight w:val="259"/>
        </w:trPr>
        <w:tc>
          <w:tcPr>
            <w:tcW w:w="3320" w:type="dxa"/>
            <w:vAlign w:val="bottom"/>
          </w:tcPr>
          <w:p>
            <w:pPr>
              <w:spacing w:after="0"/>
              <w:rPr>
                <w:sz w:val="22"/>
                <w:szCs w:val="22"/>
                <w:color w:val="auto"/>
              </w:rPr>
            </w:pPr>
          </w:p>
        </w:tc>
        <w:tc>
          <w:tcPr>
            <w:tcW w:w="840" w:type="dxa"/>
            <w:vAlign w:val="bottom"/>
            <w:shd w:val="clear" w:color="auto" w:fill="BFBFBF"/>
          </w:tcPr>
          <w:p>
            <w:pPr>
              <w:spacing w:after="0"/>
              <w:rPr>
                <w:sz w:val="22"/>
                <w:szCs w:val="22"/>
                <w:color w:val="auto"/>
              </w:rPr>
            </w:pPr>
          </w:p>
        </w:tc>
        <w:tc>
          <w:tcPr>
            <w:tcW w:w="920" w:type="dxa"/>
            <w:vAlign w:val="bottom"/>
            <w:shd w:val="clear" w:color="auto" w:fill="BFBFBF"/>
          </w:tcPr>
          <w:p>
            <w:pPr>
              <w:ind w:left="220"/>
              <w:spacing w:after="0"/>
              <w:rPr>
                <w:sz w:val="20"/>
                <w:szCs w:val="20"/>
                <w:color w:val="auto"/>
              </w:rPr>
            </w:pPr>
            <w:r>
              <w:rPr>
                <w:rFonts w:ascii="Arial" w:cs="Arial" w:eastAsia="Arial" w:hAnsi="Arial"/>
                <w:sz w:val="18"/>
                <w:szCs w:val="18"/>
                <w:b w:val="1"/>
                <w:bCs w:val="1"/>
                <w:i w:val="1"/>
                <w:iCs w:val="1"/>
                <w:color w:val="auto"/>
              </w:rPr>
              <w:t>Quarter</w:t>
            </w:r>
          </w:p>
        </w:tc>
        <w:tc>
          <w:tcPr>
            <w:tcW w:w="980" w:type="dxa"/>
            <w:vAlign w:val="bottom"/>
            <w:shd w:val="clear" w:color="auto" w:fill="BFBFBF"/>
          </w:tcPr>
          <w:p>
            <w:pPr>
              <w:spacing w:after="0"/>
              <w:rPr>
                <w:sz w:val="22"/>
                <w:szCs w:val="22"/>
                <w:color w:val="auto"/>
              </w:rPr>
            </w:pPr>
          </w:p>
        </w:tc>
        <w:tc>
          <w:tcPr>
            <w:tcW w:w="2780" w:type="dxa"/>
            <w:vAlign w:val="bottom"/>
            <w:gridSpan w:val="3"/>
            <w:shd w:val="clear" w:color="auto" w:fill="BFBFBF"/>
          </w:tcPr>
          <w:p>
            <w:pPr>
              <w:ind w:left="420"/>
              <w:spacing w:after="0"/>
              <w:rPr>
                <w:sz w:val="20"/>
                <w:szCs w:val="20"/>
                <w:color w:val="auto"/>
              </w:rPr>
            </w:pPr>
            <w:r>
              <w:rPr>
                <w:rFonts w:ascii="Arial" w:cs="Arial" w:eastAsia="Arial" w:hAnsi="Arial"/>
                <w:sz w:val="18"/>
                <w:szCs w:val="18"/>
                <w:b w:val="1"/>
                <w:bCs w:val="1"/>
                <w:i w:val="1"/>
                <w:iCs w:val="1"/>
                <w:color w:val="auto"/>
              </w:rPr>
              <w:t>Trailing Twelve Months</w:t>
            </w:r>
          </w:p>
        </w:tc>
        <w:tc>
          <w:tcPr>
            <w:tcW w:w="0" w:type="dxa"/>
            <w:vAlign w:val="bottom"/>
          </w:tcPr>
          <w:p>
            <w:pPr>
              <w:spacing w:after="0"/>
              <w:rPr>
                <w:sz w:val="1"/>
                <w:szCs w:val="1"/>
                <w:color w:val="auto"/>
              </w:rPr>
            </w:pPr>
          </w:p>
        </w:tc>
      </w:tr>
      <w:tr>
        <w:trPr>
          <w:trHeight w:val="200"/>
        </w:trPr>
        <w:tc>
          <w:tcPr>
            <w:tcW w:w="3320" w:type="dxa"/>
            <w:vAlign w:val="bottom"/>
          </w:tcPr>
          <w:p>
            <w:pPr>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840" w:type="dxa"/>
            <w:vAlign w:val="bottom"/>
            <w:shd w:val="clear" w:color="auto" w:fill="BFBFBF"/>
          </w:tcPr>
          <w:p>
            <w:pPr>
              <w:spacing w:after="0"/>
              <w:rPr>
                <w:sz w:val="17"/>
                <w:szCs w:val="17"/>
                <w:color w:val="auto"/>
              </w:rPr>
            </w:pPr>
          </w:p>
        </w:tc>
        <w:tc>
          <w:tcPr>
            <w:tcW w:w="920" w:type="dxa"/>
            <w:vAlign w:val="bottom"/>
            <w:shd w:val="clear" w:color="auto" w:fill="BFBFBF"/>
          </w:tcPr>
          <w:p>
            <w:pPr>
              <w:spacing w:after="0"/>
              <w:rPr>
                <w:sz w:val="17"/>
                <w:szCs w:val="17"/>
                <w:color w:val="auto"/>
              </w:rPr>
            </w:pPr>
          </w:p>
        </w:tc>
        <w:tc>
          <w:tcPr>
            <w:tcW w:w="980" w:type="dxa"/>
            <w:vAlign w:val="bottom"/>
            <w:shd w:val="clear" w:color="auto" w:fill="BFBFBF"/>
          </w:tcPr>
          <w:p>
            <w:pPr>
              <w:spacing w:after="0"/>
              <w:rPr>
                <w:sz w:val="17"/>
                <w:szCs w:val="17"/>
                <w:color w:val="auto"/>
              </w:rPr>
            </w:pPr>
          </w:p>
        </w:tc>
        <w:tc>
          <w:tcPr>
            <w:tcW w:w="860" w:type="dxa"/>
            <w:vAlign w:val="bottom"/>
            <w:shd w:val="clear" w:color="auto" w:fill="BFBFBF"/>
          </w:tcPr>
          <w:p>
            <w:pPr>
              <w:spacing w:after="0"/>
              <w:rPr>
                <w:sz w:val="17"/>
                <w:szCs w:val="17"/>
                <w:color w:val="auto"/>
              </w:rPr>
            </w:pPr>
          </w:p>
        </w:tc>
        <w:tc>
          <w:tcPr>
            <w:tcW w:w="860" w:type="dxa"/>
            <w:vAlign w:val="bottom"/>
            <w:shd w:val="clear" w:color="auto" w:fill="BFBFBF"/>
          </w:tcPr>
          <w:p>
            <w:pPr>
              <w:spacing w:after="0"/>
              <w:rPr>
                <w:sz w:val="17"/>
                <w:szCs w:val="17"/>
                <w:color w:val="auto"/>
              </w:rPr>
            </w:pPr>
          </w:p>
        </w:tc>
        <w:tc>
          <w:tcPr>
            <w:tcW w:w="1060" w:type="dxa"/>
            <w:vAlign w:val="bottom"/>
            <w:shd w:val="clear" w:color="auto" w:fill="BFBFBF"/>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3320" w:type="dxa"/>
            <w:vAlign w:val="bottom"/>
          </w:tcPr>
          <w:p>
            <w:pPr>
              <w:spacing w:after="0"/>
              <w:rPr>
                <w:sz w:val="21"/>
                <w:szCs w:val="21"/>
                <w:color w:val="auto"/>
              </w:rPr>
            </w:pPr>
          </w:p>
        </w:tc>
        <w:tc>
          <w:tcPr>
            <w:tcW w:w="84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920" w:type="dxa"/>
            <w:vAlign w:val="bottom"/>
          </w:tcPr>
          <w:p>
            <w:pPr>
              <w:jc w:val="center"/>
              <w:ind w:right="30"/>
              <w:spacing w:after="0"/>
              <w:rPr>
                <w:sz w:val="20"/>
                <w:szCs w:val="20"/>
                <w:color w:val="auto"/>
              </w:rPr>
            </w:pPr>
            <w:r>
              <w:rPr>
                <w:rFonts w:ascii="Arial" w:cs="Arial" w:eastAsia="Arial" w:hAnsi="Arial"/>
                <w:sz w:val="18"/>
                <w:szCs w:val="18"/>
                <w:b w:val="1"/>
                <w:bCs w:val="1"/>
                <w:color w:val="auto"/>
                <w:w w:val="99"/>
              </w:rPr>
              <w:t>3Q17</w:t>
            </w:r>
          </w:p>
        </w:tc>
        <w:tc>
          <w:tcPr>
            <w:tcW w:w="980" w:type="dxa"/>
            <w:vAlign w:val="bottom"/>
          </w:tcPr>
          <w:p>
            <w:pPr>
              <w:ind w:left="40"/>
              <w:spacing w:after="0"/>
              <w:rPr>
                <w:sz w:val="20"/>
                <w:szCs w:val="20"/>
                <w:color w:val="auto"/>
              </w:rPr>
            </w:pPr>
            <w:r>
              <w:rPr>
                <w:rFonts w:ascii="Arial" w:cs="Arial" w:eastAsia="Arial" w:hAnsi="Arial"/>
                <w:sz w:val="18"/>
                <w:szCs w:val="18"/>
                <w:color w:val="auto"/>
              </w:rPr>
              <w:t>% Change</w:t>
            </w:r>
          </w:p>
        </w:tc>
        <w:tc>
          <w:tcPr>
            <w:tcW w:w="86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860" w:type="dxa"/>
            <w:vAlign w:val="bottom"/>
          </w:tcPr>
          <w:p>
            <w:pPr>
              <w:jc w:val="center"/>
              <w:spacing w:after="0"/>
              <w:rPr>
                <w:sz w:val="20"/>
                <w:szCs w:val="20"/>
                <w:color w:val="auto"/>
              </w:rPr>
            </w:pPr>
            <w:r>
              <w:rPr>
                <w:rFonts w:ascii="Arial" w:cs="Arial" w:eastAsia="Arial" w:hAnsi="Arial"/>
                <w:sz w:val="18"/>
                <w:szCs w:val="18"/>
                <w:b w:val="1"/>
                <w:bCs w:val="1"/>
                <w:color w:val="auto"/>
                <w:w w:val="99"/>
              </w:rPr>
              <w:t>3Q17</w:t>
            </w:r>
          </w:p>
        </w:tc>
        <w:tc>
          <w:tcPr>
            <w:tcW w:w="1060" w:type="dxa"/>
            <w:vAlign w:val="bottom"/>
          </w:tcPr>
          <w:p>
            <w:pPr>
              <w:jc w:val="center"/>
              <w:spacing w:after="0"/>
              <w:rPr>
                <w:sz w:val="20"/>
                <w:szCs w:val="20"/>
                <w:color w:val="auto"/>
              </w:rPr>
            </w:pPr>
            <w:r>
              <w:rPr>
                <w:rFonts w:ascii="Arial" w:cs="Arial" w:eastAsia="Arial" w:hAnsi="Arial"/>
                <w:sz w:val="18"/>
                <w:szCs w:val="18"/>
                <w:color w:val="auto"/>
                <w:w w:val="99"/>
              </w:rPr>
              <w:t>% Change</w:t>
            </w:r>
          </w:p>
        </w:tc>
        <w:tc>
          <w:tcPr>
            <w:tcW w:w="0" w:type="dxa"/>
            <w:vAlign w:val="bottom"/>
          </w:tcPr>
          <w:p>
            <w:pPr>
              <w:spacing w:after="0"/>
              <w:rPr>
                <w:sz w:val="1"/>
                <w:szCs w:val="1"/>
                <w:color w:val="auto"/>
              </w:rPr>
            </w:pPr>
          </w:p>
        </w:tc>
      </w:tr>
      <w:tr>
        <w:trPr>
          <w:trHeight w:val="203"/>
        </w:trPr>
        <w:tc>
          <w:tcPr>
            <w:tcW w:w="3320" w:type="dxa"/>
            <w:vAlign w:val="bottom"/>
            <w:vMerge w:val="restart"/>
          </w:tcPr>
          <w:p>
            <w:pPr>
              <w:ind w:left="120"/>
              <w:spacing w:after="0"/>
              <w:rPr>
                <w:sz w:val="20"/>
                <w:szCs w:val="20"/>
                <w:color w:val="auto"/>
              </w:rPr>
            </w:pPr>
            <w:r>
              <w:rPr>
                <w:rFonts w:ascii="Arial" w:cs="Arial" w:eastAsia="Arial" w:hAnsi="Arial"/>
                <w:sz w:val="18"/>
                <w:szCs w:val="18"/>
                <w:color w:val="auto"/>
              </w:rPr>
              <w:t>Pre-tax operating earnings</w:t>
            </w:r>
          </w:p>
        </w:tc>
        <w:tc>
          <w:tcPr>
            <w:tcW w:w="8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3320" w:type="dxa"/>
            <w:vAlign w:val="bottom"/>
            <w:vMerge w:val="continue"/>
          </w:tcPr>
          <w:p>
            <w:pPr>
              <w:spacing w:after="0"/>
              <w:rPr>
                <w:sz w:val="20"/>
                <w:szCs w:val="20"/>
                <w:color w:val="auto"/>
              </w:rPr>
            </w:pPr>
          </w:p>
        </w:tc>
        <w:tc>
          <w:tcPr>
            <w:tcW w:w="840" w:type="dxa"/>
            <w:vAlign w:val="bottom"/>
          </w:tcPr>
          <w:p>
            <w:pPr>
              <w:jc w:val="center"/>
              <w:spacing w:after="0"/>
              <w:rPr>
                <w:sz w:val="20"/>
                <w:szCs w:val="20"/>
                <w:color w:val="auto"/>
              </w:rPr>
            </w:pPr>
            <w:r>
              <w:rPr>
                <w:rFonts w:ascii="Arial" w:cs="Arial" w:eastAsia="Arial" w:hAnsi="Arial"/>
                <w:sz w:val="18"/>
                <w:szCs w:val="18"/>
                <w:color w:val="auto"/>
              </w:rPr>
              <w:t>$215.4</w:t>
            </w:r>
          </w:p>
        </w:tc>
        <w:tc>
          <w:tcPr>
            <w:tcW w:w="920" w:type="dxa"/>
            <w:vAlign w:val="bottom"/>
          </w:tcPr>
          <w:p>
            <w:pPr>
              <w:jc w:val="center"/>
              <w:ind w:right="10"/>
              <w:spacing w:after="0"/>
              <w:rPr>
                <w:sz w:val="20"/>
                <w:szCs w:val="20"/>
                <w:color w:val="auto"/>
              </w:rPr>
            </w:pPr>
            <w:r>
              <w:rPr>
                <w:rFonts w:ascii="Arial" w:cs="Arial" w:eastAsia="Arial" w:hAnsi="Arial"/>
                <w:sz w:val="18"/>
                <w:szCs w:val="18"/>
                <w:color w:val="auto"/>
                <w:w w:val="98"/>
              </w:rPr>
              <w:t>$130.2</w:t>
            </w:r>
          </w:p>
        </w:tc>
        <w:tc>
          <w:tcPr>
            <w:tcW w:w="980" w:type="dxa"/>
            <w:vAlign w:val="bottom"/>
          </w:tcPr>
          <w:p>
            <w:pPr>
              <w:jc w:val="center"/>
              <w:spacing w:after="0"/>
              <w:rPr>
                <w:sz w:val="20"/>
                <w:szCs w:val="20"/>
                <w:color w:val="auto"/>
              </w:rPr>
            </w:pPr>
            <w:r>
              <w:rPr>
                <w:rFonts w:ascii="Arial" w:cs="Arial" w:eastAsia="Arial" w:hAnsi="Arial"/>
                <w:sz w:val="18"/>
                <w:szCs w:val="18"/>
                <w:color w:val="auto"/>
                <w:w w:val="99"/>
              </w:rPr>
              <w:t>65%</w:t>
            </w:r>
          </w:p>
        </w:tc>
        <w:tc>
          <w:tcPr>
            <w:tcW w:w="860" w:type="dxa"/>
            <w:vAlign w:val="bottom"/>
          </w:tcPr>
          <w:p>
            <w:pPr>
              <w:jc w:val="center"/>
              <w:spacing w:after="0"/>
              <w:rPr>
                <w:sz w:val="20"/>
                <w:szCs w:val="20"/>
                <w:color w:val="auto"/>
              </w:rPr>
            </w:pPr>
            <w:r>
              <w:rPr>
                <w:rFonts w:ascii="Arial" w:cs="Arial" w:eastAsia="Arial" w:hAnsi="Arial"/>
                <w:sz w:val="18"/>
                <w:szCs w:val="18"/>
                <w:color w:val="auto"/>
              </w:rPr>
              <w:t>$576.8</w:t>
            </w:r>
          </w:p>
        </w:tc>
        <w:tc>
          <w:tcPr>
            <w:tcW w:w="860" w:type="dxa"/>
            <w:vAlign w:val="bottom"/>
          </w:tcPr>
          <w:p>
            <w:pPr>
              <w:jc w:val="center"/>
              <w:spacing w:after="0"/>
              <w:rPr>
                <w:sz w:val="20"/>
                <w:szCs w:val="20"/>
                <w:color w:val="auto"/>
              </w:rPr>
            </w:pPr>
            <w:r>
              <w:rPr>
                <w:rFonts w:ascii="Arial" w:cs="Arial" w:eastAsia="Arial" w:hAnsi="Arial"/>
                <w:sz w:val="18"/>
                <w:szCs w:val="18"/>
                <w:color w:val="auto"/>
              </w:rPr>
              <w:t>$479.3</w:t>
            </w:r>
          </w:p>
        </w:tc>
        <w:tc>
          <w:tcPr>
            <w:tcW w:w="1060" w:type="dxa"/>
            <w:vAlign w:val="bottom"/>
          </w:tcPr>
          <w:p>
            <w:pPr>
              <w:jc w:val="center"/>
              <w:spacing w:after="0"/>
              <w:rPr>
                <w:sz w:val="20"/>
                <w:szCs w:val="20"/>
                <w:color w:val="auto"/>
              </w:rPr>
            </w:pPr>
            <w:r>
              <w:rPr>
                <w:rFonts w:ascii="Arial" w:cs="Arial" w:eastAsia="Arial" w:hAnsi="Arial"/>
                <w:sz w:val="18"/>
                <w:szCs w:val="18"/>
                <w:color w:val="auto"/>
                <w:w w:val="99"/>
              </w:rPr>
              <w:t>20%</w:t>
            </w:r>
          </w:p>
        </w:tc>
        <w:tc>
          <w:tcPr>
            <w:tcW w:w="0" w:type="dxa"/>
            <w:vAlign w:val="bottom"/>
          </w:tcPr>
          <w:p>
            <w:pPr>
              <w:spacing w:after="0"/>
              <w:rPr>
                <w:sz w:val="1"/>
                <w:szCs w:val="1"/>
                <w:color w:val="auto"/>
              </w:rPr>
            </w:pPr>
          </w:p>
        </w:tc>
      </w:tr>
      <w:tr>
        <w:trPr>
          <w:trHeight w:val="431"/>
        </w:trPr>
        <w:tc>
          <w:tcPr>
            <w:tcW w:w="3320" w:type="dxa"/>
            <w:vAlign w:val="bottom"/>
          </w:tcPr>
          <w:p>
            <w:pPr>
              <w:ind w:left="120"/>
              <w:spacing w:after="0"/>
              <w:rPr>
                <w:sz w:val="20"/>
                <w:szCs w:val="20"/>
                <w:color w:val="auto"/>
              </w:rPr>
            </w:pPr>
            <w:r>
              <w:rPr>
                <w:rFonts w:ascii="Arial" w:cs="Arial" w:eastAsia="Arial" w:hAnsi="Arial"/>
                <w:sz w:val="18"/>
                <w:szCs w:val="18"/>
                <w:color w:val="auto"/>
              </w:rPr>
              <w:t>Operating revenues less pass-through</w:t>
            </w:r>
          </w:p>
        </w:tc>
        <w:tc>
          <w:tcPr>
            <w:tcW w:w="840" w:type="dxa"/>
            <w:vAlign w:val="bottom"/>
          </w:tcPr>
          <w:p>
            <w:pPr>
              <w:jc w:val="center"/>
              <w:spacing w:after="0"/>
              <w:rPr>
                <w:sz w:val="20"/>
                <w:szCs w:val="20"/>
                <w:color w:val="auto"/>
              </w:rPr>
            </w:pPr>
            <w:r>
              <w:rPr>
                <w:rFonts w:ascii="Arial" w:cs="Arial" w:eastAsia="Arial" w:hAnsi="Arial"/>
                <w:sz w:val="18"/>
                <w:szCs w:val="18"/>
                <w:color w:val="auto"/>
              </w:rPr>
              <w:t>$591.2</w:t>
            </w:r>
          </w:p>
        </w:tc>
        <w:tc>
          <w:tcPr>
            <w:tcW w:w="920" w:type="dxa"/>
            <w:vAlign w:val="bottom"/>
          </w:tcPr>
          <w:p>
            <w:pPr>
              <w:jc w:val="center"/>
              <w:ind w:right="10"/>
              <w:spacing w:after="0"/>
              <w:rPr>
                <w:sz w:val="20"/>
                <w:szCs w:val="20"/>
                <w:color w:val="auto"/>
              </w:rPr>
            </w:pPr>
            <w:r>
              <w:rPr>
                <w:rFonts w:ascii="Arial" w:cs="Arial" w:eastAsia="Arial" w:hAnsi="Arial"/>
                <w:sz w:val="18"/>
                <w:szCs w:val="18"/>
                <w:color w:val="auto"/>
                <w:w w:val="98"/>
              </w:rPr>
              <w:t>$327.5</w:t>
            </w:r>
          </w:p>
        </w:tc>
        <w:tc>
          <w:tcPr>
            <w:tcW w:w="980" w:type="dxa"/>
            <w:vAlign w:val="bottom"/>
          </w:tcPr>
          <w:p>
            <w:pPr>
              <w:jc w:val="center"/>
              <w:spacing w:after="0"/>
              <w:rPr>
                <w:sz w:val="20"/>
                <w:szCs w:val="20"/>
                <w:color w:val="auto"/>
              </w:rPr>
            </w:pPr>
            <w:r>
              <w:rPr>
                <w:rFonts w:ascii="Arial" w:cs="Arial" w:eastAsia="Arial" w:hAnsi="Arial"/>
                <w:sz w:val="18"/>
                <w:szCs w:val="18"/>
                <w:color w:val="auto"/>
                <w:w w:val="99"/>
              </w:rPr>
              <w:t>81%</w:t>
            </w:r>
          </w:p>
        </w:tc>
        <w:tc>
          <w:tcPr>
            <w:tcW w:w="860" w:type="dxa"/>
            <w:vAlign w:val="bottom"/>
          </w:tcPr>
          <w:p>
            <w:pPr>
              <w:jc w:val="center"/>
              <w:spacing w:after="0"/>
              <w:rPr>
                <w:sz w:val="20"/>
                <w:szCs w:val="20"/>
                <w:color w:val="auto"/>
              </w:rPr>
            </w:pPr>
            <w:r>
              <w:rPr>
                <w:rFonts w:ascii="Arial" w:cs="Arial" w:eastAsia="Arial" w:hAnsi="Arial"/>
                <w:sz w:val="18"/>
                <w:szCs w:val="18"/>
                <w:color w:val="auto"/>
                <w:w w:val="99"/>
              </w:rPr>
              <w:t>$1,589.5</w:t>
            </w:r>
          </w:p>
        </w:tc>
        <w:tc>
          <w:tcPr>
            <w:tcW w:w="860" w:type="dxa"/>
            <w:vAlign w:val="bottom"/>
          </w:tcPr>
          <w:p>
            <w:pPr>
              <w:jc w:val="center"/>
              <w:spacing w:after="0"/>
              <w:rPr>
                <w:sz w:val="20"/>
                <w:szCs w:val="20"/>
                <w:color w:val="auto"/>
              </w:rPr>
            </w:pPr>
            <w:r>
              <w:rPr>
                <w:rFonts w:ascii="Arial" w:cs="Arial" w:eastAsia="Arial" w:hAnsi="Arial"/>
                <w:sz w:val="18"/>
                <w:szCs w:val="18"/>
                <w:color w:val="auto"/>
                <w:w w:val="99"/>
              </w:rPr>
              <w:t>$1,288.6</w:t>
            </w:r>
          </w:p>
        </w:tc>
        <w:tc>
          <w:tcPr>
            <w:tcW w:w="1060" w:type="dxa"/>
            <w:vAlign w:val="bottom"/>
          </w:tcPr>
          <w:p>
            <w:pPr>
              <w:jc w:val="center"/>
              <w:spacing w:after="0"/>
              <w:rPr>
                <w:sz w:val="20"/>
                <w:szCs w:val="20"/>
                <w:color w:val="auto"/>
              </w:rPr>
            </w:pPr>
            <w:r>
              <w:rPr>
                <w:rFonts w:ascii="Arial" w:cs="Arial" w:eastAsia="Arial" w:hAnsi="Arial"/>
                <w:sz w:val="18"/>
                <w:szCs w:val="18"/>
                <w:color w:val="auto"/>
                <w:w w:val="99"/>
              </w:rPr>
              <w:t>23%</w:t>
            </w:r>
          </w:p>
        </w:tc>
        <w:tc>
          <w:tcPr>
            <w:tcW w:w="0" w:type="dxa"/>
            <w:vAlign w:val="bottom"/>
          </w:tcPr>
          <w:p>
            <w:pPr>
              <w:spacing w:after="0"/>
              <w:rPr>
                <w:sz w:val="1"/>
                <w:szCs w:val="1"/>
                <w:color w:val="auto"/>
              </w:rPr>
            </w:pPr>
          </w:p>
        </w:tc>
      </w:tr>
      <w:tr>
        <w:trPr>
          <w:trHeight w:val="217"/>
        </w:trPr>
        <w:tc>
          <w:tcPr>
            <w:tcW w:w="3320" w:type="dxa"/>
            <w:vAlign w:val="bottom"/>
          </w:tcPr>
          <w:p>
            <w:pPr>
              <w:ind w:left="360"/>
              <w:spacing w:after="0"/>
              <w:rPr>
                <w:sz w:val="20"/>
                <w:szCs w:val="20"/>
                <w:color w:val="auto"/>
              </w:rPr>
            </w:pPr>
            <w:r>
              <w:rPr>
                <w:rFonts w:ascii="Arial" w:cs="Arial" w:eastAsia="Arial" w:hAnsi="Arial"/>
                <w:sz w:val="18"/>
                <w:szCs w:val="18"/>
                <w:color w:val="auto"/>
              </w:rPr>
              <w:t>commissions</w:t>
            </w: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48"/>
        </w:trPr>
        <w:tc>
          <w:tcPr>
            <w:tcW w:w="3320" w:type="dxa"/>
            <w:vAlign w:val="bottom"/>
          </w:tcPr>
          <w:p>
            <w:pPr>
              <w:ind w:left="120"/>
              <w:spacing w:after="0"/>
              <w:rPr>
                <w:sz w:val="20"/>
                <w:szCs w:val="20"/>
                <w:color w:val="auto"/>
              </w:rPr>
            </w:pPr>
            <w:r>
              <w:rPr>
                <w:rFonts w:ascii="Arial" w:cs="Arial" w:eastAsia="Arial" w:hAnsi="Arial"/>
                <w:sz w:val="18"/>
                <w:szCs w:val="18"/>
                <w:color w:val="auto"/>
              </w:rPr>
              <w:t>Pre-tax return on operating revenues</w:t>
            </w:r>
          </w:p>
        </w:tc>
        <w:tc>
          <w:tcPr>
            <w:tcW w:w="840" w:type="dxa"/>
            <w:vAlign w:val="bottom"/>
          </w:tcPr>
          <w:p>
            <w:pPr>
              <w:jc w:val="center"/>
              <w:spacing w:after="0"/>
              <w:rPr>
                <w:sz w:val="20"/>
                <w:szCs w:val="20"/>
                <w:color w:val="auto"/>
              </w:rPr>
            </w:pPr>
            <w:r>
              <w:rPr>
                <w:rFonts w:ascii="Arial" w:cs="Arial" w:eastAsia="Arial" w:hAnsi="Arial"/>
                <w:sz w:val="18"/>
                <w:szCs w:val="18"/>
                <w:color w:val="auto"/>
              </w:rPr>
              <w:t>36.7%</w:t>
            </w:r>
          </w:p>
        </w:tc>
        <w:tc>
          <w:tcPr>
            <w:tcW w:w="920" w:type="dxa"/>
            <w:vAlign w:val="bottom"/>
          </w:tcPr>
          <w:p>
            <w:pPr>
              <w:jc w:val="center"/>
              <w:ind w:right="10"/>
              <w:spacing w:after="0"/>
              <w:rPr>
                <w:sz w:val="20"/>
                <w:szCs w:val="20"/>
                <w:color w:val="auto"/>
              </w:rPr>
            </w:pPr>
            <w:r>
              <w:rPr>
                <w:rFonts w:ascii="Arial" w:cs="Arial" w:eastAsia="Arial" w:hAnsi="Arial"/>
                <w:sz w:val="18"/>
                <w:szCs w:val="18"/>
                <w:color w:val="auto"/>
                <w:w w:val="97"/>
              </w:rPr>
              <w:t>40.2%</w:t>
            </w:r>
          </w:p>
        </w:tc>
        <w:tc>
          <w:tcPr>
            <w:tcW w:w="980" w:type="dxa"/>
            <w:vAlign w:val="bottom"/>
          </w:tcPr>
          <w:p>
            <w:pPr>
              <w:spacing w:after="0"/>
              <w:rPr>
                <w:sz w:val="24"/>
                <w:szCs w:val="24"/>
                <w:color w:val="auto"/>
              </w:rPr>
            </w:pPr>
          </w:p>
        </w:tc>
        <w:tc>
          <w:tcPr>
            <w:tcW w:w="860" w:type="dxa"/>
            <w:vAlign w:val="bottom"/>
          </w:tcPr>
          <w:p>
            <w:pPr>
              <w:jc w:val="center"/>
              <w:spacing w:after="0"/>
              <w:rPr>
                <w:sz w:val="20"/>
                <w:szCs w:val="20"/>
                <w:color w:val="auto"/>
              </w:rPr>
            </w:pPr>
            <w:r>
              <w:rPr>
                <w:rFonts w:ascii="Arial" w:cs="Arial" w:eastAsia="Arial" w:hAnsi="Arial"/>
                <w:sz w:val="18"/>
                <w:szCs w:val="18"/>
                <w:color w:val="auto"/>
              </w:rPr>
              <w:t>36.7%</w:t>
            </w:r>
          </w:p>
        </w:tc>
        <w:tc>
          <w:tcPr>
            <w:tcW w:w="860" w:type="dxa"/>
            <w:vAlign w:val="bottom"/>
          </w:tcPr>
          <w:p>
            <w:pPr>
              <w:jc w:val="center"/>
              <w:spacing w:after="0"/>
              <w:rPr>
                <w:sz w:val="20"/>
                <w:szCs w:val="20"/>
                <w:color w:val="auto"/>
              </w:rPr>
            </w:pPr>
            <w:r>
              <w:rPr>
                <w:rFonts w:ascii="Arial" w:cs="Arial" w:eastAsia="Arial" w:hAnsi="Arial"/>
                <w:sz w:val="18"/>
                <w:szCs w:val="18"/>
                <w:color w:val="auto"/>
              </w:rPr>
              <w:t>37.7%</w:t>
            </w: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3320" w:type="dxa"/>
            <w:vAlign w:val="bottom"/>
          </w:tcPr>
          <w:p>
            <w:pPr>
              <w:ind w:left="360"/>
              <w:spacing w:after="0"/>
              <w:rPr>
                <w:sz w:val="20"/>
                <w:szCs w:val="20"/>
                <w:color w:val="auto"/>
              </w:rPr>
            </w:pPr>
            <w:r>
              <w:rPr>
                <w:rFonts w:ascii="Arial" w:cs="Arial" w:eastAsia="Arial" w:hAnsi="Arial"/>
                <w:sz w:val="18"/>
                <w:szCs w:val="18"/>
                <w:color w:val="auto"/>
              </w:rPr>
              <w:t>less pass-through commissions</w:t>
            </w:r>
            <w:r>
              <w:rPr>
                <w:rFonts w:ascii="Arial" w:cs="Arial" w:eastAsia="Arial" w:hAnsi="Arial"/>
                <w:sz w:val="21"/>
                <w:szCs w:val="21"/>
                <w:color w:val="auto"/>
                <w:vertAlign w:val="superscript"/>
              </w:rPr>
              <w:t>8</w:t>
            </w:r>
          </w:p>
        </w:tc>
        <w:tc>
          <w:tcPr>
            <w:tcW w:w="8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85"/>
        </w:trPr>
        <w:tc>
          <w:tcPr>
            <w:tcW w:w="3320" w:type="dxa"/>
            <w:vAlign w:val="bottom"/>
          </w:tcPr>
          <w:p>
            <w:pPr>
              <w:ind w:left="120"/>
              <w:spacing w:after="0" w:line="185" w:lineRule="exact"/>
              <w:rPr>
                <w:sz w:val="20"/>
                <w:szCs w:val="20"/>
                <w:color w:val="auto"/>
              </w:rPr>
            </w:pPr>
            <w:r>
              <w:rPr>
                <w:rFonts w:ascii="Arial" w:cs="Arial" w:eastAsia="Arial" w:hAnsi="Arial"/>
                <w:sz w:val="18"/>
                <w:szCs w:val="18"/>
                <w:color w:val="auto"/>
              </w:rPr>
              <w:t>Total PGI assets under management</w:t>
            </w:r>
          </w:p>
        </w:tc>
        <w:tc>
          <w:tcPr>
            <w:tcW w:w="840" w:type="dxa"/>
            <w:vAlign w:val="bottom"/>
          </w:tcPr>
          <w:p>
            <w:pPr>
              <w:jc w:val="center"/>
              <w:spacing w:after="0" w:line="185" w:lineRule="exact"/>
              <w:rPr>
                <w:sz w:val="20"/>
                <w:szCs w:val="20"/>
                <w:color w:val="auto"/>
              </w:rPr>
            </w:pPr>
            <w:r>
              <w:rPr>
                <w:rFonts w:ascii="Arial" w:cs="Arial" w:eastAsia="Arial" w:hAnsi="Arial"/>
                <w:sz w:val="18"/>
                <w:szCs w:val="18"/>
                <w:color w:val="auto"/>
              </w:rPr>
              <w:t>$426.5</w:t>
            </w:r>
          </w:p>
        </w:tc>
        <w:tc>
          <w:tcPr>
            <w:tcW w:w="920" w:type="dxa"/>
            <w:vAlign w:val="bottom"/>
          </w:tcPr>
          <w:p>
            <w:pPr>
              <w:jc w:val="center"/>
              <w:ind w:right="10"/>
              <w:spacing w:after="0" w:line="185" w:lineRule="exact"/>
              <w:rPr>
                <w:sz w:val="20"/>
                <w:szCs w:val="20"/>
                <w:color w:val="auto"/>
              </w:rPr>
            </w:pPr>
            <w:r>
              <w:rPr>
                <w:rFonts w:ascii="Arial" w:cs="Arial" w:eastAsia="Arial" w:hAnsi="Arial"/>
                <w:sz w:val="18"/>
                <w:szCs w:val="18"/>
                <w:color w:val="auto"/>
                <w:w w:val="98"/>
              </w:rPr>
              <w:t>$423.3</w:t>
            </w:r>
          </w:p>
        </w:tc>
        <w:tc>
          <w:tcPr>
            <w:tcW w:w="980" w:type="dxa"/>
            <w:vAlign w:val="bottom"/>
          </w:tcPr>
          <w:p>
            <w:pPr>
              <w:jc w:val="center"/>
              <w:spacing w:after="0" w:line="185" w:lineRule="exact"/>
              <w:rPr>
                <w:sz w:val="20"/>
                <w:szCs w:val="20"/>
                <w:color w:val="auto"/>
              </w:rPr>
            </w:pPr>
            <w:r>
              <w:rPr>
                <w:rFonts w:ascii="Arial" w:cs="Arial" w:eastAsia="Arial" w:hAnsi="Arial"/>
                <w:sz w:val="18"/>
                <w:szCs w:val="18"/>
                <w:color w:val="auto"/>
                <w:w w:val="99"/>
              </w:rPr>
              <w:t>1%</w:t>
            </w:r>
          </w:p>
        </w:tc>
        <w:tc>
          <w:tcPr>
            <w:tcW w:w="8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5"/>
        </w:trPr>
        <w:tc>
          <w:tcPr>
            <w:tcW w:w="3320" w:type="dxa"/>
            <w:vAlign w:val="bottom"/>
          </w:tcPr>
          <w:p>
            <w:pPr>
              <w:ind w:left="360"/>
              <w:spacing w:after="0"/>
              <w:rPr>
                <w:sz w:val="20"/>
                <w:szCs w:val="20"/>
                <w:color w:val="auto"/>
              </w:rPr>
            </w:pPr>
            <w:r>
              <w:rPr>
                <w:rFonts w:ascii="Arial" w:cs="Arial" w:eastAsia="Arial" w:hAnsi="Arial"/>
                <w:sz w:val="18"/>
                <w:szCs w:val="18"/>
                <w:i w:val="1"/>
                <w:iCs w:val="1"/>
                <w:color w:val="auto"/>
              </w:rPr>
              <w:t>(billions)</w:t>
            </w:r>
          </w:p>
        </w:tc>
        <w:tc>
          <w:tcPr>
            <w:tcW w:w="8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3320" w:type="dxa"/>
            <w:vAlign w:val="bottom"/>
          </w:tcPr>
          <w:p>
            <w:pPr>
              <w:ind w:left="120"/>
              <w:spacing w:after="0"/>
              <w:rPr>
                <w:sz w:val="20"/>
                <w:szCs w:val="20"/>
                <w:color w:val="auto"/>
              </w:rPr>
            </w:pPr>
            <w:r>
              <w:rPr>
                <w:rFonts w:ascii="Arial" w:cs="Arial" w:eastAsia="Arial" w:hAnsi="Arial"/>
                <w:sz w:val="18"/>
                <w:szCs w:val="18"/>
                <w:color w:val="auto"/>
                <w:w w:val="99"/>
              </w:rPr>
              <w:t>PGI sourced assets under management</w:t>
            </w:r>
          </w:p>
        </w:tc>
        <w:tc>
          <w:tcPr>
            <w:tcW w:w="840" w:type="dxa"/>
            <w:vAlign w:val="bottom"/>
          </w:tcPr>
          <w:p>
            <w:pPr>
              <w:jc w:val="center"/>
              <w:spacing w:after="0"/>
              <w:rPr>
                <w:sz w:val="20"/>
                <w:szCs w:val="20"/>
                <w:color w:val="auto"/>
              </w:rPr>
            </w:pPr>
            <w:r>
              <w:rPr>
                <w:rFonts w:ascii="Arial" w:cs="Arial" w:eastAsia="Arial" w:hAnsi="Arial"/>
                <w:sz w:val="18"/>
                <w:szCs w:val="18"/>
                <w:color w:val="auto"/>
              </w:rPr>
              <w:t>$208.1</w:t>
            </w:r>
          </w:p>
        </w:tc>
        <w:tc>
          <w:tcPr>
            <w:tcW w:w="920" w:type="dxa"/>
            <w:vAlign w:val="bottom"/>
          </w:tcPr>
          <w:p>
            <w:pPr>
              <w:jc w:val="center"/>
              <w:ind w:right="10"/>
              <w:spacing w:after="0"/>
              <w:rPr>
                <w:sz w:val="20"/>
                <w:szCs w:val="20"/>
                <w:color w:val="auto"/>
              </w:rPr>
            </w:pPr>
            <w:r>
              <w:rPr>
                <w:rFonts w:ascii="Arial" w:cs="Arial" w:eastAsia="Arial" w:hAnsi="Arial"/>
                <w:sz w:val="18"/>
                <w:szCs w:val="18"/>
                <w:color w:val="auto"/>
                <w:w w:val="98"/>
              </w:rPr>
              <w:t>$215.9</w:t>
            </w:r>
          </w:p>
        </w:tc>
        <w:tc>
          <w:tcPr>
            <w:tcW w:w="980" w:type="dxa"/>
            <w:vAlign w:val="bottom"/>
          </w:tcPr>
          <w:p>
            <w:pPr>
              <w:jc w:val="center"/>
              <w:spacing w:after="0"/>
              <w:rPr>
                <w:sz w:val="20"/>
                <w:szCs w:val="20"/>
                <w:color w:val="auto"/>
              </w:rPr>
            </w:pPr>
            <w:r>
              <w:rPr>
                <w:rFonts w:ascii="Arial" w:cs="Arial" w:eastAsia="Arial" w:hAnsi="Arial"/>
                <w:sz w:val="18"/>
                <w:szCs w:val="18"/>
                <w:color w:val="auto"/>
                <w:w w:val="99"/>
              </w:rPr>
              <w:t>(4)%</w:t>
            </w:r>
          </w:p>
        </w:tc>
        <w:tc>
          <w:tcPr>
            <w:tcW w:w="8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5"/>
        </w:trPr>
        <w:tc>
          <w:tcPr>
            <w:tcW w:w="3320" w:type="dxa"/>
            <w:vAlign w:val="bottom"/>
          </w:tcPr>
          <w:p>
            <w:pPr>
              <w:ind w:left="360"/>
              <w:spacing w:after="0"/>
              <w:rPr>
                <w:sz w:val="20"/>
                <w:szCs w:val="20"/>
                <w:color w:val="auto"/>
              </w:rPr>
            </w:pPr>
            <w:r>
              <w:rPr>
                <w:rFonts w:ascii="Arial" w:cs="Arial" w:eastAsia="Arial" w:hAnsi="Arial"/>
                <w:sz w:val="18"/>
                <w:szCs w:val="18"/>
                <w:i w:val="1"/>
                <w:iCs w:val="1"/>
                <w:color w:val="auto"/>
              </w:rPr>
              <w:t>(billions)</w:t>
            </w:r>
          </w:p>
        </w:tc>
        <w:tc>
          <w:tcPr>
            <w:tcW w:w="8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ind w:left="660" w:right="380" w:hanging="328"/>
        <w:spacing w:after="0" w:line="271"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earnings </w:t>
      </w:r>
      <w:r>
        <w:rPr>
          <w:rFonts w:ascii="Arial" w:cs="Arial" w:eastAsia="Arial" w:hAnsi="Arial"/>
          <w:sz w:val="20"/>
          <w:szCs w:val="20"/>
          <w:color w:val="auto"/>
        </w:rPr>
        <w:t>increased $85.2 million. Excluding the significant variances outlined in Exhibit 1, pre-tax</w:t>
      </w:r>
      <w:r>
        <w:rPr>
          <w:rFonts w:ascii="Arial" w:cs="Arial" w:eastAsia="Arial" w:hAnsi="Arial"/>
          <w:sz w:val="20"/>
          <w:szCs w:val="20"/>
          <w:b w:val="1"/>
          <w:bCs w:val="1"/>
          <w:color w:val="auto"/>
        </w:rPr>
        <w:t xml:space="preserve"> </w:t>
      </w:r>
      <w:r>
        <w:rPr>
          <w:rFonts w:ascii="Arial" w:cs="Arial" w:eastAsia="Arial" w:hAnsi="Arial"/>
          <w:sz w:val="20"/>
          <w:szCs w:val="20"/>
          <w:color w:val="auto"/>
        </w:rPr>
        <w:t>operating earnings were flat compared to the year ago quarter.</w:t>
      </w:r>
    </w:p>
    <w:p>
      <w:pPr>
        <w:spacing w:after="0" w:line="47" w:lineRule="exact"/>
        <w:rPr>
          <w:rFonts w:ascii="Arial" w:cs="Arial" w:eastAsia="Arial" w:hAnsi="Arial"/>
          <w:sz w:val="18"/>
          <w:szCs w:val="18"/>
          <w:color w:val="auto"/>
        </w:rPr>
      </w:pPr>
    </w:p>
    <w:p>
      <w:pPr>
        <w:ind w:left="660" w:right="240" w:hanging="328"/>
        <w:spacing w:after="0" w:line="255"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20"/>
          <w:szCs w:val="20"/>
          <w:b w:val="1"/>
          <w:bCs w:val="1"/>
          <w:color w:val="auto"/>
        </w:rPr>
        <w:t xml:space="preserve">Operating revenues less pass-through commissions </w:t>
      </w:r>
      <w:r>
        <w:rPr>
          <w:rFonts w:ascii="Arial" w:cs="Arial" w:eastAsia="Arial" w:hAnsi="Arial"/>
          <w:sz w:val="20"/>
          <w:szCs w:val="20"/>
          <w:color w:val="auto"/>
        </w:rPr>
        <w:t>increased $263.7 million. Excluding the significant variances</w:t>
      </w:r>
      <w:r>
        <w:rPr>
          <w:rFonts w:ascii="Arial" w:cs="Arial" w:eastAsia="Arial" w:hAnsi="Arial"/>
          <w:sz w:val="20"/>
          <w:szCs w:val="20"/>
          <w:b w:val="1"/>
          <w:bCs w:val="1"/>
          <w:color w:val="auto"/>
        </w:rPr>
        <w:t xml:space="preserve"> </w:t>
      </w:r>
      <w:r>
        <w:rPr>
          <w:rFonts w:ascii="Arial" w:cs="Arial" w:eastAsia="Arial" w:hAnsi="Arial"/>
          <w:sz w:val="20"/>
          <w:szCs w:val="20"/>
          <w:color w:val="auto"/>
        </w:rPr>
        <w:t>outlined in Exhibit 1, operating revenues less pass-through commissions is up 3 percent due to growth in management fees.</w:t>
      </w:r>
    </w:p>
    <w:p>
      <w:pPr>
        <w:spacing w:after="0" w:line="29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Principal International</w:t>
      </w:r>
    </w:p>
    <w:p>
      <w:pPr>
        <w:spacing w:after="0" w:line="250"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3580" w:type="dxa"/>
            <w:vAlign w:val="bottom"/>
            <w:tcBorders>
              <w:top w:val="single" w:sz="8" w:color="auto"/>
              <w:left w:val="single" w:sz="8" w:color="auto"/>
            </w:tcBorders>
          </w:tcPr>
          <w:p>
            <w:pPr>
              <w:spacing w:after="0"/>
              <w:rPr>
                <w:sz w:val="22"/>
                <w:szCs w:val="22"/>
                <w:color w:val="auto"/>
              </w:rPr>
            </w:pPr>
          </w:p>
        </w:tc>
        <w:tc>
          <w:tcPr>
            <w:tcW w:w="860" w:type="dxa"/>
            <w:vAlign w:val="bottom"/>
            <w:tcBorders>
              <w:top w:val="single" w:sz="8" w:color="auto"/>
            </w:tcBorders>
            <w:shd w:val="clear" w:color="auto" w:fill="BFBFBF"/>
          </w:tcPr>
          <w:p>
            <w:pPr>
              <w:spacing w:after="0"/>
              <w:rPr>
                <w:sz w:val="22"/>
                <w:szCs w:val="22"/>
                <w:color w:val="auto"/>
              </w:rPr>
            </w:pPr>
          </w:p>
        </w:tc>
        <w:tc>
          <w:tcPr>
            <w:tcW w:w="940" w:type="dxa"/>
            <w:vAlign w:val="bottom"/>
            <w:tcBorders>
              <w:top w:val="single" w:sz="8" w:color="auto"/>
            </w:tcBorders>
            <w:shd w:val="clear" w:color="auto" w:fill="BFBFBF"/>
          </w:tcPr>
          <w:p>
            <w:pPr>
              <w:ind w:left="220"/>
              <w:spacing w:after="0"/>
              <w:rPr>
                <w:sz w:val="20"/>
                <w:szCs w:val="20"/>
                <w:color w:val="auto"/>
              </w:rPr>
            </w:pPr>
            <w:r>
              <w:rPr>
                <w:rFonts w:ascii="Arial" w:cs="Arial" w:eastAsia="Arial" w:hAnsi="Arial"/>
                <w:sz w:val="18"/>
                <w:szCs w:val="18"/>
                <w:b w:val="1"/>
                <w:bCs w:val="1"/>
                <w:i w:val="1"/>
                <w:iCs w:val="1"/>
                <w:color w:val="auto"/>
              </w:rPr>
              <w:t>Quarter</w:t>
            </w:r>
          </w:p>
        </w:tc>
        <w:tc>
          <w:tcPr>
            <w:tcW w:w="1040" w:type="dxa"/>
            <w:vAlign w:val="bottom"/>
            <w:tcBorders>
              <w:top w:val="single" w:sz="8" w:color="auto"/>
              <w:right w:val="single" w:sz="8" w:color="auto"/>
            </w:tcBorders>
            <w:shd w:val="clear" w:color="auto" w:fill="BFBFBF"/>
          </w:tcPr>
          <w:p>
            <w:pPr>
              <w:spacing w:after="0"/>
              <w:rPr>
                <w:sz w:val="22"/>
                <w:szCs w:val="22"/>
                <w:color w:val="auto"/>
              </w:rPr>
            </w:pPr>
          </w:p>
        </w:tc>
        <w:tc>
          <w:tcPr>
            <w:tcW w:w="2840" w:type="dxa"/>
            <w:vAlign w:val="bottom"/>
            <w:tcBorders>
              <w:top w:val="single" w:sz="8" w:color="auto"/>
              <w:right w:val="single" w:sz="8" w:color="auto"/>
            </w:tcBorders>
            <w:gridSpan w:val="3"/>
            <w:shd w:val="clear" w:color="auto" w:fill="BFBFBF"/>
          </w:tcPr>
          <w:p>
            <w:pPr>
              <w:ind w:left="420"/>
              <w:spacing w:after="0"/>
              <w:rPr>
                <w:sz w:val="20"/>
                <w:szCs w:val="20"/>
                <w:color w:val="auto"/>
              </w:rPr>
            </w:pPr>
            <w:r>
              <w:rPr>
                <w:rFonts w:ascii="Arial" w:cs="Arial" w:eastAsia="Arial" w:hAnsi="Arial"/>
                <w:sz w:val="18"/>
                <w:szCs w:val="18"/>
                <w:b w:val="1"/>
                <w:bCs w:val="1"/>
                <w:i w:val="1"/>
                <w:iCs w:val="1"/>
                <w:color w:val="auto"/>
                <w:highlight w:val="lightGray"/>
              </w:rPr>
              <w:t>Trailing Twelve Months</w:t>
            </w:r>
          </w:p>
        </w:tc>
        <w:tc>
          <w:tcPr>
            <w:tcW w:w="0" w:type="dxa"/>
            <w:vAlign w:val="bottom"/>
          </w:tcPr>
          <w:p>
            <w:pPr>
              <w:spacing w:after="0"/>
              <w:rPr>
                <w:sz w:val="1"/>
                <w:szCs w:val="1"/>
                <w:color w:val="auto"/>
              </w:rPr>
            </w:pPr>
          </w:p>
        </w:tc>
      </w:tr>
      <w:tr>
        <w:trPr>
          <w:trHeight w:val="216"/>
        </w:trPr>
        <w:tc>
          <w:tcPr>
            <w:tcW w:w="3580" w:type="dxa"/>
            <w:vAlign w:val="bottom"/>
            <w:tcBorders>
              <w:left w:val="single" w:sz="8" w:color="auto"/>
            </w:tcBorders>
          </w:tcPr>
          <w:p>
            <w:pPr>
              <w:ind w:left="18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860" w:type="dxa"/>
            <w:vAlign w:val="bottom"/>
            <w:shd w:val="clear" w:color="auto" w:fill="BFBFBF"/>
          </w:tcPr>
          <w:p>
            <w:pPr>
              <w:spacing w:after="0"/>
              <w:rPr>
                <w:sz w:val="18"/>
                <w:szCs w:val="18"/>
                <w:color w:val="auto"/>
              </w:rPr>
            </w:pPr>
          </w:p>
        </w:tc>
        <w:tc>
          <w:tcPr>
            <w:tcW w:w="940" w:type="dxa"/>
            <w:vAlign w:val="bottom"/>
            <w:shd w:val="clear" w:color="auto" w:fill="BFBFBF"/>
          </w:tcPr>
          <w:p>
            <w:pPr>
              <w:spacing w:after="0"/>
              <w:rPr>
                <w:sz w:val="18"/>
                <w:szCs w:val="18"/>
                <w:color w:val="auto"/>
              </w:rPr>
            </w:pPr>
          </w:p>
        </w:tc>
        <w:tc>
          <w:tcPr>
            <w:tcW w:w="1040" w:type="dxa"/>
            <w:vAlign w:val="bottom"/>
            <w:tcBorders>
              <w:right w:val="single" w:sz="8" w:color="auto"/>
            </w:tcBorders>
            <w:shd w:val="clear" w:color="auto" w:fill="BFBFBF"/>
          </w:tcPr>
          <w:p>
            <w:pPr>
              <w:spacing w:after="0"/>
              <w:rPr>
                <w:sz w:val="18"/>
                <w:szCs w:val="18"/>
                <w:color w:val="auto"/>
              </w:rPr>
            </w:pPr>
          </w:p>
        </w:tc>
        <w:tc>
          <w:tcPr>
            <w:tcW w:w="820" w:type="dxa"/>
            <w:vAlign w:val="bottom"/>
            <w:shd w:val="clear" w:color="auto" w:fill="BFBFBF"/>
          </w:tcPr>
          <w:p>
            <w:pPr>
              <w:spacing w:after="0"/>
              <w:rPr>
                <w:sz w:val="18"/>
                <w:szCs w:val="18"/>
                <w:color w:val="auto"/>
              </w:rPr>
            </w:pPr>
          </w:p>
        </w:tc>
        <w:tc>
          <w:tcPr>
            <w:tcW w:w="860" w:type="dxa"/>
            <w:vAlign w:val="bottom"/>
            <w:shd w:val="clear" w:color="auto" w:fill="BFBFBF"/>
          </w:tcPr>
          <w:p>
            <w:pPr>
              <w:spacing w:after="0"/>
              <w:rPr>
                <w:sz w:val="18"/>
                <w:szCs w:val="18"/>
                <w:color w:val="auto"/>
              </w:rPr>
            </w:pPr>
          </w:p>
        </w:tc>
        <w:tc>
          <w:tcPr>
            <w:tcW w:w="1160" w:type="dxa"/>
            <w:vAlign w:val="bottom"/>
            <w:tcBorders>
              <w:right w:val="single" w:sz="8" w:color="auto"/>
            </w:tcBorders>
            <w:shd w:val="clear" w:color="auto" w:fill="BFBFB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580" w:type="dxa"/>
            <w:vAlign w:val="bottom"/>
            <w:tcBorders>
              <w:left w:val="single" w:sz="8" w:color="auto"/>
            </w:tcBorders>
          </w:tcPr>
          <w:p>
            <w:pPr>
              <w:spacing w:after="0"/>
              <w:rPr>
                <w:sz w:val="21"/>
                <w:szCs w:val="21"/>
                <w:color w:val="auto"/>
              </w:rPr>
            </w:pPr>
          </w:p>
        </w:tc>
        <w:tc>
          <w:tcPr>
            <w:tcW w:w="86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940" w:type="dxa"/>
            <w:vAlign w:val="bottom"/>
          </w:tcPr>
          <w:p>
            <w:pPr>
              <w:jc w:val="center"/>
              <w:spacing w:after="0"/>
              <w:rPr>
                <w:sz w:val="20"/>
                <w:szCs w:val="20"/>
                <w:color w:val="auto"/>
              </w:rPr>
            </w:pPr>
            <w:r>
              <w:rPr>
                <w:rFonts w:ascii="Arial" w:cs="Arial" w:eastAsia="Arial" w:hAnsi="Arial"/>
                <w:sz w:val="18"/>
                <w:szCs w:val="18"/>
                <w:b w:val="1"/>
                <w:bCs w:val="1"/>
                <w:color w:val="auto"/>
                <w:w w:val="99"/>
              </w:rPr>
              <w:t>3Q17</w:t>
            </w:r>
          </w:p>
        </w:tc>
        <w:tc>
          <w:tcPr>
            <w:tcW w:w="1040" w:type="dxa"/>
            <w:vAlign w:val="bottom"/>
            <w:tcBorders>
              <w:right w:val="single" w:sz="8" w:color="auto"/>
            </w:tcBorders>
          </w:tcPr>
          <w:p>
            <w:pPr>
              <w:ind w:left="60"/>
              <w:spacing w:after="0"/>
              <w:rPr>
                <w:sz w:val="20"/>
                <w:szCs w:val="20"/>
                <w:color w:val="auto"/>
              </w:rPr>
            </w:pPr>
            <w:r>
              <w:rPr>
                <w:rFonts w:ascii="Arial" w:cs="Arial" w:eastAsia="Arial" w:hAnsi="Arial"/>
                <w:sz w:val="18"/>
                <w:szCs w:val="18"/>
                <w:color w:val="auto"/>
              </w:rPr>
              <w:t>% Change</w:t>
            </w:r>
          </w:p>
        </w:tc>
        <w:tc>
          <w:tcPr>
            <w:tcW w:w="82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860" w:type="dxa"/>
            <w:vAlign w:val="bottom"/>
          </w:tcPr>
          <w:p>
            <w:pPr>
              <w:jc w:val="center"/>
              <w:spacing w:after="0"/>
              <w:rPr>
                <w:sz w:val="20"/>
                <w:szCs w:val="20"/>
                <w:color w:val="auto"/>
              </w:rPr>
            </w:pPr>
            <w:r>
              <w:rPr>
                <w:rFonts w:ascii="Arial" w:cs="Arial" w:eastAsia="Arial" w:hAnsi="Arial"/>
                <w:sz w:val="18"/>
                <w:szCs w:val="18"/>
                <w:b w:val="1"/>
                <w:bCs w:val="1"/>
                <w:color w:val="auto"/>
                <w:w w:val="99"/>
              </w:rPr>
              <w:t>3Q17</w:t>
            </w:r>
          </w:p>
        </w:tc>
        <w:tc>
          <w:tcPr>
            <w:tcW w:w="116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 Change</w:t>
            </w:r>
          </w:p>
        </w:tc>
        <w:tc>
          <w:tcPr>
            <w:tcW w:w="0" w:type="dxa"/>
            <w:vAlign w:val="bottom"/>
          </w:tcPr>
          <w:p>
            <w:pPr>
              <w:spacing w:after="0"/>
              <w:rPr>
                <w:sz w:val="1"/>
                <w:szCs w:val="1"/>
                <w:color w:val="auto"/>
              </w:rPr>
            </w:pPr>
          </w:p>
        </w:tc>
      </w:tr>
      <w:tr>
        <w:trPr>
          <w:trHeight w:val="203"/>
        </w:trPr>
        <w:tc>
          <w:tcPr>
            <w:tcW w:w="3580" w:type="dxa"/>
            <w:vAlign w:val="bottom"/>
            <w:tcBorders>
              <w:left w:val="single" w:sz="8" w:color="auto"/>
            </w:tcBorders>
            <w:vMerge w:val="restart"/>
          </w:tcPr>
          <w:p>
            <w:pPr>
              <w:ind w:left="180"/>
              <w:spacing w:after="0"/>
              <w:rPr>
                <w:sz w:val="20"/>
                <w:szCs w:val="20"/>
                <w:color w:val="auto"/>
              </w:rPr>
            </w:pPr>
            <w:r>
              <w:rPr>
                <w:rFonts w:ascii="Arial" w:cs="Arial" w:eastAsia="Arial" w:hAnsi="Arial"/>
                <w:sz w:val="18"/>
                <w:szCs w:val="18"/>
                <w:color w:val="auto"/>
              </w:rPr>
              <w:t>Pre-tax operating earnings</w:t>
            </w:r>
          </w:p>
        </w:tc>
        <w:tc>
          <w:tcPr>
            <w:tcW w:w="86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c>
          <w:tcPr>
            <w:tcW w:w="1040" w:type="dxa"/>
            <w:vAlign w:val="bottom"/>
            <w:tcBorders>
              <w:bottom w:val="single" w:sz="8" w:color="auto"/>
              <w:right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11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3580" w:type="dxa"/>
            <w:vAlign w:val="bottom"/>
            <w:tcBorders>
              <w:left w:val="single" w:sz="8" w:color="auto"/>
            </w:tcBorders>
            <w:vMerge w:val="continue"/>
          </w:tcPr>
          <w:p>
            <w:pPr>
              <w:spacing w:after="0"/>
              <w:rPr>
                <w:sz w:val="20"/>
                <w:szCs w:val="20"/>
                <w:color w:val="auto"/>
              </w:rPr>
            </w:pPr>
          </w:p>
        </w:tc>
        <w:tc>
          <w:tcPr>
            <w:tcW w:w="860" w:type="dxa"/>
            <w:vAlign w:val="bottom"/>
          </w:tcPr>
          <w:p>
            <w:pPr>
              <w:jc w:val="center"/>
              <w:spacing w:after="0"/>
              <w:rPr>
                <w:sz w:val="20"/>
                <w:szCs w:val="20"/>
                <w:color w:val="auto"/>
              </w:rPr>
            </w:pPr>
            <w:r>
              <w:rPr>
                <w:rFonts w:ascii="Arial" w:cs="Arial" w:eastAsia="Arial" w:hAnsi="Arial"/>
                <w:sz w:val="18"/>
                <w:szCs w:val="18"/>
                <w:color w:val="auto"/>
              </w:rPr>
              <w:t>$32.4</w:t>
            </w:r>
          </w:p>
        </w:tc>
        <w:tc>
          <w:tcPr>
            <w:tcW w:w="940" w:type="dxa"/>
            <w:vAlign w:val="bottom"/>
          </w:tcPr>
          <w:p>
            <w:pPr>
              <w:jc w:val="center"/>
              <w:spacing w:after="0"/>
              <w:rPr>
                <w:sz w:val="20"/>
                <w:szCs w:val="20"/>
                <w:color w:val="auto"/>
              </w:rPr>
            </w:pPr>
            <w:r>
              <w:rPr>
                <w:rFonts w:ascii="Arial" w:cs="Arial" w:eastAsia="Arial" w:hAnsi="Arial"/>
                <w:sz w:val="18"/>
                <w:szCs w:val="18"/>
                <w:color w:val="auto"/>
                <w:w w:val="97"/>
              </w:rPr>
              <w:t>$72.4</w:t>
            </w:r>
          </w:p>
        </w:tc>
        <w:tc>
          <w:tcPr>
            <w:tcW w:w="10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(55)%</w:t>
            </w:r>
          </w:p>
        </w:tc>
        <w:tc>
          <w:tcPr>
            <w:tcW w:w="820" w:type="dxa"/>
            <w:vAlign w:val="bottom"/>
          </w:tcPr>
          <w:p>
            <w:pPr>
              <w:jc w:val="center"/>
              <w:spacing w:after="0"/>
              <w:rPr>
                <w:sz w:val="20"/>
                <w:szCs w:val="20"/>
                <w:color w:val="auto"/>
              </w:rPr>
            </w:pPr>
            <w:r>
              <w:rPr>
                <w:rFonts w:ascii="Arial" w:cs="Arial" w:eastAsia="Arial" w:hAnsi="Arial"/>
                <w:sz w:val="18"/>
                <w:szCs w:val="18"/>
                <w:color w:val="auto"/>
                <w:w w:val="98"/>
              </w:rPr>
              <w:t>$279.8</w:t>
            </w:r>
          </w:p>
        </w:tc>
        <w:tc>
          <w:tcPr>
            <w:tcW w:w="860" w:type="dxa"/>
            <w:vAlign w:val="bottom"/>
          </w:tcPr>
          <w:p>
            <w:pPr>
              <w:jc w:val="center"/>
              <w:spacing w:after="0"/>
              <w:rPr>
                <w:sz w:val="20"/>
                <w:szCs w:val="20"/>
                <w:color w:val="auto"/>
              </w:rPr>
            </w:pPr>
            <w:r>
              <w:rPr>
                <w:rFonts w:ascii="Arial" w:cs="Arial" w:eastAsia="Arial" w:hAnsi="Arial"/>
                <w:sz w:val="18"/>
                <w:szCs w:val="18"/>
                <w:color w:val="auto"/>
                <w:w w:val="98"/>
              </w:rPr>
              <w:t>$317.7</w:t>
            </w:r>
          </w:p>
        </w:tc>
        <w:tc>
          <w:tcPr>
            <w:tcW w:w="1160" w:type="dxa"/>
            <w:vAlign w:val="bottom"/>
            <w:tcBorders>
              <w:right w:val="single" w:sz="8" w:color="auto"/>
            </w:tcBorders>
          </w:tcPr>
          <w:p>
            <w:pPr>
              <w:jc w:val="right"/>
              <w:ind w:right="27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503"/>
        </w:trPr>
        <w:tc>
          <w:tcPr>
            <w:tcW w:w="358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Combined</w:t>
            </w:r>
            <w:r>
              <w:rPr>
                <w:rFonts w:ascii="Arial" w:cs="Arial" w:eastAsia="Arial" w:hAnsi="Arial"/>
                <w:sz w:val="21"/>
                <w:szCs w:val="21"/>
                <w:color w:val="auto"/>
                <w:vertAlign w:val="superscript"/>
              </w:rPr>
              <w:t>9</w:t>
            </w:r>
            <w:r>
              <w:rPr>
                <w:rFonts w:ascii="Arial" w:cs="Arial" w:eastAsia="Arial" w:hAnsi="Arial"/>
                <w:sz w:val="18"/>
                <w:szCs w:val="18"/>
                <w:color w:val="auto"/>
              </w:rPr>
              <w:t xml:space="preserve"> net revenue (at PFG share)</w:t>
            </w:r>
          </w:p>
        </w:tc>
        <w:tc>
          <w:tcPr>
            <w:tcW w:w="860" w:type="dxa"/>
            <w:vAlign w:val="bottom"/>
          </w:tcPr>
          <w:p>
            <w:pPr>
              <w:jc w:val="center"/>
              <w:spacing w:after="0"/>
              <w:rPr>
                <w:sz w:val="20"/>
                <w:szCs w:val="20"/>
                <w:color w:val="auto"/>
              </w:rPr>
            </w:pPr>
            <w:r>
              <w:rPr>
                <w:rFonts w:ascii="Arial" w:cs="Arial" w:eastAsia="Arial" w:hAnsi="Arial"/>
                <w:sz w:val="18"/>
                <w:szCs w:val="18"/>
                <w:color w:val="auto"/>
                <w:w w:val="98"/>
              </w:rPr>
              <w:t>$240.5</w:t>
            </w:r>
          </w:p>
        </w:tc>
        <w:tc>
          <w:tcPr>
            <w:tcW w:w="940" w:type="dxa"/>
            <w:vAlign w:val="bottom"/>
          </w:tcPr>
          <w:p>
            <w:pPr>
              <w:jc w:val="center"/>
              <w:spacing w:after="0"/>
              <w:rPr>
                <w:sz w:val="20"/>
                <w:szCs w:val="20"/>
                <w:color w:val="auto"/>
              </w:rPr>
            </w:pPr>
            <w:r>
              <w:rPr>
                <w:rFonts w:ascii="Arial" w:cs="Arial" w:eastAsia="Arial" w:hAnsi="Arial"/>
                <w:sz w:val="18"/>
                <w:szCs w:val="18"/>
                <w:color w:val="auto"/>
              </w:rPr>
              <w:t>$236.0</w:t>
            </w:r>
          </w:p>
        </w:tc>
        <w:tc>
          <w:tcPr>
            <w:tcW w:w="10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2%</w:t>
            </w:r>
          </w:p>
        </w:tc>
        <w:tc>
          <w:tcPr>
            <w:tcW w:w="820" w:type="dxa"/>
            <w:vAlign w:val="bottom"/>
          </w:tcPr>
          <w:p>
            <w:pPr>
              <w:jc w:val="center"/>
              <w:spacing w:after="0"/>
              <w:rPr>
                <w:sz w:val="20"/>
                <w:szCs w:val="20"/>
                <w:color w:val="auto"/>
              </w:rPr>
            </w:pPr>
            <w:r>
              <w:rPr>
                <w:rFonts w:ascii="Arial" w:cs="Arial" w:eastAsia="Arial" w:hAnsi="Arial"/>
                <w:sz w:val="18"/>
                <w:szCs w:val="18"/>
                <w:color w:val="auto"/>
                <w:w w:val="98"/>
              </w:rPr>
              <w:t>$965.3</w:t>
            </w:r>
          </w:p>
        </w:tc>
        <w:tc>
          <w:tcPr>
            <w:tcW w:w="860" w:type="dxa"/>
            <w:vAlign w:val="bottom"/>
          </w:tcPr>
          <w:p>
            <w:pPr>
              <w:jc w:val="center"/>
              <w:spacing w:after="0"/>
              <w:rPr>
                <w:sz w:val="20"/>
                <w:szCs w:val="20"/>
                <w:color w:val="auto"/>
              </w:rPr>
            </w:pPr>
            <w:r>
              <w:rPr>
                <w:rFonts w:ascii="Arial" w:cs="Arial" w:eastAsia="Arial" w:hAnsi="Arial"/>
                <w:sz w:val="18"/>
                <w:szCs w:val="18"/>
                <w:color w:val="auto"/>
                <w:w w:val="98"/>
              </w:rPr>
              <w:t>$881.7</w:t>
            </w:r>
          </w:p>
        </w:tc>
        <w:tc>
          <w:tcPr>
            <w:tcW w:w="1160" w:type="dxa"/>
            <w:vAlign w:val="bottom"/>
            <w:tcBorders>
              <w:right w:val="single" w:sz="8" w:color="auto"/>
            </w:tcBorders>
          </w:tcPr>
          <w:p>
            <w:pPr>
              <w:jc w:val="right"/>
              <w:ind w:right="37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374"/>
        </w:trPr>
        <w:tc>
          <w:tcPr>
            <w:tcW w:w="358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Pre-tax return on combined net revenue</w:t>
            </w:r>
          </w:p>
        </w:tc>
        <w:tc>
          <w:tcPr>
            <w:tcW w:w="860" w:type="dxa"/>
            <w:vAlign w:val="bottom"/>
          </w:tcPr>
          <w:p>
            <w:pPr>
              <w:jc w:val="center"/>
              <w:spacing w:after="0"/>
              <w:rPr>
                <w:sz w:val="20"/>
                <w:szCs w:val="20"/>
                <w:color w:val="auto"/>
              </w:rPr>
            </w:pPr>
            <w:r>
              <w:rPr>
                <w:rFonts w:ascii="Arial" w:cs="Arial" w:eastAsia="Arial" w:hAnsi="Arial"/>
                <w:sz w:val="18"/>
                <w:szCs w:val="18"/>
                <w:color w:val="auto"/>
                <w:w w:val="97"/>
              </w:rPr>
              <w:t>13.5%</w:t>
            </w:r>
          </w:p>
        </w:tc>
        <w:tc>
          <w:tcPr>
            <w:tcW w:w="940" w:type="dxa"/>
            <w:vAlign w:val="bottom"/>
          </w:tcPr>
          <w:p>
            <w:pPr>
              <w:jc w:val="center"/>
              <w:spacing w:after="0"/>
              <w:rPr>
                <w:sz w:val="20"/>
                <w:szCs w:val="20"/>
                <w:color w:val="auto"/>
              </w:rPr>
            </w:pPr>
            <w:r>
              <w:rPr>
                <w:rFonts w:ascii="Arial" w:cs="Arial" w:eastAsia="Arial" w:hAnsi="Arial"/>
                <w:sz w:val="18"/>
                <w:szCs w:val="18"/>
                <w:color w:val="auto"/>
              </w:rPr>
              <w:t>30.7%</w:t>
            </w:r>
          </w:p>
        </w:tc>
        <w:tc>
          <w:tcPr>
            <w:tcW w:w="1040" w:type="dxa"/>
            <w:vAlign w:val="bottom"/>
            <w:tcBorders>
              <w:right w:val="single" w:sz="8" w:color="auto"/>
            </w:tcBorders>
          </w:tcPr>
          <w:p>
            <w:pPr>
              <w:spacing w:after="0"/>
              <w:rPr>
                <w:sz w:val="24"/>
                <w:szCs w:val="24"/>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w w:val="99"/>
              </w:rPr>
              <w:t>29.0%*</w:t>
            </w:r>
          </w:p>
        </w:tc>
        <w:tc>
          <w:tcPr>
            <w:tcW w:w="860" w:type="dxa"/>
            <w:vAlign w:val="bottom"/>
          </w:tcPr>
          <w:p>
            <w:pPr>
              <w:jc w:val="center"/>
              <w:spacing w:after="0"/>
              <w:rPr>
                <w:sz w:val="20"/>
                <w:szCs w:val="20"/>
                <w:color w:val="auto"/>
              </w:rPr>
            </w:pPr>
            <w:r>
              <w:rPr>
                <w:rFonts w:ascii="Arial" w:cs="Arial" w:eastAsia="Arial" w:hAnsi="Arial"/>
                <w:sz w:val="18"/>
                <w:szCs w:val="18"/>
                <w:color w:val="auto"/>
                <w:w w:val="99"/>
              </w:rPr>
              <w:t>36.0%*</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358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(at PFG share)</w:t>
            </w:r>
          </w:p>
        </w:tc>
        <w:tc>
          <w:tcPr>
            <w:tcW w:w="8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4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1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05"/>
        </w:trPr>
        <w:tc>
          <w:tcPr>
            <w:tcW w:w="358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 xml:space="preserve">Assets under management </w:t>
            </w:r>
            <w:r>
              <w:rPr>
                <w:rFonts w:ascii="Arial" w:cs="Arial" w:eastAsia="Arial" w:hAnsi="Arial"/>
                <w:sz w:val="18"/>
                <w:szCs w:val="18"/>
                <w:i w:val="1"/>
                <w:iCs w:val="1"/>
                <w:color w:val="auto"/>
              </w:rPr>
              <w:t>(billions)</w:t>
            </w:r>
          </w:p>
        </w:tc>
        <w:tc>
          <w:tcPr>
            <w:tcW w:w="860" w:type="dxa"/>
            <w:vAlign w:val="bottom"/>
          </w:tcPr>
          <w:p>
            <w:pPr>
              <w:jc w:val="center"/>
              <w:spacing w:after="0"/>
              <w:rPr>
                <w:sz w:val="20"/>
                <w:szCs w:val="20"/>
                <w:color w:val="auto"/>
              </w:rPr>
            </w:pPr>
            <w:r>
              <w:rPr>
                <w:rFonts w:ascii="Arial" w:cs="Arial" w:eastAsia="Arial" w:hAnsi="Arial"/>
                <w:sz w:val="18"/>
                <w:szCs w:val="18"/>
                <w:color w:val="auto"/>
                <w:w w:val="98"/>
              </w:rPr>
              <w:t>$156.6</w:t>
            </w:r>
          </w:p>
        </w:tc>
        <w:tc>
          <w:tcPr>
            <w:tcW w:w="940" w:type="dxa"/>
            <w:vAlign w:val="bottom"/>
          </w:tcPr>
          <w:p>
            <w:pPr>
              <w:jc w:val="center"/>
              <w:spacing w:after="0"/>
              <w:rPr>
                <w:sz w:val="20"/>
                <w:szCs w:val="20"/>
                <w:color w:val="auto"/>
              </w:rPr>
            </w:pPr>
            <w:r>
              <w:rPr>
                <w:rFonts w:ascii="Arial" w:cs="Arial" w:eastAsia="Arial" w:hAnsi="Arial"/>
                <w:sz w:val="18"/>
                <w:szCs w:val="18"/>
                <w:color w:val="auto"/>
              </w:rPr>
              <w:t>$158.6</w:t>
            </w:r>
          </w:p>
        </w:tc>
        <w:tc>
          <w:tcPr>
            <w:tcW w:w="10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w:t>
            </w:r>
          </w:p>
        </w:tc>
        <w:tc>
          <w:tcPr>
            <w:tcW w:w="8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3580" w:type="dxa"/>
            <w:vAlign w:val="bottom"/>
            <w:tcBorders>
              <w:left w:val="single" w:sz="8" w:color="auto"/>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040" w:type="dxa"/>
            <w:vAlign w:val="bottom"/>
            <w:tcBorders>
              <w:bottom w:val="single" w:sz="8" w:color="auto"/>
              <w:right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95" w:lineRule="exact"/>
        <w:rPr>
          <w:sz w:val="20"/>
          <w:szCs w:val="20"/>
          <w:color w:val="auto"/>
        </w:rPr>
      </w:pPr>
    </w:p>
    <w:p>
      <w:pPr>
        <w:ind w:right="120"/>
        <w:spacing w:after="0" w:line="285" w:lineRule="auto"/>
        <w:rPr>
          <w:sz w:val="20"/>
          <w:szCs w:val="20"/>
          <w:color w:val="auto"/>
        </w:rPr>
      </w:pPr>
      <w:r>
        <w:rPr>
          <w:rFonts w:ascii="Arial" w:cs="Arial" w:eastAsia="Arial" w:hAnsi="Arial"/>
          <w:sz w:val="14"/>
          <w:szCs w:val="14"/>
          <w:b w:val="1"/>
          <w:bCs w:val="1"/>
          <w:color w:val="auto"/>
        </w:rPr>
        <w:t xml:space="preserve">*Pre-tax return on combined net revenue (at PFG share) - </w:t>
      </w:r>
      <w:r>
        <w:rPr>
          <w:rFonts w:ascii="Arial" w:cs="Arial" w:eastAsia="Arial" w:hAnsi="Arial"/>
          <w:sz w:val="14"/>
          <w:szCs w:val="14"/>
          <w:color w:val="auto"/>
        </w:rPr>
        <w:t>Excluding the third quarter actuarial assumption reviews, the trailing twelve month combined pre-tax return on net</w:t>
      </w:r>
      <w:r>
        <w:rPr>
          <w:rFonts w:ascii="Arial" w:cs="Arial" w:eastAsia="Arial" w:hAnsi="Arial"/>
          <w:sz w:val="14"/>
          <w:szCs w:val="14"/>
          <w:b w:val="1"/>
          <w:bCs w:val="1"/>
          <w:color w:val="auto"/>
        </w:rPr>
        <w:t xml:space="preserve"> </w:t>
      </w:r>
      <w:r>
        <w:rPr>
          <w:rFonts w:ascii="Arial" w:cs="Arial" w:eastAsia="Arial" w:hAnsi="Arial"/>
          <w:sz w:val="14"/>
          <w:szCs w:val="14"/>
          <w:color w:val="auto"/>
        </w:rPr>
        <w:t>revenue (at PFG share) was 34.4 percent for third quarter 2018 and 37.6 percent for third quarter 2017.</w:t>
      </w:r>
    </w:p>
    <w:p>
      <w:pPr>
        <w:spacing w:after="0" w:line="35" w:lineRule="exact"/>
        <w:rPr>
          <w:sz w:val="20"/>
          <w:szCs w:val="20"/>
          <w:color w:val="auto"/>
        </w:rPr>
      </w:pPr>
    </w:p>
    <w:p>
      <w:pPr>
        <w:ind w:left="660" w:right="320" w:hanging="328"/>
        <w:spacing w:after="0" w:line="255"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earnings </w:t>
      </w:r>
      <w:r>
        <w:rPr>
          <w:rFonts w:ascii="Arial" w:cs="Arial" w:eastAsia="Arial" w:hAnsi="Arial"/>
          <w:sz w:val="20"/>
          <w:szCs w:val="20"/>
          <w:color w:val="auto"/>
        </w:rPr>
        <w:t>decreased $40.0 million. Excluding the significant variances outlined in Exhibit 1, pre-tax</w:t>
      </w:r>
      <w:r>
        <w:rPr>
          <w:rFonts w:ascii="Arial" w:cs="Arial" w:eastAsia="Arial" w:hAnsi="Arial"/>
          <w:sz w:val="20"/>
          <w:szCs w:val="20"/>
          <w:b w:val="1"/>
          <w:bCs w:val="1"/>
          <w:color w:val="auto"/>
        </w:rPr>
        <w:t xml:space="preserve"> </w:t>
      </w:r>
      <w:r>
        <w:rPr>
          <w:rFonts w:ascii="Arial" w:cs="Arial" w:eastAsia="Arial" w:hAnsi="Arial"/>
          <w:sz w:val="20"/>
          <w:szCs w:val="20"/>
          <w:color w:val="auto"/>
        </w:rPr>
        <w:t>operating earnings were up 2 percent as underlying growth in the business was largely offset by foreign currency headwinds.</w:t>
      </w:r>
    </w:p>
    <w:p>
      <w:pPr>
        <w:spacing w:after="0" w:line="63" w:lineRule="exact"/>
        <w:rPr>
          <w:rFonts w:ascii="Arial" w:cs="Arial" w:eastAsia="Arial" w:hAnsi="Arial"/>
          <w:sz w:val="18"/>
          <w:szCs w:val="18"/>
          <w:color w:val="auto"/>
        </w:rPr>
      </w:pPr>
    </w:p>
    <w:p>
      <w:pPr>
        <w:ind w:left="660" w:right="20" w:hanging="328"/>
        <w:spacing w:after="0" w:line="255"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20"/>
          <w:szCs w:val="20"/>
          <w:b w:val="1"/>
          <w:bCs w:val="1"/>
          <w:color w:val="auto"/>
        </w:rPr>
        <w:t xml:space="preserve">Combined net revenue (at PFG share) </w:t>
      </w:r>
      <w:r>
        <w:rPr>
          <w:rFonts w:ascii="Arial" w:cs="Arial" w:eastAsia="Arial" w:hAnsi="Arial"/>
          <w:sz w:val="20"/>
          <w:szCs w:val="20"/>
          <w:color w:val="auto"/>
        </w:rPr>
        <w:t>increased $4.5 million. Excluding the significant variances outlined in Exhibit 1,</w:t>
      </w:r>
      <w:r>
        <w:rPr>
          <w:rFonts w:ascii="Arial" w:cs="Arial" w:eastAsia="Arial" w:hAnsi="Arial"/>
          <w:sz w:val="20"/>
          <w:szCs w:val="20"/>
          <w:b w:val="1"/>
          <w:bCs w:val="1"/>
          <w:color w:val="auto"/>
        </w:rPr>
        <w:t xml:space="preserve"> </w:t>
      </w:r>
      <w:r>
        <w:rPr>
          <w:rFonts w:ascii="Arial" w:cs="Arial" w:eastAsia="Arial" w:hAnsi="Arial"/>
          <w:sz w:val="20"/>
          <w:szCs w:val="20"/>
          <w:color w:val="auto"/>
        </w:rPr>
        <w:t>combined net revenue increased by 6 percent as underlying growth in the business was largely offset by foreign currency headwinds.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pacing w:after="0" w:line="110" w:lineRule="exact"/>
        <w:rPr>
          <w:sz w:val="20"/>
          <w:szCs w:val="20"/>
          <w:color w:val="auto"/>
        </w:rPr>
      </w:pPr>
    </w:p>
    <w:p>
      <w:pPr>
        <w:ind w:firstLine="8"/>
        <w:spacing w:after="0" w:line="211" w:lineRule="auto"/>
        <w:tabs>
          <w:tab w:leader="none" w:pos="75" w:val="left"/>
        </w:tabs>
        <w:numPr>
          <w:ilvl w:val="0"/>
          <w:numId w:val="15"/>
        </w:numPr>
        <w:rPr>
          <w:rFonts w:ascii="Arial" w:cs="Arial" w:eastAsia="Arial" w:hAnsi="Arial"/>
          <w:sz w:val="18"/>
          <w:szCs w:val="18"/>
          <w:color w:val="auto"/>
          <w:vertAlign w:val="superscript"/>
        </w:rPr>
      </w:pPr>
      <w:r>
        <w:rPr>
          <w:rFonts w:ascii="Arial" w:cs="Arial" w:eastAsia="Arial" w:hAnsi="Arial"/>
          <w:sz w:val="14"/>
          <w:szCs w:val="14"/>
          <w:color w:val="auto"/>
        </w:rPr>
        <w:t>Pre-tax return on operating revenues less pass-through commissions = pre-tax operating earnings, adjusted for noncontrolling interest divided by operating revenues less pass-through commissions.</w:t>
      </w:r>
    </w:p>
    <w:p>
      <w:pPr>
        <w:ind w:right="180"/>
        <w:spacing w:after="0" w:line="232" w:lineRule="auto"/>
        <w:rPr>
          <w:rFonts w:ascii="Arial" w:cs="Arial" w:eastAsia="Arial" w:hAnsi="Arial"/>
          <w:sz w:val="18"/>
          <w:szCs w:val="18"/>
          <w:color w:val="auto"/>
          <w:vertAlign w:val="superscript"/>
        </w:rPr>
      </w:pPr>
      <w:r>
        <w:rPr>
          <w:rFonts w:ascii="Arial" w:cs="Arial" w:eastAsia="Arial" w:hAnsi="Arial"/>
          <w:sz w:val="17"/>
          <w:szCs w:val="17"/>
          <w:color w:val="auto"/>
          <w:vertAlign w:val="superscript"/>
        </w:rPr>
        <w:t>9</w:t>
      </w:r>
      <w:r>
        <w:rPr>
          <w:rFonts w:ascii="Arial" w:cs="Arial" w:eastAsia="Arial" w:hAnsi="Arial"/>
          <w:sz w:val="14"/>
          <w:szCs w:val="14"/>
          <w:color w:val="auto"/>
        </w:rPr>
        <w:t xml:space="preserve"> Combined net revenue: net revenue for all Principal International companies at 100% less pass-through commissions. Prior to 1Q 2018, pass-through commissions were not excluded from this definition. The company has determined combined net revenue (at PFG share) is more representative of underlying net revenue growth for Principal International as it reflects our proportionate share of consolidated and equity method subsidiaries. In addition, using this net revenue metric provides a more meaningful representation of our profit margins.</w:t>
      </w:r>
    </w:p>
    <w:p>
      <w:pPr>
        <w:sectPr>
          <w:pgSz w:w="11900" w:h="16838" w:orient="portrait"/>
          <w:cols w:equalWidth="0" w:num="1">
            <w:col w:w="11260"/>
          </w:cols>
          <w:pgMar w:left="240" w:top="1300" w:right="399" w:bottom="1440" w:gutter="0" w:footer="0" w:header="0"/>
        </w:sectPr>
      </w:pPr>
    </w:p>
    <w:bookmarkStart w:id="6" w:name="page7"/>
    <w:bookmarkEnd w:id="6"/>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t>Specialty Benefits Insurance</w:t>
      </w:r>
    </w:p>
    <w:p>
      <w:pPr>
        <w:spacing w:after="0" w:line="250"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3420" w:type="dxa"/>
            <w:vAlign w:val="bottom"/>
            <w:tcBorders>
              <w:top w:val="single" w:sz="8" w:color="auto"/>
              <w:left w:val="single" w:sz="8" w:color="auto"/>
            </w:tcBorders>
          </w:tcPr>
          <w:p>
            <w:pPr>
              <w:spacing w:after="0"/>
              <w:rPr>
                <w:sz w:val="22"/>
                <w:szCs w:val="22"/>
                <w:color w:val="auto"/>
              </w:rPr>
            </w:pPr>
          </w:p>
        </w:tc>
        <w:tc>
          <w:tcPr>
            <w:tcW w:w="820" w:type="dxa"/>
            <w:vAlign w:val="bottom"/>
            <w:tcBorders>
              <w:top w:val="single" w:sz="8" w:color="auto"/>
            </w:tcBorders>
            <w:shd w:val="clear" w:color="auto" w:fill="BFBFBF"/>
          </w:tcPr>
          <w:p>
            <w:pPr>
              <w:spacing w:after="0"/>
              <w:rPr>
                <w:sz w:val="22"/>
                <w:szCs w:val="22"/>
                <w:color w:val="auto"/>
              </w:rPr>
            </w:pPr>
          </w:p>
        </w:tc>
        <w:tc>
          <w:tcPr>
            <w:tcW w:w="960" w:type="dxa"/>
            <w:vAlign w:val="bottom"/>
            <w:tcBorders>
              <w:top w:val="single" w:sz="8" w:color="auto"/>
            </w:tcBorders>
            <w:shd w:val="clear" w:color="auto" w:fill="BFBFBF"/>
          </w:tcPr>
          <w:p>
            <w:pPr>
              <w:ind w:left="260"/>
              <w:spacing w:after="0"/>
              <w:rPr>
                <w:sz w:val="20"/>
                <w:szCs w:val="20"/>
                <w:color w:val="auto"/>
              </w:rPr>
            </w:pPr>
            <w:r>
              <w:rPr>
                <w:rFonts w:ascii="Arial" w:cs="Arial" w:eastAsia="Arial" w:hAnsi="Arial"/>
                <w:sz w:val="18"/>
                <w:szCs w:val="18"/>
                <w:b w:val="1"/>
                <w:bCs w:val="1"/>
                <w:i w:val="1"/>
                <w:iCs w:val="1"/>
                <w:color w:val="auto"/>
              </w:rPr>
              <w:t>Quarter</w:t>
            </w:r>
          </w:p>
        </w:tc>
        <w:tc>
          <w:tcPr>
            <w:tcW w:w="1060" w:type="dxa"/>
            <w:vAlign w:val="bottom"/>
            <w:tcBorders>
              <w:top w:val="single" w:sz="8" w:color="auto"/>
              <w:right w:val="single" w:sz="8" w:color="auto"/>
            </w:tcBorders>
            <w:shd w:val="clear" w:color="auto" w:fill="BFBFBF"/>
          </w:tcPr>
          <w:p>
            <w:pPr>
              <w:spacing w:after="0"/>
              <w:rPr>
                <w:sz w:val="22"/>
                <w:szCs w:val="22"/>
                <w:color w:val="auto"/>
              </w:rPr>
            </w:pPr>
          </w:p>
        </w:tc>
        <w:tc>
          <w:tcPr>
            <w:tcW w:w="3000" w:type="dxa"/>
            <w:vAlign w:val="bottom"/>
            <w:tcBorders>
              <w:top w:val="single" w:sz="8" w:color="auto"/>
              <w:right w:val="single" w:sz="8" w:color="auto"/>
            </w:tcBorders>
            <w:gridSpan w:val="3"/>
            <w:shd w:val="clear" w:color="auto" w:fill="BFBFBF"/>
          </w:tcPr>
          <w:p>
            <w:pPr>
              <w:ind w:left="500"/>
              <w:spacing w:after="0"/>
              <w:rPr>
                <w:sz w:val="20"/>
                <w:szCs w:val="20"/>
                <w:color w:val="auto"/>
              </w:rPr>
            </w:pPr>
            <w:r>
              <w:rPr>
                <w:rFonts w:ascii="Arial" w:cs="Arial" w:eastAsia="Arial" w:hAnsi="Arial"/>
                <w:sz w:val="18"/>
                <w:szCs w:val="18"/>
                <w:b w:val="1"/>
                <w:bCs w:val="1"/>
                <w:i w:val="1"/>
                <w:iCs w:val="1"/>
                <w:color w:val="auto"/>
                <w:highlight w:val="lightGray"/>
              </w:rPr>
              <w:t>Trailing Twelve Months</w:t>
            </w:r>
          </w:p>
        </w:tc>
        <w:tc>
          <w:tcPr>
            <w:tcW w:w="0" w:type="dxa"/>
            <w:vAlign w:val="bottom"/>
          </w:tcPr>
          <w:p>
            <w:pPr>
              <w:spacing w:after="0"/>
              <w:rPr>
                <w:sz w:val="1"/>
                <w:szCs w:val="1"/>
                <w:color w:val="auto"/>
              </w:rPr>
            </w:pPr>
          </w:p>
        </w:tc>
      </w:tr>
      <w:tr>
        <w:trPr>
          <w:trHeight w:val="216"/>
        </w:trPr>
        <w:tc>
          <w:tcPr>
            <w:tcW w:w="3420" w:type="dxa"/>
            <w:vAlign w:val="bottom"/>
            <w:tcBorders>
              <w:left w:val="single" w:sz="8" w:color="auto"/>
            </w:tcBorders>
          </w:tcPr>
          <w:p>
            <w:pPr>
              <w:ind w:left="10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820" w:type="dxa"/>
            <w:vAlign w:val="bottom"/>
            <w:shd w:val="clear" w:color="auto" w:fill="BFBFBF"/>
          </w:tcPr>
          <w:p>
            <w:pPr>
              <w:spacing w:after="0"/>
              <w:rPr>
                <w:sz w:val="18"/>
                <w:szCs w:val="18"/>
                <w:color w:val="auto"/>
              </w:rPr>
            </w:pPr>
          </w:p>
        </w:tc>
        <w:tc>
          <w:tcPr>
            <w:tcW w:w="960" w:type="dxa"/>
            <w:vAlign w:val="bottom"/>
            <w:shd w:val="clear" w:color="auto" w:fill="BFBFBF"/>
          </w:tcPr>
          <w:p>
            <w:pPr>
              <w:spacing w:after="0"/>
              <w:rPr>
                <w:sz w:val="18"/>
                <w:szCs w:val="18"/>
                <w:color w:val="auto"/>
              </w:rPr>
            </w:pPr>
          </w:p>
        </w:tc>
        <w:tc>
          <w:tcPr>
            <w:tcW w:w="1060" w:type="dxa"/>
            <w:vAlign w:val="bottom"/>
            <w:tcBorders>
              <w:right w:val="single" w:sz="8" w:color="auto"/>
            </w:tcBorders>
            <w:shd w:val="clear" w:color="auto" w:fill="BFBFBF"/>
          </w:tcPr>
          <w:p>
            <w:pPr>
              <w:spacing w:after="0"/>
              <w:rPr>
                <w:sz w:val="18"/>
                <w:szCs w:val="18"/>
                <w:color w:val="auto"/>
              </w:rPr>
            </w:pPr>
          </w:p>
        </w:tc>
        <w:tc>
          <w:tcPr>
            <w:tcW w:w="920" w:type="dxa"/>
            <w:vAlign w:val="bottom"/>
            <w:shd w:val="clear" w:color="auto" w:fill="BFBFBF"/>
          </w:tcPr>
          <w:p>
            <w:pPr>
              <w:spacing w:after="0"/>
              <w:rPr>
                <w:sz w:val="18"/>
                <w:szCs w:val="18"/>
                <w:color w:val="auto"/>
              </w:rPr>
            </w:pPr>
          </w:p>
        </w:tc>
        <w:tc>
          <w:tcPr>
            <w:tcW w:w="940" w:type="dxa"/>
            <w:vAlign w:val="bottom"/>
            <w:shd w:val="clear" w:color="auto" w:fill="BFBFBF"/>
          </w:tcPr>
          <w:p>
            <w:pPr>
              <w:spacing w:after="0"/>
              <w:rPr>
                <w:sz w:val="18"/>
                <w:szCs w:val="18"/>
                <w:color w:val="auto"/>
              </w:rPr>
            </w:pPr>
          </w:p>
        </w:tc>
        <w:tc>
          <w:tcPr>
            <w:tcW w:w="1140" w:type="dxa"/>
            <w:vAlign w:val="bottom"/>
            <w:tcBorders>
              <w:right w:val="single" w:sz="8" w:color="auto"/>
            </w:tcBorders>
            <w:shd w:val="clear" w:color="auto" w:fill="BFBFB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420" w:type="dxa"/>
            <w:vAlign w:val="bottom"/>
            <w:tcBorders>
              <w:left w:val="single" w:sz="8" w:color="auto"/>
            </w:tcBorders>
          </w:tcPr>
          <w:p>
            <w:pPr>
              <w:spacing w:after="0"/>
              <w:rPr>
                <w:sz w:val="21"/>
                <w:szCs w:val="21"/>
                <w:color w:val="auto"/>
              </w:rPr>
            </w:pPr>
          </w:p>
        </w:tc>
        <w:tc>
          <w:tcPr>
            <w:tcW w:w="82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960" w:type="dxa"/>
            <w:vAlign w:val="bottom"/>
          </w:tcPr>
          <w:p>
            <w:pPr>
              <w:jc w:val="center"/>
              <w:ind w:right="30"/>
              <w:spacing w:after="0"/>
              <w:rPr>
                <w:sz w:val="20"/>
                <w:szCs w:val="20"/>
                <w:color w:val="auto"/>
              </w:rPr>
            </w:pPr>
            <w:r>
              <w:rPr>
                <w:rFonts w:ascii="Arial" w:cs="Arial" w:eastAsia="Arial" w:hAnsi="Arial"/>
                <w:sz w:val="18"/>
                <w:szCs w:val="18"/>
                <w:b w:val="1"/>
                <w:bCs w:val="1"/>
                <w:color w:val="auto"/>
                <w:w w:val="99"/>
              </w:rPr>
              <w:t>3Q17</w:t>
            </w:r>
          </w:p>
        </w:tc>
        <w:tc>
          <w:tcPr>
            <w:tcW w:w="1060" w:type="dxa"/>
            <w:vAlign w:val="bottom"/>
            <w:tcBorders>
              <w:right w:val="single" w:sz="8" w:color="auto"/>
            </w:tcBorders>
          </w:tcPr>
          <w:p>
            <w:pPr>
              <w:jc w:val="center"/>
              <w:ind w:right="50"/>
              <w:spacing w:after="0"/>
              <w:rPr>
                <w:sz w:val="20"/>
                <w:szCs w:val="20"/>
                <w:color w:val="auto"/>
              </w:rPr>
            </w:pPr>
            <w:r>
              <w:rPr>
                <w:rFonts w:ascii="Arial" w:cs="Arial" w:eastAsia="Arial" w:hAnsi="Arial"/>
                <w:sz w:val="18"/>
                <w:szCs w:val="18"/>
                <w:color w:val="auto"/>
                <w:w w:val="99"/>
              </w:rPr>
              <w:t>% Change</w:t>
            </w:r>
          </w:p>
        </w:tc>
        <w:tc>
          <w:tcPr>
            <w:tcW w:w="92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940" w:type="dxa"/>
            <w:vAlign w:val="bottom"/>
          </w:tcPr>
          <w:p>
            <w:pPr>
              <w:jc w:val="center"/>
              <w:spacing w:after="0"/>
              <w:rPr>
                <w:sz w:val="20"/>
                <w:szCs w:val="20"/>
                <w:color w:val="auto"/>
              </w:rPr>
            </w:pPr>
            <w:r>
              <w:rPr>
                <w:rFonts w:ascii="Arial" w:cs="Arial" w:eastAsia="Arial" w:hAnsi="Arial"/>
                <w:sz w:val="18"/>
                <w:szCs w:val="18"/>
                <w:b w:val="1"/>
                <w:bCs w:val="1"/>
                <w:color w:val="auto"/>
                <w:w w:val="99"/>
              </w:rPr>
              <w:t>3Q17</w:t>
            </w:r>
          </w:p>
        </w:tc>
        <w:tc>
          <w:tcPr>
            <w:tcW w:w="11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 Change</w:t>
            </w:r>
          </w:p>
        </w:tc>
        <w:tc>
          <w:tcPr>
            <w:tcW w:w="0" w:type="dxa"/>
            <w:vAlign w:val="bottom"/>
          </w:tcPr>
          <w:p>
            <w:pPr>
              <w:spacing w:after="0"/>
              <w:rPr>
                <w:sz w:val="1"/>
                <w:szCs w:val="1"/>
                <w:color w:val="auto"/>
              </w:rPr>
            </w:pPr>
          </w:p>
        </w:tc>
      </w:tr>
      <w:tr>
        <w:trPr>
          <w:trHeight w:val="203"/>
        </w:trPr>
        <w:tc>
          <w:tcPr>
            <w:tcW w:w="3420" w:type="dxa"/>
            <w:vAlign w:val="bottom"/>
            <w:tcBorders>
              <w:left w:val="single" w:sz="8" w:color="auto"/>
            </w:tcBorders>
            <w:vMerge w:val="restart"/>
          </w:tcPr>
          <w:p>
            <w:pPr>
              <w:ind w:left="180"/>
              <w:spacing w:after="0"/>
              <w:rPr>
                <w:sz w:val="20"/>
                <w:szCs w:val="20"/>
                <w:color w:val="auto"/>
              </w:rPr>
            </w:pPr>
            <w:r>
              <w:rPr>
                <w:rFonts w:ascii="Arial" w:cs="Arial" w:eastAsia="Arial" w:hAnsi="Arial"/>
                <w:sz w:val="18"/>
                <w:szCs w:val="18"/>
                <w:color w:val="auto"/>
              </w:rPr>
              <w:t>Pre-tax operating earnings</w:t>
            </w:r>
          </w:p>
        </w:tc>
        <w:tc>
          <w:tcPr>
            <w:tcW w:w="82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c>
          <w:tcPr>
            <w:tcW w:w="11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3420" w:type="dxa"/>
            <w:vAlign w:val="bottom"/>
            <w:tcBorders>
              <w:left w:val="single" w:sz="8" w:color="auto"/>
            </w:tcBorders>
            <w:vMerge w:val="continue"/>
          </w:tcPr>
          <w:p>
            <w:pPr>
              <w:spacing w:after="0"/>
              <w:rPr>
                <w:sz w:val="20"/>
                <w:szCs w:val="20"/>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w w:val="97"/>
              </w:rPr>
              <w:t>$83.7</w:t>
            </w:r>
          </w:p>
        </w:tc>
        <w:tc>
          <w:tcPr>
            <w:tcW w:w="960" w:type="dxa"/>
            <w:vAlign w:val="bottom"/>
          </w:tcPr>
          <w:p>
            <w:pPr>
              <w:jc w:val="center"/>
              <w:ind w:right="50"/>
              <w:spacing w:after="0"/>
              <w:rPr>
                <w:sz w:val="20"/>
                <w:szCs w:val="20"/>
                <w:color w:val="auto"/>
              </w:rPr>
            </w:pPr>
            <w:r>
              <w:rPr>
                <w:rFonts w:ascii="Arial" w:cs="Arial" w:eastAsia="Arial" w:hAnsi="Arial"/>
                <w:sz w:val="18"/>
                <w:szCs w:val="18"/>
                <w:color w:val="auto"/>
              </w:rPr>
              <w:t>$83.8</w:t>
            </w:r>
          </w:p>
        </w:tc>
        <w:tc>
          <w:tcPr>
            <w:tcW w:w="106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9"/>
              </w:rPr>
              <w:t>0%</w:t>
            </w:r>
          </w:p>
        </w:tc>
        <w:tc>
          <w:tcPr>
            <w:tcW w:w="920" w:type="dxa"/>
            <w:vAlign w:val="bottom"/>
          </w:tcPr>
          <w:p>
            <w:pPr>
              <w:jc w:val="center"/>
              <w:spacing w:after="0"/>
              <w:rPr>
                <w:sz w:val="20"/>
                <w:szCs w:val="20"/>
                <w:color w:val="auto"/>
              </w:rPr>
            </w:pPr>
            <w:r>
              <w:rPr>
                <w:rFonts w:ascii="Arial" w:cs="Arial" w:eastAsia="Arial" w:hAnsi="Arial"/>
                <w:sz w:val="18"/>
                <w:szCs w:val="18"/>
                <w:color w:val="auto"/>
                <w:w w:val="98"/>
              </w:rPr>
              <w:t>$277.1</w:t>
            </w:r>
          </w:p>
        </w:tc>
        <w:tc>
          <w:tcPr>
            <w:tcW w:w="940" w:type="dxa"/>
            <w:vAlign w:val="bottom"/>
          </w:tcPr>
          <w:p>
            <w:pPr>
              <w:jc w:val="center"/>
              <w:spacing w:after="0"/>
              <w:rPr>
                <w:sz w:val="20"/>
                <w:szCs w:val="20"/>
                <w:color w:val="auto"/>
              </w:rPr>
            </w:pPr>
            <w:r>
              <w:rPr>
                <w:rFonts w:ascii="Arial" w:cs="Arial" w:eastAsia="Arial" w:hAnsi="Arial"/>
                <w:sz w:val="18"/>
                <w:szCs w:val="18"/>
                <w:color w:val="auto"/>
                <w:w w:val="98"/>
              </w:rPr>
              <w:t>$264.8</w:t>
            </w:r>
          </w:p>
        </w:tc>
        <w:tc>
          <w:tcPr>
            <w:tcW w:w="11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5%</w:t>
            </w:r>
          </w:p>
        </w:tc>
        <w:tc>
          <w:tcPr>
            <w:tcW w:w="0" w:type="dxa"/>
            <w:vAlign w:val="bottom"/>
          </w:tcPr>
          <w:p>
            <w:pPr>
              <w:spacing w:after="0"/>
              <w:rPr>
                <w:sz w:val="1"/>
                <w:szCs w:val="1"/>
                <w:color w:val="auto"/>
              </w:rPr>
            </w:pPr>
          </w:p>
        </w:tc>
      </w:tr>
      <w:tr>
        <w:trPr>
          <w:trHeight w:val="446"/>
        </w:trPr>
        <w:tc>
          <w:tcPr>
            <w:tcW w:w="342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Premium and fees</w:t>
            </w:r>
          </w:p>
        </w:tc>
        <w:tc>
          <w:tcPr>
            <w:tcW w:w="820" w:type="dxa"/>
            <w:vAlign w:val="bottom"/>
          </w:tcPr>
          <w:p>
            <w:pPr>
              <w:jc w:val="center"/>
              <w:spacing w:after="0"/>
              <w:rPr>
                <w:sz w:val="20"/>
                <w:szCs w:val="20"/>
                <w:color w:val="auto"/>
              </w:rPr>
            </w:pPr>
            <w:r>
              <w:rPr>
                <w:rFonts w:ascii="Arial" w:cs="Arial" w:eastAsia="Arial" w:hAnsi="Arial"/>
                <w:sz w:val="18"/>
                <w:szCs w:val="18"/>
                <w:color w:val="auto"/>
              </w:rPr>
              <w:t>$548.0</w:t>
            </w:r>
          </w:p>
        </w:tc>
        <w:tc>
          <w:tcPr>
            <w:tcW w:w="960" w:type="dxa"/>
            <w:vAlign w:val="bottom"/>
          </w:tcPr>
          <w:p>
            <w:pPr>
              <w:jc w:val="center"/>
              <w:ind w:right="50"/>
              <w:spacing w:after="0"/>
              <w:rPr>
                <w:sz w:val="20"/>
                <w:szCs w:val="20"/>
                <w:color w:val="auto"/>
              </w:rPr>
            </w:pPr>
            <w:r>
              <w:rPr>
                <w:rFonts w:ascii="Arial" w:cs="Arial" w:eastAsia="Arial" w:hAnsi="Arial"/>
                <w:sz w:val="18"/>
                <w:szCs w:val="18"/>
                <w:color w:val="auto"/>
                <w:w w:val="98"/>
              </w:rPr>
              <w:t>$513.7</w:t>
            </w:r>
          </w:p>
        </w:tc>
        <w:tc>
          <w:tcPr>
            <w:tcW w:w="106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9"/>
              </w:rPr>
              <w:t>7%</w:t>
            </w: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$2,131.2</w:t>
            </w:r>
          </w:p>
        </w:tc>
        <w:tc>
          <w:tcPr>
            <w:tcW w:w="940" w:type="dxa"/>
            <w:vAlign w:val="bottom"/>
          </w:tcPr>
          <w:p>
            <w:pPr>
              <w:jc w:val="center"/>
              <w:spacing w:after="0"/>
              <w:rPr>
                <w:sz w:val="20"/>
                <w:szCs w:val="20"/>
                <w:color w:val="auto"/>
              </w:rPr>
            </w:pPr>
            <w:r>
              <w:rPr>
                <w:rFonts w:ascii="Arial" w:cs="Arial" w:eastAsia="Arial" w:hAnsi="Arial"/>
                <w:sz w:val="18"/>
                <w:szCs w:val="18"/>
                <w:color w:val="auto"/>
                <w:w w:val="99"/>
              </w:rPr>
              <w:t>$1,979.6</w:t>
            </w:r>
          </w:p>
        </w:tc>
        <w:tc>
          <w:tcPr>
            <w:tcW w:w="11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8%</w:t>
            </w:r>
          </w:p>
        </w:tc>
        <w:tc>
          <w:tcPr>
            <w:tcW w:w="0" w:type="dxa"/>
            <w:vAlign w:val="bottom"/>
          </w:tcPr>
          <w:p>
            <w:pPr>
              <w:spacing w:after="0"/>
              <w:rPr>
                <w:sz w:val="1"/>
                <w:szCs w:val="1"/>
                <w:color w:val="auto"/>
              </w:rPr>
            </w:pPr>
          </w:p>
        </w:tc>
      </w:tr>
      <w:tr>
        <w:trPr>
          <w:trHeight w:val="503"/>
        </w:trPr>
        <w:tc>
          <w:tcPr>
            <w:tcW w:w="342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Pre-tax return on premium and fees</w:t>
            </w:r>
            <w:r>
              <w:rPr>
                <w:rFonts w:ascii="Arial" w:cs="Arial" w:eastAsia="Arial" w:hAnsi="Arial"/>
                <w:sz w:val="21"/>
                <w:szCs w:val="21"/>
                <w:color w:val="auto"/>
                <w:vertAlign w:val="superscript"/>
              </w:rPr>
              <w:t>10</w:t>
            </w:r>
          </w:p>
        </w:tc>
        <w:tc>
          <w:tcPr>
            <w:tcW w:w="820" w:type="dxa"/>
            <w:vAlign w:val="bottom"/>
          </w:tcPr>
          <w:p>
            <w:pPr>
              <w:jc w:val="center"/>
              <w:spacing w:after="0"/>
              <w:rPr>
                <w:sz w:val="20"/>
                <w:szCs w:val="20"/>
                <w:color w:val="auto"/>
              </w:rPr>
            </w:pPr>
            <w:r>
              <w:rPr>
                <w:rFonts w:ascii="Arial" w:cs="Arial" w:eastAsia="Arial" w:hAnsi="Arial"/>
                <w:sz w:val="18"/>
                <w:szCs w:val="18"/>
                <w:color w:val="auto"/>
              </w:rPr>
              <w:t>15.3%</w:t>
            </w:r>
          </w:p>
        </w:tc>
        <w:tc>
          <w:tcPr>
            <w:tcW w:w="960" w:type="dxa"/>
            <w:vAlign w:val="bottom"/>
          </w:tcPr>
          <w:p>
            <w:pPr>
              <w:jc w:val="center"/>
              <w:ind w:right="50"/>
              <w:spacing w:after="0"/>
              <w:rPr>
                <w:sz w:val="20"/>
                <w:szCs w:val="20"/>
                <w:color w:val="auto"/>
              </w:rPr>
            </w:pPr>
            <w:r>
              <w:rPr>
                <w:rFonts w:ascii="Arial" w:cs="Arial" w:eastAsia="Arial" w:hAnsi="Arial"/>
                <w:sz w:val="18"/>
                <w:szCs w:val="18"/>
                <w:color w:val="auto"/>
                <w:w w:val="97"/>
              </w:rPr>
              <w:t>16.3%</w:t>
            </w:r>
          </w:p>
        </w:tc>
        <w:tc>
          <w:tcPr>
            <w:tcW w:w="1060" w:type="dxa"/>
            <w:vAlign w:val="bottom"/>
            <w:tcBorders>
              <w:right w:val="single" w:sz="8" w:color="auto"/>
            </w:tcBorders>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13.0%*</w:t>
            </w:r>
          </w:p>
        </w:tc>
        <w:tc>
          <w:tcPr>
            <w:tcW w:w="940" w:type="dxa"/>
            <w:vAlign w:val="bottom"/>
          </w:tcPr>
          <w:p>
            <w:pPr>
              <w:jc w:val="center"/>
              <w:spacing w:after="0"/>
              <w:rPr>
                <w:sz w:val="20"/>
                <w:szCs w:val="20"/>
                <w:color w:val="auto"/>
              </w:rPr>
            </w:pPr>
            <w:r>
              <w:rPr>
                <w:rFonts w:ascii="Arial" w:cs="Arial" w:eastAsia="Arial" w:hAnsi="Arial"/>
                <w:sz w:val="18"/>
                <w:szCs w:val="18"/>
                <w:color w:val="auto"/>
                <w:w w:val="99"/>
              </w:rPr>
              <w:t>13.4%*</w:t>
            </w: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9"/>
        </w:trPr>
        <w:tc>
          <w:tcPr>
            <w:tcW w:w="342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Incurred loss ratio</w:t>
            </w:r>
          </w:p>
        </w:tc>
        <w:tc>
          <w:tcPr>
            <w:tcW w:w="820" w:type="dxa"/>
            <w:vAlign w:val="bottom"/>
          </w:tcPr>
          <w:p>
            <w:pPr>
              <w:jc w:val="center"/>
              <w:spacing w:after="0"/>
              <w:rPr>
                <w:sz w:val="20"/>
                <w:szCs w:val="20"/>
                <w:color w:val="auto"/>
              </w:rPr>
            </w:pPr>
            <w:r>
              <w:rPr>
                <w:rFonts w:ascii="Arial" w:cs="Arial" w:eastAsia="Arial" w:hAnsi="Arial"/>
                <w:sz w:val="18"/>
                <w:szCs w:val="18"/>
                <w:color w:val="auto"/>
              </w:rPr>
              <w:t>61.1%</w:t>
            </w:r>
          </w:p>
        </w:tc>
        <w:tc>
          <w:tcPr>
            <w:tcW w:w="960" w:type="dxa"/>
            <w:vAlign w:val="bottom"/>
          </w:tcPr>
          <w:p>
            <w:pPr>
              <w:jc w:val="center"/>
              <w:ind w:right="50"/>
              <w:spacing w:after="0"/>
              <w:rPr>
                <w:sz w:val="20"/>
                <w:szCs w:val="20"/>
                <w:color w:val="auto"/>
              </w:rPr>
            </w:pPr>
            <w:r>
              <w:rPr>
                <w:rFonts w:ascii="Arial" w:cs="Arial" w:eastAsia="Arial" w:hAnsi="Arial"/>
                <w:sz w:val="18"/>
                <w:szCs w:val="18"/>
                <w:color w:val="auto"/>
                <w:w w:val="97"/>
              </w:rPr>
              <w:t>60.7%</w:t>
            </w:r>
          </w:p>
        </w:tc>
        <w:tc>
          <w:tcPr>
            <w:tcW w:w="1060" w:type="dxa"/>
            <w:vAlign w:val="bottom"/>
            <w:tcBorders>
              <w:right w:val="single" w:sz="8" w:color="auto"/>
            </w:tcBorders>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7"/>
              </w:rPr>
              <w:t>62.0%</w:t>
            </w:r>
          </w:p>
        </w:tc>
        <w:tc>
          <w:tcPr>
            <w:tcW w:w="940" w:type="dxa"/>
            <w:vAlign w:val="bottom"/>
          </w:tcPr>
          <w:p>
            <w:pPr>
              <w:jc w:val="center"/>
              <w:spacing w:after="0"/>
              <w:rPr>
                <w:sz w:val="20"/>
                <w:szCs w:val="20"/>
                <w:color w:val="auto"/>
              </w:rPr>
            </w:pPr>
            <w:r>
              <w:rPr>
                <w:rFonts w:ascii="Arial" w:cs="Arial" w:eastAsia="Arial" w:hAnsi="Arial"/>
                <w:sz w:val="18"/>
                <w:szCs w:val="18"/>
                <w:color w:val="auto"/>
                <w:w w:val="97"/>
              </w:rPr>
              <w:t>63.0%</w:t>
            </w: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420" w:type="dxa"/>
            <w:vAlign w:val="bottom"/>
            <w:tcBorders>
              <w:left w:val="single" w:sz="8" w:color="auto"/>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c>
          <w:tcPr>
            <w:tcW w:w="11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pacing w:after="0" w:line="95" w:lineRule="exact"/>
        <w:rPr>
          <w:sz w:val="20"/>
          <w:szCs w:val="20"/>
          <w:color w:val="auto"/>
        </w:rPr>
      </w:pPr>
    </w:p>
    <w:p>
      <w:pPr>
        <w:ind w:right="100"/>
        <w:spacing w:after="0" w:line="285" w:lineRule="auto"/>
        <w:rPr>
          <w:sz w:val="20"/>
          <w:szCs w:val="20"/>
          <w:color w:val="auto"/>
        </w:rPr>
      </w:pPr>
      <w:r>
        <w:rPr>
          <w:rFonts w:ascii="Arial" w:cs="Arial" w:eastAsia="Arial" w:hAnsi="Arial"/>
          <w:sz w:val="14"/>
          <w:szCs w:val="14"/>
          <w:color w:val="auto"/>
        </w:rPr>
        <w:t>*</w:t>
      </w:r>
      <w:r>
        <w:rPr>
          <w:rFonts w:ascii="Arial" w:cs="Arial" w:eastAsia="Arial" w:hAnsi="Arial"/>
          <w:sz w:val="14"/>
          <w:szCs w:val="14"/>
          <w:b w:val="1"/>
          <w:bCs w:val="1"/>
          <w:color w:val="auto"/>
        </w:rPr>
        <w:t>Pre-tax return on premium and fees</w:t>
      </w:r>
      <w:r>
        <w:rPr>
          <w:rFonts w:ascii="Arial" w:cs="Arial" w:eastAsia="Arial" w:hAnsi="Arial"/>
          <w:sz w:val="14"/>
          <w:szCs w:val="14"/>
          <w:color w:val="auto"/>
        </w:rPr>
        <w:t xml:space="preserve"> - Excluding the third quarter actuarial assumption reviews, the trailing twelve-month pre-tax return on premium and fees was 12.7 percent for third quarter 2018 and 12.7 percent for third quarter 2017.</w:t>
      </w:r>
    </w:p>
    <w:p>
      <w:pPr>
        <w:spacing w:after="0" w:line="35" w:lineRule="exact"/>
        <w:rPr>
          <w:sz w:val="20"/>
          <w:szCs w:val="20"/>
          <w:color w:val="auto"/>
        </w:rPr>
      </w:pPr>
    </w:p>
    <w:p>
      <w:pPr>
        <w:ind w:left="660" w:right="360" w:hanging="328"/>
        <w:spacing w:after="0" w:line="255"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earnings </w:t>
      </w:r>
      <w:r>
        <w:rPr>
          <w:rFonts w:ascii="Arial" w:cs="Arial" w:eastAsia="Arial" w:hAnsi="Arial"/>
          <w:sz w:val="20"/>
          <w:szCs w:val="20"/>
          <w:color w:val="auto"/>
        </w:rPr>
        <w:t>decreased $0.1 million. Excluding the significant variances outlined in Exhibit 1, pre-tax</w:t>
      </w:r>
      <w:r>
        <w:rPr>
          <w:rFonts w:ascii="Arial" w:cs="Arial" w:eastAsia="Arial" w:hAnsi="Arial"/>
          <w:sz w:val="20"/>
          <w:szCs w:val="20"/>
          <w:b w:val="1"/>
          <w:bCs w:val="1"/>
          <w:color w:val="auto"/>
        </w:rPr>
        <w:t xml:space="preserve"> </w:t>
      </w:r>
      <w:r>
        <w:rPr>
          <w:rFonts w:ascii="Arial" w:cs="Arial" w:eastAsia="Arial" w:hAnsi="Arial"/>
          <w:sz w:val="20"/>
          <w:szCs w:val="20"/>
          <w:color w:val="auto"/>
        </w:rPr>
        <w:t>operating earnings were up 3 percent primarily due to growth in the business and favorable claims experience partially offset by higher expenses.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20"/>
          <w:szCs w:val="20"/>
          <w:b w:val="1"/>
          <w:bCs w:val="1"/>
          <w:color w:val="auto"/>
        </w:rPr>
        <w:t xml:space="preserve">Premium and fees </w:t>
      </w:r>
      <w:r>
        <w:rPr>
          <w:rFonts w:ascii="Arial" w:cs="Arial" w:eastAsia="Arial" w:hAnsi="Arial"/>
          <w:sz w:val="20"/>
          <w:szCs w:val="20"/>
          <w:color w:val="auto"/>
        </w:rPr>
        <w:t>increased $34.3 million reflecting strong retention, sales, and employment growth.</w:t>
      </w:r>
    </w:p>
    <w:p>
      <w:pPr>
        <w:spacing w:after="0" w:line="107" w:lineRule="exact"/>
        <w:rPr>
          <w:rFonts w:ascii="Arial" w:cs="Arial" w:eastAsia="Arial" w:hAnsi="Arial"/>
          <w:sz w:val="18"/>
          <w:szCs w:val="18"/>
          <w:color w:val="auto"/>
        </w:rPr>
      </w:pPr>
    </w:p>
    <w:p>
      <w:pPr>
        <w:ind w:left="660" w:right="220" w:hanging="328"/>
        <w:spacing w:after="0" w:line="272"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20"/>
          <w:szCs w:val="20"/>
          <w:b w:val="1"/>
          <w:bCs w:val="1"/>
          <w:color w:val="auto"/>
        </w:rPr>
        <w:t xml:space="preserve">Incurred loss ratio, </w:t>
      </w:r>
      <w:r>
        <w:rPr>
          <w:rFonts w:ascii="Arial" w:cs="Arial" w:eastAsia="Arial" w:hAnsi="Arial"/>
          <w:sz w:val="20"/>
          <w:szCs w:val="20"/>
          <w:color w:val="auto"/>
        </w:rPr>
        <w:t>after adjusting for the significant variances outlined in Exhibit 1, was at the low end of our expected</w:t>
      </w:r>
      <w:r>
        <w:rPr>
          <w:rFonts w:ascii="Arial" w:cs="Arial" w:eastAsia="Arial" w:hAnsi="Arial"/>
          <w:sz w:val="20"/>
          <w:szCs w:val="20"/>
          <w:b w:val="1"/>
          <w:bCs w:val="1"/>
          <w:color w:val="auto"/>
        </w:rPr>
        <w:t xml:space="preserve"> </w:t>
      </w:r>
      <w:r>
        <w:rPr>
          <w:rFonts w:ascii="Arial" w:cs="Arial" w:eastAsia="Arial" w:hAnsi="Arial"/>
          <w:sz w:val="20"/>
          <w:szCs w:val="20"/>
          <w:color w:val="auto"/>
        </w:rPr>
        <w:t>range.</w:t>
      </w:r>
    </w:p>
    <w:p>
      <w:pPr>
        <w:spacing w:after="0" w:line="27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Individual Life Insurance</w:t>
      </w:r>
    </w:p>
    <w:p>
      <w:pPr>
        <w:spacing w:after="0" w:line="250" w:lineRule="exact"/>
        <w:rPr>
          <w:sz w:val="20"/>
          <w:szCs w:val="20"/>
          <w:color w:val="auto"/>
        </w:rPr>
      </w:pPr>
    </w:p>
    <w:tbl>
      <w:tblPr>
        <w:tblLayout w:type="fixed"/>
        <w:tblInd w:w="10" w:type="dxa"/>
        <w:tblCellMar>
          <w:top w:w="0" w:type="dxa"/>
          <w:left w:w="0" w:type="dxa"/>
          <w:bottom w:w="0" w:type="dxa"/>
          <w:right w:w="0" w:type="dxa"/>
        </w:tblCellMar>
      </w:tblPr>
      <w:tr>
        <w:trPr>
          <w:trHeight w:val="270"/>
        </w:trPr>
        <w:tc>
          <w:tcPr>
            <w:tcW w:w="3440" w:type="dxa"/>
            <w:vAlign w:val="bottom"/>
            <w:tcBorders>
              <w:top w:val="single" w:sz="8" w:color="auto"/>
              <w:left w:val="single" w:sz="8" w:color="auto"/>
            </w:tcBorders>
          </w:tcPr>
          <w:p>
            <w:pPr>
              <w:spacing w:after="0"/>
              <w:rPr>
                <w:sz w:val="23"/>
                <w:szCs w:val="23"/>
                <w:color w:val="auto"/>
              </w:rPr>
            </w:pPr>
          </w:p>
        </w:tc>
        <w:tc>
          <w:tcPr>
            <w:tcW w:w="920" w:type="dxa"/>
            <w:vAlign w:val="bottom"/>
            <w:tcBorders>
              <w:top w:val="single" w:sz="8" w:color="auto"/>
            </w:tcBorders>
            <w:shd w:val="clear" w:color="auto" w:fill="BFBFBF"/>
          </w:tcPr>
          <w:p>
            <w:pPr>
              <w:spacing w:after="0"/>
              <w:rPr>
                <w:sz w:val="23"/>
                <w:szCs w:val="23"/>
                <w:color w:val="auto"/>
              </w:rPr>
            </w:pPr>
          </w:p>
        </w:tc>
        <w:tc>
          <w:tcPr>
            <w:tcW w:w="940" w:type="dxa"/>
            <w:vAlign w:val="bottom"/>
            <w:tcBorders>
              <w:top w:val="single" w:sz="8" w:color="auto"/>
            </w:tcBorders>
            <w:shd w:val="clear" w:color="auto" w:fill="BFBFBF"/>
          </w:tcPr>
          <w:p>
            <w:pPr>
              <w:ind w:left="200"/>
              <w:spacing w:after="0"/>
              <w:rPr>
                <w:sz w:val="20"/>
                <w:szCs w:val="20"/>
                <w:color w:val="auto"/>
              </w:rPr>
            </w:pPr>
            <w:r>
              <w:rPr>
                <w:rFonts w:ascii="Arial" w:cs="Arial" w:eastAsia="Arial" w:hAnsi="Arial"/>
                <w:sz w:val="18"/>
                <w:szCs w:val="18"/>
                <w:b w:val="1"/>
                <w:bCs w:val="1"/>
                <w:i w:val="1"/>
                <w:iCs w:val="1"/>
                <w:color w:val="auto"/>
              </w:rPr>
              <w:t>Quarter</w:t>
            </w:r>
          </w:p>
        </w:tc>
        <w:tc>
          <w:tcPr>
            <w:tcW w:w="1040" w:type="dxa"/>
            <w:vAlign w:val="bottom"/>
            <w:tcBorders>
              <w:top w:val="single" w:sz="8" w:color="auto"/>
              <w:right w:val="single" w:sz="8" w:color="auto"/>
            </w:tcBorders>
            <w:shd w:val="clear" w:color="auto" w:fill="BFBFBF"/>
          </w:tcPr>
          <w:p>
            <w:pPr>
              <w:spacing w:after="0"/>
              <w:rPr>
                <w:sz w:val="23"/>
                <w:szCs w:val="23"/>
                <w:color w:val="auto"/>
              </w:rPr>
            </w:pPr>
          </w:p>
        </w:tc>
        <w:tc>
          <w:tcPr>
            <w:tcW w:w="2920" w:type="dxa"/>
            <w:vAlign w:val="bottom"/>
            <w:tcBorders>
              <w:top w:val="single" w:sz="8" w:color="auto"/>
              <w:right w:val="single" w:sz="8" w:color="auto"/>
            </w:tcBorders>
            <w:gridSpan w:val="3"/>
            <w:shd w:val="clear" w:color="auto" w:fill="BFBFBF"/>
          </w:tcPr>
          <w:p>
            <w:pPr>
              <w:ind w:left="460"/>
              <w:spacing w:after="0"/>
              <w:rPr>
                <w:sz w:val="20"/>
                <w:szCs w:val="20"/>
                <w:color w:val="auto"/>
              </w:rPr>
            </w:pPr>
            <w:r>
              <w:rPr>
                <w:rFonts w:ascii="Arial" w:cs="Arial" w:eastAsia="Arial" w:hAnsi="Arial"/>
                <w:sz w:val="18"/>
                <w:szCs w:val="18"/>
                <w:b w:val="1"/>
                <w:bCs w:val="1"/>
                <w:i w:val="1"/>
                <w:iCs w:val="1"/>
                <w:color w:val="auto"/>
              </w:rPr>
              <w:t>Trailing Twelve Months</w:t>
            </w:r>
          </w:p>
        </w:tc>
        <w:tc>
          <w:tcPr>
            <w:tcW w:w="0" w:type="dxa"/>
            <w:vAlign w:val="bottom"/>
          </w:tcPr>
          <w:p>
            <w:pPr>
              <w:spacing w:after="0"/>
              <w:rPr>
                <w:sz w:val="1"/>
                <w:szCs w:val="1"/>
                <w:color w:val="auto"/>
              </w:rPr>
            </w:pPr>
          </w:p>
        </w:tc>
      </w:tr>
      <w:tr>
        <w:trPr>
          <w:trHeight w:val="203"/>
        </w:trPr>
        <w:tc>
          <w:tcPr>
            <w:tcW w:w="3440" w:type="dxa"/>
            <w:vAlign w:val="bottom"/>
            <w:tcBorders>
              <w:left w:val="single" w:sz="8" w:color="auto"/>
            </w:tcBorders>
          </w:tcPr>
          <w:p>
            <w:pPr>
              <w:ind w:left="10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920" w:type="dxa"/>
            <w:vAlign w:val="bottom"/>
            <w:shd w:val="clear" w:color="auto" w:fill="BFBFBF"/>
          </w:tcPr>
          <w:p>
            <w:pPr>
              <w:spacing w:after="0"/>
              <w:rPr>
                <w:sz w:val="17"/>
                <w:szCs w:val="17"/>
                <w:color w:val="auto"/>
              </w:rPr>
            </w:pPr>
          </w:p>
        </w:tc>
        <w:tc>
          <w:tcPr>
            <w:tcW w:w="940" w:type="dxa"/>
            <w:vAlign w:val="bottom"/>
            <w:shd w:val="clear" w:color="auto" w:fill="BFBFBF"/>
          </w:tcPr>
          <w:p>
            <w:pPr>
              <w:spacing w:after="0"/>
              <w:rPr>
                <w:sz w:val="17"/>
                <w:szCs w:val="17"/>
                <w:color w:val="auto"/>
              </w:rPr>
            </w:pPr>
          </w:p>
        </w:tc>
        <w:tc>
          <w:tcPr>
            <w:tcW w:w="1040" w:type="dxa"/>
            <w:vAlign w:val="bottom"/>
            <w:tcBorders>
              <w:right w:val="single" w:sz="8" w:color="auto"/>
            </w:tcBorders>
            <w:shd w:val="clear" w:color="auto" w:fill="BFBFBF"/>
          </w:tcPr>
          <w:p>
            <w:pPr>
              <w:spacing w:after="0"/>
              <w:rPr>
                <w:sz w:val="17"/>
                <w:szCs w:val="17"/>
                <w:color w:val="auto"/>
              </w:rPr>
            </w:pPr>
          </w:p>
        </w:tc>
        <w:tc>
          <w:tcPr>
            <w:tcW w:w="920" w:type="dxa"/>
            <w:vAlign w:val="bottom"/>
            <w:shd w:val="clear" w:color="auto" w:fill="BFBFBF"/>
          </w:tcPr>
          <w:p>
            <w:pPr>
              <w:spacing w:after="0"/>
              <w:rPr>
                <w:sz w:val="17"/>
                <w:szCs w:val="17"/>
                <w:color w:val="auto"/>
              </w:rPr>
            </w:pPr>
          </w:p>
        </w:tc>
        <w:tc>
          <w:tcPr>
            <w:tcW w:w="920" w:type="dxa"/>
            <w:vAlign w:val="bottom"/>
            <w:shd w:val="clear" w:color="auto" w:fill="BFBFBF"/>
          </w:tcPr>
          <w:p>
            <w:pPr>
              <w:spacing w:after="0"/>
              <w:rPr>
                <w:sz w:val="17"/>
                <w:szCs w:val="17"/>
                <w:color w:val="auto"/>
              </w:rPr>
            </w:pPr>
          </w:p>
        </w:tc>
        <w:tc>
          <w:tcPr>
            <w:tcW w:w="1080" w:type="dxa"/>
            <w:vAlign w:val="bottom"/>
            <w:tcBorders>
              <w:right w:val="single" w:sz="8" w:color="auto"/>
            </w:tcBorders>
            <w:shd w:val="clear" w:color="auto" w:fill="BFBFBF"/>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3440" w:type="dxa"/>
            <w:vAlign w:val="bottom"/>
            <w:tcBorders>
              <w:left w:val="single" w:sz="8" w:color="auto"/>
            </w:tcBorders>
          </w:tcPr>
          <w:p>
            <w:pPr>
              <w:spacing w:after="0"/>
              <w:rPr>
                <w:sz w:val="21"/>
                <w:szCs w:val="21"/>
                <w:color w:val="auto"/>
              </w:rPr>
            </w:pPr>
          </w:p>
        </w:tc>
        <w:tc>
          <w:tcPr>
            <w:tcW w:w="92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940" w:type="dxa"/>
            <w:vAlign w:val="bottom"/>
          </w:tcPr>
          <w:p>
            <w:pPr>
              <w:jc w:val="center"/>
              <w:spacing w:after="0"/>
              <w:rPr>
                <w:sz w:val="20"/>
                <w:szCs w:val="20"/>
                <w:color w:val="auto"/>
              </w:rPr>
            </w:pPr>
            <w:r>
              <w:rPr>
                <w:rFonts w:ascii="Arial" w:cs="Arial" w:eastAsia="Arial" w:hAnsi="Arial"/>
                <w:sz w:val="18"/>
                <w:szCs w:val="18"/>
                <w:b w:val="1"/>
                <w:bCs w:val="1"/>
                <w:color w:val="auto"/>
                <w:w w:val="99"/>
              </w:rPr>
              <w:t>3Q17</w:t>
            </w:r>
          </w:p>
        </w:tc>
        <w:tc>
          <w:tcPr>
            <w:tcW w:w="10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 Change</w:t>
            </w:r>
          </w:p>
        </w:tc>
        <w:tc>
          <w:tcPr>
            <w:tcW w:w="92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920" w:type="dxa"/>
            <w:vAlign w:val="bottom"/>
          </w:tcPr>
          <w:p>
            <w:pPr>
              <w:jc w:val="center"/>
              <w:spacing w:after="0"/>
              <w:rPr>
                <w:sz w:val="20"/>
                <w:szCs w:val="20"/>
                <w:color w:val="auto"/>
              </w:rPr>
            </w:pPr>
            <w:r>
              <w:rPr>
                <w:rFonts w:ascii="Arial" w:cs="Arial" w:eastAsia="Arial" w:hAnsi="Arial"/>
                <w:sz w:val="18"/>
                <w:szCs w:val="18"/>
                <w:b w:val="1"/>
                <w:bCs w:val="1"/>
                <w:color w:val="auto"/>
                <w:w w:val="99"/>
              </w:rPr>
              <w:t>3Q17</w:t>
            </w:r>
          </w:p>
        </w:tc>
        <w:tc>
          <w:tcPr>
            <w:tcW w:w="108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 Change</w:t>
            </w:r>
          </w:p>
        </w:tc>
        <w:tc>
          <w:tcPr>
            <w:tcW w:w="0" w:type="dxa"/>
            <w:vAlign w:val="bottom"/>
          </w:tcPr>
          <w:p>
            <w:pPr>
              <w:spacing w:after="0"/>
              <w:rPr>
                <w:sz w:val="1"/>
                <w:szCs w:val="1"/>
                <w:color w:val="auto"/>
              </w:rPr>
            </w:pPr>
          </w:p>
        </w:tc>
      </w:tr>
      <w:tr>
        <w:trPr>
          <w:trHeight w:val="203"/>
        </w:trPr>
        <w:tc>
          <w:tcPr>
            <w:tcW w:w="3440" w:type="dxa"/>
            <w:vAlign w:val="bottom"/>
            <w:tcBorders>
              <w:left w:val="single" w:sz="8" w:color="auto"/>
            </w:tcBorders>
            <w:vMerge w:val="restart"/>
          </w:tcPr>
          <w:p>
            <w:pPr>
              <w:ind w:left="180"/>
              <w:spacing w:after="0"/>
              <w:rPr>
                <w:sz w:val="20"/>
                <w:szCs w:val="20"/>
                <w:color w:val="auto"/>
              </w:rPr>
            </w:pPr>
            <w:r>
              <w:rPr>
                <w:rFonts w:ascii="Arial" w:cs="Arial" w:eastAsia="Arial" w:hAnsi="Arial"/>
                <w:sz w:val="18"/>
                <w:szCs w:val="18"/>
                <w:color w:val="auto"/>
              </w:rPr>
              <w:t>Pre-tax operating earnings</w:t>
            </w:r>
          </w:p>
        </w:tc>
        <w:tc>
          <w:tcPr>
            <w:tcW w:w="9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c>
          <w:tcPr>
            <w:tcW w:w="1040" w:type="dxa"/>
            <w:vAlign w:val="bottom"/>
            <w:tcBorders>
              <w:bottom w:val="single" w:sz="8" w:color="auto"/>
              <w:right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3440" w:type="dxa"/>
            <w:vAlign w:val="bottom"/>
            <w:tcBorders>
              <w:left w:val="single" w:sz="8" w:color="auto"/>
            </w:tcBorders>
            <w:vMerge w:val="continue"/>
          </w:tcPr>
          <w:p>
            <w:pPr>
              <w:spacing w:after="0"/>
              <w:rPr>
                <w:sz w:val="20"/>
                <w:szCs w:val="20"/>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7"/>
              </w:rPr>
              <w:t>$34.5</w:t>
            </w:r>
          </w:p>
        </w:tc>
        <w:tc>
          <w:tcPr>
            <w:tcW w:w="940" w:type="dxa"/>
            <w:vAlign w:val="bottom"/>
          </w:tcPr>
          <w:p>
            <w:pPr>
              <w:jc w:val="center"/>
              <w:spacing w:after="0"/>
              <w:rPr>
                <w:sz w:val="20"/>
                <w:szCs w:val="20"/>
                <w:color w:val="auto"/>
              </w:rPr>
            </w:pPr>
            <w:r>
              <w:rPr>
                <w:rFonts w:ascii="Arial" w:cs="Arial" w:eastAsia="Arial" w:hAnsi="Arial"/>
                <w:sz w:val="18"/>
                <w:szCs w:val="18"/>
                <w:color w:val="auto"/>
              </w:rPr>
              <w:t>$(0.6)</w:t>
            </w:r>
          </w:p>
        </w:tc>
        <w:tc>
          <w:tcPr>
            <w:tcW w:w="10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N/M</w:t>
            </w:r>
          </w:p>
        </w:tc>
        <w:tc>
          <w:tcPr>
            <w:tcW w:w="920" w:type="dxa"/>
            <w:vAlign w:val="bottom"/>
          </w:tcPr>
          <w:p>
            <w:pPr>
              <w:jc w:val="center"/>
              <w:spacing w:after="0"/>
              <w:rPr>
                <w:sz w:val="20"/>
                <w:szCs w:val="20"/>
                <w:color w:val="auto"/>
              </w:rPr>
            </w:pPr>
            <w:r>
              <w:rPr>
                <w:rFonts w:ascii="Arial" w:cs="Arial" w:eastAsia="Arial" w:hAnsi="Arial"/>
                <w:sz w:val="18"/>
                <w:szCs w:val="18"/>
                <w:color w:val="auto"/>
              </w:rPr>
              <w:t>$169.8</w:t>
            </w:r>
          </w:p>
        </w:tc>
        <w:tc>
          <w:tcPr>
            <w:tcW w:w="920" w:type="dxa"/>
            <w:vAlign w:val="bottom"/>
          </w:tcPr>
          <w:p>
            <w:pPr>
              <w:jc w:val="center"/>
              <w:spacing w:after="0"/>
              <w:rPr>
                <w:sz w:val="20"/>
                <w:szCs w:val="20"/>
                <w:color w:val="auto"/>
              </w:rPr>
            </w:pPr>
            <w:r>
              <w:rPr>
                <w:rFonts w:ascii="Arial" w:cs="Arial" w:eastAsia="Arial" w:hAnsi="Arial"/>
                <w:sz w:val="18"/>
                <w:szCs w:val="18"/>
                <w:color w:val="auto"/>
                <w:w w:val="98"/>
              </w:rPr>
              <w:t>$115.9</w:t>
            </w:r>
          </w:p>
        </w:tc>
        <w:tc>
          <w:tcPr>
            <w:tcW w:w="1080" w:type="dxa"/>
            <w:vAlign w:val="bottom"/>
            <w:tcBorders>
              <w:right w:val="single" w:sz="8" w:color="auto"/>
            </w:tcBorders>
          </w:tcPr>
          <w:p>
            <w:pPr>
              <w:jc w:val="right"/>
              <w:ind w:right="27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446"/>
        </w:trPr>
        <w:tc>
          <w:tcPr>
            <w:tcW w:w="344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Premium and fees</w:t>
            </w:r>
          </w:p>
        </w:tc>
        <w:tc>
          <w:tcPr>
            <w:tcW w:w="920" w:type="dxa"/>
            <w:vAlign w:val="bottom"/>
          </w:tcPr>
          <w:p>
            <w:pPr>
              <w:jc w:val="center"/>
              <w:spacing w:after="0"/>
              <w:rPr>
                <w:sz w:val="20"/>
                <w:szCs w:val="20"/>
                <w:color w:val="auto"/>
              </w:rPr>
            </w:pPr>
            <w:r>
              <w:rPr>
                <w:rFonts w:ascii="Arial" w:cs="Arial" w:eastAsia="Arial" w:hAnsi="Arial"/>
                <w:sz w:val="18"/>
                <w:szCs w:val="18"/>
                <w:color w:val="auto"/>
              </w:rPr>
              <w:t>$269.1</w:t>
            </w:r>
          </w:p>
        </w:tc>
        <w:tc>
          <w:tcPr>
            <w:tcW w:w="940" w:type="dxa"/>
            <w:vAlign w:val="bottom"/>
          </w:tcPr>
          <w:p>
            <w:pPr>
              <w:jc w:val="center"/>
              <w:spacing w:after="0"/>
              <w:rPr>
                <w:sz w:val="20"/>
                <w:szCs w:val="20"/>
                <w:color w:val="auto"/>
              </w:rPr>
            </w:pPr>
            <w:r>
              <w:rPr>
                <w:rFonts w:ascii="Arial" w:cs="Arial" w:eastAsia="Arial" w:hAnsi="Arial"/>
                <w:sz w:val="18"/>
                <w:szCs w:val="18"/>
                <w:color w:val="auto"/>
              </w:rPr>
              <w:t>$273.8</w:t>
            </w:r>
          </w:p>
        </w:tc>
        <w:tc>
          <w:tcPr>
            <w:tcW w:w="10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(2)%</w:t>
            </w: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$1,091.0</w:t>
            </w: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$1,063.0</w:t>
            </w:r>
          </w:p>
        </w:tc>
        <w:tc>
          <w:tcPr>
            <w:tcW w:w="1080" w:type="dxa"/>
            <w:vAlign w:val="bottom"/>
            <w:tcBorders>
              <w:right w:val="single" w:sz="8" w:color="auto"/>
            </w:tcBorders>
          </w:tcPr>
          <w:p>
            <w:pPr>
              <w:jc w:val="right"/>
              <w:ind w:right="33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446"/>
        </w:trPr>
        <w:tc>
          <w:tcPr>
            <w:tcW w:w="3440" w:type="dxa"/>
            <w:vAlign w:val="bottom"/>
            <w:tcBorders>
              <w:left w:val="single" w:sz="8" w:color="auto"/>
            </w:tcBorders>
          </w:tcPr>
          <w:p>
            <w:pPr>
              <w:ind w:left="180"/>
              <w:spacing w:after="0"/>
              <w:rPr>
                <w:sz w:val="20"/>
                <w:szCs w:val="20"/>
                <w:color w:val="auto"/>
              </w:rPr>
            </w:pPr>
            <w:r>
              <w:rPr>
                <w:rFonts w:ascii="Arial" w:cs="Arial" w:eastAsia="Arial" w:hAnsi="Arial"/>
                <w:sz w:val="18"/>
                <w:szCs w:val="18"/>
                <w:color w:val="auto"/>
              </w:rPr>
              <w:t>Pre-tax return on premium and fees</w:t>
            </w:r>
          </w:p>
        </w:tc>
        <w:tc>
          <w:tcPr>
            <w:tcW w:w="920" w:type="dxa"/>
            <w:vAlign w:val="bottom"/>
          </w:tcPr>
          <w:p>
            <w:pPr>
              <w:jc w:val="center"/>
              <w:spacing w:after="0"/>
              <w:rPr>
                <w:sz w:val="20"/>
                <w:szCs w:val="20"/>
                <w:color w:val="auto"/>
              </w:rPr>
            </w:pPr>
            <w:r>
              <w:rPr>
                <w:rFonts w:ascii="Arial" w:cs="Arial" w:eastAsia="Arial" w:hAnsi="Arial"/>
                <w:sz w:val="18"/>
                <w:szCs w:val="18"/>
                <w:color w:val="auto"/>
              </w:rPr>
              <w:t>12.8%</w:t>
            </w:r>
          </w:p>
        </w:tc>
        <w:tc>
          <w:tcPr>
            <w:tcW w:w="940" w:type="dxa"/>
            <w:vAlign w:val="bottom"/>
          </w:tcPr>
          <w:p>
            <w:pPr>
              <w:jc w:val="center"/>
              <w:spacing w:after="0"/>
              <w:rPr>
                <w:sz w:val="20"/>
                <w:szCs w:val="20"/>
                <w:color w:val="auto"/>
              </w:rPr>
            </w:pPr>
            <w:r>
              <w:rPr>
                <w:rFonts w:ascii="Arial" w:cs="Arial" w:eastAsia="Arial" w:hAnsi="Arial"/>
                <w:sz w:val="18"/>
                <w:szCs w:val="18"/>
                <w:color w:val="auto"/>
                <w:w w:val="98"/>
              </w:rPr>
              <w:t>(0.2)%</w:t>
            </w:r>
          </w:p>
        </w:tc>
        <w:tc>
          <w:tcPr>
            <w:tcW w:w="1040" w:type="dxa"/>
            <w:vAlign w:val="bottom"/>
            <w:tcBorders>
              <w:right w:val="single" w:sz="8" w:color="auto"/>
            </w:tcBorders>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15.6%*</w:t>
            </w: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10.9%*</w:t>
            </w:r>
          </w:p>
        </w:tc>
        <w:tc>
          <w:tcPr>
            <w:tcW w:w="1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440" w:type="dxa"/>
            <w:vAlign w:val="bottom"/>
            <w:tcBorders>
              <w:left w:val="single" w:sz="8" w:color="auto"/>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c>
          <w:tcPr>
            <w:tcW w:w="1040" w:type="dxa"/>
            <w:vAlign w:val="bottom"/>
            <w:tcBorders>
              <w:bottom w:val="single" w:sz="8" w:color="auto"/>
              <w:right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pacing w:after="0" w:line="95" w:lineRule="exact"/>
        <w:rPr>
          <w:sz w:val="20"/>
          <w:szCs w:val="20"/>
          <w:color w:val="auto"/>
        </w:rPr>
      </w:pPr>
    </w:p>
    <w:p>
      <w:pPr>
        <w:ind w:right="100"/>
        <w:spacing w:after="0" w:line="285" w:lineRule="auto"/>
        <w:rPr>
          <w:sz w:val="20"/>
          <w:szCs w:val="20"/>
          <w:color w:val="auto"/>
        </w:rPr>
      </w:pPr>
      <w:r>
        <w:rPr>
          <w:rFonts w:ascii="Arial" w:cs="Arial" w:eastAsia="Arial" w:hAnsi="Arial"/>
          <w:sz w:val="14"/>
          <w:szCs w:val="14"/>
          <w:color w:val="auto"/>
        </w:rPr>
        <w:t>*</w:t>
      </w:r>
      <w:r>
        <w:rPr>
          <w:rFonts w:ascii="Arial" w:cs="Arial" w:eastAsia="Arial" w:hAnsi="Arial"/>
          <w:sz w:val="14"/>
          <w:szCs w:val="14"/>
          <w:b w:val="1"/>
          <w:bCs w:val="1"/>
          <w:color w:val="auto"/>
        </w:rPr>
        <w:t>Pre-tax return on premium and fees</w:t>
      </w:r>
      <w:r>
        <w:rPr>
          <w:rFonts w:ascii="Arial" w:cs="Arial" w:eastAsia="Arial" w:hAnsi="Arial"/>
          <w:sz w:val="14"/>
          <w:szCs w:val="14"/>
          <w:color w:val="auto"/>
        </w:rPr>
        <w:t xml:space="preserve"> - Excluding the third quarter actuarial assumption reviews, the trailing twelve-month pre-tax return on premium and fees was 16.9 percent for third quarter 2018 and 15.5 percent for third quarter 2017.</w:t>
      </w:r>
    </w:p>
    <w:p>
      <w:pPr>
        <w:spacing w:after="0" w:line="35" w:lineRule="exact"/>
        <w:rPr>
          <w:sz w:val="20"/>
          <w:szCs w:val="20"/>
          <w:color w:val="auto"/>
        </w:rPr>
      </w:pPr>
    </w:p>
    <w:p>
      <w:pPr>
        <w:ind w:left="660" w:right="480" w:hanging="328"/>
        <w:spacing w:after="0" w:line="272"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earnings </w:t>
      </w:r>
      <w:r>
        <w:rPr>
          <w:rFonts w:ascii="Arial" w:cs="Arial" w:eastAsia="Arial" w:hAnsi="Arial"/>
          <w:sz w:val="20"/>
          <w:szCs w:val="20"/>
          <w:color w:val="auto"/>
        </w:rPr>
        <w:t>increased $35.1 million. Excluding the significant variances outlined in Exhibit 1, pre-tax</w:t>
      </w:r>
      <w:r>
        <w:rPr>
          <w:rFonts w:ascii="Arial" w:cs="Arial" w:eastAsia="Arial" w:hAnsi="Arial"/>
          <w:sz w:val="20"/>
          <w:szCs w:val="20"/>
          <w:b w:val="1"/>
          <w:bCs w:val="1"/>
          <w:color w:val="auto"/>
        </w:rPr>
        <w:t xml:space="preserve"> </w:t>
      </w:r>
      <w:r>
        <w:rPr>
          <w:rFonts w:ascii="Arial" w:cs="Arial" w:eastAsia="Arial" w:hAnsi="Arial"/>
          <w:sz w:val="20"/>
          <w:szCs w:val="20"/>
          <w:color w:val="auto"/>
        </w:rPr>
        <w:t>operating earnings were up 8 percent primarily due to favorable claims experience.</w:t>
      </w:r>
    </w:p>
    <w:p>
      <w:pPr>
        <w:spacing w:after="0" w:line="45" w:lineRule="exact"/>
        <w:rPr>
          <w:rFonts w:ascii="Arial" w:cs="Arial" w:eastAsia="Arial" w:hAnsi="Arial"/>
          <w:sz w:val="18"/>
          <w:szCs w:val="18"/>
          <w:color w:val="auto"/>
        </w:rPr>
      </w:pPr>
    </w:p>
    <w:p>
      <w:pPr>
        <w:ind w:left="660" w:right="360" w:hanging="328"/>
        <w:spacing w:after="0" w:line="272"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20"/>
          <w:szCs w:val="20"/>
          <w:b w:val="1"/>
          <w:bCs w:val="1"/>
          <w:color w:val="auto"/>
        </w:rPr>
        <w:t xml:space="preserve">Premium and fees </w:t>
      </w:r>
      <w:r>
        <w:rPr>
          <w:rFonts w:ascii="Arial" w:cs="Arial" w:eastAsia="Arial" w:hAnsi="Arial"/>
          <w:sz w:val="20"/>
          <w:szCs w:val="20"/>
          <w:color w:val="auto"/>
        </w:rPr>
        <w:t>decreased $4.7 million. Excluding the significant variances outlined in Exhibit 1, premium and fees</w:t>
      </w:r>
      <w:r>
        <w:rPr>
          <w:rFonts w:ascii="Arial" w:cs="Arial" w:eastAsia="Arial" w:hAnsi="Arial"/>
          <w:sz w:val="20"/>
          <w:szCs w:val="20"/>
          <w:b w:val="1"/>
          <w:bCs w:val="1"/>
          <w:color w:val="auto"/>
        </w:rPr>
        <w:t xml:space="preserve"> </w:t>
      </w:r>
      <w:r>
        <w:rPr>
          <w:rFonts w:ascii="Arial" w:cs="Arial" w:eastAsia="Arial" w:hAnsi="Arial"/>
          <w:sz w:val="20"/>
          <w:szCs w:val="20"/>
          <w:color w:val="auto"/>
        </w:rPr>
        <w:t>increased 5% primarily due to growth in the business.</w:t>
      </w:r>
    </w:p>
    <w:p>
      <w:pPr>
        <w:spacing w:after="0" w:line="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Corporate</w:t>
      </w:r>
    </w:p>
    <w:p>
      <w:pPr>
        <w:spacing w:after="0" w:line="264"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3420" w:type="dxa"/>
            <w:vAlign w:val="bottom"/>
            <w:tcBorders>
              <w:top w:val="single" w:sz="8" w:color="auto"/>
              <w:left w:val="single" w:sz="8" w:color="auto"/>
            </w:tcBorders>
          </w:tcPr>
          <w:p>
            <w:pPr>
              <w:spacing w:after="0"/>
              <w:rPr>
                <w:sz w:val="22"/>
                <w:szCs w:val="22"/>
                <w:color w:val="auto"/>
              </w:rPr>
            </w:pPr>
          </w:p>
        </w:tc>
        <w:tc>
          <w:tcPr>
            <w:tcW w:w="920" w:type="dxa"/>
            <w:vAlign w:val="bottom"/>
            <w:tcBorders>
              <w:top w:val="single" w:sz="8" w:color="auto"/>
            </w:tcBorders>
            <w:shd w:val="clear" w:color="auto" w:fill="BFBFBF"/>
          </w:tcPr>
          <w:p>
            <w:pPr>
              <w:spacing w:after="0"/>
              <w:rPr>
                <w:sz w:val="22"/>
                <w:szCs w:val="22"/>
                <w:color w:val="auto"/>
              </w:rPr>
            </w:pPr>
          </w:p>
        </w:tc>
        <w:tc>
          <w:tcPr>
            <w:tcW w:w="940" w:type="dxa"/>
            <w:vAlign w:val="bottom"/>
            <w:tcBorders>
              <w:top w:val="single" w:sz="8" w:color="auto"/>
            </w:tcBorders>
            <w:shd w:val="clear" w:color="auto" w:fill="BFBFBF"/>
          </w:tcPr>
          <w:p>
            <w:pPr>
              <w:jc w:val="right"/>
              <w:spacing w:after="0"/>
              <w:rPr>
                <w:sz w:val="20"/>
                <w:szCs w:val="20"/>
                <w:color w:val="auto"/>
              </w:rPr>
            </w:pPr>
            <w:r>
              <w:rPr>
                <w:rFonts w:ascii="Arial" w:cs="Arial" w:eastAsia="Arial" w:hAnsi="Arial"/>
                <w:sz w:val="18"/>
                <w:szCs w:val="18"/>
                <w:b w:val="1"/>
                <w:bCs w:val="1"/>
                <w:i w:val="1"/>
                <w:iCs w:val="1"/>
                <w:color w:val="auto"/>
              </w:rPr>
              <w:t>Quarter</w:t>
            </w:r>
          </w:p>
        </w:tc>
        <w:tc>
          <w:tcPr>
            <w:tcW w:w="1060" w:type="dxa"/>
            <w:vAlign w:val="bottom"/>
            <w:tcBorders>
              <w:top w:val="single" w:sz="8" w:color="auto"/>
              <w:right w:val="single" w:sz="8" w:color="auto"/>
            </w:tcBorders>
            <w:shd w:val="clear" w:color="auto" w:fill="BFBFBF"/>
          </w:tcPr>
          <w:p>
            <w:pPr>
              <w:spacing w:after="0"/>
              <w:rPr>
                <w:sz w:val="22"/>
                <w:szCs w:val="22"/>
                <w:color w:val="auto"/>
              </w:rPr>
            </w:pPr>
          </w:p>
        </w:tc>
        <w:tc>
          <w:tcPr>
            <w:tcW w:w="2920" w:type="dxa"/>
            <w:vAlign w:val="bottom"/>
            <w:tcBorders>
              <w:top w:val="single" w:sz="8" w:color="auto"/>
              <w:right w:val="single" w:sz="8" w:color="auto"/>
            </w:tcBorders>
            <w:gridSpan w:val="3"/>
            <w:shd w:val="clear" w:color="auto" w:fill="BFBFBF"/>
          </w:tcPr>
          <w:p>
            <w:pPr>
              <w:ind w:left="460"/>
              <w:spacing w:after="0"/>
              <w:rPr>
                <w:sz w:val="20"/>
                <w:szCs w:val="20"/>
                <w:color w:val="auto"/>
              </w:rPr>
            </w:pPr>
            <w:r>
              <w:rPr>
                <w:rFonts w:ascii="Arial" w:cs="Arial" w:eastAsia="Arial" w:hAnsi="Arial"/>
                <w:sz w:val="18"/>
                <w:szCs w:val="18"/>
                <w:b w:val="1"/>
                <w:bCs w:val="1"/>
                <w:i w:val="1"/>
                <w:iCs w:val="1"/>
                <w:color w:val="auto"/>
                <w:highlight w:val="lightGray"/>
              </w:rPr>
              <w:t>Trailing Twelve Months</w:t>
            </w:r>
          </w:p>
        </w:tc>
        <w:tc>
          <w:tcPr>
            <w:tcW w:w="0" w:type="dxa"/>
            <w:vAlign w:val="bottom"/>
          </w:tcPr>
          <w:p>
            <w:pPr>
              <w:spacing w:after="0"/>
              <w:rPr>
                <w:sz w:val="1"/>
                <w:szCs w:val="1"/>
                <w:color w:val="auto"/>
              </w:rPr>
            </w:pPr>
          </w:p>
        </w:tc>
      </w:tr>
      <w:tr>
        <w:trPr>
          <w:trHeight w:val="216"/>
        </w:trPr>
        <w:tc>
          <w:tcPr>
            <w:tcW w:w="3420" w:type="dxa"/>
            <w:vAlign w:val="bottom"/>
            <w:tcBorders>
              <w:left w:val="single" w:sz="8" w:color="auto"/>
            </w:tcBorders>
          </w:tcPr>
          <w:p>
            <w:pPr>
              <w:ind w:left="10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920" w:type="dxa"/>
            <w:vAlign w:val="bottom"/>
            <w:shd w:val="clear" w:color="auto" w:fill="BFBFBF"/>
          </w:tcPr>
          <w:p>
            <w:pPr>
              <w:spacing w:after="0"/>
              <w:rPr>
                <w:sz w:val="18"/>
                <w:szCs w:val="18"/>
                <w:color w:val="auto"/>
              </w:rPr>
            </w:pPr>
          </w:p>
        </w:tc>
        <w:tc>
          <w:tcPr>
            <w:tcW w:w="940" w:type="dxa"/>
            <w:vAlign w:val="bottom"/>
            <w:shd w:val="clear" w:color="auto" w:fill="BFBFBF"/>
          </w:tcPr>
          <w:p>
            <w:pPr>
              <w:spacing w:after="0"/>
              <w:rPr>
                <w:sz w:val="18"/>
                <w:szCs w:val="18"/>
                <w:color w:val="auto"/>
              </w:rPr>
            </w:pPr>
          </w:p>
        </w:tc>
        <w:tc>
          <w:tcPr>
            <w:tcW w:w="1060" w:type="dxa"/>
            <w:vAlign w:val="bottom"/>
            <w:tcBorders>
              <w:right w:val="single" w:sz="8" w:color="auto"/>
            </w:tcBorders>
            <w:shd w:val="clear" w:color="auto" w:fill="BFBFBF"/>
          </w:tcPr>
          <w:p>
            <w:pPr>
              <w:spacing w:after="0"/>
              <w:rPr>
                <w:sz w:val="18"/>
                <w:szCs w:val="18"/>
                <w:color w:val="auto"/>
              </w:rPr>
            </w:pPr>
          </w:p>
        </w:tc>
        <w:tc>
          <w:tcPr>
            <w:tcW w:w="900" w:type="dxa"/>
            <w:vAlign w:val="bottom"/>
            <w:shd w:val="clear" w:color="auto" w:fill="BFBFBF"/>
          </w:tcPr>
          <w:p>
            <w:pPr>
              <w:spacing w:after="0"/>
              <w:rPr>
                <w:sz w:val="18"/>
                <w:szCs w:val="18"/>
                <w:color w:val="auto"/>
              </w:rPr>
            </w:pPr>
          </w:p>
        </w:tc>
        <w:tc>
          <w:tcPr>
            <w:tcW w:w="920" w:type="dxa"/>
            <w:vAlign w:val="bottom"/>
            <w:shd w:val="clear" w:color="auto" w:fill="BFBFBF"/>
          </w:tcPr>
          <w:p>
            <w:pPr>
              <w:spacing w:after="0"/>
              <w:rPr>
                <w:sz w:val="18"/>
                <w:szCs w:val="18"/>
                <w:color w:val="auto"/>
              </w:rPr>
            </w:pPr>
          </w:p>
        </w:tc>
        <w:tc>
          <w:tcPr>
            <w:tcW w:w="1100" w:type="dxa"/>
            <w:vAlign w:val="bottom"/>
            <w:tcBorders>
              <w:right w:val="single" w:sz="8" w:color="auto"/>
            </w:tcBorders>
            <w:shd w:val="clear" w:color="auto" w:fill="BFBFB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420" w:type="dxa"/>
            <w:vAlign w:val="bottom"/>
            <w:tcBorders>
              <w:left w:val="single" w:sz="8" w:color="auto"/>
            </w:tcBorders>
          </w:tcPr>
          <w:p>
            <w:pPr>
              <w:spacing w:after="0"/>
              <w:rPr>
                <w:sz w:val="21"/>
                <w:szCs w:val="21"/>
                <w:color w:val="auto"/>
              </w:rPr>
            </w:pPr>
          </w:p>
        </w:tc>
        <w:tc>
          <w:tcPr>
            <w:tcW w:w="920" w:type="dxa"/>
            <w:vAlign w:val="bottom"/>
          </w:tcPr>
          <w:p>
            <w:pPr>
              <w:jc w:val="right"/>
              <w:ind w:right="150"/>
              <w:spacing w:after="0"/>
              <w:rPr>
                <w:sz w:val="20"/>
                <w:szCs w:val="20"/>
                <w:color w:val="auto"/>
              </w:rPr>
            </w:pPr>
            <w:r>
              <w:rPr>
                <w:rFonts w:ascii="Arial" w:cs="Arial" w:eastAsia="Arial" w:hAnsi="Arial"/>
                <w:sz w:val="18"/>
                <w:szCs w:val="18"/>
                <w:b w:val="1"/>
                <w:bCs w:val="1"/>
                <w:color w:val="auto"/>
              </w:rPr>
              <w:t>3Q18</w:t>
            </w:r>
          </w:p>
        </w:tc>
        <w:tc>
          <w:tcPr>
            <w:tcW w:w="940" w:type="dxa"/>
            <w:vAlign w:val="bottom"/>
          </w:tcPr>
          <w:p>
            <w:pPr>
              <w:jc w:val="right"/>
              <w:ind w:right="190"/>
              <w:spacing w:after="0"/>
              <w:rPr>
                <w:sz w:val="20"/>
                <w:szCs w:val="20"/>
                <w:color w:val="auto"/>
              </w:rPr>
            </w:pPr>
            <w:r>
              <w:rPr>
                <w:rFonts w:ascii="Arial" w:cs="Arial" w:eastAsia="Arial" w:hAnsi="Arial"/>
                <w:sz w:val="18"/>
                <w:szCs w:val="18"/>
                <w:b w:val="1"/>
                <w:bCs w:val="1"/>
                <w:color w:val="auto"/>
              </w:rPr>
              <w:t>3Q17</w:t>
            </w:r>
          </w:p>
        </w:tc>
        <w:tc>
          <w:tcPr>
            <w:tcW w:w="10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 Change</w:t>
            </w:r>
          </w:p>
        </w:tc>
        <w:tc>
          <w:tcPr>
            <w:tcW w:w="900" w:type="dxa"/>
            <w:vAlign w:val="bottom"/>
          </w:tcPr>
          <w:p>
            <w:pPr>
              <w:jc w:val="center"/>
              <w:spacing w:after="0"/>
              <w:rPr>
                <w:sz w:val="20"/>
                <w:szCs w:val="20"/>
                <w:color w:val="auto"/>
              </w:rPr>
            </w:pPr>
            <w:r>
              <w:rPr>
                <w:rFonts w:ascii="Arial" w:cs="Arial" w:eastAsia="Arial" w:hAnsi="Arial"/>
                <w:sz w:val="18"/>
                <w:szCs w:val="18"/>
                <w:b w:val="1"/>
                <w:bCs w:val="1"/>
                <w:color w:val="auto"/>
                <w:w w:val="99"/>
              </w:rPr>
              <w:t>3Q18</w:t>
            </w:r>
          </w:p>
        </w:tc>
        <w:tc>
          <w:tcPr>
            <w:tcW w:w="920" w:type="dxa"/>
            <w:vAlign w:val="bottom"/>
          </w:tcPr>
          <w:p>
            <w:pPr>
              <w:jc w:val="center"/>
              <w:spacing w:after="0"/>
              <w:rPr>
                <w:sz w:val="20"/>
                <w:szCs w:val="20"/>
                <w:color w:val="auto"/>
              </w:rPr>
            </w:pPr>
            <w:r>
              <w:rPr>
                <w:rFonts w:ascii="Arial" w:cs="Arial" w:eastAsia="Arial" w:hAnsi="Arial"/>
                <w:sz w:val="18"/>
                <w:szCs w:val="18"/>
                <w:b w:val="1"/>
                <w:bCs w:val="1"/>
                <w:color w:val="auto"/>
                <w:w w:val="99"/>
              </w:rPr>
              <w:t>3Q17</w:t>
            </w:r>
          </w:p>
        </w:tc>
        <w:tc>
          <w:tcPr>
            <w:tcW w:w="11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 Change</w:t>
            </w:r>
          </w:p>
        </w:tc>
        <w:tc>
          <w:tcPr>
            <w:tcW w:w="0" w:type="dxa"/>
            <w:vAlign w:val="bottom"/>
          </w:tcPr>
          <w:p>
            <w:pPr>
              <w:spacing w:after="0"/>
              <w:rPr>
                <w:sz w:val="1"/>
                <w:szCs w:val="1"/>
                <w:color w:val="auto"/>
              </w:rPr>
            </w:pPr>
          </w:p>
        </w:tc>
      </w:tr>
      <w:tr>
        <w:trPr>
          <w:trHeight w:val="203"/>
        </w:trPr>
        <w:tc>
          <w:tcPr>
            <w:tcW w:w="3420" w:type="dxa"/>
            <w:vAlign w:val="bottom"/>
            <w:tcBorders>
              <w:left w:val="single" w:sz="8" w:color="auto"/>
            </w:tcBorders>
            <w:vMerge w:val="restart"/>
          </w:tcPr>
          <w:p>
            <w:pPr>
              <w:ind w:left="180"/>
              <w:spacing w:after="0"/>
              <w:rPr>
                <w:sz w:val="20"/>
                <w:szCs w:val="20"/>
                <w:color w:val="auto"/>
              </w:rPr>
            </w:pPr>
            <w:r>
              <w:rPr>
                <w:rFonts w:ascii="Arial" w:cs="Arial" w:eastAsia="Arial" w:hAnsi="Arial"/>
                <w:sz w:val="18"/>
                <w:szCs w:val="18"/>
                <w:color w:val="auto"/>
              </w:rPr>
              <w:t>Pre-tax operating losses</w:t>
            </w:r>
          </w:p>
        </w:tc>
        <w:tc>
          <w:tcPr>
            <w:tcW w:w="9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11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3420" w:type="dxa"/>
            <w:vAlign w:val="bottom"/>
            <w:tcBorders>
              <w:left w:val="single" w:sz="8" w:color="auto"/>
            </w:tcBorders>
            <w:vMerge w:val="continue"/>
          </w:tcPr>
          <w:p>
            <w:pPr>
              <w:spacing w:after="0"/>
              <w:rPr>
                <w:sz w:val="20"/>
                <w:szCs w:val="20"/>
                <w:color w:val="auto"/>
              </w:rPr>
            </w:pP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$(32.4)</w:t>
            </w: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$(43.0)</w:t>
            </w:r>
          </w:p>
        </w:tc>
        <w:tc>
          <w:tcPr>
            <w:tcW w:w="1060" w:type="dxa"/>
            <w:vAlign w:val="bottom"/>
            <w:tcBorders>
              <w:right w:val="single" w:sz="8" w:color="auto"/>
            </w:tcBorders>
          </w:tcPr>
          <w:p>
            <w:pPr>
              <w:jc w:val="right"/>
              <w:ind w:right="290"/>
              <w:spacing w:after="0"/>
              <w:rPr>
                <w:sz w:val="20"/>
                <w:szCs w:val="20"/>
                <w:color w:val="auto"/>
              </w:rPr>
            </w:pPr>
            <w:r>
              <w:rPr>
                <w:rFonts w:ascii="Arial" w:cs="Arial" w:eastAsia="Arial" w:hAnsi="Arial"/>
                <w:sz w:val="18"/>
                <w:szCs w:val="18"/>
                <w:color w:val="auto"/>
              </w:rPr>
              <w:t>25%</w:t>
            </w:r>
          </w:p>
        </w:tc>
        <w:tc>
          <w:tcPr>
            <w:tcW w:w="900" w:type="dxa"/>
            <w:vAlign w:val="bottom"/>
          </w:tcPr>
          <w:p>
            <w:pPr>
              <w:jc w:val="right"/>
              <w:ind w:right="30"/>
              <w:spacing w:after="0"/>
              <w:rPr>
                <w:sz w:val="20"/>
                <w:szCs w:val="20"/>
                <w:color w:val="auto"/>
              </w:rPr>
            </w:pPr>
            <w:r>
              <w:rPr>
                <w:rFonts w:ascii="Arial" w:cs="Arial" w:eastAsia="Arial" w:hAnsi="Arial"/>
                <w:sz w:val="18"/>
                <w:szCs w:val="18"/>
                <w:color w:val="auto"/>
              </w:rPr>
              <w:t>$(185.4)</w:t>
            </w:r>
          </w:p>
        </w:tc>
        <w:tc>
          <w:tcPr>
            <w:tcW w:w="920" w:type="dxa"/>
            <w:vAlign w:val="bottom"/>
          </w:tcPr>
          <w:p>
            <w:pPr>
              <w:jc w:val="right"/>
              <w:ind w:right="50"/>
              <w:spacing w:after="0"/>
              <w:rPr>
                <w:sz w:val="20"/>
                <w:szCs w:val="20"/>
                <w:color w:val="auto"/>
              </w:rPr>
            </w:pPr>
            <w:r>
              <w:rPr>
                <w:rFonts w:ascii="Arial" w:cs="Arial" w:eastAsia="Arial" w:hAnsi="Arial"/>
                <w:sz w:val="18"/>
                <w:szCs w:val="18"/>
                <w:color w:val="auto"/>
              </w:rPr>
              <w:t>$(202.3)</w:t>
            </w:r>
          </w:p>
        </w:tc>
        <w:tc>
          <w:tcPr>
            <w:tcW w:w="1100" w:type="dxa"/>
            <w:vAlign w:val="bottom"/>
            <w:tcBorders>
              <w:right w:val="single" w:sz="8" w:color="auto"/>
            </w:tcBorders>
          </w:tcPr>
          <w:p>
            <w:pPr>
              <w:jc w:val="right"/>
              <w:ind w:right="35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3"/>
        </w:trPr>
        <w:tc>
          <w:tcPr>
            <w:tcW w:w="3420" w:type="dxa"/>
            <w:vAlign w:val="bottom"/>
            <w:tcBorders>
              <w:left w:val="single" w:sz="8" w:color="auto"/>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11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ind w:left="660" w:hanging="328"/>
        <w:spacing w:after="0" w:line="324" w:lineRule="auto"/>
        <w:tabs>
          <w:tab w:leader="none" w:pos="660" w:val="left"/>
        </w:tabs>
        <w:numPr>
          <w:ilvl w:val="0"/>
          <w:numId w:val="18"/>
        </w:numPr>
        <w:rPr>
          <w:rFonts w:ascii="Arial" w:cs="Arial" w:eastAsia="Arial" w:hAnsi="Arial"/>
          <w:sz w:val="22"/>
          <w:szCs w:val="22"/>
          <w:color w:val="auto"/>
        </w:rPr>
      </w:pPr>
      <w:r>
        <w:rPr>
          <w:rFonts w:ascii="Arial" w:cs="Arial" w:eastAsia="Arial" w:hAnsi="Arial"/>
          <w:sz w:val="20"/>
          <w:szCs w:val="20"/>
          <w:b w:val="1"/>
          <w:bCs w:val="1"/>
          <w:color w:val="auto"/>
        </w:rPr>
        <w:t xml:space="preserve">Pre-tax operating losses </w:t>
      </w:r>
      <w:r>
        <w:rPr>
          <w:rFonts w:ascii="Arial" w:cs="Arial" w:eastAsia="Arial" w:hAnsi="Arial"/>
          <w:sz w:val="20"/>
          <w:szCs w:val="20"/>
          <w:color w:val="auto"/>
        </w:rPr>
        <w:t>decreased $10.6 million due to a benefit from a tax settlement. On an after-tax basis, Corporate</w:t>
      </w:r>
      <w:r>
        <w:rPr>
          <w:rFonts w:ascii="Arial" w:cs="Arial" w:eastAsia="Arial" w:hAnsi="Arial"/>
          <w:sz w:val="20"/>
          <w:szCs w:val="20"/>
          <w:b w:val="1"/>
          <w:bCs w:val="1"/>
          <w:color w:val="auto"/>
        </w:rPr>
        <w:t xml:space="preserve"> </w:t>
      </w:r>
      <w:r>
        <w:rPr>
          <w:rFonts w:ascii="Arial" w:cs="Arial" w:eastAsia="Arial" w:hAnsi="Arial"/>
          <w:sz w:val="20"/>
          <w:szCs w:val="20"/>
          <w:color w:val="auto"/>
        </w:rPr>
        <w:t>losses were in line with our expectations as income taxes offset the pre-tax benefit. For the full year we expect pre-tax operating losses to be lower than our guided range of $(190)-$(210) million.</w:t>
      </w:r>
    </w:p>
    <w:p>
      <w:pPr>
        <w:spacing w:after="0" w:line="157"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ectPr>
          <w:pgSz w:w="11900" w:h="16838" w:orient="portrait"/>
          <w:cols w:equalWidth="0" w:num="1">
            <w:col w:w="11360"/>
          </w:cols>
          <w:pgMar w:left="240" w:top="1192" w:right="299" w:bottom="1440" w:gutter="0" w:footer="0" w:header="0"/>
        </w:sectPr>
      </w:pPr>
    </w:p>
    <w:p>
      <w:pPr>
        <w:spacing w:after="0" w:line="86" w:lineRule="exact"/>
        <w:rPr>
          <w:sz w:val="20"/>
          <w:szCs w:val="20"/>
          <w:color w:val="auto"/>
        </w:rPr>
      </w:pPr>
    </w:p>
    <w:p>
      <w:pPr>
        <w:ind w:left="140" w:hanging="132"/>
        <w:spacing w:after="0"/>
        <w:tabs>
          <w:tab w:leader="none" w:pos="140" w:val="left"/>
        </w:tabs>
        <w:numPr>
          <w:ilvl w:val="0"/>
          <w:numId w:val="19"/>
        </w:numPr>
        <w:rPr>
          <w:rFonts w:ascii="Arial" w:cs="Arial" w:eastAsia="Arial" w:hAnsi="Arial"/>
          <w:sz w:val="17"/>
          <w:szCs w:val="17"/>
          <w:color w:val="auto"/>
          <w:vertAlign w:val="superscript"/>
        </w:rPr>
      </w:pPr>
      <w:r>
        <w:rPr>
          <w:rFonts w:ascii="Arial" w:cs="Arial" w:eastAsia="Arial" w:hAnsi="Arial"/>
          <w:sz w:val="14"/>
          <w:szCs w:val="14"/>
          <w:color w:val="auto"/>
        </w:rPr>
        <w:t>Pre-tax return on premium and fees = pre-tax operating earnings divided by premium and fees.</w:t>
      </w:r>
    </w:p>
    <w:p>
      <w:pPr>
        <w:sectPr>
          <w:pgSz w:w="11900" w:h="16838" w:orient="portrait"/>
          <w:cols w:equalWidth="0" w:num="1">
            <w:col w:w="11360"/>
          </w:cols>
          <w:pgMar w:left="240" w:top="1192" w:right="299" w:bottom="1440" w:gutter="0" w:footer="0" w:header="0"/>
          <w:type w:val="continuous"/>
        </w:sectPr>
      </w:pPr>
    </w:p>
    <w:bookmarkStart w:id="7" w:name="page8"/>
    <w:bookmarkEnd w:id="7"/>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t>Exhibit 1</w:t>
      </w:r>
    </w:p>
    <w:p>
      <w:pPr>
        <w:spacing w:after="0" w:line="324" w:lineRule="exact"/>
        <w:rPr>
          <w:sz w:val="20"/>
          <w:szCs w:val="20"/>
          <w:color w:val="auto"/>
        </w:rPr>
      </w:pPr>
    </w:p>
    <w:p>
      <w:pPr>
        <w:jc w:val="center"/>
        <w:spacing w:after="0"/>
        <w:rPr>
          <w:sz w:val="20"/>
          <w:szCs w:val="20"/>
          <w:color w:val="auto"/>
        </w:rPr>
      </w:pPr>
      <w:r>
        <w:rPr>
          <w:rFonts w:ascii="Arial" w:cs="Arial" w:eastAsia="Arial" w:hAnsi="Arial"/>
          <w:sz w:val="20"/>
          <w:szCs w:val="20"/>
          <w:b w:val="1"/>
          <w:bCs w:val="1"/>
          <w:i w:val="1"/>
          <w:iCs w:val="1"/>
          <w:color w:val="auto"/>
        </w:rPr>
        <w:t>Principal Financial Group</w:t>
      </w:r>
    </w:p>
    <w:p>
      <w:pPr>
        <w:spacing w:after="0" w:line="324" w:lineRule="exact"/>
        <w:rPr>
          <w:sz w:val="20"/>
          <w:szCs w:val="20"/>
          <w:color w:val="auto"/>
        </w:rPr>
      </w:pPr>
    </w:p>
    <w:p>
      <w:pPr>
        <w:jc w:val="center"/>
        <w:ind w:left="680"/>
        <w:spacing w:after="0" w:line="384" w:lineRule="auto"/>
        <w:rPr>
          <w:sz w:val="20"/>
          <w:szCs w:val="20"/>
          <w:color w:val="auto"/>
        </w:rPr>
      </w:pPr>
      <w:r>
        <w:rPr>
          <w:rFonts w:ascii="Arial" w:cs="Arial" w:eastAsia="Arial" w:hAnsi="Arial"/>
          <w:sz w:val="20"/>
          <w:szCs w:val="20"/>
          <w:b w:val="1"/>
          <w:bCs w:val="1"/>
          <w:color w:val="auto"/>
        </w:rPr>
        <w:t>Comparison of quarterly net income attributable to PFG and non-GAAP operating earnings excluding significant variances</w:t>
      </w:r>
    </w:p>
    <w:p>
      <w:pPr>
        <w:sectPr>
          <w:pgSz w:w="11900" w:h="16838" w:orient="portrait"/>
          <w:cols w:equalWidth="0" w:num="1">
            <w:col w:w="11440"/>
          </w:cols>
          <w:pgMar w:left="240" w:top="1354" w:right="2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40"/>
        <w:spacing w:after="0"/>
        <w:rPr>
          <w:sz w:val="20"/>
          <w:szCs w:val="20"/>
          <w:color w:val="auto"/>
        </w:rPr>
      </w:pPr>
      <w:r>
        <w:rPr>
          <w:rFonts w:ascii="Arial" w:cs="Arial" w:eastAsia="Arial" w:hAnsi="Arial"/>
          <w:sz w:val="13"/>
          <w:szCs w:val="13"/>
          <w:b w:val="1"/>
          <w:bCs w:val="1"/>
          <w:i w:val="1"/>
          <w:iCs w:val="1"/>
          <w:color w:val="auto"/>
        </w:rPr>
        <w:t>Net income attributable to PFG</w:t>
      </w:r>
    </w:p>
    <w:p>
      <w:pPr>
        <w:spacing w:after="0" w:line="94" w:lineRule="exact"/>
        <w:rPr>
          <w:sz w:val="20"/>
          <w:szCs w:val="20"/>
          <w:color w:val="auto"/>
        </w:rPr>
      </w:pPr>
    </w:p>
    <w:p>
      <w:pPr>
        <w:ind w:left="140" w:right="40" w:hanging="107"/>
        <w:spacing w:after="0" w:line="253" w:lineRule="auto"/>
        <w:rPr>
          <w:sz w:val="20"/>
          <w:szCs w:val="20"/>
          <w:color w:val="auto"/>
        </w:rPr>
      </w:pPr>
      <w:r>
        <w:rPr>
          <w:rFonts w:ascii="Arial" w:cs="Arial" w:eastAsia="Arial" w:hAnsi="Arial"/>
          <w:sz w:val="14"/>
          <w:szCs w:val="14"/>
          <w:color w:val="auto"/>
        </w:rPr>
        <w:t>Net realized capital (gains) losses, as adjusted</w:t>
      </w:r>
    </w:p>
    <w:p>
      <w:pPr>
        <w:spacing w:after="0" w:line="39" w:lineRule="exact"/>
        <w:rPr>
          <w:sz w:val="20"/>
          <w:szCs w:val="20"/>
          <w:color w:val="auto"/>
        </w:rPr>
      </w:pPr>
    </w:p>
    <w:p>
      <w:pPr>
        <w:ind w:left="40" w:right="160"/>
        <w:spacing w:after="0" w:line="382" w:lineRule="auto"/>
        <w:rPr>
          <w:sz w:val="20"/>
          <w:szCs w:val="20"/>
          <w:color w:val="auto"/>
        </w:rPr>
      </w:pPr>
      <w:r>
        <w:rPr>
          <w:rFonts w:ascii="Arial" w:cs="Arial" w:eastAsia="Arial" w:hAnsi="Arial"/>
          <w:sz w:val="14"/>
          <w:szCs w:val="14"/>
          <w:b w:val="1"/>
          <w:bCs w:val="1"/>
          <w:i w:val="1"/>
          <w:iCs w:val="1"/>
          <w:color w:val="auto"/>
        </w:rPr>
        <w:t xml:space="preserve">Non-GAAP operating earnings </w:t>
      </w:r>
      <w:r>
        <w:rPr>
          <w:rFonts w:ascii="Arial" w:cs="Arial" w:eastAsia="Arial" w:hAnsi="Arial"/>
          <w:sz w:val="14"/>
          <w:szCs w:val="14"/>
          <w:color w:val="auto"/>
        </w:rPr>
        <w:t>Income taxes</w:t>
      </w:r>
    </w:p>
    <w:p>
      <w:pPr>
        <w:spacing w:after="0" w:line="1" w:lineRule="exact"/>
        <w:rPr>
          <w:sz w:val="20"/>
          <w:szCs w:val="20"/>
          <w:color w:val="auto"/>
        </w:rPr>
      </w:pPr>
    </w:p>
    <w:p>
      <w:pPr>
        <w:ind w:left="140" w:right="260" w:hanging="107"/>
        <w:spacing w:after="0" w:line="253" w:lineRule="auto"/>
        <w:rPr>
          <w:sz w:val="20"/>
          <w:szCs w:val="20"/>
          <w:color w:val="auto"/>
        </w:rPr>
      </w:pPr>
      <w:r>
        <w:rPr>
          <w:rFonts w:ascii="Arial" w:cs="Arial" w:eastAsia="Arial" w:hAnsi="Arial"/>
          <w:sz w:val="14"/>
          <w:szCs w:val="14"/>
          <w:b w:val="1"/>
          <w:bCs w:val="1"/>
          <w:i w:val="1"/>
          <w:iCs w:val="1"/>
          <w:color w:val="auto"/>
        </w:rPr>
        <w:t>Non-GAAP pre-tax operating earnings</w:t>
      </w:r>
    </w:p>
    <w:p>
      <w:pPr>
        <w:spacing w:after="0" w:line="129"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Per diluted share:</w:t>
      </w:r>
    </w:p>
    <w:p>
      <w:pPr>
        <w:spacing w:after="0" w:line="113" w:lineRule="exact"/>
        <w:rPr>
          <w:sz w:val="20"/>
          <w:szCs w:val="20"/>
          <w:color w:val="auto"/>
        </w:rPr>
      </w:pPr>
    </w:p>
    <w:p>
      <w:pPr>
        <w:ind w:left="40"/>
        <w:spacing w:after="0"/>
        <w:rPr>
          <w:sz w:val="20"/>
          <w:szCs w:val="20"/>
          <w:color w:val="auto"/>
        </w:rPr>
      </w:pPr>
      <w:r>
        <w:rPr>
          <w:rFonts w:ascii="Arial" w:cs="Arial" w:eastAsia="Arial" w:hAnsi="Arial"/>
          <w:sz w:val="14"/>
          <w:szCs w:val="14"/>
          <w:b w:val="1"/>
          <w:bCs w:val="1"/>
          <w:i w:val="1"/>
          <w:iCs w:val="1"/>
          <w:color w:val="auto"/>
        </w:rPr>
        <w:t>Net income</w:t>
      </w:r>
    </w:p>
    <w:p>
      <w:pPr>
        <w:spacing w:after="0" w:line="82" w:lineRule="exact"/>
        <w:rPr>
          <w:sz w:val="20"/>
          <w:szCs w:val="20"/>
          <w:color w:val="auto"/>
        </w:rPr>
      </w:pPr>
    </w:p>
    <w:p>
      <w:pPr>
        <w:ind w:left="140" w:hanging="107"/>
        <w:spacing w:after="0" w:line="253" w:lineRule="auto"/>
        <w:rPr>
          <w:sz w:val="20"/>
          <w:szCs w:val="20"/>
          <w:color w:val="auto"/>
        </w:rPr>
      </w:pPr>
      <w:r>
        <w:rPr>
          <w:rFonts w:ascii="Arial" w:cs="Arial" w:eastAsia="Arial" w:hAnsi="Arial"/>
          <w:sz w:val="14"/>
          <w:szCs w:val="14"/>
          <w:b w:val="1"/>
          <w:bCs w:val="1"/>
          <w:i w:val="1"/>
          <w:iCs w:val="1"/>
          <w:color w:val="auto"/>
        </w:rPr>
        <w:t>Net realized capital (gains) losses, as adjusted</w:t>
      </w:r>
    </w:p>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b w:val="1"/>
          <w:bCs w:val="1"/>
          <w:i w:val="1"/>
          <w:iCs w:val="1"/>
          <w:color w:val="auto"/>
        </w:rPr>
        <w:t>Non-GAAP operating earnings</w:t>
      </w:r>
    </w:p>
    <w:p>
      <w:pPr>
        <w:spacing w:after="0" w:line="94" w:lineRule="exact"/>
        <w:rPr>
          <w:sz w:val="20"/>
          <w:szCs w:val="20"/>
          <w:color w:val="auto"/>
        </w:rPr>
      </w:pPr>
    </w:p>
    <w:p>
      <w:pPr>
        <w:ind w:left="140" w:right="220" w:hanging="107"/>
        <w:spacing w:after="0" w:line="335" w:lineRule="auto"/>
        <w:rPr>
          <w:sz w:val="20"/>
          <w:szCs w:val="20"/>
          <w:color w:val="auto"/>
        </w:rPr>
      </w:pPr>
      <w:r>
        <w:rPr>
          <w:rFonts w:ascii="Arial" w:cs="Arial" w:eastAsia="Arial" w:hAnsi="Arial"/>
          <w:sz w:val="12"/>
          <w:szCs w:val="12"/>
          <w:b w:val="1"/>
          <w:bCs w:val="1"/>
          <w:i w:val="1"/>
          <w:iCs w:val="1"/>
          <w:color w:val="auto"/>
        </w:rPr>
        <w:t>Weighted average diluted common shares outstanding</w:t>
      </w:r>
    </w:p>
    <w:p>
      <w:pPr>
        <w:spacing w:after="0" w:line="114" w:lineRule="exact"/>
        <w:rPr>
          <w:sz w:val="20"/>
          <w:szCs w:val="20"/>
          <w:color w:val="auto"/>
        </w:rPr>
      </w:pPr>
    </w:p>
    <w:p>
      <w:pPr>
        <w:ind w:left="140" w:right="420" w:hanging="107"/>
        <w:spacing w:after="0" w:line="335" w:lineRule="auto"/>
        <w:rPr>
          <w:sz w:val="20"/>
          <w:szCs w:val="20"/>
          <w:color w:val="auto"/>
        </w:rPr>
      </w:pPr>
      <w:r>
        <w:rPr>
          <w:rFonts w:ascii="Arial" w:cs="Arial" w:eastAsia="Arial" w:hAnsi="Arial"/>
          <w:sz w:val="12"/>
          <w:szCs w:val="12"/>
          <w:b w:val="1"/>
          <w:bCs w:val="1"/>
          <w:i w:val="1"/>
          <w:iCs w:val="1"/>
          <w:color w:val="auto"/>
        </w:rPr>
        <w:t>Segment pre-tax operating earnings (losses):</w:t>
      </w:r>
    </w:p>
    <w:p>
      <w:pPr>
        <w:spacing w:after="0" w:line="33" w:lineRule="exact"/>
        <w:rPr>
          <w:sz w:val="20"/>
          <w:szCs w:val="20"/>
          <w:color w:val="auto"/>
        </w:rPr>
      </w:pPr>
    </w:p>
    <w:p>
      <w:pPr>
        <w:ind w:left="180"/>
        <w:spacing w:after="0"/>
        <w:rPr>
          <w:sz w:val="20"/>
          <w:szCs w:val="20"/>
          <w:color w:val="auto"/>
        </w:rPr>
      </w:pPr>
      <w:r>
        <w:rPr>
          <w:rFonts w:ascii="Arial" w:cs="Arial" w:eastAsia="Arial" w:hAnsi="Arial"/>
          <w:sz w:val="14"/>
          <w:szCs w:val="14"/>
          <w:color w:val="auto"/>
        </w:rPr>
        <w:t>RIS-Fee</w:t>
      </w:r>
    </w:p>
    <w:p>
      <w:pPr>
        <w:spacing w:after="0" w:line="109" w:lineRule="exact"/>
        <w:rPr>
          <w:sz w:val="20"/>
          <w:szCs w:val="20"/>
          <w:color w:val="auto"/>
        </w:rPr>
      </w:pPr>
    </w:p>
    <w:p>
      <w:pPr>
        <w:ind w:left="180"/>
        <w:spacing w:after="0"/>
        <w:rPr>
          <w:sz w:val="20"/>
          <w:szCs w:val="20"/>
          <w:color w:val="auto"/>
        </w:rPr>
      </w:pPr>
      <w:r>
        <w:rPr>
          <w:rFonts w:ascii="Arial" w:cs="Arial" w:eastAsia="Arial" w:hAnsi="Arial"/>
          <w:sz w:val="14"/>
          <w:szCs w:val="14"/>
          <w:color w:val="auto"/>
        </w:rPr>
        <w:t>RIS-Spread</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Retirement and Income Solutions</w:t>
      </w:r>
    </w:p>
    <w:p>
      <w:pPr>
        <w:spacing w:after="0" w:line="188" w:lineRule="exact"/>
        <w:rPr>
          <w:sz w:val="20"/>
          <w:szCs w:val="20"/>
          <w:color w:val="auto"/>
        </w:rPr>
      </w:pPr>
    </w:p>
    <w:p>
      <w:pPr>
        <w:ind w:left="40"/>
        <w:spacing w:after="0"/>
        <w:rPr>
          <w:sz w:val="20"/>
          <w:szCs w:val="20"/>
          <w:color w:val="auto"/>
        </w:rPr>
      </w:pPr>
      <w:r>
        <w:rPr>
          <w:rFonts w:ascii="Arial" w:cs="Arial" w:eastAsia="Arial" w:hAnsi="Arial"/>
          <w:sz w:val="14"/>
          <w:szCs w:val="14"/>
          <w:color w:val="auto"/>
        </w:rPr>
        <w:t>Principal Global Investors</w:t>
      </w:r>
    </w:p>
    <w:p>
      <w:pPr>
        <w:spacing w:after="0" w:line="177" w:lineRule="exact"/>
        <w:rPr>
          <w:sz w:val="20"/>
          <w:szCs w:val="20"/>
          <w:color w:val="auto"/>
        </w:rPr>
      </w:pPr>
    </w:p>
    <w:p>
      <w:pPr>
        <w:ind w:left="40"/>
        <w:spacing w:after="0"/>
        <w:rPr>
          <w:sz w:val="20"/>
          <w:szCs w:val="20"/>
          <w:color w:val="auto"/>
        </w:rPr>
      </w:pPr>
      <w:r>
        <w:rPr>
          <w:rFonts w:ascii="Arial" w:cs="Arial" w:eastAsia="Arial" w:hAnsi="Arial"/>
          <w:sz w:val="14"/>
          <w:szCs w:val="14"/>
          <w:color w:val="auto"/>
        </w:rPr>
        <w:t>Principal International</w:t>
      </w:r>
    </w:p>
    <w:p>
      <w:pPr>
        <w:spacing w:after="0" w:line="177" w:lineRule="exact"/>
        <w:rPr>
          <w:sz w:val="20"/>
          <w:szCs w:val="20"/>
          <w:color w:val="auto"/>
        </w:rPr>
      </w:pPr>
    </w:p>
    <w:p>
      <w:pPr>
        <w:ind w:left="180"/>
        <w:spacing w:after="0"/>
        <w:rPr>
          <w:sz w:val="20"/>
          <w:szCs w:val="20"/>
          <w:color w:val="auto"/>
        </w:rPr>
      </w:pPr>
      <w:r>
        <w:rPr>
          <w:rFonts w:ascii="Arial" w:cs="Arial" w:eastAsia="Arial" w:hAnsi="Arial"/>
          <w:sz w:val="14"/>
          <w:szCs w:val="14"/>
          <w:color w:val="auto"/>
        </w:rPr>
        <w:t>Specialty Benefits</w:t>
      </w:r>
    </w:p>
    <w:p>
      <w:pPr>
        <w:spacing w:after="0" w:line="109" w:lineRule="exact"/>
        <w:rPr>
          <w:sz w:val="20"/>
          <w:szCs w:val="20"/>
          <w:color w:val="auto"/>
        </w:rPr>
      </w:pPr>
    </w:p>
    <w:p>
      <w:pPr>
        <w:ind w:left="180"/>
        <w:spacing w:after="0"/>
        <w:rPr>
          <w:sz w:val="20"/>
          <w:szCs w:val="20"/>
          <w:color w:val="auto"/>
        </w:rPr>
      </w:pPr>
      <w:r>
        <w:rPr>
          <w:rFonts w:ascii="Arial" w:cs="Arial" w:eastAsia="Arial" w:hAnsi="Arial"/>
          <w:sz w:val="14"/>
          <w:szCs w:val="14"/>
          <w:color w:val="auto"/>
        </w:rPr>
        <w:t>Individual Life</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U.S. Insurance Solutions</w:t>
      </w:r>
    </w:p>
    <w:p>
      <w:pPr>
        <w:spacing w:after="0" w:line="177" w:lineRule="exact"/>
        <w:rPr>
          <w:sz w:val="20"/>
          <w:szCs w:val="20"/>
          <w:color w:val="auto"/>
        </w:rPr>
      </w:pPr>
    </w:p>
    <w:p>
      <w:pPr>
        <w:ind w:left="40"/>
        <w:spacing w:after="0"/>
        <w:rPr>
          <w:sz w:val="20"/>
          <w:szCs w:val="20"/>
          <w:color w:val="auto"/>
        </w:rPr>
      </w:pPr>
      <w:r>
        <w:rPr>
          <w:rFonts w:ascii="Arial" w:cs="Arial" w:eastAsia="Arial" w:hAnsi="Arial"/>
          <w:sz w:val="14"/>
          <w:szCs w:val="14"/>
          <w:color w:val="auto"/>
        </w:rPr>
        <w:t>Corporate</w:t>
      </w:r>
    </w:p>
    <w:p>
      <w:pPr>
        <w:spacing w:after="0" w:line="38" w:lineRule="exact"/>
        <w:rPr>
          <w:sz w:val="20"/>
          <w:szCs w:val="20"/>
          <w:color w:val="auto"/>
        </w:rPr>
      </w:pPr>
    </w:p>
    <w:p>
      <w:pPr>
        <w:ind w:left="140" w:right="40" w:hanging="107"/>
        <w:spacing w:after="0" w:line="259" w:lineRule="auto"/>
        <w:rPr>
          <w:sz w:val="20"/>
          <w:szCs w:val="20"/>
          <w:color w:val="auto"/>
        </w:rPr>
      </w:pPr>
      <w:r>
        <w:rPr>
          <w:rFonts w:ascii="Arial" w:cs="Arial" w:eastAsia="Arial" w:hAnsi="Arial"/>
          <w:sz w:val="14"/>
          <w:szCs w:val="14"/>
          <w:b w:val="1"/>
          <w:bCs w:val="1"/>
          <w:color w:val="auto"/>
        </w:rPr>
        <w:t>Total segment pre-tax operating earnings</w:t>
      </w:r>
    </w:p>
    <w:p>
      <w:pPr>
        <w:spacing w:after="0" w:line="20" w:lineRule="exact"/>
        <w:rPr>
          <w:sz w:val="20"/>
          <w:szCs w:val="20"/>
          <w:color w:val="auto"/>
        </w:rPr>
      </w:pPr>
      <w:r>
        <w:rPr>
          <w:sz w:val="20"/>
          <w:szCs w:val="20"/>
          <w:color w:val="auto"/>
        </w:rPr>
        <w:br w:type="column"/>
      </w:r>
    </w:p>
    <w:p>
      <w:pPr>
        <w:ind w:left="1840"/>
        <w:spacing w:after="0"/>
        <w:rPr>
          <w:sz w:val="20"/>
          <w:szCs w:val="20"/>
          <w:color w:val="auto"/>
        </w:rPr>
      </w:pPr>
      <w:r>
        <w:rPr>
          <w:rFonts w:ascii="Arial" w:cs="Arial" w:eastAsia="Arial" w:hAnsi="Arial"/>
          <w:sz w:val="16"/>
          <w:szCs w:val="16"/>
          <w:i w:val="1"/>
          <w:iCs w:val="1"/>
          <w:color w:val="auto"/>
        </w:rPr>
        <w:t>(in millions, except per share data)</w:t>
      </w:r>
    </w:p>
    <w:p>
      <w:pPr>
        <w:spacing w:after="0" w:line="242" w:lineRule="exact"/>
        <w:rPr>
          <w:sz w:val="20"/>
          <w:szCs w:val="20"/>
          <w:color w:val="auto"/>
        </w:rPr>
      </w:pPr>
    </w:p>
    <w:tbl>
      <w:tblPr>
        <w:tblLayout w:type="fixed"/>
        <w:tblInd w:w="10" w:type="dxa"/>
        <w:tblCellMar>
          <w:top w:w="0" w:type="dxa"/>
          <w:left w:w="0" w:type="dxa"/>
          <w:bottom w:w="0" w:type="dxa"/>
          <w:right w:w="0" w:type="dxa"/>
        </w:tblCellMar>
      </w:tblPr>
      <w:tr>
        <w:trPr>
          <w:trHeight w:val="264"/>
        </w:trPr>
        <w:tc>
          <w:tcPr>
            <w:tcW w:w="940" w:type="dxa"/>
            <w:vAlign w:val="bottom"/>
            <w:tcBorders>
              <w:top w:val="single" w:sz="8" w:color="auto"/>
              <w:left w:val="single" w:sz="8" w:color="auto"/>
              <w:bottom w:val="single" w:sz="8" w:color="D9D9D9"/>
              <w:right w:val="single" w:sz="8" w:color="auto"/>
            </w:tcBorders>
            <w:shd w:val="clear" w:color="auto" w:fill="D9D9D9"/>
          </w:tcPr>
          <w:p>
            <w:pPr>
              <w:spacing w:after="0"/>
              <w:rPr>
                <w:sz w:val="22"/>
                <w:szCs w:val="22"/>
                <w:color w:val="auto"/>
              </w:rPr>
            </w:pPr>
          </w:p>
        </w:tc>
        <w:tc>
          <w:tcPr>
            <w:tcW w:w="3680" w:type="dxa"/>
            <w:vAlign w:val="bottom"/>
            <w:tcBorders>
              <w:top w:val="single" w:sz="8" w:color="auto"/>
              <w:bottom w:val="single" w:sz="8" w:color="auto"/>
              <w:right w:val="single" w:sz="8" w:color="auto"/>
            </w:tcBorders>
            <w:gridSpan w:val="5"/>
            <w:shd w:val="clear" w:color="auto" w:fill="D9D9D9"/>
          </w:tcPr>
          <w:p>
            <w:pPr>
              <w:jc w:val="right"/>
              <w:ind w:right="608"/>
              <w:spacing w:after="0"/>
              <w:rPr>
                <w:sz w:val="20"/>
                <w:szCs w:val="20"/>
                <w:color w:val="auto"/>
              </w:rPr>
            </w:pPr>
            <w:r>
              <w:rPr>
                <w:rFonts w:ascii="Arial" w:cs="Arial" w:eastAsia="Arial" w:hAnsi="Arial"/>
                <w:sz w:val="14"/>
                <w:szCs w:val="14"/>
                <w:b w:val="1"/>
                <w:bCs w:val="1"/>
                <w:color w:val="auto"/>
              </w:rPr>
              <w:t>Impacts of 3Q18 significant variances</w:t>
            </w:r>
          </w:p>
        </w:tc>
        <w:tc>
          <w:tcPr>
            <w:tcW w:w="1020" w:type="dxa"/>
            <w:vAlign w:val="bottom"/>
            <w:tcBorders>
              <w:top w:val="single" w:sz="8" w:color="auto"/>
              <w:bottom w:val="single" w:sz="8" w:color="D9D9D9"/>
              <w:right w:val="single" w:sz="8" w:color="auto"/>
            </w:tcBorders>
            <w:shd w:val="clear" w:color="auto" w:fill="D9D9D9"/>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940" w:type="dxa"/>
            <w:vAlign w:val="bottom"/>
            <w:tcBorders>
              <w:left w:val="single" w:sz="8" w:color="auto"/>
              <w:right w:val="single" w:sz="8" w:color="auto"/>
            </w:tcBorders>
            <w:shd w:val="clear" w:color="auto" w:fill="D9D9D9"/>
          </w:tcPr>
          <w:p>
            <w:pPr>
              <w:spacing w:after="0"/>
              <w:rPr>
                <w:sz w:val="13"/>
                <w:szCs w:val="13"/>
                <w:color w:val="auto"/>
              </w:rPr>
            </w:pPr>
          </w:p>
        </w:tc>
        <w:tc>
          <w:tcPr>
            <w:tcW w:w="1260" w:type="dxa"/>
            <w:vAlign w:val="bottom"/>
            <w:tcBorders>
              <w:right w:val="single" w:sz="8" w:color="auto"/>
            </w:tcBorders>
            <w:shd w:val="clear" w:color="auto" w:fill="D9D9D9"/>
          </w:tcPr>
          <w:p>
            <w:pPr>
              <w:spacing w:after="0"/>
              <w:rPr>
                <w:sz w:val="13"/>
                <w:szCs w:val="13"/>
                <w:color w:val="auto"/>
              </w:rPr>
            </w:pPr>
          </w:p>
        </w:tc>
        <w:tc>
          <w:tcPr>
            <w:tcW w:w="120" w:type="dxa"/>
            <w:vAlign w:val="bottom"/>
            <w:shd w:val="clear" w:color="auto" w:fill="D9D9D9"/>
          </w:tcPr>
          <w:p>
            <w:pPr>
              <w:spacing w:after="0"/>
              <w:rPr>
                <w:sz w:val="13"/>
                <w:szCs w:val="13"/>
                <w:color w:val="auto"/>
              </w:rPr>
            </w:pPr>
          </w:p>
        </w:tc>
        <w:tc>
          <w:tcPr>
            <w:tcW w:w="1180" w:type="dxa"/>
            <w:vAlign w:val="bottom"/>
            <w:tcBorders>
              <w:right w:val="single" w:sz="8" w:color="auto"/>
            </w:tcBorders>
            <w:shd w:val="clear" w:color="auto" w:fill="D9D9D9"/>
          </w:tcPr>
          <w:p>
            <w:pPr>
              <w:jc w:val="center"/>
              <w:ind w:right="88"/>
              <w:spacing w:after="0" w:line="153" w:lineRule="exact"/>
              <w:rPr>
                <w:sz w:val="20"/>
                <w:szCs w:val="20"/>
                <w:color w:val="auto"/>
              </w:rPr>
            </w:pPr>
            <w:r>
              <w:rPr>
                <w:rFonts w:ascii="Arial" w:cs="Arial" w:eastAsia="Arial" w:hAnsi="Arial"/>
                <w:sz w:val="14"/>
                <w:szCs w:val="14"/>
                <w:b w:val="1"/>
                <w:bCs w:val="1"/>
                <w:color w:val="auto"/>
                <w:w w:val="93"/>
              </w:rPr>
              <w:t>Accelerated</w:t>
            </w:r>
          </w:p>
        </w:tc>
        <w:tc>
          <w:tcPr>
            <w:tcW w:w="140" w:type="dxa"/>
            <w:vAlign w:val="bottom"/>
            <w:shd w:val="clear" w:color="auto" w:fill="D9D9D9"/>
          </w:tcPr>
          <w:p>
            <w:pPr>
              <w:spacing w:after="0"/>
              <w:rPr>
                <w:sz w:val="13"/>
                <w:szCs w:val="13"/>
                <w:color w:val="auto"/>
              </w:rPr>
            </w:pPr>
          </w:p>
        </w:tc>
        <w:tc>
          <w:tcPr>
            <w:tcW w:w="980" w:type="dxa"/>
            <w:vAlign w:val="bottom"/>
            <w:tcBorders>
              <w:right w:val="single" w:sz="8" w:color="auto"/>
            </w:tcBorders>
            <w:vMerge w:val="restart"/>
            <w:shd w:val="clear" w:color="auto" w:fill="D9D9D9"/>
          </w:tcPr>
          <w:p>
            <w:pPr>
              <w:jc w:val="center"/>
              <w:ind w:right="108"/>
              <w:spacing w:after="0"/>
              <w:rPr>
                <w:sz w:val="20"/>
                <w:szCs w:val="20"/>
                <w:color w:val="auto"/>
              </w:rPr>
            </w:pPr>
            <w:r>
              <w:rPr>
                <w:rFonts w:ascii="Arial" w:cs="Arial" w:eastAsia="Arial" w:hAnsi="Arial"/>
                <w:sz w:val="14"/>
                <w:szCs w:val="14"/>
                <w:b w:val="1"/>
                <w:bCs w:val="1"/>
                <w:color w:val="auto"/>
                <w:w w:val="95"/>
              </w:rPr>
              <w:t>Variable</w:t>
            </w:r>
          </w:p>
        </w:tc>
        <w:tc>
          <w:tcPr>
            <w:tcW w:w="1020" w:type="dxa"/>
            <w:vAlign w:val="bottom"/>
            <w:tcBorders>
              <w:right w:val="single" w:sz="8" w:color="auto"/>
            </w:tcBorders>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940" w:type="dxa"/>
            <w:vAlign w:val="bottom"/>
            <w:tcBorders>
              <w:left w:val="single" w:sz="8" w:color="auto"/>
              <w:right w:val="single" w:sz="8" w:color="auto"/>
            </w:tcBorders>
            <w:shd w:val="clear" w:color="auto" w:fill="D9D9D9"/>
          </w:tcPr>
          <w:p>
            <w:pPr>
              <w:spacing w:after="0"/>
              <w:rPr>
                <w:sz w:val="5"/>
                <w:szCs w:val="5"/>
                <w:color w:val="auto"/>
              </w:rPr>
            </w:pPr>
          </w:p>
        </w:tc>
        <w:tc>
          <w:tcPr>
            <w:tcW w:w="1260" w:type="dxa"/>
            <w:vAlign w:val="bottom"/>
            <w:tcBorders>
              <w:right w:val="single" w:sz="8" w:color="auto"/>
            </w:tcBorders>
            <w:vMerge w:val="restart"/>
            <w:shd w:val="clear" w:color="auto" w:fill="D9D9D9"/>
          </w:tcPr>
          <w:p>
            <w:pPr>
              <w:jc w:val="right"/>
              <w:ind w:right="268"/>
              <w:spacing w:after="0" w:line="149" w:lineRule="exact"/>
              <w:rPr>
                <w:sz w:val="20"/>
                <w:szCs w:val="20"/>
                <w:color w:val="auto"/>
              </w:rPr>
            </w:pPr>
            <w:r>
              <w:rPr>
                <w:rFonts w:ascii="Arial" w:cs="Arial" w:eastAsia="Arial" w:hAnsi="Arial"/>
                <w:sz w:val="14"/>
                <w:szCs w:val="14"/>
                <w:b w:val="1"/>
                <w:bCs w:val="1"/>
                <w:color w:val="auto"/>
              </w:rPr>
              <w:t>Actuarial</w:t>
            </w:r>
          </w:p>
        </w:tc>
        <w:tc>
          <w:tcPr>
            <w:tcW w:w="120" w:type="dxa"/>
            <w:vAlign w:val="bottom"/>
            <w:shd w:val="clear" w:color="auto" w:fill="D9D9D9"/>
          </w:tcPr>
          <w:p>
            <w:pPr>
              <w:spacing w:after="0"/>
              <w:rPr>
                <w:sz w:val="5"/>
                <w:szCs w:val="5"/>
                <w:color w:val="auto"/>
              </w:rPr>
            </w:pPr>
          </w:p>
        </w:tc>
        <w:tc>
          <w:tcPr>
            <w:tcW w:w="1180" w:type="dxa"/>
            <w:vAlign w:val="bottom"/>
            <w:tcBorders>
              <w:right w:val="single" w:sz="8" w:color="auto"/>
            </w:tcBorders>
            <w:vMerge w:val="restart"/>
            <w:shd w:val="clear" w:color="auto" w:fill="D9D9D9"/>
          </w:tcPr>
          <w:p>
            <w:pPr>
              <w:jc w:val="center"/>
              <w:ind w:right="88"/>
              <w:spacing w:after="0" w:line="149" w:lineRule="exact"/>
              <w:rPr>
                <w:sz w:val="20"/>
                <w:szCs w:val="20"/>
                <w:color w:val="auto"/>
              </w:rPr>
            </w:pPr>
            <w:r>
              <w:rPr>
                <w:rFonts w:ascii="Arial" w:cs="Arial" w:eastAsia="Arial" w:hAnsi="Arial"/>
                <w:sz w:val="14"/>
                <w:szCs w:val="14"/>
                <w:b w:val="1"/>
                <w:bCs w:val="1"/>
                <w:color w:val="auto"/>
                <w:w w:val="93"/>
              </w:rPr>
              <w:t>performance fee</w:t>
            </w:r>
          </w:p>
        </w:tc>
        <w:tc>
          <w:tcPr>
            <w:tcW w:w="140" w:type="dxa"/>
            <w:vAlign w:val="bottom"/>
            <w:shd w:val="clear" w:color="auto" w:fill="D9D9D9"/>
          </w:tcPr>
          <w:p>
            <w:pPr>
              <w:spacing w:after="0"/>
              <w:rPr>
                <w:sz w:val="5"/>
                <w:szCs w:val="5"/>
                <w:color w:val="auto"/>
              </w:rPr>
            </w:pPr>
          </w:p>
        </w:tc>
        <w:tc>
          <w:tcPr>
            <w:tcW w:w="980" w:type="dxa"/>
            <w:vAlign w:val="bottom"/>
            <w:tcBorders>
              <w:right w:val="single" w:sz="8" w:color="auto"/>
            </w:tcBorders>
            <w:vMerge w:val="continue"/>
            <w:shd w:val="clear" w:color="auto" w:fill="D9D9D9"/>
          </w:tcPr>
          <w:p>
            <w:pPr>
              <w:spacing w:after="0"/>
              <w:rPr>
                <w:sz w:val="5"/>
                <w:szCs w:val="5"/>
                <w:color w:val="auto"/>
              </w:rPr>
            </w:pPr>
          </w:p>
        </w:tc>
        <w:tc>
          <w:tcPr>
            <w:tcW w:w="1020" w:type="dxa"/>
            <w:vAlign w:val="bottom"/>
            <w:tcBorders>
              <w:right w:val="single" w:sz="8" w:color="auto"/>
            </w:tcBorders>
            <w:vMerge w:val="restart"/>
            <w:shd w:val="clear" w:color="auto" w:fill="D9D9D9"/>
          </w:tcPr>
          <w:p>
            <w:pPr>
              <w:jc w:val="center"/>
              <w:spacing w:after="0" w:line="149" w:lineRule="exact"/>
              <w:rPr>
                <w:sz w:val="20"/>
                <w:szCs w:val="20"/>
                <w:color w:val="auto"/>
              </w:rPr>
            </w:pPr>
            <w:r>
              <w:rPr>
                <w:rFonts w:ascii="Arial" w:cs="Arial" w:eastAsia="Arial" w:hAnsi="Arial"/>
                <w:sz w:val="14"/>
                <w:szCs w:val="14"/>
                <w:b w:val="1"/>
                <w:bCs w:val="1"/>
                <w:color w:val="auto"/>
                <w:w w:val="92"/>
              </w:rPr>
              <w:t>3Q18 excluding</w:t>
            </w:r>
          </w:p>
        </w:tc>
        <w:tc>
          <w:tcPr>
            <w:tcW w:w="0" w:type="dxa"/>
            <w:vAlign w:val="bottom"/>
          </w:tcPr>
          <w:p>
            <w:pPr>
              <w:spacing w:after="0"/>
              <w:rPr>
                <w:sz w:val="1"/>
                <w:szCs w:val="1"/>
                <w:color w:val="auto"/>
              </w:rPr>
            </w:pPr>
          </w:p>
        </w:tc>
      </w:tr>
      <w:tr>
        <w:trPr>
          <w:trHeight w:val="81"/>
        </w:trPr>
        <w:tc>
          <w:tcPr>
            <w:tcW w:w="940" w:type="dxa"/>
            <w:vAlign w:val="bottom"/>
            <w:tcBorders>
              <w:left w:val="single" w:sz="8" w:color="auto"/>
              <w:right w:val="single" w:sz="8" w:color="auto"/>
            </w:tcBorders>
            <w:vMerge w:val="restart"/>
            <w:shd w:val="clear" w:color="auto" w:fill="D9D9D9"/>
          </w:tcPr>
          <w:p>
            <w:pPr>
              <w:jc w:val="right"/>
              <w:ind w:right="228"/>
              <w:spacing w:after="0"/>
              <w:rPr>
                <w:sz w:val="20"/>
                <w:szCs w:val="20"/>
                <w:color w:val="auto"/>
              </w:rPr>
            </w:pPr>
            <w:r>
              <w:rPr>
                <w:rFonts w:ascii="Arial" w:cs="Arial" w:eastAsia="Arial" w:hAnsi="Arial"/>
                <w:sz w:val="14"/>
                <w:szCs w:val="14"/>
                <w:b w:val="1"/>
                <w:bCs w:val="1"/>
                <w:color w:val="auto"/>
              </w:rPr>
              <w:t>3Q18</w:t>
            </w:r>
          </w:p>
        </w:tc>
        <w:tc>
          <w:tcPr>
            <w:tcW w:w="1260" w:type="dxa"/>
            <w:vAlign w:val="bottom"/>
            <w:tcBorders>
              <w:right w:val="single" w:sz="8" w:color="auto"/>
            </w:tcBorders>
            <w:vMerge w:val="continue"/>
            <w:shd w:val="clear" w:color="auto" w:fill="D9D9D9"/>
          </w:tcPr>
          <w:p>
            <w:pPr>
              <w:spacing w:after="0"/>
              <w:rPr>
                <w:sz w:val="7"/>
                <w:szCs w:val="7"/>
                <w:color w:val="auto"/>
              </w:rPr>
            </w:pPr>
          </w:p>
        </w:tc>
        <w:tc>
          <w:tcPr>
            <w:tcW w:w="120" w:type="dxa"/>
            <w:vAlign w:val="bottom"/>
            <w:shd w:val="clear" w:color="auto" w:fill="D9D9D9"/>
          </w:tcPr>
          <w:p>
            <w:pPr>
              <w:spacing w:after="0"/>
              <w:rPr>
                <w:sz w:val="7"/>
                <w:szCs w:val="7"/>
                <w:color w:val="auto"/>
              </w:rPr>
            </w:pPr>
          </w:p>
        </w:tc>
        <w:tc>
          <w:tcPr>
            <w:tcW w:w="1180" w:type="dxa"/>
            <w:vAlign w:val="bottom"/>
            <w:tcBorders>
              <w:right w:val="single" w:sz="8" w:color="auto"/>
            </w:tcBorders>
            <w:vMerge w:val="continue"/>
            <w:shd w:val="clear" w:color="auto" w:fill="D9D9D9"/>
          </w:tcPr>
          <w:p>
            <w:pPr>
              <w:spacing w:after="0"/>
              <w:rPr>
                <w:sz w:val="7"/>
                <w:szCs w:val="7"/>
                <w:color w:val="auto"/>
              </w:rPr>
            </w:pPr>
          </w:p>
        </w:tc>
        <w:tc>
          <w:tcPr>
            <w:tcW w:w="140" w:type="dxa"/>
            <w:vAlign w:val="bottom"/>
            <w:shd w:val="clear" w:color="auto" w:fill="D9D9D9"/>
          </w:tcPr>
          <w:p>
            <w:pPr>
              <w:spacing w:after="0"/>
              <w:rPr>
                <w:sz w:val="7"/>
                <w:szCs w:val="7"/>
                <w:color w:val="auto"/>
              </w:rPr>
            </w:pPr>
          </w:p>
        </w:tc>
        <w:tc>
          <w:tcPr>
            <w:tcW w:w="980" w:type="dxa"/>
            <w:vAlign w:val="bottom"/>
            <w:tcBorders>
              <w:right w:val="single" w:sz="8" w:color="auto"/>
            </w:tcBorders>
            <w:vMerge w:val="restart"/>
            <w:shd w:val="clear" w:color="auto" w:fill="D9D9D9"/>
          </w:tcPr>
          <w:p>
            <w:pPr>
              <w:jc w:val="center"/>
              <w:ind w:right="128"/>
              <w:spacing w:after="0" w:line="149" w:lineRule="exact"/>
              <w:rPr>
                <w:sz w:val="20"/>
                <w:szCs w:val="20"/>
                <w:color w:val="auto"/>
              </w:rPr>
            </w:pPr>
            <w:r>
              <w:rPr>
                <w:rFonts w:ascii="Arial" w:cs="Arial" w:eastAsia="Arial" w:hAnsi="Arial"/>
                <w:sz w:val="14"/>
                <w:szCs w:val="14"/>
                <w:b w:val="1"/>
                <w:bCs w:val="1"/>
                <w:color w:val="auto"/>
                <w:w w:val="89"/>
              </w:rPr>
              <w:t>investment</w:t>
            </w:r>
          </w:p>
        </w:tc>
        <w:tc>
          <w:tcPr>
            <w:tcW w:w="1020" w:type="dxa"/>
            <w:vAlign w:val="bottom"/>
            <w:tcBorders>
              <w:right w:val="single" w:sz="8" w:color="auto"/>
            </w:tcBorders>
            <w:vMerge w:val="continue"/>
            <w:shd w:val="clear" w:color="auto" w:fill="D9D9D9"/>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940" w:type="dxa"/>
            <w:vAlign w:val="bottom"/>
            <w:tcBorders>
              <w:left w:val="single" w:sz="8" w:color="auto"/>
              <w:right w:val="single" w:sz="8" w:color="auto"/>
            </w:tcBorders>
            <w:vMerge w:val="continue"/>
            <w:shd w:val="clear" w:color="auto" w:fill="D9D9D9"/>
          </w:tcPr>
          <w:p>
            <w:pPr>
              <w:spacing w:after="0"/>
              <w:rPr>
                <w:sz w:val="5"/>
                <w:szCs w:val="5"/>
                <w:color w:val="auto"/>
              </w:rPr>
            </w:pPr>
          </w:p>
        </w:tc>
        <w:tc>
          <w:tcPr>
            <w:tcW w:w="1260" w:type="dxa"/>
            <w:vAlign w:val="bottom"/>
            <w:tcBorders>
              <w:right w:val="single" w:sz="8" w:color="auto"/>
            </w:tcBorders>
            <w:vMerge w:val="restart"/>
            <w:shd w:val="clear" w:color="auto" w:fill="D9D9D9"/>
          </w:tcPr>
          <w:p>
            <w:pPr>
              <w:jc w:val="right"/>
              <w:spacing w:after="0" w:line="145" w:lineRule="exact"/>
              <w:rPr>
                <w:sz w:val="20"/>
                <w:szCs w:val="20"/>
                <w:color w:val="auto"/>
              </w:rPr>
            </w:pPr>
            <w:r>
              <w:rPr>
                <w:rFonts w:ascii="Arial" w:cs="Arial" w:eastAsia="Arial" w:hAnsi="Arial"/>
                <w:sz w:val="14"/>
                <w:szCs w:val="14"/>
                <w:b w:val="1"/>
                <w:bCs w:val="1"/>
                <w:color w:val="auto"/>
                <w:w w:val="93"/>
              </w:rPr>
              <w:t>assumption review</w:t>
            </w:r>
          </w:p>
        </w:tc>
        <w:tc>
          <w:tcPr>
            <w:tcW w:w="120" w:type="dxa"/>
            <w:vAlign w:val="bottom"/>
            <w:shd w:val="clear" w:color="auto" w:fill="D9D9D9"/>
          </w:tcPr>
          <w:p>
            <w:pPr>
              <w:spacing w:after="0"/>
              <w:rPr>
                <w:sz w:val="5"/>
                <w:szCs w:val="5"/>
                <w:color w:val="auto"/>
              </w:rPr>
            </w:pPr>
          </w:p>
        </w:tc>
        <w:tc>
          <w:tcPr>
            <w:tcW w:w="1180" w:type="dxa"/>
            <w:vAlign w:val="bottom"/>
            <w:tcBorders>
              <w:right w:val="single" w:sz="8" w:color="auto"/>
            </w:tcBorders>
            <w:vMerge w:val="restart"/>
            <w:shd w:val="clear" w:color="auto" w:fill="D9D9D9"/>
          </w:tcPr>
          <w:p>
            <w:pPr>
              <w:jc w:val="center"/>
              <w:ind w:right="88"/>
              <w:spacing w:after="0" w:line="145" w:lineRule="exact"/>
              <w:rPr>
                <w:sz w:val="20"/>
                <w:szCs w:val="20"/>
                <w:color w:val="auto"/>
              </w:rPr>
            </w:pPr>
            <w:r>
              <w:rPr>
                <w:rFonts w:ascii="Arial" w:cs="Arial" w:eastAsia="Arial" w:hAnsi="Arial"/>
                <w:sz w:val="14"/>
                <w:szCs w:val="14"/>
                <w:b w:val="1"/>
                <w:bCs w:val="1"/>
                <w:color w:val="auto"/>
                <w:w w:val="91"/>
              </w:rPr>
              <w:t>and elevated</w:t>
            </w:r>
          </w:p>
        </w:tc>
        <w:tc>
          <w:tcPr>
            <w:tcW w:w="140" w:type="dxa"/>
            <w:vAlign w:val="bottom"/>
            <w:shd w:val="clear" w:color="auto" w:fill="D9D9D9"/>
          </w:tcPr>
          <w:p>
            <w:pPr>
              <w:spacing w:after="0"/>
              <w:rPr>
                <w:sz w:val="5"/>
                <w:szCs w:val="5"/>
                <w:color w:val="auto"/>
              </w:rPr>
            </w:pPr>
          </w:p>
        </w:tc>
        <w:tc>
          <w:tcPr>
            <w:tcW w:w="980" w:type="dxa"/>
            <w:vAlign w:val="bottom"/>
            <w:tcBorders>
              <w:right w:val="single" w:sz="8" w:color="auto"/>
            </w:tcBorders>
            <w:vMerge w:val="continue"/>
            <w:shd w:val="clear" w:color="auto" w:fill="D9D9D9"/>
          </w:tcPr>
          <w:p>
            <w:pPr>
              <w:spacing w:after="0"/>
              <w:rPr>
                <w:sz w:val="5"/>
                <w:szCs w:val="5"/>
                <w:color w:val="auto"/>
              </w:rPr>
            </w:pPr>
          </w:p>
        </w:tc>
        <w:tc>
          <w:tcPr>
            <w:tcW w:w="1020" w:type="dxa"/>
            <w:vAlign w:val="bottom"/>
            <w:tcBorders>
              <w:right w:val="single" w:sz="8" w:color="auto"/>
            </w:tcBorders>
            <w:vMerge w:val="restart"/>
            <w:shd w:val="clear" w:color="auto" w:fill="D9D9D9"/>
          </w:tcPr>
          <w:p>
            <w:pPr>
              <w:jc w:val="center"/>
              <w:spacing w:after="0" w:line="145" w:lineRule="exact"/>
              <w:rPr>
                <w:sz w:val="20"/>
                <w:szCs w:val="20"/>
                <w:color w:val="auto"/>
              </w:rPr>
            </w:pPr>
            <w:r>
              <w:rPr>
                <w:rFonts w:ascii="Arial" w:cs="Arial" w:eastAsia="Arial" w:hAnsi="Arial"/>
                <w:sz w:val="14"/>
                <w:szCs w:val="14"/>
                <w:b w:val="1"/>
                <w:bCs w:val="1"/>
                <w:color w:val="auto"/>
                <w:w w:val="91"/>
              </w:rPr>
              <w:t>significant</w:t>
            </w:r>
          </w:p>
        </w:tc>
        <w:tc>
          <w:tcPr>
            <w:tcW w:w="0" w:type="dxa"/>
            <w:vAlign w:val="bottom"/>
          </w:tcPr>
          <w:p>
            <w:pPr>
              <w:spacing w:after="0"/>
              <w:rPr>
                <w:sz w:val="1"/>
                <w:szCs w:val="1"/>
                <w:color w:val="auto"/>
              </w:rPr>
            </w:pPr>
          </w:p>
        </w:tc>
      </w:tr>
      <w:tr>
        <w:trPr>
          <w:trHeight w:val="77"/>
        </w:trPr>
        <w:tc>
          <w:tcPr>
            <w:tcW w:w="940" w:type="dxa"/>
            <w:vAlign w:val="bottom"/>
            <w:tcBorders>
              <w:left w:val="single" w:sz="8" w:color="auto"/>
              <w:right w:val="single" w:sz="8" w:color="auto"/>
            </w:tcBorders>
            <w:vMerge w:val="continue"/>
            <w:shd w:val="clear" w:color="auto" w:fill="D9D9D9"/>
          </w:tcPr>
          <w:p>
            <w:pPr>
              <w:spacing w:after="0"/>
              <w:rPr>
                <w:sz w:val="6"/>
                <w:szCs w:val="6"/>
                <w:color w:val="auto"/>
              </w:rPr>
            </w:pPr>
          </w:p>
        </w:tc>
        <w:tc>
          <w:tcPr>
            <w:tcW w:w="1260" w:type="dxa"/>
            <w:vAlign w:val="bottom"/>
            <w:tcBorders>
              <w:right w:val="single" w:sz="8" w:color="auto"/>
            </w:tcBorders>
            <w:vMerge w:val="continue"/>
            <w:shd w:val="clear" w:color="auto" w:fill="D9D9D9"/>
          </w:tcPr>
          <w:p>
            <w:pPr>
              <w:spacing w:after="0"/>
              <w:rPr>
                <w:sz w:val="6"/>
                <w:szCs w:val="6"/>
                <w:color w:val="auto"/>
              </w:rPr>
            </w:pPr>
          </w:p>
        </w:tc>
        <w:tc>
          <w:tcPr>
            <w:tcW w:w="120" w:type="dxa"/>
            <w:vAlign w:val="bottom"/>
            <w:shd w:val="clear" w:color="auto" w:fill="D9D9D9"/>
          </w:tcPr>
          <w:p>
            <w:pPr>
              <w:spacing w:after="0"/>
              <w:rPr>
                <w:sz w:val="6"/>
                <w:szCs w:val="6"/>
                <w:color w:val="auto"/>
              </w:rPr>
            </w:pPr>
          </w:p>
        </w:tc>
        <w:tc>
          <w:tcPr>
            <w:tcW w:w="1180" w:type="dxa"/>
            <w:vAlign w:val="bottom"/>
            <w:tcBorders>
              <w:right w:val="single" w:sz="8" w:color="auto"/>
            </w:tcBorders>
            <w:vMerge w:val="continue"/>
            <w:shd w:val="clear" w:color="auto" w:fill="D9D9D9"/>
          </w:tcPr>
          <w:p>
            <w:pPr>
              <w:spacing w:after="0"/>
              <w:rPr>
                <w:sz w:val="6"/>
                <w:szCs w:val="6"/>
                <w:color w:val="auto"/>
              </w:rPr>
            </w:pPr>
          </w:p>
        </w:tc>
        <w:tc>
          <w:tcPr>
            <w:tcW w:w="140" w:type="dxa"/>
            <w:vAlign w:val="bottom"/>
            <w:shd w:val="clear" w:color="auto" w:fill="D9D9D9"/>
          </w:tcPr>
          <w:p>
            <w:pPr>
              <w:spacing w:after="0"/>
              <w:rPr>
                <w:sz w:val="6"/>
                <w:szCs w:val="6"/>
                <w:color w:val="auto"/>
              </w:rPr>
            </w:pPr>
          </w:p>
        </w:tc>
        <w:tc>
          <w:tcPr>
            <w:tcW w:w="980" w:type="dxa"/>
            <w:vAlign w:val="bottom"/>
            <w:tcBorders>
              <w:right w:val="single" w:sz="8" w:color="auto"/>
            </w:tcBorders>
            <w:vMerge w:val="restart"/>
            <w:shd w:val="clear" w:color="auto" w:fill="D9D9D9"/>
          </w:tcPr>
          <w:p>
            <w:pPr>
              <w:jc w:val="center"/>
              <w:ind w:right="108"/>
              <w:spacing w:after="0"/>
              <w:rPr>
                <w:sz w:val="20"/>
                <w:szCs w:val="20"/>
                <w:color w:val="auto"/>
              </w:rPr>
            </w:pPr>
            <w:r>
              <w:rPr>
                <w:rFonts w:ascii="Arial" w:cs="Arial" w:eastAsia="Arial" w:hAnsi="Arial"/>
                <w:sz w:val="14"/>
                <w:szCs w:val="14"/>
                <w:b w:val="1"/>
                <w:bCs w:val="1"/>
                <w:color w:val="auto"/>
                <w:w w:val="89"/>
              </w:rPr>
              <w:t>income</w:t>
            </w:r>
          </w:p>
        </w:tc>
        <w:tc>
          <w:tcPr>
            <w:tcW w:w="1020" w:type="dxa"/>
            <w:vAlign w:val="bottom"/>
            <w:tcBorders>
              <w:right w:val="single" w:sz="8" w:color="auto"/>
            </w:tcBorders>
            <w:vMerge w:val="continue"/>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940" w:type="dxa"/>
            <w:vAlign w:val="bottom"/>
            <w:tcBorders>
              <w:left w:val="single" w:sz="8" w:color="auto"/>
              <w:right w:val="single" w:sz="8" w:color="auto"/>
            </w:tcBorders>
            <w:vMerge w:val="restart"/>
            <w:shd w:val="clear" w:color="auto" w:fill="D9D9D9"/>
          </w:tcPr>
          <w:p>
            <w:pPr>
              <w:jc w:val="right"/>
              <w:ind w:right="8"/>
              <w:spacing w:after="0"/>
              <w:rPr>
                <w:sz w:val="20"/>
                <w:szCs w:val="20"/>
                <w:color w:val="auto"/>
              </w:rPr>
            </w:pPr>
            <w:r>
              <w:rPr>
                <w:rFonts w:ascii="Arial" w:cs="Arial" w:eastAsia="Arial" w:hAnsi="Arial"/>
                <w:sz w:val="14"/>
                <w:szCs w:val="14"/>
                <w:b w:val="1"/>
                <w:bCs w:val="1"/>
                <w:color w:val="auto"/>
              </w:rPr>
              <w:t>as reported</w:t>
            </w:r>
          </w:p>
        </w:tc>
        <w:tc>
          <w:tcPr>
            <w:tcW w:w="1260" w:type="dxa"/>
            <w:vAlign w:val="bottom"/>
            <w:tcBorders>
              <w:right w:val="single" w:sz="8" w:color="auto"/>
            </w:tcBorders>
            <w:shd w:val="clear" w:color="auto" w:fill="D9D9D9"/>
          </w:tcPr>
          <w:p>
            <w:pPr>
              <w:spacing w:after="0"/>
              <w:rPr>
                <w:sz w:val="9"/>
                <w:szCs w:val="9"/>
                <w:color w:val="auto"/>
              </w:rPr>
            </w:pPr>
          </w:p>
        </w:tc>
        <w:tc>
          <w:tcPr>
            <w:tcW w:w="120" w:type="dxa"/>
            <w:vAlign w:val="bottom"/>
            <w:shd w:val="clear" w:color="auto" w:fill="D9D9D9"/>
          </w:tcPr>
          <w:p>
            <w:pPr>
              <w:spacing w:after="0"/>
              <w:rPr>
                <w:sz w:val="9"/>
                <w:szCs w:val="9"/>
                <w:color w:val="auto"/>
              </w:rPr>
            </w:pPr>
          </w:p>
        </w:tc>
        <w:tc>
          <w:tcPr>
            <w:tcW w:w="1180" w:type="dxa"/>
            <w:vAlign w:val="bottom"/>
            <w:tcBorders>
              <w:right w:val="single" w:sz="8" w:color="auto"/>
            </w:tcBorders>
            <w:vMerge w:val="restart"/>
            <w:shd w:val="clear" w:color="auto" w:fill="D9D9D9"/>
          </w:tcPr>
          <w:p>
            <w:pPr>
              <w:jc w:val="center"/>
              <w:ind w:right="88"/>
              <w:spacing w:after="0"/>
              <w:rPr>
                <w:sz w:val="20"/>
                <w:szCs w:val="20"/>
                <w:color w:val="auto"/>
              </w:rPr>
            </w:pPr>
            <w:r>
              <w:rPr>
                <w:rFonts w:ascii="Arial" w:cs="Arial" w:eastAsia="Arial" w:hAnsi="Arial"/>
                <w:sz w:val="14"/>
                <w:szCs w:val="14"/>
                <w:b w:val="1"/>
                <w:bCs w:val="1"/>
                <w:color w:val="auto"/>
                <w:w w:val="84"/>
              </w:rPr>
              <w:t>expenses</w:t>
            </w:r>
          </w:p>
        </w:tc>
        <w:tc>
          <w:tcPr>
            <w:tcW w:w="140" w:type="dxa"/>
            <w:vAlign w:val="bottom"/>
            <w:shd w:val="clear" w:color="auto" w:fill="D9D9D9"/>
          </w:tcPr>
          <w:p>
            <w:pPr>
              <w:spacing w:after="0"/>
              <w:rPr>
                <w:sz w:val="9"/>
                <w:szCs w:val="9"/>
                <w:color w:val="auto"/>
              </w:rPr>
            </w:pPr>
          </w:p>
        </w:tc>
        <w:tc>
          <w:tcPr>
            <w:tcW w:w="980" w:type="dxa"/>
            <w:vAlign w:val="bottom"/>
            <w:tcBorders>
              <w:right w:val="single" w:sz="8" w:color="auto"/>
            </w:tcBorders>
            <w:vMerge w:val="continue"/>
            <w:shd w:val="clear" w:color="auto" w:fill="D9D9D9"/>
          </w:tcPr>
          <w:p>
            <w:pPr>
              <w:spacing w:after="0"/>
              <w:rPr>
                <w:sz w:val="9"/>
                <w:szCs w:val="9"/>
                <w:color w:val="auto"/>
              </w:rPr>
            </w:pPr>
          </w:p>
        </w:tc>
        <w:tc>
          <w:tcPr>
            <w:tcW w:w="1020" w:type="dxa"/>
            <w:vAlign w:val="bottom"/>
            <w:tcBorders>
              <w:right w:val="single" w:sz="8" w:color="auto"/>
            </w:tcBorders>
            <w:vMerge w:val="restart"/>
            <w:shd w:val="clear" w:color="auto" w:fill="D9D9D9"/>
          </w:tcPr>
          <w:p>
            <w:pPr>
              <w:jc w:val="center"/>
              <w:spacing w:after="0"/>
              <w:rPr>
                <w:sz w:val="20"/>
                <w:szCs w:val="20"/>
                <w:color w:val="auto"/>
              </w:rPr>
            </w:pPr>
            <w:r>
              <w:rPr>
                <w:rFonts w:ascii="Arial" w:cs="Arial" w:eastAsia="Arial" w:hAnsi="Arial"/>
                <w:sz w:val="14"/>
                <w:szCs w:val="14"/>
                <w:b w:val="1"/>
                <w:bCs w:val="1"/>
                <w:color w:val="auto"/>
                <w:w w:val="89"/>
              </w:rPr>
              <w:t>variances</w:t>
            </w:r>
          </w:p>
        </w:tc>
        <w:tc>
          <w:tcPr>
            <w:tcW w:w="0" w:type="dxa"/>
            <w:vAlign w:val="bottom"/>
          </w:tcPr>
          <w:p>
            <w:pPr>
              <w:spacing w:after="0"/>
              <w:rPr>
                <w:sz w:val="1"/>
                <w:szCs w:val="1"/>
                <w:color w:val="auto"/>
              </w:rPr>
            </w:pPr>
          </w:p>
        </w:tc>
      </w:tr>
      <w:tr>
        <w:trPr>
          <w:trHeight w:val="87"/>
        </w:trPr>
        <w:tc>
          <w:tcPr>
            <w:tcW w:w="940" w:type="dxa"/>
            <w:vAlign w:val="bottom"/>
            <w:tcBorders>
              <w:left w:val="single" w:sz="8" w:color="auto"/>
              <w:bottom w:val="single" w:sz="8" w:color="auto"/>
              <w:right w:val="single" w:sz="8" w:color="auto"/>
            </w:tcBorders>
            <w:vMerge w:val="continue"/>
            <w:shd w:val="clear" w:color="auto" w:fill="D9D9D9"/>
          </w:tcPr>
          <w:p>
            <w:pPr>
              <w:spacing w:after="0"/>
              <w:rPr>
                <w:sz w:val="7"/>
                <w:szCs w:val="7"/>
                <w:color w:val="auto"/>
              </w:rPr>
            </w:pPr>
          </w:p>
        </w:tc>
        <w:tc>
          <w:tcPr>
            <w:tcW w:w="1260" w:type="dxa"/>
            <w:vAlign w:val="bottom"/>
            <w:tcBorders>
              <w:bottom w:val="single" w:sz="8" w:color="auto"/>
              <w:right w:val="single" w:sz="8" w:color="auto"/>
            </w:tcBorders>
            <w:shd w:val="clear" w:color="auto" w:fill="D9D9D9"/>
          </w:tcPr>
          <w:p>
            <w:pPr>
              <w:spacing w:after="0"/>
              <w:rPr>
                <w:sz w:val="7"/>
                <w:szCs w:val="7"/>
                <w:color w:val="auto"/>
              </w:rPr>
            </w:pPr>
          </w:p>
        </w:tc>
        <w:tc>
          <w:tcPr>
            <w:tcW w:w="120" w:type="dxa"/>
            <w:vAlign w:val="bottom"/>
            <w:tcBorders>
              <w:bottom w:val="single" w:sz="8" w:color="auto"/>
            </w:tcBorders>
            <w:shd w:val="clear" w:color="auto" w:fill="D9D9D9"/>
          </w:tcPr>
          <w:p>
            <w:pPr>
              <w:spacing w:after="0"/>
              <w:rPr>
                <w:sz w:val="7"/>
                <w:szCs w:val="7"/>
                <w:color w:val="auto"/>
              </w:rPr>
            </w:pPr>
          </w:p>
        </w:tc>
        <w:tc>
          <w:tcPr>
            <w:tcW w:w="1180" w:type="dxa"/>
            <w:vAlign w:val="bottom"/>
            <w:tcBorders>
              <w:bottom w:val="single" w:sz="8" w:color="auto"/>
              <w:right w:val="single" w:sz="8" w:color="auto"/>
            </w:tcBorders>
            <w:vMerge w:val="continue"/>
            <w:shd w:val="clear" w:color="auto" w:fill="D9D9D9"/>
          </w:tcPr>
          <w:p>
            <w:pPr>
              <w:spacing w:after="0"/>
              <w:rPr>
                <w:sz w:val="7"/>
                <w:szCs w:val="7"/>
                <w:color w:val="auto"/>
              </w:rPr>
            </w:pPr>
          </w:p>
        </w:tc>
        <w:tc>
          <w:tcPr>
            <w:tcW w:w="140" w:type="dxa"/>
            <w:vAlign w:val="bottom"/>
            <w:tcBorders>
              <w:bottom w:val="single" w:sz="8" w:color="auto"/>
            </w:tcBorders>
            <w:shd w:val="clear" w:color="auto" w:fill="D9D9D9"/>
          </w:tcPr>
          <w:p>
            <w:pPr>
              <w:spacing w:after="0"/>
              <w:rPr>
                <w:sz w:val="7"/>
                <w:szCs w:val="7"/>
                <w:color w:val="auto"/>
              </w:rPr>
            </w:pPr>
          </w:p>
        </w:tc>
        <w:tc>
          <w:tcPr>
            <w:tcW w:w="980" w:type="dxa"/>
            <w:vAlign w:val="bottom"/>
            <w:tcBorders>
              <w:bottom w:val="single" w:sz="8" w:color="auto"/>
              <w:right w:val="single" w:sz="8" w:color="auto"/>
            </w:tcBorders>
            <w:shd w:val="clear" w:color="auto" w:fill="D9D9D9"/>
          </w:tcPr>
          <w:p>
            <w:pPr>
              <w:spacing w:after="0"/>
              <w:rPr>
                <w:sz w:val="7"/>
                <w:szCs w:val="7"/>
                <w:color w:val="auto"/>
              </w:rPr>
            </w:pPr>
          </w:p>
        </w:tc>
        <w:tc>
          <w:tcPr>
            <w:tcW w:w="1020" w:type="dxa"/>
            <w:vAlign w:val="bottom"/>
            <w:tcBorders>
              <w:bottom w:val="single" w:sz="8" w:color="auto"/>
              <w:right w:val="single" w:sz="8" w:color="auto"/>
            </w:tcBorders>
            <w:vMerge w:val="continue"/>
            <w:shd w:val="clear" w:color="auto" w:fill="D9D9D9"/>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$ 456.3</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$ 32.1</w:t>
            </w:r>
          </w:p>
        </w:tc>
        <w:tc>
          <w:tcPr>
            <w:tcW w:w="120" w:type="dxa"/>
            <w:vAlign w:val="bottom"/>
          </w:tcPr>
          <w:p>
            <w:pPr>
              <w:spacing w:after="0"/>
              <w:rPr>
                <w:sz w:val="18"/>
                <w:szCs w:val="18"/>
                <w:color w:val="auto"/>
              </w:rPr>
            </w:pP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$ 62.5</w:t>
            </w:r>
          </w:p>
        </w:tc>
        <w:tc>
          <w:tcPr>
            <w:tcW w:w="140" w:type="dxa"/>
            <w:vAlign w:val="bottom"/>
          </w:tcPr>
          <w:p>
            <w:pPr>
              <w:spacing w:after="0"/>
              <w:rPr>
                <w:sz w:val="18"/>
                <w:szCs w:val="18"/>
                <w:color w:val="auto"/>
              </w:rPr>
            </w:pP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$ 18.2</w:t>
            </w:r>
          </w:p>
        </w:tc>
        <w:tc>
          <w:tcPr>
            <w:tcW w:w="102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$ 343.5</w:t>
            </w:r>
          </w:p>
        </w:tc>
        <w:tc>
          <w:tcPr>
            <w:tcW w:w="0" w:type="dxa"/>
            <w:vAlign w:val="bottom"/>
          </w:tcPr>
          <w:p>
            <w:pPr>
              <w:spacing w:after="0"/>
              <w:rPr>
                <w:sz w:val="1"/>
                <w:szCs w:val="1"/>
                <w:color w:val="auto"/>
              </w:rPr>
            </w:pPr>
          </w:p>
        </w:tc>
      </w:tr>
      <w:tr>
        <w:trPr>
          <w:trHeight w:val="384"/>
        </w:trPr>
        <w:tc>
          <w:tcPr>
            <w:tcW w:w="940" w:type="dxa"/>
            <w:vAlign w:val="bottom"/>
            <w:tcBorders>
              <w:left w:val="single" w:sz="8" w:color="auto"/>
              <w:bottom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24.9</w:t>
            </w:r>
          </w:p>
        </w:tc>
        <w:tc>
          <w:tcPr>
            <w:tcW w:w="126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(53.6)</w:t>
            </w:r>
          </w:p>
        </w:tc>
        <w:tc>
          <w:tcPr>
            <w:tcW w:w="120" w:type="dxa"/>
            <w:vAlign w:val="bottom"/>
            <w:tcBorders>
              <w:bottom w:val="single" w:sz="8" w:color="auto"/>
            </w:tcBorders>
          </w:tcPr>
          <w:p>
            <w:pPr>
              <w:spacing w:after="0"/>
              <w:rPr>
                <w:sz w:val="24"/>
                <w:szCs w:val="24"/>
                <w:color w:val="auto"/>
              </w:rPr>
            </w:pPr>
          </w:p>
        </w:tc>
        <w:tc>
          <w:tcPr>
            <w:tcW w:w="118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78.5</w:t>
            </w:r>
          </w:p>
        </w:tc>
        <w:tc>
          <w:tcPr>
            <w:tcW w:w="0" w:type="dxa"/>
            <w:vAlign w:val="bottom"/>
          </w:tcPr>
          <w:p>
            <w:pPr>
              <w:spacing w:after="0"/>
              <w:rPr>
                <w:sz w:val="1"/>
                <w:szCs w:val="1"/>
                <w:color w:val="auto"/>
              </w:rPr>
            </w:pPr>
          </w:p>
        </w:tc>
      </w:tr>
      <w:tr>
        <w:trPr>
          <w:trHeight w:val="217"/>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b w:val="1"/>
                <w:bCs w:val="1"/>
                <w:color w:val="auto"/>
              </w:rPr>
              <w:t>481.2</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(21.5)</w:t>
            </w:r>
          </w:p>
        </w:tc>
        <w:tc>
          <w:tcPr>
            <w:tcW w:w="120" w:type="dxa"/>
            <w:vAlign w:val="bottom"/>
          </w:tcPr>
          <w:p>
            <w:pPr>
              <w:spacing w:after="0"/>
              <w:rPr>
                <w:sz w:val="18"/>
                <w:szCs w:val="18"/>
                <w:color w:val="auto"/>
              </w:rPr>
            </w:pP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62.5</w:t>
            </w:r>
          </w:p>
        </w:tc>
        <w:tc>
          <w:tcPr>
            <w:tcW w:w="140" w:type="dxa"/>
            <w:vAlign w:val="bottom"/>
          </w:tcPr>
          <w:p>
            <w:pPr>
              <w:spacing w:after="0"/>
              <w:rPr>
                <w:sz w:val="18"/>
                <w:szCs w:val="18"/>
                <w:color w:val="auto"/>
              </w:rPr>
            </w:pP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18.2</w:t>
            </w:r>
          </w:p>
        </w:tc>
        <w:tc>
          <w:tcPr>
            <w:tcW w:w="102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b w:val="1"/>
                <w:bCs w:val="1"/>
                <w:color w:val="auto"/>
              </w:rPr>
              <w:t>422.0</w:t>
            </w:r>
          </w:p>
        </w:tc>
        <w:tc>
          <w:tcPr>
            <w:tcW w:w="0" w:type="dxa"/>
            <w:vAlign w:val="bottom"/>
          </w:tcPr>
          <w:p>
            <w:pPr>
              <w:spacing w:after="0"/>
              <w:rPr>
                <w:sz w:val="1"/>
                <w:szCs w:val="1"/>
                <w:color w:val="auto"/>
              </w:rPr>
            </w:pPr>
          </w:p>
        </w:tc>
      </w:tr>
      <w:tr>
        <w:trPr>
          <w:trHeight w:val="309"/>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112.2</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(22.1)</w:t>
            </w:r>
          </w:p>
        </w:tc>
        <w:tc>
          <w:tcPr>
            <w:tcW w:w="120" w:type="dxa"/>
            <w:vAlign w:val="bottom"/>
          </w:tcPr>
          <w:p>
            <w:pPr>
              <w:spacing w:after="0"/>
              <w:rPr>
                <w:sz w:val="24"/>
                <w:szCs w:val="24"/>
                <w:color w:val="auto"/>
              </w:rPr>
            </w:pP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23.1</w:t>
            </w:r>
          </w:p>
        </w:tc>
        <w:tc>
          <w:tcPr>
            <w:tcW w:w="140" w:type="dxa"/>
            <w:vAlign w:val="bottom"/>
          </w:tcPr>
          <w:p>
            <w:pPr>
              <w:spacing w:after="0"/>
              <w:rPr>
                <w:sz w:val="24"/>
                <w:szCs w:val="24"/>
                <w:color w:val="auto"/>
              </w:rPr>
            </w:pP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4.8</w:t>
            </w:r>
          </w:p>
        </w:tc>
        <w:tc>
          <w:tcPr>
            <w:tcW w:w="1020" w:type="dxa"/>
            <w:vAlign w:val="bottom"/>
            <w:tcBorders>
              <w:bottom w:val="single" w:sz="8" w:color="D6D6D6"/>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106.4</w:t>
            </w:r>
          </w:p>
        </w:tc>
        <w:tc>
          <w:tcPr>
            <w:tcW w:w="0" w:type="dxa"/>
            <w:vAlign w:val="bottom"/>
          </w:tcPr>
          <w:p>
            <w:pPr>
              <w:spacing w:after="0"/>
              <w:rPr>
                <w:sz w:val="1"/>
                <w:szCs w:val="1"/>
                <w:color w:val="auto"/>
              </w:rPr>
            </w:pPr>
          </w:p>
        </w:tc>
      </w:tr>
      <w:tr>
        <w:trPr>
          <w:trHeight w:val="238"/>
        </w:trPr>
        <w:tc>
          <w:tcPr>
            <w:tcW w:w="940" w:type="dxa"/>
            <w:vAlign w:val="bottom"/>
            <w:tcBorders>
              <w:top w:val="single" w:sz="8" w:color="auto"/>
              <w:left w:val="single" w:sz="8" w:color="auto"/>
              <w:right w:val="single" w:sz="8" w:color="B9BABB"/>
            </w:tcBorders>
          </w:tcPr>
          <w:p>
            <w:pPr>
              <w:jc w:val="right"/>
              <w:spacing w:after="0"/>
              <w:rPr>
                <w:sz w:val="20"/>
                <w:szCs w:val="20"/>
                <w:color w:val="auto"/>
              </w:rPr>
            </w:pPr>
            <w:r>
              <w:rPr>
                <w:rFonts w:ascii="Arial" w:cs="Arial" w:eastAsia="Arial" w:hAnsi="Arial"/>
                <w:sz w:val="14"/>
                <w:szCs w:val="14"/>
                <w:b w:val="1"/>
                <w:bCs w:val="1"/>
                <w:color w:val="auto"/>
              </w:rPr>
              <w:t>$ 593.4</w:t>
            </w:r>
          </w:p>
        </w:tc>
        <w:tc>
          <w:tcPr>
            <w:tcW w:w="1260" w:type="dxa"/>
            <w:vAlign w:val="bottom"/>
            <w:tcBorders>
              <w:top w:val="single" w:sz="8" w:color="auto"/>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(43.6)</w:t>
            </w:r>
          </w:p>
        </w:tc>
        <w:tc>
          <w:tcPr>
            <w:tcW w:w="120" w:type="dxa"/>
            <w:vAlign w:val="bottom"/>
            <w:tcBorders>
              <w:top w:val="single" w:sz="8" w:color="auto"/>
            </w:tcBorders>
          </w:tcPr>
          <w:p>
            <w:pPr>
              <w:spacing w:after="0"/>
              <w:rPr>
                <w:sz w:val="20"/>
                <w:szCs w:val="20"/>
                <w:color w:val="auto"/>
              </w:rPr>
            </w:pPr>
          </w:p>
        </w:tc>
        <w:tc>
          <w:tcPr>
            <w:tcW w:w="1180" w:type="dxa"/>
            <w:vAlign w:val="bottom"/>
            <w:tcBorders>
              <w:top w:val="single" w:sz="8" w:color="auto"/>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$ 85.6</w:t>
            </w:r>
          </w:p>
        </w:tc>
        <w:tc>
          <w:tcPr>
            <w:tcW w:w="140" w:type="dxa"/>
            <w:vAlign w:val="bottom"/>
            <w:tcBorders>
              <w:top w:val="single" w:sz="8" w:color="auto"/>
            </w:tcBorders>
          </w:tcPr>
          <w:p>
            <w:pPr>
              <w:spacing w:after="0"/>
              <w:rPr>
                <w:sz w:val="20"/>
                <w:szCs w:val="20"/>
                <w:color w:val="auto"/>
              </w:rPr>
            </w:pPr>
          </w:p>
        </w:tc>
        <w:tc>
          <w:tcPr>
            <w:tcW w:w="980" w:type="dxa"/>
            <w:vAlign w:val="bottom"/>
            <w:tcBorders>
              <w:top w:val="single" w:sz="8" w:color="auto"/>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$ 23.0</w:t>
            </w:r>
          </w:p>
        </w:tc>
        <w:tc>
          <w:tcPr>
            <w:tcW w:w="1020" w:type="dxa"/>
            <w:vAlign w:val="bottom"/>
            <w:tcBorders>
              <w:top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b w:val="1"/>
                <w:bCs w:val="1"/>
                <w:color w:val="auto"/>
              </w:rPr>
              <w:t>$ 528.4</w:t>
            </w:r>
          </w:p>
        </w:tc>
        <w:tc>
          <w:tcPr>
            <w:tcW w:w="0" w:type="dxa"/>
            <w:vAlign w:val="bottom"/>
          </w:tcPr>
          <w:p>
            <w:pPr>
              <w:spacing w:after="0"/>
              <w:rPr>
                <w:sz w:val="1"/>
                <w:szCs w:val="1"/>
                <w:color w:val="auto"/>
              </w:rPr>
            </w:pPr>
          </w:p>
        </w:tc>
      </w:tr>
      <w:tr>
        <w:trPr>
          <w:trHeight w:val="120"/>
        </w:trPr>
        <w:tc>
          <w:tcPr>
            <w:tcW w:w="940" w:type="dxa"/>
            <w:vAlign w:val="bottom"/>
            <w:tcBorders>
              <w:left w:val="single" w:sz="8" w:color="auto"/>
              <w:bottom w:val="single" w:sz="8" w:color="auto"/>
              <w:right w:val="single" w:sz="8" w:color="B9BABB"/>
            </w:tcBorders>
          </w:tcPr>
          <w:p>
            <w:pPr>
              <w:spacing w:after="0"/>
              <w:rPr>
                <w:sz w:val="10"/>
                <w:szCs w:val="10"/>
                <w:color w:val="auto"/>
              </w:rPr>
            </w:pPr>
          </w:p>
        </w:tc>
        <w:tc>
          <w:tcPr>
            <w:tcW w:w="1260" w:type="dxa"/>
            <w:vAlign w:val="bottom"/>
            <w:tcBorders>
              <w:bottom w:val="single" w:sz="8" w:color="auto"/>
              <w:right w:val="single" w:sz="8" w:color="B9BABB"/>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180" w:type="dxa"/>
            <w:vAlign w:val="bottom"/>
            <w:tcBorders>
              <w:bottom w:val="single" w:sz="8" w:color="auto"/>
              <w:right w:val="single" w:sz="8" w:color="B9BABB"/>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80" w:type="dxa"/>
            <w:vAlign w:val="bottom"/>
            <w:tcBorders>
              <w:bottom w:val="single" w:sz="8" w:color="auto"/>
              <w:right w:val="single" w:sz="8" w:color="B9BABB"/>
            </w:tcBorders>
          </w:tcPr>
          <w:p>
            <w:pPr>
              <w:spacing w:after="0"/>
              <w:rPr>
                <w:sz w:val="10"/>
                <w:szCs w:val="10"/>
                <w:color w:val="auto"/>
              </w:rPr>
            </w:pPr>
          </w:p>
        </w:tc>
        <w:tc>
          <w:tcPr>
            <w:tcW w:w="1020" w:type="dxa"/>
            <w:vAlign w:val="bottom"/>
            <w:tcBorders>
              <w:bottom w:val="single" w:sz="8" w:color="auto"/>
              <w:right w:val="single" w:sz="8" w:color="auto"/>
            </w:tcBorders>
            <w:shd w:val="clear" w:color="auto" w:fill="D6D6D6"/>
          </w:tcPr>
          <w:p>
            <w:pPr>
              <w:spacing w:after="0"/>
              <w:rPr>
                <w:sz w:val="10"/>
                <w:szCs w:val="10"/>
                <w:color w:val="auto"/>
              </w:rPr>
            </w:pPr>
          </w:p>
        </w:tc>
        <w:tc>
          <w:tcPr>
            <w:tcW w:w="0" w:type="dxa"/>
            <w:vAlign w:val="bottom"/>
          </w:tcPr>
          <w:p>
            <w:pPr>
              <w:spacing w:after="0"/>
              <w:rPr>
                <w:sz w:val="1"/>
                <w:szCs w:val="1"/>
                <w:color w:val="auto"/>
              </w:rPr>
            </w:pPr>
          </w:p>
        </w:tc>
      </w:tr>
      <w:tr>
        <w:trPr>
          <w:trHeight w:val="536"/>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b w:val="1"/>
                <w:bCs w:val="1"/>
                <w:color w:val="auto"/>
              </w:rPr>
              <w:t>$ 1.59</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$ 0.12</w:t>
            </w:r>
          </w:p>
        </w:tc>
        <w:tc>
          <w:tcPr>
            <w:tcW w:w="120" w:type="dxa"/>
            <w:vAlign w:val="bottom"/>
          </w:tcPr>
          <w:p>
            <w:pPr>
              <w:spacing w:after="0"/>
              <w:rPr>
                <w:sz w:val="24"/>
                <w:szCs w:val="24"/>
                <w:color w:val="auto"/>
              </w:rPr>
            </w:pP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$ 0.22</w:t>
            </w:r>
          </w:p>
        </w:tc>
        <w:tc>
          <w:tcPr>
            <w:tcW w:w="140" w:type="dxa"/>
            <w:vAlign w:val="bottom"/>
          </w:tcPr>
          <w:p>
            <w:pPr>
              <w:spacing w:after="0"/>
              <w:rPr>
                <w:sz w:val="24"/>
                <w:szCs w:val="24"/>
                <w:color w:val="auto"/>
              </w:rPr>
            </w:pP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$ 0.06</w:t>
            </w:r>
          </w:p>
        </w:tc>
        <w:tc>
          <w:tcPr>
            <w:tcW w:w="102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b w:val="1"/>
                <w:bCs w:val="1"/>
                <w:color w:val="auto"/>
              </w:rPr>
              <w:t>$ 1.19</w:t>
            </w:r>
          </w:p>
        </w:tc>
        <w:tc>
          <w:tcPr>
            <w:tcW w:w="0" w:type="dxa"/>
            <w:vAlign w:val="bottom"/>
          </w:tcPr>
          <w:p>
            <w:pPr>
              <w:spacing w:after="0"/>
              <w:rPr>
                <w:sz w:val="1"/>
                <w:szCs w:val="1"/>
                <w:color w:val="auto"/>
              </w:rPr>
            </w:pPr>
          </w:p>
        </w:tc>
      </w:tr>
      <w:tr>
        <w:trPr>
          <w:trHeight w:val="398"/>
        </w:trPr>
        <w:tc>
          <w:tcPr>
            <w:tcW w:w="940" w:type="dxa"/>
            <w:vAlign w:val="bottom"/>
            <w:tcBorders>
              <w:left w:val="single" w:sz="8" w:color="auto"/>
              <w:bottom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0.08</w:t>
            </w:r>
          </w:p>
        </w:tc>
        <w:tc>
          <w:tcPr>
            <w:tcW w:w="126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(0.20)</w:t>
            </w:r>
          </w:p>
        </w:tc>
        <w:tc>
          <w:tcPr>
            <w:tcW w:w="120" w:type="dxa"/>
            <w:vAlign w:val="bottom"/>
            <w:tcBorders>
              <w:bottom w:val="single" w:sz="8" w:color="auto"/>
            </w:tcBorders>
          </w:tcPr>
          <w:p>
            <w:pPr>
              <w:spacing w:after="0"/>
              <w:rPr>
                <w:sz w:val="24"/>
                <w:szCs w:val="24"/>
                <w:color w:val="auto"/>
              </w:rPr>
            </w:pPr>
          </w:p>
        </w:tc>
        <w:tc>
          <w:tcPr>
            <w:tcW w:w="118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0.00</w:t>
            </w: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0.00</w:t>
            </w:r>
          </w:p>
        </w:tc>
        <w:tc>
          <w:tcPr>
            <w:tcW w:w="1020" w:type="dxa"/>
            <w:vAlign w:val="bottom"/>
            <w:tcBorders>
              <w:bottom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0.28</w:t>
            </w:r>
          </w:p>
        </w:tc>
        <w:tc>
          <w:tcPr>
            <w:tcW w:w="0" w:type="dxa"/>
            <w:vAlign w:val="bottom"/>
          </w:tcPr>
          <w:p>
            <w:pPr>
              <w:spacing w:after="0"/>
              <w:rPr>
                <w:sz w:val="1"/>
                <w:szCs w:val="1"/>
                <w:color w:val="auto"/>
              </w:rPr>
            </w:pPr>
          </w:p>
        </w:tc>
      </w:tr>
      <w:tr>
        <w:trPr>
          <w:trHeight w:val="283"/>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b w:val="1"/>
                <w:bCs w:val="1"/>
                <w:color w:val="auto"/>
              </w:rPr>
              <w:t>$ 1.67</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(0.08)</w:t>
            </w:r>
          </w:p>
        </w:tc>
        <w:tc>
          <w:tcPr>
            <w:tcW w:w="120" w:type="dxa"/>
            <w:vAlign w:val="bottom"/>
          </w:tcPr>
          <w:p>
            <w:pPr>
              <w:spacing w:after="0"/>
              <w:rPr>
                <w:sz w:val="24"/>
                <w:szCs w:val="24"/>
                <w:color w:val="auto"/>
              </w:rPr>
            </w:pP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$ 0.22</w:t>
            </w:r>
          </w:p>
        </w:tc>
        <w:tc>
          <w:tcPr>
            <w:tcW w:w="140" w:type="dxa"/>
            <w:vAlign w:val="bottom"/>
          </w:tcPr>
          <w:p>
            <w:pPr>
              <w:spacing w:after="0"/>
              <w:rPr>
                <w:sz w:val="24"/>
                <w:szCs w:val="24"/>
                <w:color w:val="auto"/>
              </w:rPr>
            </w:pP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$ 0.06</w:t>
            </w:r>
          </w:p>
        </w:tc>
        <w:tc>
          <w:tcPr>
            <w:tcW w:w="1020" w:type="dxa"/>
            <w:vAlign w:val="bottom"/>
            <w:tcBorders>
              <w:bottom w:val="single" w:sz="8" w:color="D6D6D6"/>
              <w:right w:val="single" w:sz="8" w:color="auto"/>
            </w:tcBorders>
            <w:shd w:val="clear" w:color="auto" w:fill="D6D6D6"/>
          </w:tcPr>
          <w:p>
            <w:pPr>
              <w:jc w:val="right"/>
              <w:spacing w:after="0"/>
              <w:rPr>
                <w:sz w:val="20"/>
                <w:szCs w:val="20"/>
                <w:color w:val="auto"/>
              </w:rPr>
            </w:pPr>
            <w:r>
              <w:rPr>
                <w:rFonts w:ascii="Arial" w:cs="Arial" w:eastAsia="Arial" w:hAnsi="Arial"/>
                <w:sz w:val="14"/>
                <w:szCs w:val="14"/>
                <w:b w:val="1"/>
                <w:bCs w:val="1"/>
                <w:color w:val="auto"/>
              </w:rPr>
              <w:t>$ 1.47</w:t>
            </w:r>
          </w:p>
        </w:tc>
        <w:tc>
          <w:tcPr>
            <w:tcW w:w="0" w:type="dxa"/>
            <w:vAlign w:val="bottom"/>
          </w:tcPr>
          <w:p>
            <w:pPr>
              <w:spacing w:after="0"/>
              <w:rPr>
                <w:sz w:val="1"/>
                <w:szCs w:val="1"/>
                <w:color w:val="auto"/>
              </w:rPr>
            </w:pPr>
          </w:p>
        </w:tc>
      </w:tr>
      <w:tr>
        <w:trPr>
          <w:trHeight w:val="225"/>
        </w:trPr>
        <w:tc>
          <w:tcPr>
            <w:tcW w:w="940" w:type="dxa"/>
            <w:vAlign w:val="bottom"/>
            <w:tcBorders>
              <w:top w:val="single" w:sz="8" w:color="auto"/>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287.8</w:t>
            </w:r>
          </w:p>
        </w:tc>
        <w:tc>
          <w:tcPr>
            <w:tcW w:w="1260" w:type="dxa"/>
            <w:vAlign w:val="bottom"/>
            <w:tcBorders>
              <w:top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287.8</w:t>
            </w:r>
          </w:p>
        </w:tc>
        <w:tc>
          <w:tcPr>
            <w:tcW w:w="120" w:type="dxa"/>
            <w:vAlign w:val="bottom"/>
            <w:tcBorders>
              <w:top w:val="single" w:sz="8" w:color="auto"/>
            </w:tcBorders>
          </w:tcPr>
          <w:p>
            <w:pPr>
              <w:spacing w:after="0"/>
              <w:rPr>
                <w:sz w:val="19"/>
                <w:szCs w:val="19"/>
                <w:color w:val="auto"/>
              </w:rPr>
            </w:pPr>
          </w:p>
        </w:tc>
        <w:tc>
          <w:tcPr>
            <w:tcW w:w="1180" w:type="dxa"/>
            <w:vAlign w:val="bottom"/>
            <w:tcBorders>
              <w:top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287.8</w:t>
            </w:r>
          </w:p>
        </w:tc>
        <w:tc>
          <w:tcPr>
            <w:tcW w:w="140" w:type="dxa"/>
            <w:vAlign w:val="bottom"/>
            <w:tcBorders>
              <w:top w:val="single" w:sz="8" w:color="auto"/>
            </w:tcBorders>
          </w:tcPr>
          <w:p>
            <w:pPr>
              <w:spacing w:after="0"/>
              <w:rPr>
                <w:sz w:val="19"/>
                <w:szCs w:val="19"/>
                <w:color w:val="auto"/>
              </w:rPr>
            </w:pPr>
          </w:p>
        </w:tc>
        <w:tc>
          <w:tcPr>
            <w:tcW w:w="980" w:type="dxa"/>
            <w:vAlign w:val="bottom"/>
            <w:tcBorders>
              <w:top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287.8</w:t>
            </w:r>
          </w:p>
        </w:tc>
        <w:tc>
          <w:tcPr>
            <w:tcW w:w="1020" w:type="dxa"/>
            <w:vAlign w:val="bottom"/>
            <w:tcBorders>
              <w:top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287.8</w:t>
            </w:r>
          </w:p>
        </w:tc>
        <w:tc>
          <w:tcPr>
            <w:tcW w:w="0" w:type="dxa"/>
            <w:vAlign w:val="bottom"/>
          </w:tcPr>
          <w:p>
            <w:pPr>
              <w:spacing w:after="0"/>
              <w:rPr>
                <w:sz w:val="1"/>
                <w:szCs w:val="1"/>
                <w:color w:val="auto"/>
              </w:rPr>
            </w:pPr>
          </w:p>
        </w:tc>
      </w:tr>
      <w:tr>
        <w:trPr>
          <w:trHeight w:val="80"/>
        </w:trPr>
        <w:tc>
          <w:tcPr>
            <w:tcW w:w="940" w:type="dxa"/>
            <w:vAlign w:val="bottom"/>
            <w:tcBorders>
              <w:left w:val="single" w:sz="8" w:color="auto"/>
              <w:bottom w:val="single" w:sz="8" w:color="auto"/>
              <w:right w:val="single" w:sz="8" w:color="B9BABB"/>
            </w:tcBorders>
          </w:tcPr>
          <w:p>
            <w:pPr>
              <w:spacing w:after="0"/>
              <w:rPr>
                <w:sz w:val="6"/>
                <w:szCs w:val="6"/>
                <w:color w:val="auto"/>
              </w:rPr>
            </w:pPr>
          </w:p>
        </w:tc>
        <w:tc>
          <w:tcPr>
            <w:tcW w:w="1260" w:type="dxa"/>
            <w:vAlign w:val="bottom"/>
            <w:tcBorders>
              <w:bottom w:val="single" w:sz="8" w:color="auto"/>
              <w:right w:val="single" w:sz="8" w:color="B9BABB"/>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180" w:type="dxa"/>
            <w:vAlign w:val="bottom"/>
            <w:tcBorders>
              <w:bottom w:val="single" w:sz="8" w:color="auto"/>
              <w:right w:val="single" w:sz="8" w:color="B9BABB"/>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980" w:type="dxa"/>
            <w:vAlign w:val="bottom"/>
            <w:tcBorders>
              <w:bottom w:val="single" w:sz="8" w:color="auto"/>
              <w:right w:val="single" w:sz="8" w:color="B9BABB"/>
            </w:tcBorders>
          </w:tcPr>
          <w:p>
            <w:pPr>
              <w:spacing w:after="0"/>
              <w:rPr>
                <w:sz w:val="6"/>
                <w:szCs w:val="6"/>
                <w:color w:val="auto"/>
              </w:rPr>
            </w:pPr>
          </w:p>
        </w:tc>
        <w:tc>
          <w:tcPr>
            <w:tcW w:w="1020" w:type="dxa"/>
            <w:vAlign w:val="bottom"/>
            <w:tcBorders>
              <w:bottom w:val="single" w:sz="8" w:color="auto"/>
              <w:right w:val="single" w:sz="8" w:color="auto"/>
            </w:tcBorders>
            <w:shd w:val="clear" w:color="auto" w:fill="D6D6D6"/>
          </w:tcPr>
          <w:p>
            <w:pPr>
              <w:spacing w:after="0"/>
              <w:rPr>
                <w:sz w:val="6"/>
                <w:szCs w:val="6"/>
                <w:color w:val="auto"/>
              </w:rPr>
            </w:pPr>
          </w:p>
        </w:tc>
        <w:tc>
          <w:tcPr>
            <w:tcW w:w="0" w:type="dxa"/>
            <w:vAlign w:val="bottom"/>
          </w:tcPr>
          <w:p>
            <w:pPr>
              <w:spacing w:after="0"/>
              <w:rPr>
                <w:sz w:val="1"/>
                <w:szCs w:val="1"/>
                <w:color w:val="auto"/>
              </w:rPr>
            </w:pPr>
          </w:p>
        </w:tc>
      </w:tr>
      <w:tr>
        <w:trPr>
          <w:trHeight w:val="129"/>
        </w:trPr>
        <w:tc>
          <w:tcPr>
            <w:tcW w:w="940" w:type="dxa"/>
            <w:vAlign w:val="bottom"/>
            <w:tcBorders>
              <w:bottom w:val="single" w:sz="8" w:color="auto"/>
            </w:tcBorders>
          </w:tcPr>
          <w:p>
            <w:pPr>
              <w:spacing w:after="0"/>
              <w:rPr>
                <w:sz w:val="11"/>
                <w:szCs w:val="11"/>
                <w:color w:val="auto"/>
              </w:rPr>
            </w:pPr>
          </w:p>
        </w:tc>
        <w:tc>
          <w:tcPr>
            <w:tcW w:w="12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1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980" w:type="dxa"/>
            <w:vAlign w:val="bottom"/>
            <w:tcBorders>
              <w:bottom w:val="single" w:sz="8" w:color="auto"/>
            </w:tcBorders>
          </w:tcPr>
          <w:p>
            <w:pPr>
              <w:spacing w:after="0"/>
              <w:rPr>
                <w:sz w:val="11"/>
                <w:szCs w:val="11"/>
                <w:color w:val="auto"/>
              </w:rPr>
            </w:pPr>
          </w:p>
        </w:tc>
        <w:tc>
          <w:tcPr>
            <w:tcW w:w="10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589"/>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$ 155.4</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$ 7.7</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7.0</w:t>
            </w:r>
          </w:p>
        </w:tc>
        <w:tc>
          <w:tcPr>
            <w:tcW w:w="102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$ 140.7</w:t>
            </w:r>
          </w:p>
        </w:tc>
        <w:tc>
          <w:tcPr>
            <w:tcW w:w="0" w:type="dxa"/>
            <w:vAlign w:val="bottom"/>
          </w:tcPr>
          <w:p>
            <w:pPr>
              <w:spacing w:after="0"/>
              <w:rPr>
                <w:sz w:val="1"/>
                <w:szCs w:val="1"/>
                <w:color w:val="auto"/>
              </w:rPr>
            </w:pPr>
          </w:p>
        </w:tc>
      </w:tr>
      <w:tr>
        <w:trPr>
          <w:trHeight w:val="276"/>
        </w:trPr>
        <w:tc>
          <w:tcPr>
            <w:tcW w:w="940" w:type="dxa"/>
            <w:vAlign w:val="bottom"/>
            <w:tcBorders>
              <w:left w:val="single" w:sz="8" w:color="auto"/>
              <w:bottom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104.4</w:t>
            </w:r>
          </w:p>
        </w:tc>
        <w:tc>
          <w:tcPr>
            <w:tcW w:w="126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11.5</w:t>
            </w:r>
          </w:p>
        </w:tc>
        <w:tc>
          <w:tcPr>
            <w:tcW w:w="120" w:type="dxa"/>
            <w:vAlign w:val="bottom"/>
            <w:tcBorders>
              <w:bottom w:val="single" w:sz="8" w:color="auto"/>
            </w:tcBorders>
          </w:tcPr>
          <w:p>
            <w:pPr>
              <w:spacing w:after="0"/>
              <w:rPr>
                <w:sz w:val="24"/>
                <w:szCs w:val="24"/>
                <w:color w:val="auto"/>
              </w:rPr>
            </w:pPr>
          </w:p>
        </w:tc>
        <w:tc>
          <w:tcPr>
            <w:tcW w:w="118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10.0</w:t>
            </w:r>
          </w:p>
        </w:tc>
        <w:tc>
          <w:tcPr>
            <w:tcW w:w="1020" w:type="dxa"/>
            <w:vAlign w:val="bottom"/>
            <w:tcBorders>
              <w:bottom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82.9</w:t>
            </w:r>
          </w:p>
        </w:tc>
        <w:tc>
          <w:tcPr>
            <w:tcW w:w="0" w:type="dxa"/>
            <w:vAlign w:val="bottom"/>
          </w:tcPr>
          <w:p>
            <w:pPr>
              <w:spacing w:after="0"/>
              <w:rPr>
                <w:sz w:val="1"/>
                <w:szCs w:val="1"/>
                <w:color w:val="auto"/>
              </w:rPr>
            </w:pPr>
          </w:p>
        </w:tc>
      </w:tr>
      <w:tr>
        <w:trPr>
          <w:trHeight w:val="244"/>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259.8</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19.2</w:t>
            </w:r>
          </w:p>
        </w:tc>
        <w:tc>
          <w:tcPr>
            <w:tcW w:w="120" w:type="dxa"/>
            <w:vAlign w:val="bottom"/>
          </w:tcPr>
          <w:p>
            <w:pPr>
              <w:spacing w:after="0"/>
              <w:rPr>
                <w:sz w:val="21"/>
                <w:szCs w:val="21"/>
                <w:color w:val="auto"/>
              </w:rPr>
            </w:pP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17.0</w:t>
            </w:r>
          </w:p>
        </w:tc>
        <w:tc>
          <w:tcPr>
            <w:tcW w:w="102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223.6</w:t>
            </w:r>
          </w:p>
        </w:tc>
        <w:tc>
          <w:tcPr>
            <w:tcW w:w="0" w:type="dxa"/>
            <w:vAlign w:val="bottom"/>
          </w:tcPr>
          <w:p>
            <w:pPr>
              <w:spacing w:after="0"/>
              <w:rPr>
                <w:sz w:val="1"/>
                <w:szCs w:val="1"/>
                <w:color w:val="auto"/>
              </w:rPr>
            </w:pPr>
          </w:p>
        </w:tc>
      </w:tr>
      <w:tr>
        <w:trPr>
          <w:trHeight w:val="338"/>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215.4</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4"/>
                <w:szCs w:val="24"/>
                <w:color w:val="auto"/>
              </w:rPr>
            </w:pP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85.6</w:t>
            </w:r>
          </w:p>
        </w:tc>
        <w:tc>
          <w:tcPr>
            <w:tcW w:w="140" w:type="dxa"/>
            <w:vAlign w:val="bottom"/>
          </w:tcPr>
          <w:p>
            <w:pPr>
              <w:spacing w:after="0"/>
              <w:rPr>
                <w:sz w:val="24"/>
                <w:szCs w:val="24"/>
                <w:color w:val="auto"/>
              </w:rPr>
            </w:pP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129.8</w:t>
            </w:r>
          </w:p>
        </w:tc>
        <w:tc>
          <w:tcPr>
            <w:tcW w:w="0" w:type="dxa"/>
            <w:vAlign w:val="bottom"/>
          </w:tcPr>
          <w:p>
            <w:pPr>
              <w:spacing w:after="0"/>
              <w:rPr>
                <w:sz w:val="1"/>
                <w:szCs w:val="1"/>
                <w:color w:val="auto"/>
              </w:rPr>
            </w:pPr>
          </w:p>
        </w:tc>
      </w:tr>
      <w:tr>
        <w:trPr>
          <w:trHeight w:val="338"/>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32.4</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(53.5)</w:t>
            </w:r>
          </w:p>
        </w:tc>
        <w:tc>
          <w:tcPr>
            <w:tcW w:w="120" w:type="dxa"/>
            <w:vAlign w:val="bottom"/>
          </w:tcPr>
          <w:p>
            <w:pPr>
              <w:spacing w:after="0"/>
              <w:rPr>
                <w:sz w:val="24"/>
                <w:szCs w:val="24"/>
                <w:color w:val="auto"/>
              </w:rPr>
            </w:pP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85.9</w:t>
            </w:r>
          </w:p>
        </w:tc>
        <w:tc>
          <w:tcPr>
            <w:tcW w:w="0" w:type="dxa"/>
            <w:vAlign w:val="bottom"/>
          </w:tcPr>
          <w:p>
            <w:pPr>
              <w:spacing w:after="0"/>
              <w:rPr>
                <w:sz w:val="1"/>
                <w:szCs w:val="1"/>
                <w:color w:val="auto"/>
              </w:rPr>
            </w:pPr>
          </w:p>
        </w:tc>
      </w:tr>
      <w:tr>
        <w:trPr>
          <w:trHeight w:val="338"/>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83.7</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6.2</w:t>
            </w:r>
          </w:p>
        </w:tc>
        <w:tc>
          <w:tcPr>
            <w:tcW w:w="120" w:type="dxa"/>
            <w:vAlign w:val="bottom"/>
          </w:tcPr>
          <w:p>
            <w:pPr>
              <w:spacing w:after="0"/>
              <w:rPr>
                <w:sz w:val="24"/>
                <w:szCs w:val="24"/>
                <w:color w:val="auto"/>
              </w:rPr>
            </w:pP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6.0</w:t>
            </w:r>
          </w:p>
        </w:tc>
        <w:tc>
          <w:tcPr>
            <w:tcW w:w="102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71.5</w:t>
            </w:r>
          </w:p>
        </w:tc>
        <w:tc>
          <w:tcPr>
            <w:tcW w:w="0" w:type="dxa"/>
            <w:vAlign w:val="bottom"/>
          </w:tcPr>
          <w:p>
            <w:pPr>
              <w:spacing w:after="0"/>
              <w:rPr>
                <w:sz w:val="1"/>
                <w:szCs w:val="1"/>
                <w:color w:val="auto"/>
              </w:rPr>
            </w:pPr>
          </w:p>
        </w:tc>
      </w:tr>
      <w:tr>
        <w:trPr>
          <w:trHeight w:val="276"/>
        </w:trPr>
        <w:tc>
          <w:tcPr>
            <w:tcW w:w="940" w:type="dxa"/>
            <w:vAlign w:val="bottom"/>
            <w:tcBorders>
              <w:left w:val="single" w:sz="8" w:color="auto"/>
              <w:bottom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34.5</w:t>
            </w:r>
          </w:p>
        </w:tc>
        <w:tc>
          <w:tcPr>
            <w:tcW w:w="126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(15.5)</w:t>
            </w:r>
          </w:p>
        </w:tc>
        <w:tc>
          <w:tcPr>
            <w:tcW w:w="120" w:type="dxa"/>
            <w:vAlign w:val="bottom"/>
            <w:tcBorders>
              <w:bottom w:val="single" w:sz="8" w:color="auto"/>
            </w:tcBorders>
          </w:tcPr>
          <w:p>
            <w:pPr>
              <w:spacing w:after="0"/>
              <w:rPr>
                <w:sz w:val="24"/>
                <w:szCs w:val="24"/>
                <w:color w:val="auto"/>
              </w:rPr>
            </w:pPr>
          </w:p>
        </w:tc>
        <w:tc>
          <w:tcPr>
            <w:tcW w:w="118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50.0</w:t>
            </w:r>
          </w:p>
        </w:tc>
        <w:tc>
          <w:tcPr>
            <w:tcW w:w="0" w:type="dxa"/>
            <w:vAlign w:val="bottom"/>
          </w:tcPr>
          <w:p>
            <w:pPr>
              <w:spacing w:after="0"/>
              <w:rPr>
                <w:sz w:val="1"/>
                <w:szCs w:val="1"/>
                <w:color w:val="auto"/>
              </w:rPr>
            </w:pPr>
          </w:p>
        </w:tc>
      </w:tr>
      <w:tr>
        <w:trPr>
          <w:trHeight w:val="244"/>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118.2</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(9.3)</w:t>
            </w:r>
          </w:p>
        </w:tc>
        <w:tc>
          <w:tcPr>
            <w:tcW w:w="120" w:type="dxa"/>
            <w:vAlign w:val="bottom"/>
          </w:tcPr>
          <w:p>
            <w:pPr>
              <w:spacing w:after="0"/>
              <w:rPr>
                <w:sz w:val="21"/>
                <w:szCs w:val="21"/>
                <w:color w:val="auto"/>
              </w:rPr>
            </w:pP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6.0</w:t>
            </w:r>
          </w:p>
        </w:tc>
        <w:tc>
          <w:tcPr>
            <w:tcW w:w="102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121.5</w:t>
            </w:r>
          </w:p>
        </w:tc>
        <w:tc>
          <w:tcPr>
            <w:tcW w:w="0" w:type="dxa"/>
            <w:vAlign w:val="bottom"/>
          </w:tcPr>
          <w:p>
            <w:pPr>
              <w:spacing w:after="0"/>
              <w:rPr>
                <w:sz w:val="1"/>
                <w:szCs w:val="1"/>
                <w:color w:val="auto"/>
              </w:rPr>
            </w:pPr>
          </w:p>
        </w:tc>
      </w:tr>
      <w:tr>
        <w:trPr>
          <w:trHeight w:val="344"/>
        </w:trPr>
        <w:tc>
          <w:tcPr>
            <w:tcW w:w="940" w:type="dxa"/>
            <w:vAlign w:val="bottom"/>
            <w:tcBorders>
              <w:left w:val="single" w:sz="8" w:color="auto"/>
              <w:bottom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(32.4)</w:t>
            </w:r>
          </w:p>
        </w:tc>
        <w:tc>
          <w:tcPr>
            <w:tcW w:w="126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auto"/>
            </w:tcBorders>
          </w:tcPr>
          <w:p>
            <w:pPr>
              <w:spacing w:after="0"/>
              <w:rPr>
                <w:sz w:val="24"/>
                <w:szCs w:val="24"/>
                <w:color w:val="auto"/>
              </w:rPr>
            </w:pPr>
          </w:p>
        </w:tc>
        <w:tc>
          <w:tcPr>
            <w:tcW w:w="118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(32.4)</w:t>
            </w:r>
          </w:p>
        </w:tc>
        <w:tc>
          <w:tcPr>
            <w:tcW w:w="0" w:type="dxa"/>
            <w:vAlign w:val="bottom"/>
          </w:tcPr>
          <w:p>
            <w:pPr>
              <w:spacing w:after="0"/>
              <w:rPr>
                <w:sz w:val="1"/>
                <w:szCs w:val="1"/>
                <w:color w:val="auto"/>
              </w:rPr>
            </w:pPr>
          </w:p>
        </w:tc>
      </w:tr>
      <w:tr>
        <w:trPr>
          <w:trHeight w:val="244"/>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b w:val="1"/>
                <w:bCs w:val="1"/>
                <w:color w:val="auto"/>
              </w:rPr>
              <w:t>$ 593.4</w:t>
            </w:r>
          </w:p>
        </w:tc>
        <w:tc>
          <w:tcPr>
            <w:tcW w:w="126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(43.6)</w:t>
            </w:r>
          </w:p>
        </w:tc>
        <w:tc>
          <w:tcPr>
            <w:tcW w:w="120" w:type="dxa"/>
            <w:vAlign w:val="bottom"/>
          </w:tcPr>
          <w:p>
            <w:pPr>
              <w:spacing w:after="0"/>
              <w:rPr>
                <w:sz w:val="21"/>
                <w:szCs w:val="21"/>
                <w:color w:val="auto"/>
              </w:rPr>
            </w:pPr>
          </w:p>
        </w:tc>
        <w:tc>
          <w:tcPr>
            <w:tcW w:w="11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$ 85.6</w:t>
            </w:r>
          </w:p>
        </w:tc>
        <w:tc>
          <w:tcPr>
            <w:tcW w:w="140" w:type="dxa"/>
            <w:vAlign w:val="bottom"/>
          </w:tcPr>
          <w:p>
            <w:pPr>
              <w:spacing w:after="0"/>
              <w:rPr>
                <w:sz w:val="21"/>
                <w:szCs w:val="21"/>
                <w:color w:val="auto"/>
              </w:rPr>
            </w:pPr>
          </w:p>
        </w:tc>
        <w:tc>
          <w:tcPr>
            <w:tcW w:w="98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$ 23.0</w:t>
            </w:r>
          </w:p>
        </w:tc>
        <w:tc>
          <w:tcPr>
            <w:tcW w:w="102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b w:val="1"/>
                <w:bCs w:val="1"/>
                <w:color w:val="auto"/>
              </w:rPr>
              <w:t>$ 528.4</w:t>
            </w:r>
          </w:p>
        </w:tc>
        <w:tc>
          <w:tcPr>
            <w:tcW w:w="0" w:type="dxa"/>
            <w:vAlign w:val="bottom"/>
          </w:tcPr>
          <w:p>
            <w:pPr>
              <w:spacing w:after="0"/>
              <w:rPr>
                <w:sz w:val="1"/>
                <w:szCs w:val="1"/>
                <w:color w:val="auto"/>
              </w:rPr>
            </w:pPr>
          </w:p>
        </w:tc>
      </w:tr>
      <w:tr>
        <w:trPr>
          <w:trHeight w:val="80"/>
        </w:trPr>
        <w:tc>
          <w:tcPr>
            <w:tcW w:w="940" w:type="dxa"/>
            <w:vAlign w:val="bottom"/>
            <w:tcBorders>
              <w:left w:val="single" w:sz="8" w:color="auto"/>
              <w:bottom w:val="single" w:sz="8" w:color="auto"/>
              <w:right w:val="single" w:sz="8" w:color="B9BABB"/>
            </w:tcBorders>
          </w:tcPr>
          <w:p>
            <w:pPr>
              <w:spacing w:after="0"/>
              <w:rPr>
                <w:sz w:val="6"/>
                <w:szCs w:val="6"/>
                <w:color w:val="auto"/>
              </w:rPr>
            </w:pPr>
          </w:p>
        </w:tc>
        <w:tc>
          <w:tcPr>
            <w:tcW w:w="1260" w:type="dxa"/>
            <w:vAlign w:val="bottom"/>
            <w:tcBorders>
              <w:bottom w:val="single" w:sz="8" w:color="auto"/>
              <w:right w:val="single" w:sz="8" w:color="B9BABB"/>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180" w:type="dxa"/>
            <w:vAlign w:val="bottom"/>
            <w:tcBorders>
              <w:bottom w:val="single" w:sz="8" w:color="auto"/>
              <w:right w:val="single" w:sz="8" w:color="B9BABB"/>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980" w:type="dxa"/>
            <w:vAlign w:val="bottom"/>
            <w:tcBorders>
              <w:bottom w:val="single" w:sz="8" w:color="auto"/>
              <w:right w:val="single" w:sz="8" w:color="B9BABB"/>
            </w:tcBorders>
          </w:tcPr>
          <w:p>
            <w:pPr>
              <w:spacing w:after="0"/>
              <w:rPr>
                <w:sz w:val="6"/>
                <w:szCs w:val="6"/>
                <w:color w:val="auto"/>
              </w:rPr>
            </w:pPr>
          </w:p>
        </w:tc>
        <w:tc>
          <w:tcPr>
            <w:tcW w:w="1020" w:type="dxa"/>
            <w:vAlign w:val="bottom"/>
            <w:tcBorders>
              <w:bottom w:val="single" w:sz="8" w:color="auto"/>
              <w:right w:val="single" w:sz="8" w:color="auto"/>
            </w:tcBorders>
            <w:shd w:val="clear" w:color="auto" w:fill="D6D6D6"/>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9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3" w:lineRule="exact"/>
        <w:rPr>
          <w:sz w:val="20"/>
          <w:szCs w:val="20"/>
          <w:color w:val="auto"/>
        </w:rPr>
      </w:pP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436"/>
        </w:trPr>
        <w:tc>
          <w:tcPr>
            <w:tcW w:w="940" w:type="dxa"/>
            <w:vAlign w:val="bottom"/>
            <w:tcBorders>
              <w:top w:val="single" w:sz="8" w:color="auto"/>
              <w:left w:val="single" w:sz="8" w:color="auto"/>
              <w:right w:val="single" w:sz="8" w:color="auto"/>
            </w:tcBorders>
            <w:shd w:val="clear" w:color="auto" w:fill="D9D9D9"/>
          </w:tcPr>
          <w:p>
            <w:pPr>
              <w:spacing w:after="0"/>
              <w:rPr>
                <w:sz w:val="24"/>
                <w:szCs w:val="24"/>
                <w:color w:val="auto"/>
              </w:rPr>
            </w:pPr>
          </w:p>
        </w:tc>
        <w:tc>
          <w:tcPr>
            <w:tcW w:w="1120" w:type="dxa"/>
            <w:vAlign w:val="bottom"/>
            <w:tcBorders>
              <w:top w:val="single" w:sz="8" w:color="auto"/>
              <w:right w:val="single" w:sz="8" w:color="auto"/>
            </w:tcBorders>
            <w:vMerge w:val="restart"/>
            <w:shd w:val="clear" w:color="auto" w:fill="D9D9D9"/>
          </w:tcPr>
          <w:p>
            <w:pPr>
              <w:jc w:val="center"/>
              <w:spacing w:after="0"/>
              <w:rPr>
                <w:sz w:val="20"/>
                <w:szCs w:val="20"/>
                <w:color w:val="auto"/>
              </w:rPr>
            </w:pPr>
            <w:r>
              <w:rPr>
                <w:rFonts w:ascii="Arial" w:cs="Arial" w:eastAsia="Arial" w:hAnsi="Arial"/>
                <w:sz w:val="14"/>
                <w:szCs w:val="14"/>
                <w:b w:val="1"/>
                <w:bCs w:val="1"/>
                <w:color w:val="auto"/>
                <w:w w:val="96"/>
              </w:rPr>
              <w:t>Actuarial</w:t>
            </w:r>
          </w:p>
        </w:tc>
        <w:tc>
          <w:tcPr>
            <w:tcW w:w="900" w:type="dxa"/>
            <w:vAlign w:val="bottom"/>
            <w:tcBorders>
              <w:top w:val="single" w:sz="8" w:color="auto"/>
              <w:right w:val="single" w:sz="8" w:color="auto"/>
            </w:tcBorders>
            <w:shd w:val="clear" w:color="auto" w:fill="D9D9D9"/>
          </w:tcPr>
          <w:p>
            <w:pPr>
              <w:jc w:val="center"/>
              <w:spacing w:after="0"/>
              <w:rPr>
                <w:sz w:val="20"/>
                <w:szCs w:val="20"/>
                <w:color w:val="auto"/>
              </w:rPr>
            </w:pPr>
            <w:r>
              <w:rPr>
                <w:rFonts w:ascii="Arial" w:cs="Arial" w:eastAsia="Arial" w:hAnsi="Arial"/>
                <w:sz w:val="14"/>
                <w:szCs w:val="14"/>
                <w:b w:val="1"/>
                <w:bCs w:val="1"/>
                <w:color w:val="auto"/>
                <w:w w:val="93"/>
              </w:rPr>
              <w:t>3Q17</w:t>
            </w:r>
          </w:p>
        </w:tc>
        <w:tc>
          <w:tcPr>
            <w:tcW w:w="0" w:type="dxa"/>
            <w:vAlign w:val="bottom"/>
          </w:tcPr>
          <w:p>
            <w:pPr>
              <w:spacing w:after="0"/>
              <w:rPr>
                <w:sz w:val="1"/>
                <w:szCs w:val="1"/>
                <w:color w:val="auto"/>
              </w:rPr>
            </w:pPr>
          </w:p>
        </w:tc>
      </w:tr>
      <w:tr>
        <w:trPr>
          <w:trHeight w:val="149"/>
        </w:trPr>
        <w:tc>
          <w:tcPr>
            <w:tcW w:w="940" w:type="dxa"/>
            <w:vAlign w:val="bottom"/>
            <w:tcBorders>
              <w:left w:val="single" w:sz="8" w:color="auto"/>
              <w:right w:val="single" w:sz="8" w:color="auto"/>
            </w:tcBorders>
            <w:vMerge w:val="restart"/>
            <w:shd w:val="clear" w:color="auto" w:fill="D9D9D9"/>
          </w:tcPr>
          <w:p>
            <w:pPr>
              <w:jc w:val="right"/>
              <w:ind w:right="228"/>
              <w:spacing w:after="0"/>
              <w:rPr>
                <w:sz w:val="20"/>
                <w:szCs w:val="20"/>
                <w:color w:val="auto"/>
              </w:rPr>
            </w:pPr>
            <w:r>
              <w:rPr>
                <w:rFonts w:ascii="Arial" w:cs="Arial" w:eastAsia="Arial" w:hAnsi="Arial"/>
                <w:sz w:val="14"/>
                <w:szCs w:val="14"/>
                <w:b w:val="1"/>
                <w:bCs w:val="1"/>
                <w:color w:val="auto"/>
              </w:rPr>
              <w:t>3Q17</w:t>
            </w:r>
          </w:p>
        </w:tc>
        <w:tc>
          <w:tcPr>
            <w:tcW w:w="1120" w:type="dxa"/>
            <w:vAlign w:val="bottom"/>
            <w:tcBorders>
              <w:right w:val="single" w:sz="8" w:color="auto"/>
            </w:tcBorders>
            <w:vMerge w:val="continue"/>
            <w:shd w:val="clear" w:color="auto" w:fill="D9D9D9"/>
          </w:tcPr>
          <w:p>
            <w:pPr>
              <w:spacing w:after="0"/>
              <w:rPr>
                <w:sz w:val="12"/>
                <w:szCs w:val="12"/>
                <w:color w:val="auto"/>
              </w:rPr>
            </w:pPr>
          </w:p>
        </w:tc>
        <w:tc>
          <w:tcPr>
            <w:tcW w:w="900" w:type="dxa"/>
            <w:vAlign w:val="bottom"/>
            <w:tcBorders>
              <w:right w:val="single" w:sz="8" w:color="auto"/>
            </w:tcBorders>
            <w:shd w:val="clear" w:color="auto" w:fill="D9D9D9"/>
          </w:tcPr>
          <w:p>
            <w:pPr>
              <w:jc w:val="center"/>
              <w:spacing w:after="0" w:line="149" w:lineRule="exact"/>
              <w:rPr>
                <w:sz w:val="20"/>
                <w:szCs w:val="20"/>
                <w:color w:val="auto"/>
              </w:rPr>
            </w:pPr>
            <w:r>
              <w:rPr>
                <w:rFonts w:ascii="Arial" w:cs="Arial" w:eastAsia="Arial" w:hAnsi="Arial"/>
                <w:sz w:val="14"/>
                <w:szCs w:val="14"/>
                <w:b w:val="1"/>
                <w:bCs w:val="1"/>
                <w:color w:val="auto"/>
                <w:w w:val="91"/>
              </w:rPr>
              <w:t>excluding</w:t>
            </w:r>
          </w:p>
        </w:tc>
        <w:tc>
          <w:tcPr>
            <w:tcW w:w="0" w:type="dxa"/>
            <w:vAlign w:val="bottom"/>
          </w:tcPr>
          <w:p>
            <w:pPr>
              <w:spacing w:after="0"/>
              <w:rPr>
                <w:sz w:val="1"/>
                <w:szCs w:val="1"/>
                <w:color w:val="auto"/>
              </w:rPr>
            </w:pPr>
          </w:p>
        </w:tc>
      </w:tr>
      <w:tr>
        <w:trPr>
          <w:trHeight w:val="145"/>
        </w:trPr>
        <w:tc>
          <w:tcPr>
            <w:tcW w:w="940" w:type="dxa"/>
            <w:vAlign w:val="bottom"/>
            <w:tcBorders>
              <w:left w:val="single" w:sz="8" w:color="auto"/>
              <w:right w:val="single" w:sz="8" w:color="auto"/>
            </w:tcBorders>
            <w:vMerge w:val="continue"/>
            <w:shd w:val="clear" w:color="auto" w:fill="D9D9D9"/>
          </w:tcPr>
          <w:p>
            <w:pPr>
              <w:spacing w:after="0"/>
              <w:rPr>
                <w:sz w:val="12"/>
                <w:szCs w:val="12"/>
                <w:color w:val="auto"/>
              </w:rPr>
            </w:pPr>
          </w:p>
        </w:tc>
        <w:tc>
          <w:tcPr>
            <w:tcW w:w="1120" w:type="dxa"/>
            <w:vAlign w:val="bottom"/>
            <w:tcBorders>
              <w:right w:val="single" w:sz="8" w:color="auto"/>
            </w:tcBorders>
            <w:shd w:val="clear" w:color="auto" w:fill="D9D9D9"/>
          </w:tcPr>
          <w:p>
            <w:pPr>
              <w:jc w:val="center"/>
              <w:spacing w:after="0" w:line="145" w:lineRule="exact"/>
              <w:rPr>
                <w:sz w:val="20"/>
                <w:szCs w:val="20"/>
                <w:color w:val="auto"/>
              </w:rPr>
            </w:pPr>
            <w:r>
              <w:rPr>
                <w:rFonts w:ascii="Arial" w:cs="Arial" w:eastAsia="Arial" w:hAnsi="Arial"/>
                <w:sz w:val="14"/>
                <w:szCs w:val="14"/>
                <w:b w:val="1"/>
                <w:bCs w:val="1"/>
                <w:color w:val="auto"/>
                <w:w w:val="89"/>
              </w:rPr>
              <w:t>assumption</w:t>
            </w:r>
          </w:p>
        </w:tc>
        <w:tc>
          <w:tcPr>
            <w:tcW w:w="900" w:type="dxa"/>
            <w:vAlign w:val="bottom"/>
            <w:tcBorders>
              <w:right w:val="single" w:sz="8" w:color="auto"/>
            </w:tcBorders>
            <w:shd w:val="clear" w:color="auto" w:fill="D9D9D9"/>
          </w:tcPr>
          <w:p>
            <w:pPr>
              <w:jc w:val="center"/>
              <w:spacing w:after="0" w:line="145" w:lineRule="exact"/>
              <w:rPr>
                <w:sz w:val="20"/>
                <w:szCs w:val="20"/>
                <w:color w:val="auto"/>
              </w:rPr>
            </w:pPr>
            <w:r>
              <w:rPr>
                <w:rFonts w:ascii="Arial" w:cs="Arial" w:eastAsia="Arial" w:hAnsi="Arial"/>
                <w:sz w:val="14"/>
                <w:szCs w:val="14"/>
                <w:b w:val="1"/>
                <w:bCs w:val="1"/>
                <w:color w:val="auto"/>
                <w:w w:val="91"/>
              </w:rPr>
              <w:t>significant</w:t>
            </w:r>
          </w:p>
        </w:tc>
        <w:tc>
          <w:tcPr>
            <w:tcW w:w="0" w:type="dxa"/>
            <w:vAlign w:val="bottom"/>
          </w:tcPr>
          <w:p>
            <w:pPr>
              <w:spacing w:after="0"/>
              <w:rPr>
                <w:sz w:val="1"/>
                <w:szCs w:val="1"/>
                <w:color w:val="auto"/>
              </w:rPr>
            </w:pPr>
          </w:p>
        </w:tc>
      </w:tr>
      <w:tr>
        <w:trPr>
          <w:trHeight w:val="196"/>
        </w:trPr>
        <w:tc>
          <w:tcPr>
            <w:tcW w:w="940" w:type="dxa"/>
            <w:vAlign w:val="bottom"/>
            <w:tcBorders>
              <w:left w:val="single" w:sz="8" w:color="auto"/>
              <w:bottom w:val="single" w:sz="8" w:color="auto"/>
              <w:right w:val="single" w:sz="8" w:color="auto"/>
            </w:tcBorders>
            <w:shd w:val="clear" w:color="auto" w:fill="D9D9D9"/>
          </w:tcPr>
          <w:p>
            <w:pPr>
              <w:jc w:val="right"/>
              <w:ind w:right="28"/>
              <w:spacing w:after="0"/>
              <w:rPr>
                <w:sz w:val="20"/>
                <w:szCs w:val="20"/>
                <w:color w:val="auto"/>
              </w:rPr>
            </w:pPr>
            <w:r>
              <w:rPr>
                <w:rFonts w:ascii="Arial" w:cs="Arial" w:eastAsia="Arial" w:hAnsi="Arial"/>
                <w:sz w:val="14"/>
                <w:szCs w:val="14"/>
                <w:b w:val="1"/>
                <w:bCs w:val="1"/>
                <w:color w:val="auto"/>
              </w:rPr>
              <w:t>as reported</w:t>
            </w:r>
          </w:p>
        </w:tc>
        <w:tc>
          <w:tcPr>
            <w:tcW w:w="1120" w:type="dxa"/>
            <w:vAlign w:val="bottom"/>
            <w:tcBorders>
              <w:bottom w:val="single" w:sz="8" w:color="auto"/>
              <w:right w:val="single" w:sz="8" w:color="auto"/>
            </w:tcBorders>
            <w:shd w:val="clear" w:color="auto" w:fill="D9D9D9"/>
          </w:tcPr>
          <w:p>
            <w:pPr>
              <w:jc w:val="center"/>
              <w:spacing w:after="0"/>
              <w:rPr>
                <w:sz w:val="20"/>
                <w:szCs w:val="20"/>
                <w:color w:val="auto"/>
              </w:rPr>
            </w:pPr>
            <w:r>
              <w:rPr>
                <w:rFonts w:ascii="Arial" w:cs="Arial" w:eastAsia="Arial" w:hAnsi="Arial"/>
                <w:sz w:val="14"/>
                <w:szCs w:val="14"/>
                <w:b w:val="1"/>
                <w:bCs w:val="1"/>
                <w:color w:val="auto"/>
                <w:w w:val="91"/>
              </w:rPr>
              <w:t>review</w:t>
            </w:r>
          </w:p>
        </w:tc>
        <w:tc>
          <w:tcPr>
            <w:tcW w:w="900" w:type="dxa"/>
            <w:vAlign w:val="bottom"/>
            <w:tcBorders>
              <w:bottom w:val="single" w:sz="8" w:color="auto"/>
              <w:right w:val="single" w:sz="8" w:color="auto"/>
            </w:tcBorders>
            <w:shd w:val="clear" w:color="auto" w:fill="D9D9D9"/>
          </w:tcPr>
          <w:p>
            <w:pPr>
              <w:jc w:val="center"/>
              <w:spacing w:after="0"/>
              <w:rPr>
                <w:sz w:val="20"/>
                <w:szCs w:val="20"/>
                <w:color w:val="auto"/>
              </w:rPr>
            </w:pPr>
            <w:r>
              <w:rPr>
                <w:rFonts w:ascii="Arial" w:cs="Arial" w:eastAsia="Arial" w:hAnsi="Arial"/>
                <w:sz w:val="14"/>
                <w:szCs w:val="14"/>
                <w:b w:val="1"/>
                <w:bCs w:val="1"/>
                <w:color w:val="auto"/>
                <w:w w:val="89"/>
              </w:rPr>
              <w:t>variances</w:t>
            </w:r>
          </w:p>
        </w:tc>
        <w:tc>
          <w:tcPr>
            <w:tcW w:w="0" w:type="dxa"/>
            <w:vAlign w:val="bottom"/>
          </w:tcPr>
          <w:p>
            <w:pPr>
              <w:spacing w:after="0"/>
              <w:rPr>
                <w:sz w:val="1"/>
                <w:szCs w:val="1"/>
                <w:color w:val="auto"/>
              </w:rPr>
            </w:pPr>
          </w:p>
        </w:tc>
      </w:tr>
      <w:tr>
        <w:trPr>
          <w:trHeight w:val="217"/>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$ 810.2</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 (26.6)</w:t>
            </w:r>
          </w:p>
        </w:tc>
        <w:tc>
          <w:tcPr>
            <w:tcW w:w="90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$ 836.8</w:t>
            </w:r>
          </w:p>
        </w:tc>
        <w:tc>
          <w:tcPr>
            <w:tcW w:w="0" w:type="dxa"/>
            <w:vAlign w:val="bottom"/>
          </w:tcPr>
          <w:p>
            <w:pPr>
              <w:spacing w:after="0"/>
              <w:rPr>
                <w:sz w:val="1"/>
                <w:szCs w:val="1"/>
                <w:color w:val="auto"/>
              </w:rPr>
            </w:pPr>
          </w:p>
        </w:tc>
      </w:tr>
      <w:tr>
        <w:trPr>
          <w:trHeight w:val="384"/>
        </w:trPr>
        <w:tc>
          <w:tcPr>
            <w:tcW w:w="940" w:type="dxa"/>
            <w:vAlign w:val="bottom"/>
            <w:tcBorders>
              <w:left w:val="single" w:sz="8" w:color="auto"/>
              <w:bottom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(436.5)</w:t>
            </w:r>
          </w:p>
        </w:tc>
        <w:tc>
          <w:tcPr>
            <w:tcW w:w="112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(16.3)</w:t>
            </w:r>
          </w:p>
        </w:tc>
        <w:tc>
          <w:tcPr>
            <w:tcW w:w="900" w:type="dxa"/>
            <w:vAlign w:val="bottom"/>
            <w:tcBorders>
              <w:bottom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(420.2)</w:t>
            </w:r>
          </w:p>
        </w:tc>
        <w:tc>
          <w:tcPr>
            <w:tcW w:w="0" w:type="dxa"/>
            <w:vAlign w:val="bottom"/>
          </w:tcPr>
          <w:p>
            <w:pPr>
              <w:spacing w:after="0"/>
              <w:rPr>
                <w:sz w:val="1"/>
                <w:szCs w:val="1"/>
                <w:color w:val="auto"/>
              </w:rPr>
            </w:pPr>
          </w:p>
        </w:tc>
      </w:tr>
      <w:tr>
        <w:trPr>
          <w:trHeight w:val="217"/>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b w:val="1"/>
                <w:bCs w:val="1"/>
                <w:color w:val="auto"/>
              </w:rPr>
              <w:t>373.7</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(42.9)</w:t>
            </w:r>
          </w:p>
        </w:tc>
        <w:tc>
          <w:tcPr>
            <w:tcW w:w="90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b w:val="1"/>
                <w:bCs w:val="1"/>
                <w:color w:val="auto"/>
              </w:rPr>
              <w:t>416.6</w:t>
            </w:r>
          </w:p>
        </w:tc>
        <w:tc>
          <w:tcPr>
            <w:tcW w:w="0" w:type="dxa"/>
            <w:vAlign w:val="bottom"/>
          </w:tcPr>
          <w:p>
            <w:pPr>
              <w:spacing w:after="0"/>
              <w:rPr>
                <w:sz w:val="1"/>
                <w:szCs w:val="1"/>
                <w:color w:val="auto"/>
              </w:rPr>
            </w:pPr>
          </w:p>
        </w:tc>
      </w:tr>
      <w:tr>
        <w:trPr>
          <w:trHeight w:val="309"/>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79.2</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(23.5)</w:t>
            </w:r>
          </w:p>
        </w:tc>
        <w:tc>
          <w:tcPr>
            <w:tcW w:w="900" w:type="dxa"/>
            <w:vAlign w:val="bottom"/>
            <w:tcBorders>
              <w:bottom w:val="single" w:sz="8" w:color="D6D6D6"/>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102.7</w:t>
            </w:r>
          </w:p>
        </w:tc>
        <w:tc>
          <w:tcPr>
            <w:tcW w:w="0" w:type="dxa"/>
            <w:vAlign w:val="bottom"/>
          </w:tcPr>
          <w:p>
            <w:pPr>
              <w:spacing w:after="0"/>
              <w:rPr>
                <w:sz w:val="1"/>
                <w:szCs w:val="1"/>
                <w:color w:val="auto"/>
              </w:rPr>
            </w:pPr>
          </w:p>
        </w:tc>
      </w:tr>
      <w:tr>
        <w:trPr>
          <w:trHeight w:val="238"/>
        </w:trPr>
        <w:tc>
          <w:tcPr>
            <w:tcW w:w="940" w:type="dxa"/>
            <w:vAlign w:val="bottom"/>
            <w:tcBorders>
              <w:top w:val="single" w:sz="8" w:color="auto"/>
              <w:left w:val="single" w:sz="8" w:color="auto"/>
              <w:right w:val="single" w:sz="8" w:color="B9BABB"/>
            </w:tcBorders>
          </w:tcPr>
          <w:p>
            <w:pPr>
              <w:jc w:val="right"/>
              <w:spacing w:after="0"/>
              <w:rPr>
                <w:sz w:val="20"/>
                <w:szCs w:val="20"/>
                <w:color w:val="auto"/>
              </w:rPr>
            </w:pPr>
            <w:r>
              <w:rPr>
                <w:rFonts w:ascii="Arial" w:cs="Arial" w:eastAsia="Arial" w:hAnsi="Arial"/>
                <w:sz w:val="14"/>
                <w:szCs w:val="14"/>
                <w:b w:val="1"/>
                <w:bCs w:val="1"/>
                <w:color w:val="auto"/>
              </w:rPr>
              <w:t>$ 452.9</w:t>
            </w:r>
          </w:p>
        </w:tc>
        <w:tc>
          <w:tcPr>
            <w:tcW w:w="1120" w:type="dxa"/>
            <w:vAlign w:val="bottom"/>
            <w:tcBorders>
              <w:top w:val="single" w:sz="8" w:color="auto"/>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(66.4)</w:t>
            </w:r>
          </w:p>
        </w:tc>
        <w:tc>
          <w:tcPr>
            <w:tcW w:w="900" w:type="dxa"/>
            <w:vAlign w:val="bottom"/>
            <w:tcBorders>
              <w:top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b w:val="1"/>
                <w:bCs w:val="1"/>
                <w:color w:val="auto"/>
              </w:rPr>
              <w:t>$ 519.3</w:t>
            </w:r>
          </w:p>
        </w:tc>
        <w:tc>
          <w:tcPr>
            <w:tcW w:w="0" w:type="dxa"/>
            <w:vAlign w:val="bottom"/>
          </w:tcPr>
          <w:p>
            <w:pPr>
              <w:spacing w:after="0"/>
              <w:rPr>
                <w:sz w:val="1"/>
                <w:szCs w:val="1"/>
                <w:color w:val="auto"/>
              </w:rPr>
            </w:pPr>
          </w:p>
        </w:tc>
      </w:tr>
      <w:tr>
        <w:trPr>
          <w:trHeight w:val="120"/>
        </w:trPr>
        <w:tc>
          <w:tcPr>
            <w:tcW w:w="940" w:type="dxa"/>
            <w:vAlign w:val="bottom"/>
            <w:tcBorders>
              <w:left w:val="single" w:sz="8" w:color="auto"/>
              <w:bottom w:val="single" w:sz="8" w:color="auto"/>
              <w:right w:val="single" w:sz="8" w:color="B9BABB"/>
            </w:tcBorders>
          </w:tcPr>
          <w:p>
            <w:pPr>
              <w:spacing w:after="0"/>
              <w:rPr>
                <w:sz w:val="10"/>
                <w:szCs w:val="10"/>
                <w:color w:val="auto"/>
              </w:rPr>
            </w:pPr>
          </w:p>
        </w:tc>
        <w:tc>
          <w:tcPr>
            <w:tcW w:w="1120" w:type="dxa"/>
            <w:vAlign w:val="bottom"/>
            <w:tcBorders>
              <w:bottom w:val="single" w:sz="8" w:color="auto"/>
              <w:right w:val="single" w:sz="8" w:color="B9BABB"/>
            </w:tcBorders>
          </w:tcPr>
          <w:p>
            <w:pPr>
              <w:spacing w:after="0"/>
              <w:rPr>
                <w:sz w:val="10"/>
                <w:szCs w:val="10"/>
                <w:color w:val="auto"/>
              </w:rPr>
            </w:pPr>
          </w:p>
        </w:tc>
        <w:tc>
          <w:tcPr>
            <w:tcW w:w="900" w:type="dxa"/>
            <w:vAlign w:val="bottom"/>
            <w:tcBorders>
              <w:bottom w:val="single" w:sz="8" w:color="auto"/>
              <w:right w:val="single" w:sz="8" w:color="auto"/>
            </w:tcBorders>
            <w:shd w:val="clear" w:color="auto" w:fill="D6D6D6"/>
          </w:tcPr>
          <w:p>
            <w:pPr>
              <w:spacing w:after="0"/>
              <w:rPr>
                <w:sz w:val="10"/>
                <w:szCs w:val="10"/>
                <w:color w:val="auto"/>
              </w:rPr>
            </w:pPr>
          </w:p>
        </w:tc>
        <w:tc>
          <w:tcPr>
            <w:tcW w:w="0" w:type="dxa"/>
            <w:vAlign w:val="bottom"/>
          </w:tcPr>
          <w:p>
            <w:pPr>
              <w:spacing w:after="0"/>
              <w:rPr>
                <w:sz w:val="1"/>
                <w:szCs w:val="1"/>
                <w:color w:val="auto"/>
              </w:rPr>
            </w:pPr>
          </w:p>
        </w:tc>
      </w:tr>
      <w:tr>
        <w:trPr>
          <w:trHeight w:val="536"/>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b w:val="1"/>
                <w:bCs w:val="1"/>
                <w:color w:val="auto"/>
              </w:rPr>
              <w:t>$ 2.76</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(0.09)</w:t>
            </w:r>
          </w:p>
        </w:tc>
        <w:tc>
          <w:tcPr>
            <w:tcW w:w="90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b w:val="1"/>
                <w:bCs w:val="1"/>
                <w:color w:val="auto"/>
              </w:rPr>
              <w:t>$ 2.85</w:t>
            </w:r>
          </w:p>
        </w:tc>
        <w:tc>
          <w:tcPr>
            <w:tcW w:w="0" w:type="dxa"/>
            <w:vAlign w:val="bottom"/>
          </w:tcPr>
          <w:p>
            <w:pPr>
              <w:spacing w:after="0"/>
              <w:rPr>
                <w:sz w:val="1"/>
                <w:szCs w:val="1"/>
                <w:color w:val="auto"/>
              </w:rPr>
            </w:pPr>
          </w:p>
        </w:tc>
      </w:tr>
      <w:tr>
        <w:trPr>
          <w:trHeight w:val="398"/>
        </w:trPr>
        <w:tc>
          <w:tcPr>
            <w:tcW w:w="940" w:type="dxa"/>
            <w:vAlign w:val="bottom"/>
            <w:tcBorders>
              <w:left w:val="single" w:sz="8" w:color="auto"/>
              <w:bottom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(1.48)</w:t>
            </w:r>
          </w:p>
        </w:tc>
        <w:tc>
          <w:tcPr>
            <w:tcW w:w="112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(0.05)</w:t>
            </w:r>
          </w:p>
        </w:tc>
        <w:tc>
          <w:tcPr>
            <w:tcW w:w="900" w:type="dxa"/>
            <w:vAlign w:val="bottom"/>
            <w:tcBorders>
              <w:bottom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(1.43)</w:t>
            </w:r>
          </w:p>
        </w:tc>
        <w:tc>
          <w:tcPr>
            <w:tcW w:w="0" w:type="dxa"/>
            <w:vAlign w:val="bottom"/>
          </w:tcPr>
          <w:p>
            <w:pPr>
              <w:spacing w:after="0"/>
              <w:rPr>
                <w:sz w:val="1"/>
                <w:szCs w:val="1"/>
                <w:color w:val="auto"/>
              </w:rPr>
            </w:pPr>
          </w:p>
        </w:tc>
      </w:tr>
      <w:tr>
        <w:trPr>
          <w:trHeight w:val="283"/>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b w:val="1"/>
                <w:bCs w:val="1"/>
                <w:color w:val="auto"/>
              </w:rPr>
              <w:t>$ 1.28</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(0.14)</w:t>
            </w:r>
          </w:p>
        </w:tc>
        <w:tc>
          <w:tcPr>
            <w:tcW w:w="900" w:type="dxa"/>
            <w:vAlign w:val="bottom"/>
            <w:tcBorders>
              <w:bottom w:val="single" w:sz="8" w:color="D6D6D6"/>
              <w:right w:val="single" w:sz="8" w:color="auto"/>
            </w:tcBorders>
            <w:shd w:val="clear" w:color="auto" w:fill="D6D6D6"/>
          </w:tcPr>
          <w:p>
            <w:pPr>
              <w:jc w:val="right"/>
              <w:spacing w:after="0"/>
              <w:rPr>
                <w:sz w:val="20"/>
                <w:szCs w:val="20"/>
                <w:color w:val="auto"/>
              </w:rPr>
            </w:pPr>
            <w:r>
              <w:rPr>
                <w:rFonts w:ascii="Arial" w:cs="Arial" w:eastAsia="Arial" w:hAnsi="Arial"/>
                <w:sz w:val="14"/>
                <w:szCs w:val="14"/>
                <w:b w:val="1"/>
                <w:bCs w:val="1"/>
                <w:color w:val="auto"/>
              </w:rPr>
              <w:t>$ 1.42</w:t>
            </w:r>
          </w:p>
        </w:tc>
        <w:tc>
          <w:tcPr>
            <w:tcW w:w="0" w:type="dxa"/>
            <w:vAlign w:val="bottom"/>
          </w:tcPr>
          <w:p>
            <w:pPr>
              <w:spacing w:after="0"/>
              <w:rPr>
                <w:sz w:val="1"/>
                <w:szCs w:val="1"/>
                <w:color w:val="auto"/>
              </w:rPr>
            </w:pPr>
          </w:p>
        </w:tc>
      </w:tr>
      <w:tr>
        <w:trPr>
          <w:trHeight w:val="225"/>
        </w:trPr>
        <w:tc>
          <w:tcPr>
            <w:tcW w:w="940" w:type="dxa"/>
            <w:vAlign w:val="bottom"/>
            <w:tcBorders>
              <w:top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293.1</w:t>
            </w:r>
          </w:p>
        </w:tc>
        <w:tc>
          <w:tcPr>
            <w:tcW w:w="1120" w:type="dxa"/>
            <w:vAlign w:val="bottom"/>
            <w:tcBorders>
              <w:top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293.1</w:t>
            </w:r>
          </w:p>
        </w:tc>
        <w:tc>
          <w:tcPr>
            <w:tcW w:w="900" w:type="dxa"/>
            <w:vAlign w:val="bottom"/>
            <w:tcBorders>
              <w:top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293.1</w:t>
            </w:r>
          </w:p>
        </w:tc>
        <w:tc>
          <w:tcPr>
            <w:tcW w:w="0" w:type="dxa"/>
            <w:vAlign w:val="bottom"/>
          </w:tcPr>
          <w:p>
            <w:pPr>
              <w:spacing w:after="0"/>
              <w:rPr>
                <w:sz w:val="1"/>
                <w:szCs w:val="1"/>
                <w:color w:val="auto"/>
              </w:rPr>
            </w:pPr>
          </w:p>
        </w:tc>
      </w:tr>
      <w:tr>
        <w:trPr>
          <w:trHeight w:val="80"/>
        </w:trPr>
        <w:tc>
          <w:tcPr>
            <w:tcW w:w="940" w:type="dxa"/>
            <w:vAlign w:val="bottom"/>
            <w:tcBorders>
              <w:bottom w:val="single" w:sz="8" w:color="auto"/>
              <w:right w:val="single" w:sz="8" w:color="B9BABB"/>
            </w:tcBorders>
          </w:tcPr>
          <w:p>
            <w:pPr>
              <w:spacing w:after="0"/>
              <w:rPr>
                <w:sz w:val="6"/>
                <w:szCs w:val="6"/>
                <w:color w:val="auto"/>
              </w:rPr>
            </w:pPr>
          </w:p>
        </w:tc>
        <w:tc>
          <w:tcPr>
            <w:tcW w:w="1120" w:type="dxa"/>
            <w:vAlign w:val="bottom"/>
            <w:tcBorders>
              <w:bottom w:val="single" w:sz="8" w:color="auto"/>
              <w:right w:val="single" w:sz="8" w:color="B9BABB"/>
            </w:tcBorders>
          </w:tcPr>
          <w:p>
            <w:pPr>
              <w:spacing w:after="0"/>
              <w:rPr>
                <w:sz w:val="6"/>
                <w:szCs w:val="6"/>
                <w:color w:val="auto"/>
              </w:rPr>
            </w:pPr>
          </w:p>
        </w:tc>
        <w:tc>
          <w:tcPr>
            <w:tcW w:w="900" w:type="dxa"/>
            <w:vAlign w:val="bottom"/>
            <w:tcBorders>
              <w:bottom w:val="single" w:sz="8" w:color="auto"/>
              <w:right w:val="single" w:sz="8" w:color="auto"/>
            </w:tcBorders>
            <w:shd w:val="clear" w:color="auto" w:fill="D6D6D6"/>
          </w:tcPr>
          <w:p>
            <w:pPr>
              <w:spacing w:after="0"/>
              <w:rPr>
                <w:sz w:val="6"/>
                <w:szCs w:val="6"/>
                <w:color w:val="auto"/>
              </w:rPr>
            </w:pPr>
          </w:p>
        </w:tc>
        <w:tc>
          <w:tcPr>
            <w:tcW w:w="0" w:type="dxa"/>
            <w:vAlign w:val="bottom"/>
          </w:tcPr>
          <w:p>
            <w:pPr>
              <w:spacing w:after="0"/>
              <w:rPr>
                <w:sz w:val="1"/>
                <w:szCs w:val="1"/>
                <w:color w:val="auto"/>
              </w:rPr>
            </w:pPr>
          </w:p>
        </w:tc>
      </w:tr>
      <w:tr>
        <w:trPr>
          <w:trHeight w:val="129"/>
        </w:trPr>
        <w:tc>
          <w:tcPr>
            <w:tcW w:w="940" w:type="dxa"/>
            <w:vAlign w:val="bottom"/>
            <w:tcBorders>
              <w:bottom w:val="single" w:sz="8" w:color="auto"/>
            </w:tcBorders>
          </w:tcPr>
          <w:p>
            <w:pPr>
              <w:spacing w:after="0"/>
              <w:rPr>
                <w:sz w:val="11"/>
                <w:szCs w:val="11"/>
                <w:color w:val="auto"/>
              </w:rPr>
            </w:pPr>
          </w:p>
        </w:tc>
        <w:tc>
          <w:tcPr>
            <w:tcW w:w="1120" w:type="dxa"/>
            <w:vAlign w:val="bottom"/>
            <w:tcBorders>
              <w:bottom w:val="single" w:sz="8" w:color="auto"/>
            </w:tcBorders>
          </w:tcPr>
          <w:p>
            <w:pPr>
              <w:spacing w:after="0"/>
              <w:rPr>
                <w:sz w:val="11"/>
                <w:szCs w:val="11"/>
                <w:color w:val="auto"/>
              </w:rPr>
            </w:pPr>
          </w:p>
        </w:tc>
        <w:tc>
          <w:tcPr>
            <w:tcW w:w="90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589"/>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$ 108.0</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 (41.0)</w:t>
            </w:r>
          </w:p>
        </w:tc>
        <w:tc>
          <w:tcPr>
            <w:tcW w:w="90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$ 149.0</w:t>
            </w:r>
          </w:p>
        </w:tc>
        <w:tc>
          <w:tcPr>
            <w:tcW w:w="0" w:type="dxa"/>
            <w:vAlign w:val="bottom"/>
          </w:tcPr>
          <w:p>
            <w:pPr>
              <w:spacing w:after="0"/>
              <w:rPr>
                <w:sz w:val="1"/>
                <w:szCs w:val="1"/>
                <w:color w:val="auto"/>
              </w:rPr>
            </w:pPr>
          </w:p>
        </w:tc>
      </w:tr>
      <w:tr>
        <w:trPr>
          <w:trHeight w:val="276"/>
        </w:trPr>
        <w:tc>
          <w:tcPr>
            <w:tcW w:w="940" w:type="dxa"/>
            <w:vAlign w:val="bottom"/>
            <w:tcBorders>
              <w:left w:val="single" w:sz="8" w:color="auto"/>
              <w:bottom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102.1</w:t>
            </w:r>
          </w:p>
        </w:tc>
        <w:tc>
          <w:tcPr>
            <w:tcW w:w="112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19.2</w:t>
            </w:r>
          </w:p>
        </w:tc>
        <w:tc>
          <w:tcPr>
            <w:tcW w:w="900" w:type="dxa"/>
            <w:vAlign w:val="bottom"/>
            <w:tcBorders>
              <w:bottom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82.9</w:t>
            </w:r>
          </w:p>
        </w:tc>
        <w:tc>
          <w:tcPr>
            <w:tcW w:w="0" w:type="dxa"/>
            <w:vAlign w:val="bottom"/>
          </w:tcPr>
          <w:p>
            <w:pPr>
              <w:spacing w:after="0"/>
              <w:rPr>
                <w:sz w:val="1"/>
                <w:szCs w:val="1"/>
                <w:color w:val="auto"/>
              </w:rPr>
            </w:pPr>
          </w:p>
        </w:tc>
      </w:tr>
      <w:tr>
        <w:trPr>
          <w:trHeight w:val="244"/>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210.1</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(21.8)</w:t>
            </w:r>
          </w:p>
        </w:tc>
        <w:tc>
          <w:tcPr>
            <w:tcW w:w="90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231.9</w:t>
            </w:r>
          </w:p>
        </w:tc>
        <w:tc>
          <w:tcPr>
            <w:tcW w:w="0" w:type="dxa"/>
            <w:vAlign w:val="bottom"/>
          </w:tcPr>
          <w:p>
            <w:pPr>
              <w:spacing w:after="0"/>
              <w:rPr>
                <w:sz w:val="1"/>
                <w:szCs w:val="1"/>
                <w:color w:val="auto"/>
              </w:rPr>
            </w:pPr>
          </w:p>
        </w:tc>
      </w:tr>
      <w:tr>
        <w:trPr>
          <w:trHeight w:val="338"/>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130.2</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90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130.2</w:t>
            </w:r>
          </w:p>
        </w:tc>
        <w:tc>
          <w:tcPr>
            <w:tcW w:w="0" w:type="dxa"/>
            <w:vAlign w:val="bottom"/>
          </w:tcPr>
          <w:p>
            <w:pPr>
              <w:spacing w:after="0"/>
              <w:rPr>
                <w:sz w:val="1"/>
                <w:szCs w:val="1"/>
                <w:color w:val="auto"/>
              </w:rPr>
            </w:pPr>
          </w:p>
        </w:tc>
      </w:tr>
      <w:tr>
        <w:trPr>
          <w:trHeight w:val="338"/>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72.4</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(11.8)</w:t>
            </w:r>
          </w:p>
        </w:tc>
        <w:tc>
          <w:tcPr>
            <w:tcW w:w="90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84.2</w:t>
            </w:r>
          </w:p>
        </w:tc>
        <w:tc>
          <w:tcPr>
            <w:tcW w:w="0" w:type="dxa"/>
            <w:vAlign w:val="bottom"/>
          </w:tcPr>
          <w:p>
            <w:pPr>
              <w:spacing w:after="0"/>
              <w:rPr>
                <w:sz w:val="1"/>
                <w:szCs w:val="1"/>
                <w:color w:val="auto"/>
              </w:rPr>
            </w:pPr>
          </w:p>
        </w:tc>
      </w:tr>
      <w:tr>
        <w:trPr>
          <w:trHeight w:val="338"/>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83.8</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14.2</w:t>
            </w:r>
          </w:p>
        </w:tc>
        <w:tc>
          <w:tcPr>
            <w:tcW w:w="90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69.6</w:t>
            </w:r>
          </w:p>
        </w:tc>
        <w:tc>
          <w:tcPr>
            <w:tcW w:w="0" w:type="dxa"/>
            <w:vAlign w:val="bottom"/>
          </w:tcPr>
          <w:p>
            <w:pPr>
              <w:spacing w:after="0"/>
              <w:rPr>
                <w:sz w:val="1"/>
                <w:szCs w:val="1"/>
                <w:color w:val="auto"/>
              </w:rPr>
            </w:pPr>
          </w:p>
        </w:tc>
      </w:tr>
      <w:tr>
        <w:trPr>
          <w:trHeight w:val="276"/>
        </w:trPr>
        <w:tc>
          <w:tcPr>
            <w:tcW w:w="940" w:type="dxa"/>
            <w:vAlign w:val="bottom"/>
            <w:tcBorders>
              <w:left w:val="single" w:sz="8" w:color="auto"/>
              <w:bottom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(0.6)</w:t>
            </w:r>
          </w:p>
        </w:tc>
        <w:tc>
          <w:tcPr>
            <w:tcW w:w="112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(47.0)</w:t>
            </w:r>
          </w:p>
        </w:tc>
        <w:tc>
          <w:tcPr>
            <w:tcW w:w="900" w:type="dxa"/>
            <w:vAlign w:val="bottom"/>
            <w:tcBorders>
              <w:bottom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46.4</w:t>
            </w:r>
          </w:p>
        </w:tc>
        <w:tc>
          <w:tcPr>
            <w:tcW w:w="0" w:type="dxa"/>
            <w:vAlign w:val="bottom"/>
          </w:tcPr>
          <w:p>
            <w:pPr>
              <w:spacing w:after="0"/>
              <w:rPr>
                <w:sz w:val="1"/>
                <w:szCs w:val="1"/>
                <w:color w:val="auto"/>
              </w:rPr>
            </w:pPr>
          </w:p>
        </w:tc>
      </w:tr>
      <w:tr>
        <w:trPr>
          <w:trHeight w:val="244"/>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83.2</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color w:val="auto"/>
              </w:rPr>
              <w:t>(32.8)</w:t>
            </w:r>
          </w:p>
        </w:tc>
        <w:tc>
          <w:tcPr>
            <w:tcW w:w="90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116.0</w:t>
            </w:r>
          </w:p>
        </w:tc>
        <w:tc>
          <w:tcPr>
            <w:tcW w:w="0" w:type="dxa"/>
            <w:vAlign w:val="bottom"/>
          </w:tcPr>
          <w:p>
            <w:pPr>
              <w:spacing w:after="0"/>
              <w:rPr>
                <w:sz w:val="1"/>
                <w:szCs w:val="1"/>
                <w:color w:val="auto"/>
              </w:rPr>
            </w:pPr>
          </w:p>
        </w:tc>
      </w:tr>
      <w:tr>
        <w:trPr>
          <w:trHeight w:val="344"/>
        </w:trPr>
        <w:tc>
          <w:tcPr>
            <w:tcW w:w="940" w:type="dxa"/>
            <w:vAlign w:val="bottom"/>
            <w:tcBorders>
              <w:left w:val="single" w:sz="8" w:color="auto"/>
              <w:bottom w:val="single" w:sz="8" w:color="auto"/>
              <w:right w:val="single" w:sz="8" w:color="B9BABB"/>
            </w:tcBorders>
          </w:tcPr>
          <w:p>
            <w:pPr>
              <w:jc w:val="right"/>
              <w:spacing w:after="0"/>
              <w:rPr>
                <w:sz w:val="20"/>
                <w:szCs w:val="20"/>
                <w:color w:val="auto"/>
              </w:rPr>
            </w:pPr>
            <w:r>
              <w:rPr>
                <w:rFonts w:ascii="Arial" w:cs="Arial" w:eastAsia="Arial" w:hAnsi="Arial"/>
                <w:sz w:val="14"/>
                <w:szCs w:val="14"/>
                <w:color w:val="auto"/>
              </w:rPr>
              <w:t>(43.0)</w:t>
            </w:r>
          </w:p>
        </w:tc>
        <w:tc>
          <w:tcPr>
            <w:tcW w:w="1120" w:type="dxa"/>
            <w:vAlign w:val="bottom"/>
            <w:tcBorders>
              <w:bottom w:val="single" w:sz="8" w:color="auto"/>
              <w:right w:val="single" w:sz="8" w:color="B9BABB"/>
            </w:tcBorders>
          </w:tcPr>
          <w:p>
            <w:pPr>
              <w:jc w:val="right"/>
              <w:ind w:right="6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right w:val="single" w:sz="8" w:color="auto"/>
            </w:tcBorders>
            <w:shd w:val="clear" w:color="auto" w:fill="D6D6D6"/>
          </w:tcPr>
          <w:p>
            <w:pPr>
              <w:jc w:val="right"/>
              <w:spacing w:after="0"/>
              <w:rPr>
                <w:sz w:val="20"/>
                <w:szCs w:val="20"/>
                <w:color w:val="auto"/>
              </w:rPr>
            </w:pPr>
            <w:r>
              <w:rPr>
                <w:rFonts w:ascii="Arial" w:cs="Arial" w:eastAsia="Arial" w:hAnsi="Arial"/>
                <w:sz w:val="14"/>
                <w:szCs w:val="14"/>
                <w:color w:val="auto"/>
              </w:rPr>
              <w:t>(43.0)</w:t>
            </w:r>
          </w:p>
        </w:tc>
        <w:tc>
          <w:tcPr>
            <w:tcW w:w="0" w:type="dxa"/>
            <w:vAlign w:val="bottom"/>
          </w:tcPr>
          <w:p>
            <w:pPr>
              <w:spacing w:after="0"/>
              <w:rPr>
                <w:sz w:val="1"/>
                <w:szCs w:val="1"/>
                <w:color w:val="auto"/>
              </w:rPr>
            </w:pPr>
          </w:p>
        </w:tc>
      </w:tr>
      <w:tr>
        <w:trPr>
          <w:trHeight w:val="244"/>
        </w:trPr>
        <w:tc>
          <w:tcPr>
            <w:tcW w:w="940" w:type="dxa"/>
            <w:vAlign w:val="bottom"/>
            <w:tcBorders>
              <w:left w:val="single" w:sz="8" w:color="auto"/>
              <w:right w:val="single" w:sz="8" w:color="B9BABB"/>
            </w:tcBorders>
          </w:tcPr>
          <w:p>
            <w:pPr>
              <w:jc w:val="right"/>
              <w:spacing w:after="0"/>
              <w:rPr>
                <w:sz w:val="20"/>
                <w:szCs w:val="20"/>
                <w:color w:val="auto"/>
              </w:rPr>
            </w:pPr>
            <w:r>
              <w:rPr>
                <w:rFonts w:ascii="Arial" w:cs="Arial" w:eastAsia="Arial" w:hAnsi="Arial"/>
                <w:sz w:val="14"/>
                <w:szCs w:val="14"/>
                <w:b w:val="1"/>
                <w:bCs w:val="1"/>
                <w:color w:val="auto"/>
              </w:rPr>
              <w:t>$ 452.9</w:t>
            </w:r>
          </w:p>
        </w:tc>
        <w:tc>
          <w:tcPr>
            <w:tcW w:w="1120" w:type="dxa"/>
            <w:vAlign w:val="bottom"/>
            <w:tcBorders>
              <w:right w:val="single" w:sz="8" w:color="B9BABB"/>
            </w:tcBorders>
          </w:tcPr>
          <w:p>
            <w:pPr>
              <w:jc w:val="right"/>
              <w:ind w:right="68"/>
              <w:spacing w:after="0"/>
              <w:rPr>
                <w:sz w:val="20"/>
                <w:szCs w:val="20"/>
                <w:color w:val="auto"/>
              </w:rPr>
            </w:pPr>
            <w:r>
              <w:rPr>
                <w:rFonts w:ascii="Arial" w:cs="Arial" w:eastAsia="Arial" w:hAnsi="Arial"/>
                <w:sz w:val="14"/>
                <w:szCs w:val="14"/>
                <w:b w:val="1"/>
                <w:bCs w:val="1"/>
                <w:color w:val="auto"/>
              </w:rPr>
              <w:t>$ (66.4)</w:t>
            </w:r>
          </w:p>
        </w:tc>
        <w:tc>
          <w:tcPr>
            <w:tcW w:w="900" w:type="dxa"/>
            <w:vAlign w:val="bottom"/>
            <w:tcBorders>
              <w:right w:val="single" w:sz="8" w:color="auto"/>
            </w:tcBorders>
            <w:shd w:val="clear" w:color="auto" w:fill="D6D6D6"/>
          </w:tcPr>
          <w:p>
            <w:pPr>
              <w:jc w:val="right"/>
              <w:spacing w:after="0"/>
              <w:rPr>
                <w:sz w:val="20"/>
                <w:szCs w:val="20"/>
                <w:color w:val="auto"/>
              </w:rPr>
            </w:pPr>
            <w:r>
              <w:rPr>
                <w:rFonts w:ascii="Arial" w:cs="Arial" w:eastAsia="Arial" w:hAnsi="Arial"/>
                <w:sz w:val="14"/>
                <w:szCs w:val="14"/>
                <w:b w:val="1"/>
                <w:bCs w:val="1"/>
                <w:color w:val="auto"/>
              </w:rPr>
              <w:t>$ 519.3</w:t>
            </w:r>
          </w:p>
        </w:tc>
        <w:tc>
          <w:tcPr>
            <w:tcW w:w="0" w:type="dxa"/>
            <w:vAlign w:val="bottom"/>
          </w:tcPr>
          <w:p>
            <w:pPr>
              <w:spacing w:after="0"/>
              <w:rPr>
                <w:sz w:val="1"/>
                <w:szCs w:val="1"/>
                <w:color w:val="auto"/>
              </w:rPr>
            </w:pPr>
          </w:p>
        </w:tc>
      </w:tr>
      <w:tr>
        <w:trPr>
          <w:trHeight w:val="80"/>
        </w:trPr>
        <w:tc>
          <w:tcPr>
            <w:tcW w:w="940" w:type="dxa"/>
            <w:vAlign w:val="bottom"/>
            <w:tcBorders>
              <w:left w:val="single" w:sz="8" w:color="auto"/>
              <w:bottom w:val="single" w:sz="8" w:color="auto"/>
              <w:right w:val="single" w:sz="8" w:color="B9BABB"/>
            </w:tcBorders>
          </w:tcPr>
          <w:p>
            <w:pPr>
              <w:spacing w:after="0"/>
              <w:rPr>
                <w:sz w:val="6"/>
                <w:szCs w:val="6"/>
                <w:color w:val="auto"/>
              </w:rPr>
            </w:pPr>
          </w:p>
        </w:tc>
        <w:tc>
          <w:tcPr>
            <w:tcW w:w="1120" w:type="dxa"/>
            <w:vAlign w:val="bottom"/>
            <w:tcBorders>
              <w:bottom w:val="single" w:sz="8" w:color="auto"/>
              <w:right w:val="single" w:sz="8" w:color="B9BABB"/>
            </w:tcBorders>
          </w:tcPr>
          <w:p>
            <w:pPr>
              <w:spacing w:after="0"/>
              <w:rPr>
                <w:sz w:val="6"/>
                <w:szCs w:val="6"/>
                <w:color w:val="auto"/>
              </w:rPr>
            </w:pPr>
          </w:p>
        </w:tc>
        <w:tc>
          <w:tcPr>
            <w:tcW w:w="900" w:type="dxa"/>
            <w:vAlign w:val="bottom"/>
            <w:tcBorders>
              <w:bottom w:val="single" w:sz="8" w:color="auto"/>
              <w:right w:val="single" w:sz="8" w:color="auto"/>
            </w:tcBorders>
            <w:shd w:val="clear" w:color="auto" w:fill="D6D6D6"/>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9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3">
            <w:col w:w="2040" w:space="600"/>
            <w:col w:w="5640" w:space="200"/>
            <w:col w:w="2960"/>
          </w:cols>
          <w:pgMar w:left="240" w:top="1354" w:right="219" w:bottom="1440" w:gutter="0" w:footer="0" w:header="0"/>
          <w:type w:val="continuous"/>
        </w:sectPr>
      </w:pPr>
    </w:p>
    <w:p>
      <w:pPr>
        <w:spacing w:after="0" w:line="97" w:lineRule="exact"/>
        <w:rPr>
          <w:sz w:val="20"/>
          <w:szCs w:val="20"/>
          <w:color w:val="auto"/>
        </w:rPr>
      </w:pPr>
    </w:p>
    <w:p>
      <w:pPr>
        <w:ind w:right="280"/>
        <w:spacing w:after="0" w:line="272" w:lineRule="auto"/>
        <w:rPr>
          <w:sz w:val="20"/>
          <w:szCs w:val="20"/>
          <w:color w:val="auto"/>
        </w:rPr>
      </w:pPr>
      <w:r>
        <w:rPr>
          <w:rFonts w:ascii="Arial" w:cs="Arial" w:eastAsia="Arial" w:hAnsi="Arial"/>
          <w:sz w:val="20"/>
          <w:szCs w:val="20"/>
          <w:b w:val="1"/>
          <w:bCs w:val="1"/>
          <w:color w:val="auto"/>
        </w:rPr>
        <w:t xml:space="preserve">Income statement line item details of the 3Q17 and 3Q18 significant variances are available in our earnings conference call presentation on our </w:t>
      </w:r>
      <w:r>
        <w:rPr>
          <w:rFonts w:ascii="Arial" w:cs="Arial" w:eastAsia="Arial" w:hAnsi="Arial"/>
          <w:sz w:val="20"/>
          <w:szCs w:val="20"/>
          <w:u w:val="single" w:color="auto"/>
          <w:color w:val="0000FF"/>
        </w:rPr>
        <w:t>website</w:t>
      </w:r>
      <w:r>
        <w:rPr>
          <w:rFonts w:ascii="Arial" w:cs="Arial" w:eastAsia="Arial" w:hAnsi="Arial"/>
          <w:sz w:val="20"/>
          <w:szCs w:val="20"/>
          <w:b w:val="1"/>
          <w:bCs w:val="1"/>
          <w:color w:val="auto"/>
        </w:rPr>
        <w:t>.</w:t>
      </w:r>
    </w:p>
    <w:p>
      <w:pPr>
        <w:sectPr>
          <w:pgSz w:w="11900" w:h="16838" w:orient="portrait"/>
          <w:cols w:equalWidth="0" w:num="1">
            <w:col w:w="11440"/>
          </w:cols>
          <w:pgMar w:left="240" w:top="1354" w:right="219" w:bottom="1440" w:gutter="0" w:footer="0" w:header="0"/>
          <w:type w:val="continuous"/>
        </w:sectPr>
      </w:pPr>
    </w:p>
    <w:bookmarkStart w:id="8" w:name="page9"/>
    <w:bookmarkEnd w:id="8"/>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t>Forward looking and cautionary statements</w:t>
      </w:r>
    </w:p>
    <w:p>
      <w:pPr>
        <w:spacing w:after="0" w:line="24" w:lineRule="exact"/>
        <w:rPr>
          <w:sz w:val="20"/>
          <w:szCs w:val="20"/>
          <w:color w:val="auto"/>
        </w:rPr>
      </w:pPr>
    </w:p>
    <w:p>
      <w:pPr>
        <w:spacing w:after="0" w:line="239" w:lineRule="auto"/>
        <w:rPr>
          <w:sz w:val="20"/>
          <w:szCs w:val="20"/>
          <w:color w:val="auto"/>
        </w:rPr>
      </w:pPr>
      <w:r>
        <w:rPr>
          <w:rFonts w:ascii="Arial" w:cs="Arial" w:eastAsia="Arial" w:hAnsi="Arial"/>
          <w:sz w:val="20"/>
          <w:szCs w:val="20"/>
          <w:color w:val="auto"/>
        </w:rPr>
        <w:t>Certain statements made by the company which are not historical facts may be considered forward-looking statements, including, without limitation, statements as to non-GAAP operating earnings, net income available to PFG, net cash flows, realized and unrealized gains and losses, capital and liquidity positions,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 31, 2017, and in the company’s quarterly report on Form 10-Q for the quarter ended June 30, 2018, filed by the company with the U.S. Securities and Exchange Commission, as updated or supplemented from time to time in subsequent filings. These risks and uncertainties include, without limitation: adverse capital and credit market conditions may significantly affect the company’s ability to meet liquidity needs, access to capital and cost of capital; conditions in the global capital markets and the economy generally; volatility or declines in the equity, bond or real estate markets; changes in interest rates or credit spreads or a sustained low interest rate environment; the company’s investment portfolio is subject to several risks that may diminish the value of its invested assets and the investment returns credited to customers; the company’s valuation of investments and the determination of the amount of allowances and impairments taken on such investments may include methodologies, estimations and assumptions that are subject to differing interpretations; any impairments of or valuation allowances against the company’s deferred tax assets; the company’s actual experience could differ significantly from its pricing and reserving assumptions; the pattern of amortizing the company’s DAC and other actuarial balances on its universal life-type insurance contracts, participating life insurance policies and certain investment contracts may change; changes in laws, regulations or accounting standards; the company may not be able to protect its intellectual property and may be subject to infringement claims; the company’s ability to pay stockholder dividends and meet its obligations may be constrained by the limitations on dividends Iowa insurance laws impose on Principal Life; litigation and regulatory investigations; from time to time the company may become subject to tax audits, tax litigation or similar proceedings, and as a result it may owe additional taxes, interest and penalties in amounts that may be material; applicable laws and the company’s certificate of incorporation and by-laws may discourage takeovers and business combinations that some stockholders might consider in their best interests; competition, including from companies that may have greater financial resources, broader arrays of products, higher ratings and stronger financial performance; a downgrade in the company’s financial strength or credit ratings; client terminations, withdrawals or changes in investor preferences; inability to attract and retain qualified employees and sales representatives and develop new distribution sources; an interruption in telecommunication, information technology or other systems, or a failure to maintain the confidentiality, integrity or availability of data residing on such systems; international business risks; fluctuations in foreign currency exchange rates; the company may need to fund deficiencies in its “Closed Block” assets; the company’s reinsurers could default on their obligations or increase their rates; risks arising from acquisitions of businesses; and loss of key vendor relationships or failure of a vendor to protect information of our customers or employees.</w:t>
      </w:r>
    </w:p>
    <w:p>
      <w:pPr>
        <w:spacing w:after="0" w:line="21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Use of Non-GAAP financial measures</w:t>
      </w:r>
    </w:p>
    <w:p>
      <w:pPr>
        <w:spacing w:after="0" w:line="132" w:lineRule="exact"/>
        <w:rPr>
          <w:sz w:val="20"/>
          <w:szCs w:val="20"/>
          <w:color w:val="auto"/>
        </w:rPr>
      </w:pPr>
    </w:p>
    <w:p>
      <w:pPr>
        <w:ind w:right="20"/>
        <w:spacing w:after="0" w:line="241" w:lineRule="auto"/>
        <w:rPr>
          <w:sz w:val="20"/>
          <w:szCs w:val="20"/>
          <w:color w:val="auto"/>
        </w:rPr>
      </w:pPr>
      <w:r>
        <w:rPr>
          <w:rFonts w:ascii="Arial" w:cs="Arial" w:eastAsia="Arial" w:hAnsi="Arial"/>
          <w:sz w:val="20"/>
          <w:szCs w:val="20"/>
          <w:color w:val="auto"/>
        </w:rPr>
        <w:t>The company uses a number of non-GAAP financial measures that management believes are useful to investors because they illustrate the performance of normal, ongoing operations, which is important in understanding and evaluating the company’s financial condition and results of operations. They are not, however, a substitute for U.S. GAAP financial measures. Therefore, the company has provided reconciliations of the non-GAAP measures to the most directly comparable U.S. GAAP measure at the end of the release. The company adjusts U.S. GAAP measures for items not directly related to ongoing operations. However, it is possible these adjusting items have occurred in the past and could recur in</w:t>
      </w:r>
    </w:p>
    <w:p>
      <w:pPr>
        <w:sectPr>
          <w:pgSz w:w="11900" w:h="16838" w:orient="portrait"/>
          <w:cols w:equalWidth="0" w:num="1">
            <w:col w:w="11420"/>
          </w:cols>
          <w:pgMar w:left="240" w:top="1192" w:right="239" w:bottom="1440" w:gutter="0" w:footer="0" w:header="0"/>
        </w:sectPr>
      </w:pPr>
    </w:p>
    <w:bookmarkStart w:id="9" w:name="page10"/>
    <w:bookmarkEnd w:id="9"/>
    <w:p>
      <w:pPr>
        <w:ind w:right="20"/>
        <w:spacing w:after="0" w:line="243" w:lineRule="auto"/>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t>future reporting periods. Management also uses non-GAAP measures for goal setting, as a basis for determining employee and senior management awards and compensation, and evaluating performance on a basis comparable to that used by investors and securities analysts.</w:t>
      </w:r>
    </w:p>
    <w:p>
      <w:pPr>
        <w:spacing w:after="0" w:line="18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Earnings conference call</w:t>
      </w:r>
    </w:p>
    <w:p>
      <w:pPr>
        <w:spacing w:after="0" w:line="24" w:lineRule="exact"/>
        <w:rPr>
          <w:sz w:val="20"/>
          <w:szCs w:val="20"/>
          <w:color w:val="auto"/>
        </w:rPr>
      </w:pPr>
    </w:p>
    <w:p>
      <w:pPr>
        <w:jc w:val="both"/>
        <w:ind w:right="140"/>
        <w:spacing w:after="0" w:line="243" w:lineRule="auto"/>
        <w:rPr>
          <w:sz w:val="20"/>
          <w:szCs w:val="20"/>
          <w:color w:val="auto"/>
        </w:rPr>
      </w:pPr>
      <w:r>
        <w:rPr>
          <w:rFonts w:ascii="Arial" w:cs="Arial" w:eastAsia="Arial" w:hAnsi="Arial"/>
          <w:sz w:val="20"/>
          <w:szCs w:val="20"/>
          <w:color w:val="auto"/>
        </w:rPr>
        <w:t>On Friday, Oct. 26, 2018, at 10:00 a.m. (ET), Chairman, President and Chief Executive Officer Dan Houston and Executive Vice President and Chief Financial Officer Deanna Strable will lead a discussion of results and the impacts on future prospects, asset quality and capital adequacy during a live conference call, which can be accessed as follows:</w:t>
      </w:r>
    </w:p>
    <w:p>
      <w:pPr>
        <w:spacing w:after="0" w:line="44" w:lineRule="exact"/>
        <w:rPr>
          <w:sz w:val="20"/>
          <w:szCs w:val="20"/>
          <w:color w:val="auto"/>
        </w:rPr>
      </w:pPr>
    </w:p>
    <w:p>
      <w:pPr>
        <w:ind w:left="660" w:right="40" w:hanging="328"/>
        <w:spacing w:after="0" w:line="239"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20"/>
          <w:szCs w:val="20"/>
          <w:color w:val="auto"/>
        </w:rPr>
        <w:t xml:space="preserve">Via live Internet webcast. Please go to </w:t>
      </w:r>
      <w:r>
        <w:rPr>
          <w:rFonts w:ascii="Arial" w:cs="Arial" w:eastAsia="Arial" w:hAnsi="Arial"/>
          <w:sz w:val="20"/>
          <w:szCs w:val="20"/>
          <w:u w:val="single" w:color="auto"/>
          <w:color w:val="0000FF"/>
        </w:rPr>
        <w:t>principal.com/investor</w:t>
      </w:r>
      <w:r>
        <w:rPr>
          <w:rFonts w:ascii="Arial" w:cs="Arial" w:eastAsia="Arial" w:hAnsi="Arial"/>
          <w:sz w:val="20"/>
          <w:szCs w:val="20"/>
          <w:color w:val="auto"/>
        </w:rPr>
        <w:t xml:space="preserve"> at least 10-15 minutes prior to the start of the call to register, and to download and install any necessary audio software.</w:t>
      </w:r>
    </w:p>
    <w:p>
      <w:pPr>
        <w:spacing w:after="0" w:line="1" w:lineRule="exact"/>
        <w:rPr>
          <w:rFonts w:ascii="Arial" w:cs="Arial" w:eastAsia="Arial" w:hAnsi="Arial"/>
          <w:sz w:val="18"/>
          <w:szCs w:val="18"/>
          <w:color w:val="auto"/>
        </w:rPr>
      </w:pPr>
    </w:p>
    <w:p>
      <w:pPr>
        <w:ind w:left="660" w:right="120" w:hanging="328"/>
        <w:spacing w:after="0" w:line="239"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20"/>
          <w:szCs w:val="20"/>
          <w:color w:val="auto"/>
        </w:rPr>
        <w:t>Via telephone by dialing 866-427-0175 (U.S. and Canadian callers) or 706-643-7701 (international callers) approximately 10 minutes prior to the start of the call. The access code is 8587837.</w:t>
      </w:r>
    </w:p>
    <w:p>
      <w:pPr>
        <w:spacing w:after="0" w:line="1" w:lineRule="exact"/>
        <w:rPr>
          <w:rFonts w:ascii="Arial" w:cs="Arial" w:eastAsia="Arial" w:hAnsi="Arial"/>
          <w:sz w:val="18"/>
          <w:szCs w:val="18"/>
          <w:color w:val="auto"/>
        </w:rPr>
      </w:pPr>
    </w:p>
    <w:p>
      <w:pPr>
        <w:ind w:left="660" w:right="220" w:hanging="328"/>
        <w:spacing w:after="0" w:line="239"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20"/>
          <w:szCs w:val="20"/>
          <w:color w:val="auto"/>
        </w:rPr>
        <w:t>Replay of the earnings call via telephone is available by dialing 855-859-2056 (U.S. and Canadian callers) or 404-537-3406 (international callers). The access code is 8587837. This replay will be available approximately two hours after the completion of the live earnings call through the end of day Nov. 2, 2018.</w:t>
      </w:r>
    </w:p>
    <w:p>
      <w:pPr>
        <w:spacing w:after="0" w:line="1" w:lineRule="exact"/>
        <w:rPr>
          <w:rFonts w:ascii="Arial" w:cs="Arial" w:eastAsia="Arial" w:hAnsi="Arial"/>
          <w:sz w:val="18"/>
          <w:szCs w:val="18"/>
          <w:color w:val="auto"/>
        </w:rPr>
      </w:pPr>
    </w:p>
    <w:p>
      <w:pPr>
        <w:ind w:left="660" w:right="1600" w:hanging="328"/>
        <w:spacing w:after="0" w:line="239"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20"/>
          <w:szCs w:val="20"/>
          <w:color w:val="auto"/>
        </w:rPr>
        <w:t xml:space="preserve">Replay of the earnings call via webcast as well as a transcript of the call will be available after the call at </w:t>
      </w:r>
      <w:r>
        <w:rPr>
          <w:rFonts w:ascii="Arial" w:cs="Arial" w:eastAsia="Arial" w:hAnsi="Arial"/>
          <w:sz w:val="20"/>
          <w:szCs w:val="20"/>
          <w:u w:val="single" w:color="auto"/>
          <w:color w:val="0000FF"/>
        </w:rPr>
        <w:t>principal.com/investor</w:t>
      </w:r>
      <w:r>
        <w:rPr>
          <w:rFonts w:ascii="Arial" w:cs="Arial" w:eastAsia="Arial" w:hAnsi="Arial"/>
          <w:sz w:val="20"/>
          <w:szCs w:val="20"/>
          <w:color w:val="000000"/>
        </w:rPr>
        <w:t>.</w:t>
      </w:r>
    </w:p>
    <w:p>
      <w:pPr>
        <w:spacing w:after="0" w:line="1" w:lineRule="exact"/>
        <w:rPr>
          <w:sz w:val="20"/>
          <w:szCs w:val="20"/>
          <w:color w:val="auto"/>
        </w:rPr>
      </w:pPr>
    </w:p>
    <w:p>
      <w:pPr>
        <w:spacing w:after="0" w:line="247" w:lineRule="auto"/>
        <w:rPr>
          <w:sz w:val="20"/>
          <w:szCs w:val="20"/>
          <w:color w:val="auto"/>
        </w:rPr>
      </w:pPr>
      <w:r>
        <w:rPr>
          <w:rFonts w:ascii="Arial" w:cs="Arial" w:eastAsia="Arial" w:hAnsi="Arial"/>
          <w:sz w:val="20"/>
          <w:szCs w:val="20"/>
          <w:color w:val="auto"/>
        </w:rPr>
        <w:t xml:space="preserve">The company’s financial supplement and slide presentation is currently available at </w:t>
      </w:r>
      <w:r>
        <w:rPr>
          <w:rFonts w:ascii="Arial" w:cs="Arial" w:eastAsia="Arial" w:hAnsi="Arial"/>
          <w:sz w:val="20"/>
          <w:szCs w:val="20"/>
          <w:u w:val="single" w:color="auto"/>
          <w:color w:val="0000FF"/>
        </w:rPr>
        <w:t>principal.com/investor</w:t>
      </w:r>
      <w:r>
        <w:rPr>
          <w:rFonts w:ascii="Arial" w:cs="Arial" w:eastAsia="Arial" w:hAnsi="Arial"/>
          <w:sz w:val="20"/>
          <w:szCs w:val="20"/>
          <w:color w:val="auto"/>
        </w:rPr>
        <w:t>, and may be referred to during the call.</w:t>
      </w:r>
    </w:p>
    <w:p>
      <w:pPr>
        <w:spacing w:after="0" w:line="239"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About Principal</w:t>
      </w:r>
      <w:r>
        <w:rPr>
          <w:rFonts w:ascii="Arial" w:cs="Arial" w:eastAsia="Arial" w:hAnsi="Arial"/>
          <w:sz w:val="25"/>
          <w:szCs w:val="25"/>
          <w:b w:val="1"/>
          <w:bCs w:val="1"/>
          <w:color w:val="auto"/>
          <w:vertAlign w:val="superscript"/>
        </w:rPr>
        <w:t>®</w:t>
      </w:r>
      <w:r>
        <w:rPr>
          <w:rFonts w:ascii="Arial" w:cs="Arial" w:eastAsia="Arial" w:hAnsi="Arial"/>
          <w:sz w:val="25"/>
          <w:szCs w:val="25"/>
          <w:color w:val="auto"/>
          <w:vertAlign w:val="superscript"/>
        </w:rPr>
        <w:t>11</w:t>
      </w:r>
    </w:p>
    <w:p>
      <w:pPr>
        <w:ind w:right="200"/>
        <w:spacing w:after="0" w:line="242" w:lineRule="auto"/>
        <w:rPr>
          <w:sz w:val="20"/>
          <w:szCs w:val="20"/>
          <w:color w:val="auto"/>
        </w:rPr>
      </w:pPr>
      <w:r>
        <w:rPr>
          <w:rFonts w:ascii="Arial" w:cs="Arial" w:eastAsia="Arial" w:hAnsi="Arial"/>
          <w:sz w:val="20"/>
          <w:szCs w:val="20"/>
          <w:color w:val="auto"/>
        </w:rPr>
        <w:t xml:space="preserve">Principal helps people and companies around the world build, protect and advance their financial well-being through retirement, insurance and asset management solutions that fit their lives. Our employees are passionate about helping clients of all income and portfolio sizes achieve their goals - offering innovative ideas, investment expertise and real-life solutions to make financial progress possible. To find out more, visit us at </w:t>
      </w:r>
      <w:r>
        <w:rPr>
          <w:rFonts w:ascii="Arial" w:cs="Arial" w:eastAsia="Arial" w:hAnsi="Arial"/>
          <w:sz w:val="20"/>
          <w:szCs w:val="20"/>
          <w:u w:val="single" w:color="auto"/>
          <w:color w:val="0000FF"/>
        </w:rPr>
        <w:t>principal.com</w:t>
      </w:r>
      <w:r>
        <w:rPr>
          <w:rFonts w:ascii="Arial" w:cs="Arial" w:eastAsia="Arial" w:hAnsi="Arial"/>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203835</wp:posOffset>
            </wp:positionV>
            <wp:extent cx="72720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pacing w:after="0" w:line="110" w:lineRule="exact"/>
        <w:rPr>
          <w:sz w:val="20"/>
          <w:szCs w:val="20"/>
          <w:color w:val="auto"/>
        </w:rPr>
      </w:pPr>
    </w:p>
    <w:p>
      <w:pPr>
        <w:ind w:right="20" w:firstLine="8"/>
        <w:spacing w:after="0" w:line="234" w:lineRule="auto"/>
        <w:tabs>
          <w:tab w:leader="none" w:pos="136" w:val="left"/>
        </w:tabs>
        <w:numPr>
          <w:ilvl w:val="0"/>
          <w:numId w:val="21"/>
        </w:numPr>
        <w:rPr>
          <w:rFonts w:ascii="Arial" w:cs="Arial" w:eastAsia="Arial" w:hAnsi="Arial"/>
          <w:sz w:val="17"/>
          <w:szCs w:val="17"/>
          <w:color w:val="auto"/>
          <w:vertAlign w:val="superscript"/>
        </w:rPr>
      </w:pPr>
      <w:r>
        <w:rPr>
          <w:rFonts w:ascii="Arial" w:cs="Arial" w:eastAsia="Arial" w:hAnsi="Arial"/>
          <w:sz w:val="14"/>
          <w:szCs w:val="14"/>
          <w:color w:val="auto"/>
        </w:rPr>
        <w:t>Principal, Principal and symbol design and Principal Financial Group are trademarks and service marks of Principal Financial Services, Inc., a member of the Principal Financial Group.</w:t>
      </w:r>
    </w:p>
    <w:p>
      <w:pPr>
        <w:sectPr>
          <w:pgSz w:w="11900" w:h="16838" w:orient="portrait"/>
          <w:cols w:equalWidth="0" w:num="1">
            <w:col w:w="11340"/>
          </w:cols>
          <w:pgMar w:left="240" w:top="1216" w:right="31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t>Summary of Principal Financial Group, Inc. and Segment Results</w:t>
      </w:r>
    </w:p>
    <w:p>
      <w:pPr>
        <w:spacing w:after="0" w:line="200" w:lineRule="exact"/>
        <w:rPr>
          <w:sz w:val="20"/>
          <w:szCs w:val="20"/>
          <w:color w:val="auto"/>
        </w:rPr>
      </w:pPr>
    </w:p>
    <w:p>
      <w:pPr>
        <w:spacing w:after="0" w:line="271" w:lineRule="exact"/>
        <w:rPr>
          <w:sz w:val="20"/>
          <w:szCs w:val="20"/>
          <w:color w:val="auto"/>
        </w:rPr>
      </w:pPr>
    </w:p>
    <w:tbl>
      <w:tblPr>
        <w:tblLayout w:type="fixed"/>
        <w:tblInd w:w="90" w:type="dxa"/>
        <w:tblCellMar>
          <w:top w:w="0" w:type="dxa"/>
          <w:left w:w="0" w:type="dxa"/>
          <w:bottom w:w="0" w:type="dxa"/>
          <w:right w:w="0" w:type="dxa"/>
        </w:tblCellMar>
      </w:tblPr>
      <w:tr>
        <w:trPr>
          <w:trHeight w:val="291"/>
        </w:trPr>
        <w:tc>
          <w:tcPr>
            <w:tcW w:w="3900" w:type="dxa"/>
            <w:vAlign w:val="bottom"/>
            <w:tcBorders>
              <w:top w:val="single" w:sz="8" w:color="00000A"/>
              <w:left w:val="single" w:sz="8" w:color="00000A"/>
            </w:tcBorders>
          </w:tcPr>
          <w:p>
            <w:pPr>
              <w:spacing w:after="0"/>
              <w:rPr>
                <w:sz w:val="24"/>
                <w:szCs w:val="24"/>
                <w:color w:val="auto"/>
              </w:rPr>
            </w:pPr>
          </w:p>
        </w:tc>
        <w:tc>
          <w:tcPr>
            <w:tcW w:w="80" w:type="dxa"/>
            <w:vAlign w:val="bottom"/>
            <w:tcBorders>
              <w:top w:val="single" w:sz="8" w:color="00000A"/>
              <w:right w:val="single" w:sz="8" w:color="00000A"/>
            </w:tcBorders>
          </w:tcPr>
          <w:p>
            <w:pPr>
              <w:spacing w:after="0"/>
              <w:rPr>
                <w:sz w:val="24"/>
                <w:szCs w:val="24"/>
                <w:color w:val="auto"/>
              </w:rPr>
            </w:pPr>
          </w:p>
        </w:tc>
        <w:tc>
          <w:tcPr>
            <w:tcW w:w="200" w:type="dxa"/>
            <w:vAlign w:val="bottom"/>
            <w:tcBorders>
              <w:top w:val="single" w:sz="8" w:color="00000A"/>
            </w:tcBorders>
          </w:tcPr>
          <w:p>
            <w:pPr>
              <w:spacing w:after="0"/>
              <w:rPr>
                <w:sz w:val="24"/>
                <w:szCs w:val="24"/>
                <w:color w:val="auto"/>
              </w:rPr>
            </w:pPr>
          </w:p>
        </w:tc>
        <w:tc>
          <w:tcPr>
            <w:tcW w:w="880" w:type="dxa"/>
            <w:vAlign w:val="bottom"/>
            <w:tcBorders>
              <w:top w:val="single" w:sz="8" w:color="00000A"/>
            </w:tcBorders>
          </w:tcPr>
          <w:p>
            <w:pPr>
              <w:spacing w:after="0"/>
              <w:rPr>
                <w:sz w:val="24"/>
                <w:szCs w:val="24"/>
                <w:color w:val="auto"/>
              </w:rPr>
            </w:pPr>
          </w:p>
        </w:tc>
        <w:tc>
          <w:tcPr>
            <w:tcW w:w="40" w:type="dxa"/>
            <w:vAlign w:val="bottom"/>
            <w:tcBorders>
              <w:top w:val="single" w:sz="8" w:color="00000A"/>
            </w:tcBorders>
          </w:tcPr>
          <w:p>
            <w:pPr>
              <w:spacing w:after="0"/>
              <w:rPr>
                <w:sz w:val="24"/>
                <w:szCs w:val="24"/>
                <w:color w:val="auto"/>
              </w:rPr>
            </w:pPr>
          </w:p>
        </w:tc>
        <w:tc>
          <w:tcPr>
            <w:tcW w:w="240" w:type="dxa"/>
            <w:vAlign w:val="bottom"/>
            <w:tcBorders>
              <w:top w:val="single" w:sz="8" w:color="00000A"/>
            </w:tcBorders>
          </w:tcPr>
          <w:p>
            <w:pPr>
              <w:spacing w:after="0"/>
              <w:rPr>
                <w:sz w:val="24"/>
                <w:szCs w:val="24"/>
                <w:color w:val="auto"/>
              </w:rPr>
            </w:pPr>
          </w:p>
        </w:tc>
        <w:tc>
          <w:tcPr>
            <w:tcW w:w="2080" w:type="dxa"/>
            <w:vAlign w:val="bottom"/>
            <w:tcBorders>
              <w:top w:val="single" w:sz="8" w:color="00000A"/>
            </w:tcBorders>
            <w:gridSpan w:val="3"/>
          </w:tcPr>
          <w:p>
            <w:pPr>
              <w:jc w:val="right"/>
              <w:ind w:right="599"/>
              <w:spacing w:after="0"/>
              <w:rPr>
                <w:sz w:val="20"/>
                <w:szCs w:val="20"/>
                <w:color w:val="auto"/>
              </w:rPr>
            </w:pPr>
            <w:r>
              <w:rPr>
                <w:rFonts w:ascii="Arial" w:cs="Arial" w:eastAsia="Arial" w:hAnsi="Arial"/>
                <w:sz w:val="16"/>
                <w:szCs w:val="16"/>
                <w:b w:val="1"/>
                <w:bCs w:val="1"/>
                <w:i w:val="1"/>
                <w:iCs w:val="1"/>
                <w:color w:val="auto"/>
              </w:rPr>
              <w:t>(in millions)</w:t>
            </w:r>
          </w:p>
        </w:tc>
        <w:tc>
          <w:tcPr>
            <w:tcW w:w="240" w:type="dxa"/>
            <w:vAlign w:val="bottom"/>
            <w:tcBorders>
              <w:top w:val="single" w:sz="8" w:color="00000A"/>
            </w:tcBorders>
          </w:tcPr>
          <w:p>
            <w:pPr>
              <w:spacing w:after="0"/>
              <w:rPr>
                <w:sz w:val="24"/>
                <w:szCs w:val="24"/>
                <w:color w:val="auto"/>
              </w:rPr>
            </w:pPr>
          </w:p>
        </w:tc>
        <w:tc>
          <w:tcPr>
            <w:tcW w:w="940" w:type="dxa"/>
            <w:vAlign w:val="bottom"/>
            <w:tcBorders>
              <w:top w:val="single" w:sz="8" w:color="00000A"/>
              <w:right w:val="single" w:sz="8" w:color="00000A"/>
            </w:tcBorders>
          </w:tcPr>
          <w:p>
            <w:pPr>
              <w:spacing w:after="0"/>
              <w:rPr>
                <w:sz w:val="24"/>
                <w:szCs w:val="24"/>
                <w:color w:val="auto"/>
              </w:rPr>
            </w:pPr>
          </w:p>
        </w:tc>
        <w:tc>
          <w:tcPr>
            <w:tcW w:w="0" w:type="dxa"/>
            <w:vAlign w:val="bottom"/>
          </w:tcPr>
          <w:p>
            <w:pPr>
              <w:spacing w:after="0"/>
              <w:rPr>
                <w:sz w:val="1"/>
                <w:szCs w:val="1"/>
                <w:color w:val="auto"/>
              </w:rPr>
            </w:pPr>
          </w:p>
        </w:tc>
      </w:tr>
      <w:tr>
        <w:trPr>
          <w:trHeight w:val="74"/>
        </w:trPr>
        <w:tc>
          <w:tcPr>
            <w:tcW w:w="3900" w:type="dxa"/>
            <w:vAlign w:val="bottom"/>
            <w:tcBorders>
              <w:left w:val="single" w:sz="8" w:color="00000A"/>
            </w:tcBorders>
          </w:tcPr>
          <w:p>
            <w:pPr>
              <w:spacing w:after="0"/>
              <w:rPr>
                <w:sz w:val="6"/>
                <w:szCs w:val="6"/>
                <w:color w:val="auto"/>
              </w:rPr>
            </w:pPr>
          </w:p>
        </w:tc>
        <w:tc>
          <w:tcPr>
            <w:tcW w:w="80" w:type="dxa"/>
            <w:vAlign w:val="bottom"/>
            <w:tcBorders>
              <w:right w:val="single" w:sz="8" w:color="00000A"/>
            </w:tcBorders>
          </w:tcPr>
          <w:p>
            <w:pPr>
              <w:spacing w:after="0"/>
              <w:rPr>
                <w:sz w:val="6"/>
                <w:szCs w:val="6"/>
                <w:color w:val="auto"/>
              </w:rPr>
            </w:pPr>
          </w:p>
        </w:tc>
        <w:tc>
          <w:tcPr>
            <w:tcW w:w="200" w:type="dxa"/>
            <w:vAlign w:val="bottom"/>
            <w:tcBorders>
              <w:bottom w:val="single" w:sz="8" w:color="00000A"/>
            </w:tcBorders>
          </w:tcPr>
          <w:p>
            <w:pPr>
              <w:spacing w:after="0"/>
              <w:rPr>
                <w:sz w:val="6"/>
                <w:szCs w:val="6"/>
                <w:color w:val="auto"/>
              </w:rPr>
            </w:pPr>
          </w:p>
        </w:tc>
        <w:tc>
          <w:tcPr>
            <w:tcW w:w="880" w:type="dxa"/>
            <w:vAlign w:val="bottom"/>
            <w:tcBorders>
              <w:bottom w:val="single" w:sz="8" w:color="00000A"/>
            </w:tcBorders>
          </w:tcPr>
          <w:p>
            <w:pPr>
              <w:spacing w:after="0"/>
              <w:rPr>
                <w:sz w:val="6"/>
                <w:szCs w:val="6"/>
                <w:color w:val="auto"/>
              </w:rPr>
            </w:pPr>
          </w:p>
        </w:tc>
        <w:tc>
          <w:tcPr>
            <w:tcW w:w="1240" w:type="dxa"/>
            <w:vAlign w:val="bottom"/>
            <w:tcBorders>
              <w:bottom w:val="single" w:sz="8" w:color="00000A"/>
            </w:tcBorders>
            <w:gridSpan w:val="3"/>
          </w:tcPr>
          <w:p>
            <w:pPr>
              <w:spacing w:after="0"/>
              <w:rPr>
                <w:sz w:val="6"/>
                <w:szCs w:val="6"/>
                <w:color w:val="auto"/>
              </w:rPr>
            </w:pPr>
          </w:p>
        </w:tc>
        <w:tc>
          <w:tcPr>
            <w:tcW w:w="200" w:type="dxa"/>
            <w:vAlign w:val="bottom"/>
            <w:tcBorders>
              <w:bottom w:val="single" w:sz="8" w:color="00000A"/>
            </w:tcBorders>
          </w:tcPr>
          <w:p>
            <w:pPr>
              <w:spacing w:after="0"/>
              <w:rPr>
                <w:sz w:val="6"/>
                <w:szCs w:val="6"/>
                <w:color w:val="auto"/>
              </w:rPr>
            </w:pPr>
          </w:p>
        </w:tc>
        <w:tc>
          <w:tcPr>
            <w:tcW w:w="920" w:type="dxa"/>
            <w:vAlign w:val="bottom"/>
            <w:tcBorders>
              <w:bottom w:val="single" w:sz="8" w:color="00000A"/>
            </w:tcBorders>
          </w:tcPr>
          <w:p>
            <w:pPr>
              <w:spacing w:after="0"/>
              <w:rPr>
                <w:sz w:val="6"/>
                <w:szCs w:val="6"/>
                <w:color w:val="auto"/>
              </w:rPr>
            </w:pPr>
          </w:p>
        </w:tc>
        <w:tc>
          <w:tcPr>
            <w:tcW w:w="1180" w:type="dxa"/>
            <w:vAlign w:val="bottom"/>
            <w:tcBorders>
              <w:bottom w:val="single" w:sz="8" w:color="00000A"/>
              <w:right w:val="single" w:sz="8" w:color="00000A"/>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271"/>
        </w:trPr>
        <w:tc>
          <w:tcPr>
            <w:tcW w:w="3900" w:type="dxa"/>
            <w:vAlign w:val="bottom"/>
            <w:tcBorders>
              <w:left w:val="single" w:sz="8" w:color="00000A"/>
            </w:tcBorders>
          </w:tcPr>
          <w:p>
            <w:pPr>
              <w:spacing w:after="0"/>
              <w:rPr>
                <w:sz w:val="23"/>
                <w:szCs w:val="23"/>
                <w:color w:val="auto"/>
              </w:rPr>
            </w:pPr>
          </w:p>
        </w:tc>
        <w:tc>
          <w:tcPr>
            <w:tcW w:w="80" w:type="dxa"/>
            <w:vAlign w:val="bottom"/>
            <w:tcBorders>
              <w:right w:val="single" w:sz="8" w:color="00000A"/>
            </w:tcBorders>
          </w:tcPr>
          <w:p>
            <w:pPr>
              <w:spacing w:after="0"/>
              <w:rPr>
                <w:sz w:val="23"/>
                <w:szCs w:val="23"/>
                <w:color w:val="auto"/>
              </w:rPr>
            </w:pPr>
          </w:p>
        </w:tc>
        <w:tc>
          <w:tcPr>
            <w:tcW w:w="200" w:type="dxa"/>
            <w:vAlign w:val="bottom"/>
          </w:tcPr>
          <w:p>
            <w:pPr>
              <w:spacing w:after="0"/>
              <w:rPr>
                <w:sz w:val="23"/>
                <w:szCs w:val="23"/>
                <w:color w:val="auto"/>
              </w:rPr>
            </w:pPr>
          </w:p>
        </w:tc>
        <w:tc>
          <w:tcPr>
            <w:tcW w:w="2120" w:type="dxa"/>
            <w:vAlign w:val="bottom"/>
            <w:tcBorders>
              <w:right w:val="single" w:sz="8" w:color="00000A"/>
            </w:tcBorders>
            <w:gridSpan w:val="4"/>
          </w:tcPr>
          <w:p>
            <w:pPr>
              <w:jc w:val="right"/>
              <w:ind w:right="319"/>
              <w:spacing w:after="0"/>
              <w:rPr>
                <w:sz w:val="20"/>
                <w:szCs w:val="20"/>
                <w:color w:val="auto"/>
              </w:rPr>
            </w:pPr>
            <w:r>
              <w:rPr>
                <w:rFonts w:ascii="Arial" w:cs="Arial" w:eastAsia="Arial" w:hAnsi="Arial"/>
                <w:sz w:val="16"/>
                <w:szCs w:val="16"/>
                <w:i w:val="1"/>
                <w:iCs w:val="1"/>
                <w:color w:val="auto"/>
              </w:rPr>
              <w:t>Three Months Ended,</w:t>
            </w:r>
          </w:p>
        </w:tc>
        <w:tc>
          <w:tcPr>
            <w:tcW w:w="200" w:type="dxa"/>
            <w:vAlign w:val="bottom"/>
          </w:tcPr>
          <w:p>
            <w:pPr>
              <w:spacing w:after="0"/>
              <w:rPr>
                <w:sz w:val="23"/>
                <w:szCs w:val="23"/>
                <w:color w:val="auto"/>
              </w:rPr>
            </w:pPr>
          </w:p>
        </w:tc>
        <w:tc>
          <w:tcPr>
            <w:tcW w:w="2100" w:type="dxa"/>
            <w:vAlign w:val="bottom"/>
            <w:tcBorders>
              <w:right w:val="single" w:sz="8" w:color="00000A"/>
            </w:tcBorders>
            <w:gridSpan w:val="3"/>
          </w:tcPr>
          <w:p>
            <w:pPr>
              <w:jc w:val="right"/>
              <w:ind w:right="259"/>
              <w:spacing w:after="0"/>
              <w:rPr>
                <w:sz w:val="20"/>
                <w:szCs w:val="20"/>
                <w:color w:val="auto"/>
              </w:rPr>
            </w:pPr>
            <w:r>
              <w:rPr>
                <w:rFonts w:ascii="Arial" w:cs="Arial" w:eastAsia="Arial" w:hAnsi="Arial"/>
                <w:sz w:val="16"/>
                <w:szCs w:val="16"/>
                <w:i w:val="1"/>
                <w:iCs w:val="1"/>
                <w:color w:val="auto"/>
              </w:rPr>
              <w:t>Trailing Twelve Months,</w:t>
            </w:r>
          </w:p>
        </w:tc>
        <w:tc>
          <w:tcPr>
            <w:tcW w:w="0" w:type="dxa"/>
            <w:vAlign w:val="bottom"/>
          </w:tcPr>
          <w:p>
            <w:pPr>
              <w:spacing w:after="0"/>
              <w:rPr>
                <w:sz w:val="1"/>
                <w:szCs w:val="1"/>
                <w:color w:val="auto"/>
              </w:rPr>
            </w:pPr>
          </w:p>
        </w:tc>
      </w:tr>
      <w:tr>
        <w:trPr>
          <w:trHeight w:val="74"/>
        </w:trPr>
        <w:tc>
          <w:tcPr>
            <w:tcW w:w="3980" w:type="dxa"/>
            <w:vAlign w:val="bottom"/>
            <w:tcBorders>
              <w:left w:val="single" w:sz="8" w:color="00000A"/>
              <w:right w:val="single" w:sz="8" w:color="00000A"/>
            </w:tcBorders>
            <w:gridSpan w:val="2"/>
            <w:vMerge w:val="restart"/>
          </w:tcPr>
          <w:p>
            <w:pPr>
              <w:ind w:left="40"/>
              <w:spacing w:after="0"/>
              <w:rPr>
                <w:sz w:val="20"/>
                <w:szCs w:val="20"/>
                <w:color w:val="auto"/>
              </w:rPr>
            </w:pPr>
            <w:r>
              <w:rPr>
                <w:rFonts w:ascii="Arial" w:cs="Arial" w:eastAsia="Arial" w:hAnsi="Arial"/>
                <w:sz w:val="16"/>
                <w:szCs w:val="16"/>
                <w:b w:val="1"/>
                <w:bCs w:val="1"/>
                <w:i w:val="1"/>
                <w:iCs w:val="1"/>
                <w:color w:val="auto"/>
              </w:rPr>
              <w:t>Principal Financial Group, Inc. Results:</w:t>
            </w:r>
          </w:p>
        </w:tc>
        <w:tc>
          <w:tcPr>
            <w:tcW w:w="200" w:type="dxa"/>
            <w:vAlign w:val="bottom"/>
            <w:tcBorders>
              <w:bottom w:val="single" w:sz="8" w:color="00000A"/>
            </w:tcBorders>
          </w:tcPr>
          <w:p>
            <w:pPr>
              <w:spacing w:after="0"/>
              <w:rPr>
                <w:sz w:val="6"/>
                <w:szCs w:val="6"/>
                <w:color w:val="auto"/>
              </w:rPr>
            </w:pPr>
          </w:p>
        </w:tc>
        <w:tc>
          <w:tcPr>
            <w:tcW w:w="880" w:type="dxa"/>
            <w:vAlign w:val="bottom"/>
            <w:tcBorders>
              <w:bottom w:val="single" w:sz="8" w:color="00000A"/>
            </w:tcBorders>
          </w:tcPr>
          <w:p>
            <w:pPr>
              <w:spacing w:after="0"/>
              <w:rPr>
                <w:sz w:val="6"/>
                <w:szCs w:val="6"/>
                <w:color w:val="auto"/>
              </w:rPr>
            </w:pPr>
          </w:p>
        </w:tc>
        <w:tc>
          <w:tcPr>
            <w:tcW w:w="40" w:type="dxa"/>
            <w:vAlign w:val="bottom"/>
            <w:tcBorders>
              <w:bottom w:val="single" w:sz="8" w:color="00000A"/>
            </w:tcBorders>
          </w:tcPr>
          <w:p>
            <w:pPr>
              <w:spacing w:after="0"/>
              <w:rPr>
                <w:sz w:val="6"/>
                <w:szCs w:val="6"/>
                <w:color w:val="auto"/>
              </w:rPr>
            </w:pPr>
          </w:p>
        </w:tc>
        <w:tc>
          <w:tcPr>
            <w:tcW w:w="240" w:type="dxa"/>
            <w:vAlign w:val="bottom"/>
            <w:tcBorders>
              <w:bottom w:val="single" w:sz="8" w:color="00000A"/>
            </w:tcBorders>
          </w:tcPr>
          <w:p>
            <w:pPr>
              <w:spacing w:after="0"/>
              <w:rPr>
                <w:sz w:val="6"/>
                <w:szCs w:val="6"/>
                <w:color w:val="auto"/>
              </w:rPr>
            </w:pPr>
          </w:p>
        </w:tc>
        <w:tc>
          <w:tcPr>
            <w:tcW w:w="960" w:type="dxa"/>
            <w:vAlign w:val="bottom"/>
            <w:tcBorders>
              <w:bottom w:val="single" w:sz="8" w:color="00000A"/>
              <w:right w:val="single" w:sz="8" w:color="00000A"/>
            </w:tcBorders>
          </w:tcPr>
          <w:p>
            <w:pPr>
              <w:spacing w:after="0"/>
              <w:rPr>
                <w:sz w:val="6"/>
                <w:szCs w:val="6"/>
                <w:color w:val="auto"/>
              </w:rPr>
            </w:pPr>
          </w:p>
        </w:tc>
        <w:tc>
          <w:tcPr>
            <w:tcW w:w="200" w:type="dxa"/>
            <w:vAlign w:val="bottom"/>
            <w:tcBorders>
              <w:bottom w:val="single" w:sz="8" w:color="00000A"/>
            </w:tcBorders>
          </w:tcPr>
          <w:p>
            <w:pPr>
              <w:spacing w:after="0"/>
              <w:rPr>
                <w:sz w:val="6"/>
                <w:szCs w:val="6"/>
                <w:color w:val="auto"/>
              </w:rPr>
            </w:pPr>
          </w:p>
        </w:tc>
        <w:tc>
          <w:tcPr>
            <w:tcW w:w="920" w:type="dxa"/>
            <w:vAlign w:val="bottom"/>
            <w:tcBorders>
              <w:bottom w:val="single" w:sz="8" w:color="00000A"/>
            </w:tcBorders>
          </w:tcPr>
          <w:p>
            <w:pPr>
              <w:spacing w:after="0"/>
              <w:rPr>
                <w:sz w:val="6"/>
                <w:szCs w:val="6"/>
                <w:color w:val="auto"/>
              </w:rPr>
            </w:pPr>
          </w:p>
        </w:tc>
        <w:tc>
          <w:tcPr>
            <w:tcW w:w="240" w:type="dxa"/>
            <w:vAlign w:val="bottom"/>
            <w:tcBorders>
              <w:bottom w:val="single" w:sz="8" w:color="00000A"/>
            </w:tcBorders>
          </w:tcPr>
          <w:p>
            <w:pPr>
              <w:spacing w:after="0"/>
              <w:rPr>
                <w:sz w:val="6"/>
                <w:szCs w:val="6"/>
                <w:color w:val="auto"/>
              </w:rPr>
            </w:pPr>
          </w:p>
        </w:tc>
        <w:tc>
          <w:tcPr>
            <w:tcW w:w="940" w:type="dxa"/>
            <w:vAlign w:val="bottom"/>
            <w:tcBorders>
              <w:bottom w:val="single" w:sz="8" w:color="00000A"/>
              <w:right w:val="single" w:sz="8" w:color="00000A"/>
            </w:tcBorders>
          </w:tcPr>
          <w:p>
            <w:pPr>
              <w:spacing w:after="0"/>
              <w:rPr>
                <w:sz w:val="6"/>
                <w:szCs w:val="6"/>
                <w:color w:val="auto"/>
              </w:rPr>
            </w:pPr>
          </w:p>
        </w:tc>
        <w:tc>
          <w:tcPr>
            <w:tcW w:w="0" w:type="dxa"/>
            <w:vAlign w:val="bottom"/>
          </w:tcPr>
          <w:p>
            <w:pPr>
              <w:spacing w:after="0"/>
              <w:rPr>
                <w:sz w:val="1"/>
                <w:szCs w:val="1"/>
                <w:color w:val="auto"/>
              </w:rPr>
            </w:pPr>
          </w:p>
        </w:tc>
      </w:tr>
      <w:tr>
        <w:trPr>
          <w:trHeight w:val="230"/>
        </w:trPr>
        <w:tc>
          <w:tcPr>
            <w:tcW w:w="3980" w:type="dxa"/>
            <w:vAlign w:val="bottom"/>
            <w:tcBorders>
              <w:left w:val="single" w:sz="8" w:color="00000A"/>
              <w:bottom w:val="single" w:sz="8" w:color="00000A"/>
              <w:right w:val="single" w:sz="8" w:color="00000A"/>
            </w:tcBorders>
            <w:gridSpan w:val="2"/>
            <w:vMerge w:val="continue"/>
          </w:tcPr>
          <w:p>
            <w:pPr>
              <w:spacing w:after="0"/>
              <w:rPr>
                <w:sz w:val="20"/>
                <w:szCs w:val="20"/>
                <w:color w:val="auto"/>
              </w:rPr>
            </w:pPr>
          </w:p>
        </w:tc>
        <w:tc>
          <w:tcPr>
            <w:tcW w:w="200" w:type="dxa"/>
            <w:vAlign w:val="bottom"/>
            <w:tcBorders>
              <w:bottom w:val="single" w:sz="8" w:color="00000A"/>
            </w:tcBorders>
          </w:tcPr>
          <w:p>
            <w:pPr>
              <w:spacing w:after="0"/>
              <w:rPr>
                <w:sz w:val="20"/>
                <w:szCs w:val="20"/>
                <w:color w:val="auto"/>
              </w:rPr>
            </w:pPr>
          </w:p>
        </w:tc>
        <w:tc>
          <w:tcPr>
            <w:tcW w:w="880" w:type="dxa"/>
            <w:vAlign w:val="bottom"/>
            <w:tcBorders>
              <w:bottom w:val="single" w:sz="8" w:color="00000A"/>
            </w:tcBorders>
          </w:tcPr>
          <w:p>
            <w:pPr>
              <w:jc w:val="right"/>
              <w:ind w:right="179"/>
              <w:spacing w:after="0"/>
              <w:rPr>
                <w:sz w:val="20"/>
                <w:szCs w:val="20"/>
                <w:color w:val="auto"/>
              </w:rPr>
            </w:pPr>
            <w:r>
              <w:rPr>
                <w:rFonts w:ascii="Arial" w:cs="Arial" w:eastAsia="Arial" w:hAnsi="Arial"/>
                <w:sz w:val="16"/>
                <w:szCs w:val="16"/>
                <w:color w:val="auto"/>
              </w:rPr>
              <w:t>9/30/18</w:t>
            </w:r>
          </w:p>
        </w:tc>
        <w:tc>
          <w:tcPr>
            <w:tcW w:w="40" w:type="dxa"/>
            <w:vAlign w:val="bottom"/>
            <w:tcBorders>
              <w:bottom w:val="single" w:sz="8" w:color="00000A"/>
              <w:right w:val="single" w:sz="8" w:color="00000A"/>
            </w:tcBorders>
          </w:tcPr>
          <w:p>
            <w:pPr>
              <w:spacing w:after="0"/>
              <w:rPr>
                <w:sz w:val="20"/>
                <w:szCs w:val="20"/>
                <w:color w:val="auto"/>
              </w:rPr>
            </w:pPr>
          </w:p>
        </w:tc>
        <w:tc>
          <w:tcPr>
            <w:tcW w:w="240" w:type="dxa"/>
            <w:vAlign w:val="bottom"/>
            <w:tcBorders>
              <w:bottom w:val="single" w:sz="8" w:color="00000A"/>
            </w:tcBorders>
          </w:tcPr>
          <w:p>
            <w:pPr>
              <w:spacing w:after="0"/>
              <w:rPr>
                <w:sz w:val="20"/>
                <w:szCs w:val="20"/>
                <w:color w:val="auto"/>
              </w:rPr>
            </w:pPr>
          </w:p>
        </w:tc>
        <w:tc>
          <w:tcPr>
            <w:tcW w:w="960" w:type="dxa"/>
            <w:vAlign w:val="bottom"/>
            <w:tcBorders>
              <w:bottom w:val="single" w:sz="8" w:color="00000A"/>
              <w:right w:val="single" w:sz="8" w:color="00000A"/>
            </w:tcBorders>
          </w:tcPr>
          <w:p>
            <w:pPr>
              <w:jc w:val="right"/>
              <w:ind w:right="279"/>
              <w:spacing w:after="0"/>
              <w:rPr>
                <w:sz w:val="20"/>
                <w:szCs w:val="20"/>
                <w:color w:val="auto"/>
              </w:rPr>
            </w:pPr>
            <w:r>
              <w:rPr>
                <w:rFonts w:ascii="Arial" w:cs="Arial" w:eastAsia="Arial" w:hAnsi="Arial"/>
                <w:sz w:val="16"/>
                <w:szCs w:val="16"/>
                <w:color w:val="auto"/>
              </w:rPr>
              <w:t>9/30/17</w:t>
            </w:r>
          </w:p>
        </w:tc>
        <w:tc>
          <w:tcPr>
            <w:tcW w:w="200" w:type="dxa"/>
            <w:vAlign w:val="bottom"/>
            <w:tcBorders>
              <w:bottom w:val="single" w:sz="8" w:color="00000A"/>
            </w:tcBorders>
          </w:tcPr>
          <w:p>
            <w:pPr>
              <w:spacing w:after="0"/>
              <w:rPr>
                <w:sz w:val="20"/>
                <w:szCs w:val="20"/>
                <w:color w:val="auto"/>
              </w:rPr>
            </w:pPr>
          </w:p>
        </w:tc>
        <w:tc>
          <w:tcPr>
            <w:tcW w:w="920" w:type="dxa"/>
            <w:vAlign w:val="bottom"/>
            <w:tcBorders>
              <w:bottom w:val="single" w:sz="8" w:color="00000A"/>
              <w:right w:val="single" w:sz="8" w:color="00000A"/>
            </w:tcBorders>
          </w:tcPr>
          <w:p>
            <w:pPr>
              <w:jc w:val="right"/>
              <w:ind w:right="239"/>
              <w:spacing w:after="0"/>
              <w:rPr>
                <w:sz w:val="20"/>
                <w:szCs w:val="20"/>
                <w:color w:val="auto"/>
              </w:rPr>
            </w:pPr>
            <w:r>
              <w:rPr>
                <w:rFonts w:ascii="Arial" w:cs="Arial" w:eastAsia="Arial" w:hAnsi="Arial"/>
                <w:sz w:val="16"/>
                <w:szCs w:val="16"/>
                <w:color w:val="auto"/>
              </w:rPr>
              <w:t>9/30/18</w:t>
            </w:r>
          </w:p>
        </w:tc>
        <w:tc>
          <w:tcPr>
            <w:tcW w:w="240" w:type="dxa"/>
            <w:vAlign w:val="bottom"/>
            <w:tcBorders>
              <w:bottom w:val="single" w:sz="8" w:color="00000A"/>
            </w:tcBorders>
          </w:tcPr>
          <w:p>
            <w:pPr>
              <w:spacing w:after="0"/>
              <w:rPr>
                <w:sz w:val="20"/>
                <w:szCs w:val="20"/>
                <w:color w:val="auto"/>
              </w:rPr>
            </w:pPr>
          </w:p>
        </w:tc>
        <w:tc>
          <w:tcPr>
            <w:tcW w:w="940" w:type="dxa"/>
            <w:vAlign w:val="bottom"/>
            <w:tcBorders>
              <w:bottom w:val="single" w:sz="8" w:color="00000A"/>
              <w:right w:val="single" w:sz="8" w:color="00000A"/>
            </w:tcBorders>
          </w:tcPr>
          <w:p>
            <w:pPr>
              <w:jc w:val="right"/>
              <w:ind w:right="279"/>
              <w:spacing w:after="0"/>
              <w:rPr>
                <w:sz w:val="20"/>
                <w:szCs w:val="20"/>
                <w:color w:val="auto"/>
              </w:rPr>
            </w:pPr>
            <w:r>
              <w:rPr>
                <w:rFonts w:ascii="Arial" w:cs="Arial" w:eastAsia="Arial" w:hAnsi="Arial"/>
                <w:sz w:val="16"/>
                <w:szCs w:val="16"/>
                <w:color w:val="auto"/>
              </w:rPr>
              <w:t>9/30/17</w:t>
            </w:r>
          </w:p>
        </w:tc>
        <w:tc>
          <w:tcPr>
            <w:tcW w:w="0" w:type="dxa"/>
            <w:vAlign w:val="bottom"/>
          </w:tcPr>
          <w:p>
            <w:pPr>
              <w:spacing w:after="0"/>
              <w:rPr>
                <w:sz w:val="1"/>
                <w:szCs w:val="1"/>
                <w:color w:val="auto"/>
              </w:rPr>
            </w:pPr>
          </w:p>
        </w:tc>
      </w:tr>
      <w:tr>
        <w:trPr>
          <w:trHeight w:val="278"/>
        </w:trPr>
        <w:tc>
          <w:tcPr>
            <w:tcW w:w="3980" w:type="dxa"/>
            <w:vAlign w:val="bottom"/>
            <w:tcBorders>
              <w:left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b w:val="1"/>
                <w:bCs w:val="1"/>
                <w:i w:val="1"/>
                <w:iCs w:val="1"/>
                <w:color w:val="auto"/>
              </w:rPr>
              <w:t>Net income attributable to PFG</w:t>
            </w:r>
          </w:p>
        </w:tc>
        <w:tc>
          <w:tcPr>
            <w:tcW w:w="2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w:t>
            </w:r>
          </w:p>
        </w:tc>
        <w:tc>
          <w:tcPr>
            <w:tcW w:w="88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456.3</w:t>
            </w:r>
          </w:p>
        </w:tc>
        <w:tc>
          <w:tcPr>
            <w:tcW w:w="40" w:type="dxa"/>
            <w:vAlign w:val="bottom"/>
            <w:tcBorders>
              <w:right w:val="single" w:sz="8" w:color="00000A"/>
            </w:tcBorders>
          </w:tcPr>
          <w:p>
            <w:pPr>
              <w:spacing w:after="0"/>
              <w:rPr>
                <w:sz w:val="24"/>
                <w:szCs w:val="24"/>
                <w:color w:val="auto"/>
              </w:rPr>
            </w:pPr>
          </w:p>
        </w:tc>
        <w:tc>
          <w:tcPr>
            <w:tcW w:w="24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w:t>
            </w:r>
          </w:p>
        </w:tc>
        <w:tc>
          <w:tcPr>
            <w:tcW w:w="960" w:type="dxa"/>
            <w:vAlign w:val="bottom"/>
            <w:tcBorders>
              <w:right w:val="single" w:sz="8" w:color="00000A"/>
            </w:tcBorders>
            <w:vMerge w:val="restart"/>
          </w:tcPr>
          <w:p>
            <w:pPr>
              <w:jc w:val="right"/>
              <w:ind w:right="59"/>
              <w:spacing w:after="0"/>
              <w:rPr>
                <w:sz w:val="20"/>
                <w:szCs w:val="20"/>
                <w:color w:val="auto"/>
              </w:rPr>
            </w:pPr>
            <w:r>
              <w:rPr>
                <w:rFonts w:ascii="Arial" w:cs="Arial" w:eastAsia="Arial" w:hAnsi="Arial"/>
                <w:sz w:val="16"/>
                <w:szCs w:val="16"/>
                <w:b w:val="1"/>
                <w:bCs w:val="1"/>
                <w:color w:val="auto"/>
              </w:rPr>
              <w:t>810.2</w:t>
            </w:r>
          </w:p>
        </w:tc>
        <w:tc>
          <w:tcPr>
            <w:tcW w:w="2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w:t>
            </w:r>
          </w:p>
        </w:tc>
        <w:tc>
          <w:tcPr>
            <w:tcW w:w="920" w:type="dxa"/>
            <w:vAlign w:val="bottom"/>
            <w:tcBorders>
              <w:right w:val="single" w:sz="8" w:color="00000A"/>
            </w:tcBorders>
            <w:vMerge w:val="restart"/>
          </w:tcPr>
          <w:p>
            <w:pPr>
              <w:jc w:val="right"/>
              <w:ind w:right="19"/>
              <w:spacing w:after="0"/>
              <w:rPr>
                <w:sz w:val="20"/>
                <w:szCs w:val="20"/>
                <w:color w:val="auto"/>
              </w:rPr>
            </w:pPr>
            <w:r>
              <w:rPr>
                <w:rFonts w:ascii="Arial" w:cs="Arial" w:eastAsia="Arial" w:hAnsi="Arial"/>
                <w:sz w:val="16"/>
                <w:szCs w:val="16"/>
                <w:b w:val="1"/>
                <w:bCs w:val="1"/>
                <w:color w:val="auto"/>
              </w:rPr>
              <w:t>2,151.8</w:t>
            </w:r>
          </w:p>
        </w:tc>
        <w:tc>
          <w:tcPr>
            <w:tcW w:w="24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w:t>
            </w:r>
          </w:p>
        </w:tc>
        <w:tc>
          <w:tcPr>
            <w:tcW w:w="940" w:type="dxa"/>
            <w:vAlign w:val="bottom"/>
            <w:tcBorders>
              <w:right w:val="single" w:sz="8" w:color="00000A"/>
            </w:tcBorders>
            <w:vMerge w:val="restart"/>
          </w:tcPr>
          <w:p>
            <w:pPr>
              <w:jc w:val="right"/>
              <w:ind w:right="39"/>
              <w:spacing w:after="0"/>
              <w:rPr>
                <w:sz w:val="20"/>
                <w:szCs w:val="20"/>
                <w:color w:val="auto"/>
              </w:rPr>
            </w:pPr>
            <w:r>
              <w:rPr>
                <w:rFonts w:ascii="Arial" w:cs="Arial" w:eastAsia="Arial" w:hAnsi="Arial"/>
                <w:sz w:val="16"/>
                <w:szCs w:val="16"/>
                <w:b w:val="1"/>
                <w:bCs w:val="1"/>
                <w:color w:val="auto"/>
              </w:rPr>
              <w:t>1,786.6</w:t>
            </w:r>
          </w:p>
        </w:tc>
        <w:tc>
          <w:tcPr>
            <w:tcW w:w="0" w:type="dxa"/>
            <w:vAlign w:val="bottom"/>
          </w:tcPr>
          <w:p>
            <w:pPr>
              <w:spacing w:after="0"/>
              <w:rPr>
                <w:sz w:val="1"/>
                <w:szCs w:val="1"/>
                <w:color w:val="auto"/>
              </w:rPr>
            </w:pPr>
          </w:p>
        </w:tc>
      </w:tr>
      <w:tr>
        <w:trPr>
          <w:trHeight w:val="67"/>
        </w:trPr>
        <w:tc>
          <w:tcPr>
            <w:tcW w:w="3900" w:type="dxa"/>
            <w:vAlign w:val="bottom"/>
            <w:tcBorders>
              <w:left w:val="single" w:sz="8" w:color="00000A"/>
              <w:bottom w:val="single" w:sz="8" w:color="00000A"/>
            </w:tcBorders>
          </w:tcPr>
          <w:p>
            <w:pPr>
              <w:spacing w:after="0"/>
              <w:rPr>
                <w:sz w:val="5"/>
                <w:szCs w:val="5"/>
                <w:color w:val="auto"/>
              </w:rPr>
            </w:pPr>
          </w:p>
        </w:tc>
        <w:tc>
          <w:tcPr>
            <w:tcW w:w="80" w:type="dxa"/>
            <w:vAlign w:val="bottom"/>
            <w:tcBorders>
              <w:bottom w:val="single" w:sz="8" w:color="00000A"/>
              <w:right w:val="single" w:sz="8" w:color="00000A"/>
            </w:tcBorders>
          </w:tcPr>
          <w:p>
            <w:pPr>
              <w:spacing w:after="0"/>
              <w:rPr>
                <w:sz w:val="5"/>
                <w:szCs w:val="5"/>
                <w:color w:val="auto"/>
              </w:rPr>
            </w:pPr>
          </w:p>
        </w:tc>
        <w:tc>
          <w:tcPr>
            <w:tcW w:w="200" w:type="dxa"/>
            <w:vAlign w:val="bottom"/>
            <w:tcBorders>
              <w:bottom w:val="single" w:sz="8" w:color="00000A"/>
            </w:tcBorders>
            <w:vMerge w:val="continue"/>
          </w:tcPr>
          <w:p>
            <w:pPr>
              <w:spacing w:after="0"/>
              <w:rPr>
                <w:sz w:val="5"/>
                <w:szCs w:val="5"/>
                <w:color w:val="auto"/>
              </w:rPr>
            </w:pPr>
          </w:p>
        </w:tc>
        <w:tc>
          <w:tcPr>
            <w:tcW w:w="880" w:type="dxa"/>
            <w:vAlign w:val="bottom"/>
            <w:tcBorders>
              <w:bottom w:val="single" w:sz="8" w:color="00000A"/>
            </w:tcBorders>
            <w:vMerge w:val="continue"/>
          </w:tcPr>
          <w:p>
            <w:pPr>
              <w:spacing w:after="0"/>
              <w:rPr>
                <w:sz w:val="5"/>
                <w:szCs w:val="5"/>
                <w:color w:val="auto"/>
              </w:rPr>
            </w:pPr>
          </w:p>
        </w:tc>
        <w:tc>
          <w:tcPr>
            <w:tcW w:w="40" w:type="dxa"/>
            <w:vAlign w:val="bottom"/>
            <w:tcBorders>
              <w:bottom w:val="single" w:sz="8" w:color="00000A"/>
              <w:right w:val="single" w:sz="8" w:color="00000A"/>
            </w:tcBorders>
          </w:tcPr>
          <w:p>
            <w:pPr>
              <w:spacing w:after="0"/>
              <w:rPr>
                <w:sz w:val="5"/>
                <w:szCs w:val="5"/>
                <w:color w:val="auto"/>
              </w:rPr>
            </w:pPr>
          </w:p>
        </w:tc>
        <w:tc>
          <w:tcPr>
            <w:tcW w:w="240" w:type="dxa"/>
            <w:vAlign w:val="bottom"/>
            <w:tcBorders>
              <w:bottom w:val="single" w:sz="8" w:color="00000A"/>
            </w:tcBorders>
            <w:vMerge w:val="continue"/>
          </w:tcPr>
          <w:p>
            <w:pPr>
              <w:spacing w:after="0"/>
              <w:rPr>
                <w:sz w:val="5"/>
                <w:szCs w:val="5"/>
                <w:color w:val="auto"/>
              </w:rPr>
            </w:pPr>
          </w:p>
        </w:tc>
        <w:tc>
          <w:tcPr>
            <w:tcW w:w="960" w:type="dxa"/>
            <w:vAlign w:val="bottom"/>
            <w:tcBorders>
              <w:bottom w:val="single" w:sz="8" w:color="00000A"/>
              <w:right w:val="single" w:sz="8" w:color="00000A"/>
            </w:tcBorders>
            <w:vMerge w:val="continue"/>
          </w:tcPr>
          <w:p>
            <w:pPr>
              <w:spacing w:after="0"/>
              <w:rPr>
                <w:sz w:val="5"/>
                <w:szCs w:val="5"/>
                <w:color w:val="auto"/>
              </w:rPr>
            </w:pPr>
          </w:p>
        </w:tc>
        <w:tc>
          <w:tcPr>
            <w:tcW w:w="200" w:type="dxa"/>
            <w:vAlign w:val="bottom"/>
            <w:tcBorders>
              <w:bottom w:val="single" w:sz="8" w:color="00000A"/>
            </w:tcBorders>
            <w:vMerge w:val="continue"/>
          </w:tcPr>
          <w:p>
            <w:pPr>
              <w:spacing w:after="0"/>
              <w:rPr>
                <w:sz w:val="5"/>
                <w:szCs w:val="5"/>
                <w:color w:val="auto"/>
              </w:rPr>
            </w:pPr>
          </w:p>
        </w:tc>
        <w:tc>
          <w:tcPr>
            <w:tcW w:w="920" w:type="dxa"/>
            <w:vAlign w:val="bottom"/>
            <w:tcBorders>
              <w:bottom w:val="single" w:sz="8" w:color="00000A"/>
              <w:right w:val="single" w:sz="8" w:color="00000A"/>
            </w:tcBorders>
            <w:vMerge w:val="continue"/>
          </w:tcPr>
          <w:p>
            <w:pPr>
              <w:spacing w:after="0"/>
              <w:rPr>
                <w:sz w:val="5"/>
                <w:szCs w:val="5"/>
                <w:color w:val="auto"/>
              </w:rPr>
            </w:pPr>
          </w:p>
        </w:tc>
        <w:tc>
          <w:tcPr>
            <w:tcW w:w="240" w:type="dxa"/>
            <w:vAlign w:val="bottom"/>
            <w:tcBorders>
              <w:bottom w:val="single" w:sz="8" w:color="00000A"/>
            </w:tcBorders>
            <w:vMerge w:val="continue"/>
          </w:tcPr>
          <w:p>
            <w:pPr>
              <w:spacing w:after="0"/>
              <w:rPr>
                <w:sz w:val="5"/>
                <w:szCs w:val="5"/>
                <w:color w:val="auto"/>
              </w:rPr>
            </w:pPr>
          </w:p>
        </w:tc>
        <w:tc>
          <w:tcPr>
            <w:tcW w:w="940" w:type="dxa"/>
            <w:vAlign w:val="bottom"/>
            <w:tcBorders>
              <w:bottom w:val="single" w:sz="8" w:color="00000A"/>
              <w:right w:val="single" w:sz="8" w:color="00000A"/>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78"/>
        </w:trPr>
        <w:tc>
          <w:tcPr>
            <w:tcW w:w="3980" w:type="dxa"/>
            <w:vAlign w:val="bottom"/>
            <w:tcBorders>
              <w:left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i w:val="1"/>
                <w:iCs w:val="1"/>
                <w:color w:val="auto"/>
              </w:rPr>
              <w:t>Net realized capital (gains) losses, as adjusted</w:t>
            </w:r>
          </w:p>
        </w:tc>
        <w:tc>
          <w:tcPr>
            <w:tcW w:w="20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24.9</w:t>
            </w:r>
          </w:p>
        </w:tc>
        <w:tc>
          <w:tcPr>
            <w:tcW w:w="40" w:type="dxa"/>
            <w:vAlign w:val="bottom"/>
            <w:tcBorders>
              <w:right w:val="single" w:sz="8" w:color="00000A"/>
            </w:tcBorders>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Borders>
              <w:right w:val="single" w:sz="8" w:color="00000A"/>
            </w:tcBorders>
            <w:vMerge w:val="restart"/>
          </w:tcPr>
          <w:p>
            <w:pPr>
              <w:jc w:val="right"/>
              <w:spacing w:after="0"/>
              <w:rPr>
                <w:sz w:val="20"/>
                <w:szCs w:val="20"/>
                <w:color w:val="auto"/>
              </w:rPr>
            </w:pPr>
            <w:r>
              <w:rPr>
                <w:rFonts w:ascii="Arial" w:cs="Arial" w:eastAsia="Arial" w:hAnsi="Arial"/>
                <w:sz w:val="16"/>
                <w:szCs w:val="16"/>
                <w:color w:val="auto"/>
              </w:rPr>
              <w:t>(436.5)</w:t>
            </w:r>
          </w:p>
        </w:tc>
        <w:tc>
          <w:tcPr>
            <w:tcW w:w="200" w:type="dxa"/>
            <w:vAlign w:val="bottom"/>
          </w:tcPr>
          <w:p>
            <w:pPr>
              <w:spacing w:after="0"/>
              <w:rPr>
                <w:sz w:val="24"/>
                <w:szCs w:val="24"/>
                <w:color w:val="auto"/>
              </w:rPr>
            </w:pPr>
          </w:p>
        </w:tc>
        <w:tc>
          <w:tcPr>
            <w:tcW w:w="920" w:type="dxa"/>
            <w:vAlign w:val="bottom"/>
            <w:tcBorders>
              <w:right w:val="single" w:sz="8" w:color="00000A"/>
            </w:tcBorders>
            <w:vMerge w:val="restart"/>
          </w:tcPr>
          <w:p>
            <w:pPr>
              <w:jc w:val="right"/>
              <w:ind w:right="19"/>
              <w:spacing w:after="0"/>
              <w:rPr>
                <w:sz w:val="20"/>
                <w:szCs w:val="20"/>
                <w:color w:val="auto"/>
              </w:rPr>
            </w:pPr>
            <w:r>
              <w:rPr>
                <w:rFonts w:ascii="Arial" w:cs="Arial" w:eastAsia="Arial" w:hAnsi="Arial"/>
                <w:sz w:val="16"/>
                <w:szCs w:val="16"/>
                <w:color w:val="auto"/>
              </w:rPr>
              <w:t>4.9</w:t>
            </w:r>
          </w:p>
        </w:tc>
        <w:tc>
          <w:tcPr>
            <w:tcW w:w="240" w:type="dxa"/>
            <w:vAlign w:val="bottom"/>
          </w:tcPr>
          <w:p>
            <w:pPr>
              <w:spacing w:after="0"/>
              <w:rPr>
                <w:sz w:val="24"/>
                <w:szCs w:val="24"/>
                <w:color w:val="auto"/>
              </w:rPr>
            </w:pPr>
          </w:p>
        </w:tc>
        <w:tc>
          <w:tcPr>
            <w:tcW w:w="940" w:type="dxa"/>
            <w:vAlign w:val="bottom"/>
            <w:tcBorders>
              <w:right w:val="single" w:sz="8" w:color="00000A"/>
            </w:tcBorders>
            <w:vMerge w:val="restart"/>
          </w:tcPr>
          <w:p>
            <w:pPr>
              <w:jc w:val="right"/>
              <w:spacing w:after="0"/>
              <w:rPr>
                <w:sz w:val="20"/>
                <w:szCs w:val="20"/>
                <w:color w:val="auto"/>
              </w:rPr>
            </w:pPr>
            <w:r>
              <w:rPr>
                <w:rFonts w:ascii="Arial" w:cs="Arial" w:eastAsia="Arial" w:hAnsi="Arial"/>
                <w:sz w:val="16"/>
                <w:szCs w:val="16"/>
                <w:color w:val="auto"/>
              </w:rPr>
              <w:t>(338.8)</w:t>
            </w:r>
          </w:p>
        </w:tc>
        <w:tc>
          <w:tcPr>
            <w:tcW w:w="0" w:type="dxa"/>
            <w:vAlign w:val="bottom"/>
          </w:tcPr>
          <w:p>
            <w:pPr>
              <w:spacing w:after="0"/>
              <w:rPr>
                <w:sz w:val="1"/>
                <w:szCs w:val="1"/>
                <w:color w:val="auto"/>
              </w:rPr>
            </w:pPr>
          </w:p>
        </w:tc>
      </w:tr>
      <w:tr>
        <w:trPr>
          <w:trHeight w:val="67"/>
        </w:trPr>
        <w:tc>
          <w:tcPr>
            <w:tcW w:w="3900" w:type="dxa"/>
            <w:vAlign w:val="bottom"/>
            <w:tcBorders>
              <w:left w:val="single" w:sz="8" w:color="00000A"/>
              <w:bottom w:val="single" w:sz="8" w:color="00000A"/>
            </w:tcBorders>
          </w:tcPr>
          <w:p>
            <w:pPr>
              <w:spacing w:after="0"/>
              <w:rPr>
                <w:sz w:val="5"/>
                <w:szCs w:val="5"/>
                <w:color w:val="auto"/>
              </w:rPr>
            </w:pPr>
          </w:p>
        </w:tc>
        <w:tc>
          <w:tcPr>
            <w:tcW w:w="80" w:type="dxa"/>
            <w:vAlign w:val="bottom"/>
            <w:tcBorders>
              <w:bottom w:val="single" w:sz="8" w:color="00000A"/>
              <w:right w:val="single" w:sz="8" w:color="00000A"/>
            </w:tcBorders>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880" w:type="dxa"/>
            <w:vAlign w:val="bottom"/>
            <w:tcBorders>
              <w:bottom w:val="single" w:sz="8" w:color="00000A"/>
            </w:tcBorders>
            <w:vMerge w:val="continue"/>
          </w:tcPr>
          <w:p>
            <w:pPr>
              <w:spacing w:after="0"/>
              <w:rPr>
                <w:sz w:val="5"/>
                <w:szCs w:val="5"/>
                <w:color w:val="auto"/>
              </w:rPr>
            </w:pPr>
          </w:p>
        </w:tc>
        <w:tc>
          <w:tcPr>
            <w:tcW w:w="40" w:type="dxa"/>
            <w:vAlign w:val="bottom"/>
            <w:tcBorders>
              <w:bottom w:val="single" w:sz="8" w:color="00000A"/>
              <w:right w:val="single" w:sz="8" w:color="00000A"/>
            </w:tcBorders>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60" w:type="dxa"/>
            <w:vAlign w:val="bottom"/>
            <w:tcBorders>
              <w:bottom w:val="single" w:sz="8" w:color="00000A"/>
              <w:right w:val="single" w:sz="8" w:color="00000A"/>
            </w:tcBorders>
            <w:vMerge w:val="continue"/>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920" w:type="dxa"/>
            <w:vAlign w:val="bottom"/>
            <w:tcBorders>
              <w:bottom w:val="single" w:sz="8" w:color="00000A"/>
              <w:right w:val="single" w:sz="8" w:color="00000A"/>
            </w:tcBorders>
            <w:vMerge w:val="continue"/>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40" w:type="dxa"/>
            <w:vAlign w:val="bottom"/>
            <w:tcBorders>
              <w:bottom w:val="single" w:sz="8" w:color="00000A"/>
              <w:right w:val="single" w:sz="8" w:color="00000A"/>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78"/>
        </w:trPr>
        <w:tc>
          <w:tcPr>
            <w:tcW w:w="3980" w:type="dxa"/>
            <w:vAlign w:val="bottom"/>
            <w:tcBorders>
              <w:left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i w:val="1"/>
                <w:iCs w:val="1"/>
                <w:color w:val="auto"/>
              </w:rPr>
              <w:t>Other after-tax adjustments</w:t>
            </w:r>
          </w:p>
        </w:tc>
        <w:tc>
          <w:tcPr>
            <w:tcW w:w="20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0.0</w:t>
            </w:r>
          </w:p>
        </w:tc>
        <w:tc>
          <w:tcPr>
            <w:tcW w:w="40" w:type="dxa"/>
            <w:vAlign w:val="bottom"/>
            <w:tcBorders>
              <w:right w:val="single" w:sz="8" w:color="00000A"/>
            </w:tcBorders>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Borders>
              <w:right w:val="single" w:sz="8" w:color="00000A"/>
            </w:tcBorders>
            <w:vMerge w:val="restart"/>
          </w:tcPr>
          <w:p>
            <w:pPr>
              <w:jc w:val="right"/>
              <w:ind w:right="59"/>
              <w:spacing w:after="0"/>
              <w:rPr>
                <w:sz w:val="20"/>
                <w:szCs w:val="20"/>
                <w:color w:val="auto"/>
              </w:rPr>
            </w:pPr>
            <w:r>
              <w:rPr>
                <w:rFonts w:ascii="Arial" w:cs="Arial" w:eastAsia="Arial" w:hAnsi="Arial"/>
                <w:sz w:val="16"/>
                <w:szCs w:val="16"/>
                <w:color w:val="auto"/>
              </w:rPr>
              <w:t>0.0</w:t>
            </w:r>
          </w:p>
        </w:tc>
        <w:tc>
          <w:tcPr>
            <w:tcW w:w="200" w:type="dxa"/>
            <w:vAlign w:val="bottom"/>
          </w:tcPr>
          <w:p>
            <w:pPr>
              <w:spacing w:after="0"/>
              <w:rPr>
                <w:sz w:val="24"/>
                <w:szCs w:val="24"/>
                <w:color w:val="auto"/>
              </w:rPr>
            </w:pPr>
          </w:p>
        </w:tc>
        <w:tc>
          <w:tcPr>
            <w:tcW w:w="920" w:type="dxa"/>
            <w:vAlign w:val="bottom"/>
            <w:tcBorders>
              <w:right w:val="single" w:sz="8" w:color="00000A"/>
            </w:tcBorders>
            <w:vMerge w:val="restart"/>
          </w:tcPr>
          <w:p>
            <w:pPr>
              <w:jc w:val="right"/>
              <w:ind w:right="19"/>
              <w:spacing w:after="0"/>
              <w:rPr>
                <w:sz w:val="20"/>
                <w:szCs w:val="20"/>
                <w:color w:val="auto"/>
              </w:rPr>
            </w:pPr>
            <w:r>
              <w:rPr>
                <w:rFonts w:ascii="Arial" w:cs="Arial" w:eastAsia="Arial" w:hAnsi="Arial"/>
                <w:sz w:val="16"/>
                <w:szCs w:val="16"/>
                <w:color w:val="auto"/>
              </w:rPr>
              <w:t>(524.5)</w:t>
            </w:r>
          </w:p>
        </w:tc>
        <w:tc>
          <w:tcPr>
            <w:tcW w:w="240" w:type="dxa"/>
            <w:vAlign w:val="bottom"/>
          </w:tcPr>
          <w:p>
            <w:pPr>
              <w:spacing w:after="0"/>
              <w:rPr>
                <w:sz w:val="24"/>
                <w:szCs w:val="24"/>
                <w:color w:val="auto"/>
              </w:rPr>
            </w:pPr>
          </w:p>
        </w:tc>
        <w:tc>
          <w:tcPr>
            <w:tcW w:w="940" w:type="dxa"/>
            <w:vAlign w:val="bottom"/>
            <w:tcBorders>
              <w:right w:val="single" w:sz="8" w:color="00000A"/>
            </w:tcBorders>
            <w:vMerge w:val="restart"/>
          </w:tcPr>
          <w:p>
            <w:pPr>
              <w:jc w:val="right"/>
              <w:ind w:right="39"/>
              <w:spacing w:after="0"/>
              <w:rPr>
                <w:sz w:val="20"/>
                <w:szCs w:val="20"/>
                <w:color w:val="auto"/>
              </w:rPr>
            </w:pPr>
            <w:r>
              <w:rPr>
                <w:rFonts w:ascii="Arial" w:cs="Arial" w:eastAsia="Arial" w:hAnsi="Arial"/>
                <w:sz w:val="16"/>
                <w:szCs w:val="16"/>
                <w:color w:val="auto"/>
              </w:rPr>
              <w:t>52.0</w:t>
            </w:r>
          </w:p>
        </w:tc>
        <w:tc>
          <w:tcPr>
            <w:tcW w:w="0" w:type="dxa"/>
            <w:vAlign w:val="bottom"/>
          </w:tcPr>
          <w:p>
            <w:pPr>
              <w:spacing w:after="0"/>
              <w:rPr>
                <w:sz w:val="1"/>
                <w:szCs w:val="1"/>
                <w:color w:val="auto"/>
              </w:rPr>
            </w:pPr>
          </w:p>
        </w:tc>
      </w:tr>
      <w:tr>
        <w:trPr>
          <w:trHeight w:val="67"/>
        </w:trPr>
        <w:tc>
          <w:tcPr>
            <w:tcW w:w="3900" w:type="dxa"/>
            <w:vAlign w:val="bottom"/>
            <w:tcBorders>
              <w:left w:val="single" w:sz="8" w:color="00000A"/>
              <w:bottom w:val="single" w:sz="8" w:color="00000A"/>
            </w:tcBorders>
          </w:tcPr>
          <w:p>
            <w:pPr>
              <w:spacing w:after="0"/>
              <w:rPr>
                <w:sz w:val="5"/>
                <w:szCs w:val="5"/>
                <w:color w:val="auto"/>
              </w:rPr>
            </w:pPr>
          </w:p>
        </w:tc>
        <w:tc>
          <w:tcPr>
            <w:tcW w:w="80" w:type="dxa"/>
            <w:vAlign w:val="bottom"/>
            <w:tcBorders>
              <w:bottom w:val="single" w:sz="8" w:color="00000A"/>
              <w:right w:val="single" w:sz="8" w:color="00000A"/>
            </w:tcBorders>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880" w:type="dxa"/>
            <w:vAlign w:val="bottom"/>
            <w:tcBorders>
              <w:bottom w:val="single" w:sz="8" w:color="00000A"/>
            </w:tcBorders>
            <w:vMerge w:val="continue"/>
          </w:tcPr>
          <w:p>
            <w:pPr>
              <w:spacing w:after="0"/>
              <w:rPr>
                <w:sz w:val="5"/>
                <w:szCs w:val="5"/>
                <w:color w:val="auto"/>
              </w:rPr>
            </w:pPr>
          </w:p>
        </w:tc>
        <w:tc>
          <w:tcPr>
            <w:tcW w:w="40" w:type="dxa"/>
            <w:vAlign w:val="bottom"/>
            <w:tcBorders>
              <w:bottom w:val="single" w:sz="8" w:color="00000A"/>
              <w:right w:val="single" w:sz="8" w:color="00000A"/>
            </w:tcBorders>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60" w:type="dxa"/>
            <w:vAlign w:val="bottom"/>
            <w:tcBorders>
              <w:bottom w:val="single" w:sz="8" w:color="00000A"/>
              <w:right w:val="single" w:sz="8" w:color="00000A"/>
            </w:tcBorders>
            <w:vMerge w:val="continue"/>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920" w:type="dxa"/>
            <w:vAlign w:val="bottom"/>
            <w:tcBorders>
              <w:bottom w:val="single" w:sz="8" w:color="00000A"/>
              <w:right w:val="single" w:sz="8" w:color="00000A"/>
            </w:tcBorders>
            <w:vMerge w:val="continue"/>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40" w:type="dxa"/>
            <w:vAlign w:val="bottom"/>
            <w:tcBorders>
              <w:bottom w:val="single" w:sz="8" w:color="00000A"/>
              <w:right w:val="single" w:sz="8" w:color="00000A"/>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37"/>
        </w:trPr>
        <w:tc>
          <w:tcPr>
            <w:tcW w:w="3980" w:type="dxa"/>
            <w:vAlign w:val="bottom"/>
            <w:tcBorders>
              <w:left w:val="single" w:sz="8" w:color="00000A"/>
              <w:bottom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b w:val="1"/>
                <w:bCs w:val="1"/>
                <w:i w:val="1"/>
                <w:iCs w:val="1"/>
                <w:color w:val="auto"/>
              </w:rPr>
              <w:t>Non-GAAP Operating Earnings*</w:t>
            </w:r>
          </w:p>
        </w:tc>
        <w:tc>
          <w:tcPr>
            <w:tcW w:w="20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88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481.2</w:t>
            </w:r>
          </w:p>
        </w:tc>
        <w:tc>
          <w:tcPr>
            <w:tcW w:w="40" w:type="dxa"/>
            <w:vAlign w:val="bottom"/>
            <w:tcBorders>
              <w:bottom w:val="single" w:sz="8" w:color="00000A"/>
              <w:right w:val="single" w:sz="8" w:color="00000A"/>
            </w:tcBorders>
          </w:tcPr>
          <w:p>
            <w:pPr>
              <w:spacing w:after="0"/>
              <w:rPr>
                <w:sz w:val="20"/>
                <w:szCs w:val="20"/>
                <w:color w:val="auto"/>
              </w:rPr>
            </w:pPr>
          </w:p>
        </w:tc>
        <w:tc>
          <w:tcPr>
            <w:tcW w:w="24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960" w:type="dxa"/>
            <w:vAlign w:val="bottom"/>
            <w:tcBorders>
              <w:bottom w:val="single" w:sz="8" w:color="00000A"/>
              <w:right w:val="single" w:sz="8" w:color="00000A"/>
            </w:tcBorders>
          </w:tcPr>
          <w:p>
            <w:pPr>
              <w:jc w:val="right"/>
              <w:ind w:right="59"/>
              <w:spacing w:after="0"/>
              <w:rPr>
                <w:sz w:val="20"/>
                <w:szCs w:val="20"/>
                <w:color w:val="auto"/>
              </w:rPr>
            </w:pPr>
            <w:r>
              <w:rPr>
                <w:rFonts w:ascii="Arial" w:cs="Arial" w:eastAsia="Arial" w:hAnsi="Arial"/>
                <w:sz w:val="16"/>
                <w:szCs w:val="16"/>
                <w:b w:val="1"/>
                <w:bCs w:val="1"/>
                <w:color w:val="auto"/>
              </w:rPr>
              <w:t>373.7</w:t>
            </w:r>
          </w:p>
        </w:tc>
        <w:tc>
          <w:tcPr>
            <w:tcW w:w="20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920" w:type="dxa"/>
            <w:vAlign w:val="bottom"/>
            <w:tcBorders>
              <w:bottom w:val="single" w:sz="8" w:color="00000A"/>
              <w:right w:val="single" w:sz="8" w:color="00000A"/>
            </w:tcBorders>
          </w:tcPr>
          <w:p>
            <w:pPr>
              <w:jc w:val="right"/>
              <w:ind w:right="19"/>
              <w:spacing w:after="0"/>
              <w:rPr>
                <w:sz w:val="20"/>
                <w:szCs w:val="20"/>
                <w:color w:val="auto"/>
              </w:rPr>
            </w:pPr>
            <w:r>
              <w:rPr>
                <w:rFonts w:ascii="Arial" w:cs="Arial" w:eastAsia="Arial" w:hAnsi="Arial"/>
                <w:sz w:val="16"/>
                <w:szCs w:val="16"/>
                <w:b w:val="1"/>
                <w:bCs w:val="1"/>
                <w:color w:val="auto"/>
              </w:rPr>
              <w:t>1,632.2</w:t>
            </w:r>
          </w:p>
        </w:tc>
        <w:tc>
          <w:tcPr>
            <w:tcW w:w="24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940" w:type="dxa"/>
            <w:vAlign w:val="bottom"/>
            <w:tcBorders>
              <w:bottom w:val="single" w:sz="8" w:color="00000A"/>
              <w:right w:val="single" w:sz="8" w:color="00000A"/>
            </w:tcBorders>
          </w:tcPr>
          <w:p>
            <w:pPr>
              <w:jc w:val="right"/>
              <w:ind w:right="39"/>
              <w:spacing w:after="0"/>
              <w:rPr>
                <w:sz w:val="20"/>
                <w:szCs w:val="20"/>
                <w:color w:val="auto"/>
              </w:rPr>
            </w:pPr>
            <w:r>
              <w:rPr>
                <w:rFonts w:ascii="Arial" w:cs="Arial" w:eastAsia="Arial" w:hAnsi="Arial"/>
                <w:sz w:val="16"/>
                <w:szCs w:val="16"/>
                <w:b w:val="1"/>
                <w:bCs w:val="1"/>
                <w:color w:val="auto"/>
              </w:rPr>
              <w:t>1,499.8</w:t>
            </w:r>
          </w:p>
        </w:tc>
        <w:tc>
          <w:tcPr>
            <w:tcW w:w="0" w:type="dxa"/>
            <w:vAlign w:val="bottom"/>
          </w:tcPr>
          <w:p>
            <w:pPr>
              <w:spacing w:after="0"/>
              <w:rPr>
                <w:sz w:val="1"/>
                <w:szCs w:val="1"/>
                <w:color w:val="auto"/>
              </w:rPr>
            </w:pPr>
          </w:p>
        </w:tc>
      </w:tr>
      <w:tr>
        <w:trPr>
          <w:trHeight w:val="278"/>
        </w:trPr>
        <w:tc>
          <w:tcPr>
            <w:tcW w:w="3980" w:type="dxa"/>
            <w:vAlign w:val="bottom"/>
            <w:tcBorders>
              <w:left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i w:val="1"/>
                <w:iCs w:val="1"/>
                <w:color w:val="auto"/>
              </w:rPr>
              <w:t>Income taxes</w:t>
            </w:r>
          </w:p>
        </w:tc>
        <w:tc>
          <w:tcPr>
            <w:tcW w:w="20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112.2</w:t>
            </w:r>
          </w:p>
        </w:tc>
        <w:tc>
          <w:tcPr>
            <w:tcW w:w="40" w:type="dxa"/>
            <w:vAlign w:val="bottom"/>
            <w:tcBorders>
              <w:right w:val="single" w:sz="8" w:color="00000A"/>
            </w:tcBorders>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Borders>
              <w:right w:val="single" w:sz="8" w:color="00000A"/>
            </w:tcBorders>
            <w:vMerge w:val="restart"/>
          </w:tcPr>
          <w:p>
            <w:pPr>
              <w:jc w:val="right"/>
              <w:ind w:right="59"/>
              <w:spacing w:after="0"/>
              <w:rPr>
                <w:sz w:val="20"/>
                <w:szCs w:val="20"/>
                <w:color w:val="auto"/>
              </w:rPr>
            </w:pPr>
            <w:r>
              <w:rPr>
                <w:rFonts w:ascii="Arial" w:cs="Arial" w:eastAsia="Arial" w:hAnsi="Arial"/>
                <w:sz w:val="16"/>
                <w:szCs w:val="16"/>
                <w:color w:val="auto"/>
              </w:rPr>
              <w:t>79.2</w:t>
            </w:r>
          </w:p>
        </w:tc>
        <w:tc>
          <w:tcPr>
            <w:tcW w:w="200" w:type="dxa"/>
            <w:vAlign w:val="bottom"/>
          </w:tcPr>
          <w:p>
            <w:pPr>
              <w:spacing w:after="0"/>
              <w:rPr>
                <w:sz w:val="24"/>
                <w:szCs w:val="24"/>
                <w:color w:val="auto"/>
              </w:rPr>
            </w:pPr>
          </w:p>
        </w:tc>
        <w:tc>
          <w:tcPr>
            <w:tcW w:w="920" w:type="dxa"/>
            <w:vAlign w:val="bottom"/>
            <w:tcBorders>
              <w:right w:val="single" w:sz="8" w:color="00000A"/>
            </w:tcBorders>
            <w:vMerge w:val="restart"/>
          </w:tcPr>
          <w:p>
            <w:pPr>
              <w:jc w:val="right"/>
              <w:ind w:right="19"/>
              <w:spacing w:after="0"/>
              <w:rPr>
                <w:sz w:val="20"/>
                <w:szCs w:val="20"/>
                <w:color w:val="auto"/>
              </w:rPr>
            </w:pPr>
            <w:r>
              <w:rPr>
                <w:rFonts w:ascii="Arial" w:cs="Arial" w:eastAsia="Arial" w:hAnsi="Arial"/>
                <w:sz w:val="16"/>
                <w:szCs w:val="16"/>
                <w:color w:val="auto"/>
              </w:rPr>
              <w:t>396.9</w:t>
            </w:r>
          </w:p>
        </w:tc>
        <w:tc>
          <w:tcPr>
            <w:tcW w:w="240" w:type="dxa"/>
            <w:vAlign w:val="bottom"/>
          </w:tcPr>
          <w:p>
            <w:pPr>
              <w:spacing w:after="0"/>
              <w:rPr>
                <w:sz w:val="24"/>
                <w:szCs w:val="24"/>
                <w:color w:val="auto"/>
              </w:rPr>
            </w:pPr>
          </w:p>
        </w:tc>
        <w:tc>
          <w:tcPr>
            <w:tcW w:w="940" w:type="dxa"/>
            <w:vAlign w:val="bottom"/>
            <w:tcBorders>
              <w:right w:val="single" w:sz="8" w:color="00000A"/>
            </w:tcBorders>
            <w:vMerge w:val="restart"/>
          </w:tcPr>
          <w:p>
            <w:pPr>
              <w:jc w:val="right"/>
              <w:ind w:right="39"/>
              <w:spacing w:after="0"/>
              <w:rPr>
                <w:sz w:val="20"/>
                <w:szCs w:val="20"/>
                <w:color w:val="auto"/>
              </w:rPr>
            </w:pPr>
            <w:r>
              <w:rPr>
                <w:rFonts w:ascii="Arial" w:cs="Arial" w:eastAsia="Arial" w:hAnsi="Arial"/>
                <w:sz w:val="16"/>
                <w:szCs w:val="16"/>
                <w:color w:val="auto"/>
              </w:rPr>
              <w:t>385.2</w:t>
            </w:r>
          </w:p>
        </w:tc>
        <w:tc>
          <w:tcPr>
            <w:tcW w:w="0" w:type="dxa"/>
            <w:vAlign w:val="bottom"/>
          </w:tcPr>
          <w:p>
            <w:pPr>
              <w:spacing w:after="0"/>
              <w:rPr>
                <w:sz w:val="1"/>
                <w:szCs w:val="1"/>
                <w:color w:val="auto"/>
              </w:rPr>
            </w:pPr>
          </w:p>
        </w:tc>
      </w:tr>
      <w:tr>
        <w:trPr>
          <w:trHeight w:val="67"/>
        </w:trPr>
        <w:tc>
          <w:tcPr>
            <w:tcW w:w="3900" w:type="dxa"/>
            <w:vAlign w:val="bottom"/>
            <w:tcBorders>
              <w:left w:val="single" w:sz="8" w:color="00000A"/>
              <w:bottom w:val="single" w:sz="8" w:color="00000A"/>
            </w:tcBorders>
          </w:tcPr>
          <w:p>
            <w:pPr>
              <w:spacing w:after="0"/>
              <w:rPr>
                <w:sz w:val="5"/>
                <w:szCs w:val="5"/>
                <w:color w:val="auto"/>
              </w:rPr>
            </w:pPr>
          </w:p>
        </w:tc>
        <w:tc>
          <w:tcPr>
            <w:tcW w:w="80" w:type="dxa"/>
            <w:vAlign w:val="bottom"/>
            <w:tcBorders>
              <w:bottom w:val="single" w:sz="8" w:color="00000A"/>
              <w:right w:val="single" w:sz="8" w:color="00000A"/>
            </w:tcBorders>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880" w:type="dxa"/>
            <w:vAlign w:val="bottom"/>
            <w:tcBorders>
              <w:bottom w:val="single" w:sz="8" w:color="00000A"/>
            </w:tcBorders>
            <w:vMerge w:val="continue"/>
          </w:tcPr>
          <w:p>
            <w:pPr>
              <w:spacing w:after="0"/>
              <w:rPr>
                <w:sz w:val="5"/>
                <w:szCs w:val="5"/>
                <w:color w:val="auto"/>
              </w:rPr>
            </w:pPr>
          </w:p>
        </w:tc>
        <w:tc>
          <w:tcPr>
            <w:tcW w:w="40" w:type="dxa"/>
            <w:vAlign w:val="bottom"/>
            <w:tcBorders>
              <w:bottom w:val="single" w:sz="8" w:color="00000A"/>
              <w:right w:val="single" w:sz="8" w:color="00000A"/>
            </w:tcBorders>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60" w:type="dxa"/>
            <w:vAlign w:val="bottom"/>
            <w:tcBorders>
              <w:bottom w:val="single" w:sz="8" w:color="00000A"/>
              <w:right w:val="single" w:sz="8" w:color="00000A"/>
            </w:tcBorders>
            <w:vMerge w:val="continue"/>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920" w:type="dxa"/>
            <w:vAlign w:val="bottom"/>
            <w:tcBorders>
              <w:bottom w:val="single" w:sz="8" w:color="00000A"/>
              <w:right w:val="single" w:sz="8" w:color="00000A"/>
            </w:tcBorders>
            <w:vMerge w:val="continue"/>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40" w:type="dxa"/>
            <w:vAlign w:val="bottom"/>
            <w:tcBorders>
              <w:bottom w:val="single" w:sz="8" w:color="00000A"/>
              <w:right w:val="single" w:sz="8" w:color="00000A"/>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37"/>
        </w:trPr>
        <w:tc>
          <w:tcPr>
            <w:tcW w:w="3980" w:type="dxa"/>
            <w:vAlign w:val="bottom"/>
            <w:tcBorders>
              <w:left w:val="single" w:sz="8" w:color="00000A"/>
              <w:bottom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b w:val="1"/>
                <w:bCs w:val="1"/>
                <w:i w:val="1"/>
                <w:iCs w:val="1"/>
                <w:color w:val="auto"/>
              </w:rPr>
              <w:t>Non-GAAP Pre-Tax Operating Earnings</w:t>
            </w:r>
          </w:p>
        </w:tc>
        <w:tc>
          <w:tcPr>
            <w:tcW w:w="20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88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593.4</w:t>
            </w:r>
          </w:p>
        </w:tc>
        <w:tc>
          <w:tcPr>
            <w:tcW w:w="40" w:type="dxa"/>
            <w:vAlign w:val="bottom"/>
            <w:tcBorders>
              <w:bottom w:val="single" w:sz="8" w:color="00000A"/>
              <w:right w:val="single" w:sz="8" w:color="00000A"/>
            </w:tcBorders>
          </w:tcPr>
          <w:p>
            <w:pPr>
              <w:spacing w:after="0"/>
              <w:rPr>
                <w:sz w:val="20"/>
                <w:szCs w:val="20"/>
                <w:color w:val="auto"/>
              </w:rPr>
            </w:pPr>
          </w:p>
        </w:tc>
        <w:tc>
          <w:tcPr>
            <w:tcW w:w="24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960" w:type="dxa"/>
            <w:vAlign w:val="bottom"/>
            <w:tcBorders>
              <w:bottom w:val="single" w:sz="8" w:color="00000A"/>
              <w:right w:val="single" w:sz="8" w:color="00000A"/>
            </w:tcBorders>
          </w:tcPr>
          <w:p>
            <w:pPr>
              <w:jc w:val="right"/>
              <w:ind w:right="59"/>
              <w:spacing w:after="0"/>
              <w:rPr>
                <w:sz w:val="20"/>
                <w:szCs w:val="20"/>
                <w:color w:val="auto"/>
              </w:rPr>
            </w:pPr>
            <w:r>
              <w:rPr>
                <w:rFonts w:ascii="Arial" w:cs="Arial" w:eastAsia="Arial" w:hAnsi="Arial"/>
                <w:sz w:val="16"/>
                <w:szCs w:val="16"/>
                <w:b w:val="1"/>
                <w:bCs w:val="1"/>
                <w:color w:val="auto"/>
              </w:rPr>
              <w:t>452.9</w:t>
            </w:r>
          </w:p>
        </w:tc>
        <w:tc>
          <w:tcPr>
            <w:tcW w:w="20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920" w:type="dxa"/>
            <w:vAlign w:val="bottom"/>
            <w:tcBorders>
              <w:bottom w:val="single" w:sz="8" w:color="00000A"/>
              <w:right w:val="single" w:sz="8" w:color="00000A"/>
            </w:tcBorders>
          </w:tcPr>
          <w:p>
            <w:pPr>
              <w:jc w:val="right"/>
              <w:ind w:right="19"/>
              <w:spacing w:after="0"/>
              <w:rPr>
                <w:sz w:val="20"/>
                <w:szCs w:val="20"/>
                <w:color w:val="auto"/>
              </w:rPr>
            </w:pPr>
            <w:r>
              <w:rPr>
                <w:rFonts w:ascii="Arial" w:cs="Arial" w:eastAsia="Arial" w:hAnsi="Arial"/>
                <w:sz w:val="16"/>
                <w:szCs w:val="16"/>
                <w:b w:val="1"/>
                <w:bCs w:val="1"/>
                <w:color w:val="auto"/>
              </w:rPr>
              <w:t>2,029.1</w:t>
            </w:r>
          </w:p>
        </w:tc>
        <w:tc>
          <w:tcPr>
            <w:tcW w:w="24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940" w:type="dxa"/>
            <w:vAlign w:val="bottom"/>
            <w:tcBorders>
              <w:bottom w:val="single" w:sz="8" w:color="00000A"/>
              <w:right w:val="single" w:sz="8" w:color="00000A"/>
            </w:tcBorders>
          </w:tcPr>
          <w:p>
            <w:pPr>
              <w:jc w:val="right"/>
              <w:ind w:right="39"/>
              <w:spacing w:after="0"/>
              <w:rPr>
                <w:sz w:val="20"/>
                <w:szCs w:val="20"/>
                <w:color w:val="auto"/>
              </w:rPr>
            </w:pPr>
            <w:r>
              <w:rPr>
                <w:rFonts w:ascii="Arial" w:cs="Arial" w:eastAsia="Arial" w:hAnsi="Arial"/>
                <w:sz w:val="16"/>
                <w:szCs w:val="16"/>
                <w:b w:val="1"/>
                <w:bCs w:val="1"/>
                <w:color w:val="auto"/>
              </w:rPr>
              <w:t>1,885.0</w:t>
            </w:r>
          </w:p>
        </w:tc>
        <w:tc>
          <w:tcPr>
            <w:tcW w:w="0" w:type="dxa"/>
            <w:vAlign w:val="bottom"/>
          </w:tcPr>
          <w:p>
            <w:pPr>
              <w:spacing w:after="0"/>
              <w:rPr>
                <w:sz w:val="1"/>
                <w:szCs w:val="1"/>
                <w:color w:val="auto"/>
              </w:rPr>
            </w:pPr>
          </w:p>
        </w:tc>
      </w:tr>
      <w:tr>
        <w:trPr>
          <w:trHeight w:val="284"/>
        </w:trPr>
        <w:tc>
          <w:tcPr>
            <w:tcW w:w="3900" w:type="dxa"/>
            <w:vAlign w:val="bottom"/>
            <w:tcBorders>
              <w:left w:val="single" w:sz="8" w:color="00000A"/>
              <w:bottom w:val="single" w:sz="8" w:color="00000A"/>
            </w:tcBorders>
          </w:tcPr>
          <w:p>
            <w:pPr>
              <w:spacing w:after="0"/>
              <w:rPr>
                <w:sz w:val="24"/>
                <w:szCs w:val="24"/>
                <w:color w:val="auto"/>
              </w:rPr>
            </w:pPr>
          </w:p>
        </w:tc>
        <w:tc>
          <w:tcPr>
            <w:tcW w:w="80" w:type="dxa"/>
            <w:vAlign w:val="bottom"/>
            <w:tcBorders>
              <w:bottom w:val="single" w:sz="8" w:color="00000A"/>
              <w:right w:val="single" w:sz="8" w:color="00000A"/>
            </w:tcBorders>
          </w:tcPr>
          <w:p>
            <w:pPr>
              <w:spacing w:after="0"/>
              <w:rPr>
                <w:sz w:val="24"/>
                <w:szCs w:val="24"/>
                <w:color w:val="auto"/>
              </w:rPr>
            </w:pPr>
          </w:p>
        </w:tc>
        <w:tc>
          <w:tcPr>
            <w:tcW w:w="200" w:type="dxa"/>
            <w:vAlign w:val="bottom"/>
            <w:tcBorders>
              <w:bottom w:val="single" w:sz="8" w:color="00000A"/>
            </w:tcBorders>
          </w:tcPr>
          <w:p>
            <w:pPr>
              <w:spacing w:after="0"/>
              <w:rPr>
                <w:sz w:val="24"/>
                <w:szCs w:val="24"/>
                <w:color w:val="auto"/>
              </w:rPr>
            </w:pPr>
          </w:p>
        </w:tc>
        <w:tc>
          <w:tcPr>
            <w:tcW w:w="880" w:type="dxa"/>
            <w:vAlign w:val="bottom"/>
            <w:tcBorders>
              <w:bottom w:val="single" w:sz="8" w:color="00000A"/>
            </w:tcBorders>
          </w:tcPr>
          <w:p>
            <w:pPr>
              <w:spacing w:after="0"/>
              <w:rPr>
                <w:sz w:val="24"/>
                <w:szCs w:val="24"/>
                <w:color w:val="auto"/>
              </w:rPr>
            </w:pPr>
          </w:p>
        </w:tc>
        <w:tc>
          <w:tcPr>
            <w:tcW w:w="40" w:type="dxa"/>
            <w:vAlign w:val="bottom"/>
            <w:tcBorders>
              <w:bottom w:val="single" w:sz="8" w:color="00000A"/>
              <w:right w:val="single" w:sz="8" w:color="00000A"/>
            </w:tcBorders>
          </w:tcPr>
          <w:p>
            <w:pPr>
              <w:spacing w:after="0"/>
              <w:rPr>
                <w:sz w:val="24"/>
                <w:szCs w:val="24"/>
                <w:color w:val="auto"/>
              </w:rPr>
            </w:pPr>
          </w:p>
        </w:tc>
        <w:tc>
          <w:tcPr>
            <w:tcW w:w="240" w:type="dxa"/>
            <w:vAlign w:val="bottom"/>
            <w:tcBorders>
              <w:bottom w:val="single" w:sz="8" w:color="00000A"/>
            </w:tcBorders>
          </w:tcPr>
          <w:p>
            <w:pPr>
              <w:spacing w:after="0"/>
              <w:rPr>
                <w:sz w:val="24"/>
                <w:szCs w:val="24"/>
                <w:color w:val="auto"/>
              </w:rPr>
            </w:pPr>
          </w:p>
        </w:tc>
        <w:tc>
          <w:tcPr>
            <w:tcW w:w="960" w:type="dxa"/>
            <w:vAlign w:val="bottom"/>
            <w:tcBorders>
              <w:bottom w:val="single" w:sz="8" w:color="00000A"/>
              <w:right w:val="single" w:sz="8" w:color="00000A"/>
            </w:tcBorders>
          </w:tcPr>
          <w:p>
            <w:pPr>
              <w:spacing w:after="0"/>
              <w:rPr>
                <w:sz w:val="24"/>
                <w:szCs w:val="24"/>
                <w:color w:val="auto"/>
              </w:rPr>
            </w:pPr>
          </w:p>
        </w:tc>
        <w:tc>
          <w:tcPr>
            <w:tcW w:w="200" w:type="dxa"/>
            <w:vAlign w:val="bottom"/>
            <w:tcBorders>
              <w:bottom w:val="single" w:sz="8" w:color="00000A"/>
            </w:tcBorders>
          </w:tcPr>
          <w:p>
            <w:pPr>
              <w:spacing w:after="0"/>
              <w:rPr>
                <w:sz w:val="24"/>
                <w:szCs w:val="24"/>
                <w:color w:val="auto"/>
              </w:rPr>
            </w:pPr>
          </w:p>
        </w:tc>
        <w:tc>
          <w:tcPr>
            <w:tcW w:w="920" w:type="dxa"/>
            <w:vAlign w:val="bottom"/>
            <w:tcBorders>
              <w:bottom w:val="single" w:sz="8" w:color="00000A"/>
              <w:right w:val="single" w:sz="8" w:color="00000A"/>
            </w:tcBorders>
          </w:tcPr>
          <w:p>
            <w:pPr>
              <w:spacing w:after="0"/>
              <w:rPr>
                <w:sz w:val="24"/>
                <w:szCs w:val="24"/>
                <w:color w:val="auto"/>
              </w:rPr>
            </w:pPr>
          </w:p>
        </w:tc>
        <w:tc>
          <w:tcPr>
            <w:tcW w:w="240" w:type="dxa"/>
            <w:vAlign w:val="bottom"/>
            <w:tcBorders>
              <w:bottom w:val="single" w:sz="8" w:color="00000A"/>
            </w:tcBorders>
          </w:tcPr>
          <w:p>
            <w:pPr>
              <w:spacing w:after="0"/>
              <w:rPr>
                <w:sz w:val="24"/>
                <w:szCs w:val="24"/>
                <w:color w:val="auto"/>
              </w:rPr>
            </w:pPr>
          </w:p>
        </w:tc>
        <w:tc>
          <w:tcPr>
            <w:tcW w:w="940" w:type="dxa"/>
            <w:vAlign w:val="bottom"/>
            <w:tcBorders>
              <w:bottom w:val="single" w:sz="8" w:color="00000A"/>
              <w:right w:val="single" w:sz="8" w:color="00000A"/>
            </w:tcBorders>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3980" w:type="dxa"/>
            <w:vAlign w:val="bottom"/>
            <w:tcBorders>
              <w:left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b w:val="1"/>
                <w:bCs w:val="1"/>
                <w:i w:val="1"/>
                <w:iCs w:val="1"/>
                <w:color w:val="auto"/>
              </w:rPr>
              <w:t>Segment Pre-Tax Operating Earnings (Losses):</w:t>
            </w:r>
          </w:p>
        </w:tc>
        <w:tc>
          <w:tcPr>
            <w:tcW w:w="20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40" w:type="dxa"/>
            <w:vAlign w:val="bottom"/>
            <w:tcBorders>
              <w:right w:val="single" w:sz="8" w:color="00000A"/>
            </w:tcBorders>
          </w:tcPr>
          <w:p>
            <w:pPr>
              <w:spacing w:after="0"/>
              <w:rPr>
                <w:sz w:val="23"/>
                <w:szCs w:val="23"/>
                <w:color w:val="auto"/>
              </w:rPr>
            </w:pPr>
          </w:p>
        </w:tc>
        <w:tc>
          <w:tcPr>
            <w:tcW w:w="240" w:type="dxa"/>
            <w:vAlign w:val="bottom"/>
          </w:tcPr>
          <w:p>
            <w:pPr>
              <w:spacing w:after="0"/>
              <w:rPr>
                <w:sz w:val="23"/>
                <w:szCs w:val="23"/>
                <w:color w:val="auto"/>
              </w:rPr>
            </w:pPr>
          </w:p>
        </w:tc>
        <w:tc>
          <w:tcPr>
            <w:tcW w:w="960" w:type="dxa"/>
            <w:vAlign w:val="bottom"/>
            <w:tcBorders>
              <w:right w:val="single" w:sz="8" w:color="00000A"/>
            </w:tcBorders>
          </w:tcPr>
          <w:p>
            <w:pPr>
              <w:spacing w:after="0"/>
              <w:rPr>
                <w:sz w:val="23"/>
                <w:szCs w:val="23"/>
                <w:color w:val="auto"/>
              </w:rPr>
            </w:pPr>
          </w:p>
        </w:tc>
        <w:tc>
          <w:tcPr>
            <w:tcW w:w="200" w:type="dxa"/>
            <w:vAlign w:val="bottom"/>
          </w:tcPr>
          <w:p>
            <w:pPr>
              <w:spacing w:after="0"/>
              <w:rPr>
                <w:sz w:val="23"/>
                <w:szCs w:val="23"/>
                <w:color w:val="auto"/>
              </w:rPr>
            </w:pPr>
          </w:p>
        </w:tc>
        <w:tc>
          <w:tcPr>
            <w:tcW w:w="920" w:type="dxa"/>
            <w:vAlign w:val="bottom"/>
            <w:tcBorders>
              <w:right w:val="single" w:sz="8" w:color="00000A"/>
            </w:tcBorders>
          </w:tcPr>
          <w:p>
            <w:pPr>
              <w:spacing w:after="0"/>
              <w:rPr>
                <w:sz w:val="23"/>
                <w:szCs w:val="23"/>
                <w:color w:val="auto"/>
              </w:rPr>
            </w:pPr>
          </w:p>
        </w:tc>
        <w:tc>
          <w:tcPr>
            <w:tcW w:w="240" w:type="dxa"/>
            <w:vAlign w:val="bottom"/>
          </w:tcPr>
          <w:p>
            <w:pPr>
              <w:spacing w:after="0"/>
              <w:rPr>
                <w:sz w:val="23"/>
                <w:szCs w:val="23"/>
                <w:color w:val="auto"/>
              </w:rPr>
            </w:pPr>
          </w:p>
        </w:tc>
        <w:tc>
          <w:tcPr>
            <w:tcW w:w="940" w:type="dxa"/>
            <w:vAlign w:val="bottom"/>
            <w:tcBorders>
              <w:right w:val="single" w:sz="8" w:color="00000A"/>
            </w:tcBorders>
          </w:tcPr>
          <w:p>
            <w:pPr>
              <w:spacing w:after="0"/>
              <w:rPr>
                <w:sz w:val="23"/>
                <w:szCs w:val="23"/>
                <w:color w:val="auto"/>
              </w:rPr>
            </w:pPr>
          </w:p>
        </w:tc>
        <w:tc>
          <w:tcPr>
            <w:tcW w:w="0" w:type="dxa"/>
            <w:vAlign w:val="bottom"/>
          </w:tcPr>
          <w:p>
            <w:pPr>
              <w:spacing w:after="0"/>
              <w:rPr>
                <w:sz w:val="1"/>
                <w:szCs w:val="1"/>
                <w:color w:val="auto"/>
              </w:rPr>
            </w:pPr>
          </w:p>
        </w:tc>
      </w:tr>
      <w:tr>
        <w:trPr>
          <w:trHeight w:val="74"/>
        </w:trPr>
        <w:tc>
          <w:tcPr>
            <w:tcW w:w="3900" w:type="dxa"/>
            <w:vAlign w:val="bottom"/>
            <w:tcBorders>
              <w:left w:val="single" w:sz="8" w:color="00000A"/>
              <w:bottom w:val="single" w:sz="8" w:color="00000A"/>
            </w:tcBorders>
          </w:tcPr>
          <w:p>
            <w:pPr>
              <w:spacing w:after="0"/>
              <w:rPr>
                <w:sz w:val="6"/>
                <w:szCs w:val="6"/>
                <w:color w:val="auto"/>
              </w:rPr>
            </w:pPr>
          </w:p>
        </w:tc>
        <w:tc>
          <w:tcPr>
            <w:tcW w:w="80" w:type="dxa"/>
            <w:vAlign w:val="bottom"/>
            <w:tcBorders>
              <w:bottom w:val="single" w:sz="8" w:color="00000A"/>
              <w:right w:val="single" w:sz="8" w:color="00000A"/>
            </w:tcBorders>
          </w:tcPr>
          <w:p>
            <w:pPr>
              <w:spacing w:after="0"/>
              <w:rPr>
                <w:sz w:val="6"/>
                <w:szCs w:val="6"/>
                <w:color w:val="auto"/>
              </w:rPr>
            </w:pPr>
          </w:p>
        </w:tc>
        <w:tc>
          <w:tcPr>
            <w:tcW w:w="200" w:type="dxa"/>
            <w:vAlign w:val="bottom"/>
            <w:tcBorders>
              <w:bottom w:val="single" w:sz="8" w:color="00000A"/>
            </w:tcBorders>
          </w:tcPr>
          <w:p>
            <w:pPr>
              <w:spacing w:after="0"/>
              <w:rPr>
                <w:sz w:val="6"/>
                <w:szCs w:val="6"/>
                <w:color w:val="auto"/>
              </w:rPr>
            </w:pPr>
          </w:p>
        </w:tc>
        <w:tc>
          <w:tcPr>
            <w:tcW w:w="880" w:type="dxa"/>
            <w:vAlign w:val="bottom"/>
            <w:tcBorders>
              <w:bottom w:val="single" w:sz="8" w:color="00000A"/>
            </w:tcBorders>
          </w:tcPr>
          <w:p>
            <w:pPr>
              <w:spacing w:after="0"/>
              <w:rPr>
                <w:sz w:val="6"/>
                <w:szCs w:val="6"/>
                <w:color w:val="auto"/>
              </w:rPr>
            </w:pPr>
          </w:p>
        </w:tc>
        <w:tc>
          <w:tcPr>
            <w:tcW w:w="40" w:type="dxa"/>
            <w:vAlign w:val="bottom"/>
            <w:tcBorders>
              <w:bottom w:val="single" w:sz="8" w:color="00000A"/>
              <w:right w:val="single" w:sz="8" w:color="00000A"/>
            </w:tcBorders>
          </w:tcPr>
          <w:p>
            <w:pPr>
              <w:spacing w:after="0"/>
              <w:rPr>
                <w:sz w:val="6"/>
                <w:szCs w:val="6"/>
                <w:color w:val="auto"/>
              </w:rPr>
            </w:pPr>
          </w:p>
        </w:tc>
        <w:tc>
          <w:tcPr>
            <w:tcW w:w="240" w:type="dxa"/>
            <w:vAlign w:val="bottom"/>
            <w:tcBorders>
              <w:bottom w:val="single" w:sz="8" w:color="00000A"/>
            </w:tcBorders>
          </w:tcPr>
          <w:p>
            <w:pPr>
              <w:spacing w:after="0"/>
              <w:rPr>
                <w:sz w:val="6"/>
                <w:szCs w:val="6"/>
                <w:color w:val="auto"/>
              </w:rPr>
            </w:pPr>
          </w:p>
        </w:tc>
        <w:tc>
          <w:tcPr>
            <w:tcW w:w="960" w:type="dxa"/>
            <w:vAlign w:val="bottom"/>
            <w:tcBorders>
              <w:bottom w:val="single" w:sz="8" w:color="00000A"/>
              <w:right w:val="single" w:sz="8" w:color="00000A"/>
            </w:tcBorders>
          </w:tcPr>
          <w:p>
            <w:pPr>
              <w:spacing w:after="0"/>
              <w:rPr>
                <w:sz w:val="6"/>
                <w:szCs w:val="6"/>
                <w:color w:val="auto"/>
              </w:rPr>
            </w:pPr>
          </w:p>
        </w:tc>
        <w:tc>
          <w:tcPr>
            <w:tcW w:w="200" w:type="dxa"/>
            <w:vAlign w:val="bottom"/>
            <w:tcBorders>
              <w:bottom w:val="single" w:sz="8" w:color="00000A"/>
            </w:tcBorders>
          </w:tcPr>
          <w:p>
            <w:pPr>
              <w:spacing w:after="0"/>
              <w:rPr>
                <w:sz w:val="6"/>
                <w:szCs w:val="6"/>
                <w:color w:val="auto"/>
              </w:rPr>
            </w:pPr>
          </w:p>
        </w:tc>
        <w:tc>
          <w:tcPr>
            <w:tcW w:w="920" w:type="dxa"/>
            <w:vAlign w:val="bottom"/>
            <w:tcBorders>
              <w:bottom w:val="single" w:sz="8" w:color="00000A"/>
              <w:right w:val="single" w:sz="8" w:color="00000A"/>
            </w:tcBorders>
          </w:tcPr>
          <w:p>
            <w:pPr>
              <w:spacing w:after="0"/>
              <w:rPr>
                <w:sz w:val="6"/>
                <w:szCs w:val="6"/>
                <w:color w:val="auto"/>
              </w:rPr>
            </w:pPr>
          </w:p>
        </w:tc>
        <w:tc>
          <w:tcPr>
            <w:tcW w:w="240" w:type="dxa"/>
            <w:vAlign w:val="bottom"/>
            <w:tcBorders>
              <w:bottom w:val="single" w:sz="8" w:color="00000A"/>
            </w:tcBorders>
          </w:tcPr>
          <w:p>
            <w:pPr>
              <w:spacing w:after="0"/>
              <w:rPr>
                <w:sz w:val="6"/>
                <w:szCs w:val="6"/>
                <w:color w:val="auto"/>
              </w:rPr>
            </w:pPr>
          </w:p>
        </w:tc>
        <w:tc>
          <w:tcPr>
            <w:tcW w:w="940" w:type="dxa"/>
            <w:vAlign w:val="bottom"/>
            <w:tcBorders>
              <w:bottom w:val="single" w:sz="8" w:color="00000A"/>
              <w:right w:val="single" w:sz="8" w:color="00000A"/>
            </w:tcBorders>
          </w:tcPr>
          <w:p>
            <w:pPr>
              <w:spacing w:after="0"/>
              <w:rPr>
                <w:sz w:val="6"/>
                <w:szCs w:val="6"/>
                <w:color w:val="auto"/>
              </w:rPr>
            </w:pPr>
          </w:p>
        </w:tc>
        <w:tc>
          <w:tcPr>
            <w:tcW w:w="0" w:type="dxa"/>
            <w:vAlign w:val="bottom"/>
          </w:tcPr>
          <w:p>
            <w:pPr>
              <w:spacing w:after="0"/>
              <w:rPr>
                <w:sz w:val="1"/>
                <w:szCs w:val="1"/>
                <w:color w:val="auto"/>
              </w:rPr>
            </w:pPr>
          </w:p>
        </w:tc>
      </w:tr>
      <w:tr>
        <w:trPr>
          <w:trHeight w:val="271"/>
        </w:trPr>
        <w:tc>
          <w:tcPr>
            <w:tcW w:w="3980" w:type="dxa"/>
            <w:vAlign w:val="bottom"/>
            <w:tcBorders>
              <w:left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i w:val="1"/>
                <w:iCs w:val="1"/>
                <w:color w:val="auto"/>
              </w:rPr>
              <w:t>Retirement and Income Solutions</w:t>
            </w:r>
          </w:p>
        </w:tc>
        <w:tc>
          <w:tcPr>
            <w:tcW w:w="2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259.8</w:t>
            </w:r>
          </w:p>
        </w:tc>
        <w:tc>
          <w:tcPr>
            <w:tcW w:w="40" w:type="dxa"/>
            <w:vAlign w:val="bottom"/>
            <w:tcBorders>
              <w:right w:val="single" w:sz="8" w:color="00000A"/>
            </w:tcBorders>
          </w:tcPr>
          <w:p>
            <w:pPr>
              <w:spacing w:after="0"/>
              <w:rPr>
                <w:sz w:val="23"/>
                <w:szCs w:val="23"/>
                <w:color w:val="auto"/>
              </w:rPr>
            </w:pPr>
          </w:p>
        </w:tc>
        <w:tc>
          <w:tcPr>
            <w:tcW w:w="2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right w:val="single" w:sz="8" w:color="00000A"/>
            </w:tcBorders>
            <w:vMerge w:val="restart"/>
          </w:tcPr>
          <w:p>
            <w:pPr>
              <w:jc w:val="right"/>
              <w:ind w:right="59"/>
              <w:spacing w:after="0"/>
              <w:rPr>
                <w:sz w:val="20"/>
                <w:szCs w:val="20"/>
                <w:color w:val="auto"/>
              </w:rPr>
            </w:pPr>
            <w:r>
              <w:rPr>
                <w:rFonts w:ascii="Arial" w:cs="Arial" w:eastAsia="Arial" w:hAnsi="Arial"/>
                <w:sz w:val="16"/>
                <w:szCs w:val="16"/>
                <w:color w:val="auto"/>
              </w:rPr>
              <w:t>210.1</w:t>
            </w:r>
          </w:p>
        </w:tc>
        <w:tc>
          <w:tcPr>
            <w:tcW w:w="2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00000A"/>
            </w:tcBorders>
            <w:vMerge w:val="restart"/>
          </w:tcPr>
          <w:p>
            <w:pPr>
              <w:jc w:val="right"/>
              <w:ind w:right="19"/>
              <w:spacing w:after="0"/>
              <w:rPr>
                <w:sz w:val="20"/>
                <w:szCs w:val="20"/>
                <w:color w:val="auto"/>
              </w:rPr>
            </w:pPr>
            <w:r>
              <w:rPr>
                <w:rFonts w:ascii="Arial" w:cs="Arial" w:eastAsia="Arial" w:hAnsi="Arial"/>
                <w:sz w:val="16"/>
                <w:szCs w:val="16"/>
                <w:color w:val="auto"/>
              </w:rPr>
              <w:t>911.0</w:t>
            </w:r>
          </w:p>
        </w:tc>
        <w:tc>
          <w:tcPr>
            <w:tcW w:w="2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00000A"/>
            </w:tcBorders>
            <w:vMerge w:val="restart"/>
          </w:tcPr>
          <w:p>
            <w:pPr>
              <w:jc w:val="right"/>
              <w:ind w:right="39"/>
              <w:spacing w:after="0"/>
              <w:rPr>
                <w:sz w:val="20"/>
                <w:szCs w:val="20"/>
                <w:color w:val="auto"/>
              </w:rPr>
            </w:pPr>
            <w:r>
              <w:rPr>
                <w:rFonts w:ascii="Arial" w:cs="Arial" w:eastAsia="Arial" w:hAnsi="Arial"/>
                <w:sz w:val="16"/>
                <w:szCs w:val="16"/>
                <w:color w:val="auto"/>
              </w:rPr>
              <w:t>909.6</w:t>
            </w:r>
          </w:p>
        </w:tc>
        <w:tc>
          <w:tcPr>
            <w:tcW w:w="0" w:type="dxa"/>
            <w:vAlign w:val="bottom"/>
          </w:tcPr>
          <w:p>
            <w:pPr>
              <w:spacing w:after="0"/>
              <w:rPr>
                <w:sz w:val="1"/>
                <w:szCs w:val="1"/>
                <w:color w:val="auto"/>
              </w:rPr>
            </w:pPr>
          </w:p>
        </w:tc>
      </w:tr>
      <w:tr>
        <w:trPr>
          <w:trHeight w:val="67"/>
        </w:trPr>
        <w:tc>
          <w:tcPr>
            <w:tcW w:w="3900" w:type="dxa"/>
            <w:vAlign w:val="bottom"/>
            <w:tcBorders>
              <w:left w:val="single" w:sz="8" w:color="00000A"/>
              <w:bottom w:val="single" w:sz="8" w:color="00000A"/>
            </w:tcBorders>
          </w:tcPr>
          <w:p>
            <w:pPr>
              <w:spacing w:after="0"/>
              <w:rPr>
                <w:sz w:val="5"/>
                <w:szCs w:val="5"/>
                <w:color w:val="auto"/>
              </w:rPr>
            </w:pPr>
          </w:p>
        </w:tc>
        <w:tc>
          <w:tcPr>
            <w:tcW w:w="80" w:type="dxa"/>
            <w:vAlign w:val="bottom"/>
            <w:tcBorders>
              <w:bottom w:val="single" w:sz="8" w:color="00000A"/>
              <w:right w:val="single" w:sz="8" w:color="00000A"/>
            </w:tcBorders>
          </w:tcPr>
          <w:p>
            <w:pPr>
              <w:spacing w:after="0"/>
              <w:rPr>
                <w:sz w:val="5"/>
                <w:szCs w:val="5"/>
                <w:color w:val="auto"/>
              </w:rPr>
            </w:pPr>
          </w:p>
        </w:tc>
        <w:tc>
          <w:tcPr>
            <w:tcW w:w="200" w:type="dxa"/>
            <w:vAlign w:val="bottom"/>
            <w:tcBorders>
              <w:bottom w:val="single" w:sz="8" w:color="00000A"/>
            </w:tcBorders>
            <w:vMerge w:val="continue"/>
          </w:tcPr>
          <w:p>
            <w:pPr>
              <w:spacing w:after="0"/>
              <w:rPr>
                <w:sz w:val="5"/>
                <w:szCs w:val="5"/>
                <w:color w:val="auto"/>
              </w:rPr>
            </w:pPr>
          </w:p>
        </w:tc>
        <w:tc>
          <w:tcPr>
            <w:tcW w:w="880" w:type="dxa"/>
            <w:vAlign w:val="bottom"/>
            <w:tcBorders>
              <w:bottom w:val="single" w:sz="8" w:color="00000A"/>
            </w:tcBorders>
            <w:vMerge w:val="continue"/>
          </w:tcPr>
          <w:p>
            <w:pPr>
              <w:spacing w:after="0"/>
              <w:rPr>
                <w:sz w:val="5"/>
                <w:szCs w:val="5"/>
                <w:color w:val="auto"/>
              </w:rPr>
            </w:pPr>
          </w:p>
        </w:tc>
        <w:tc>
          <w:tcPr>
            <w:tcW w:w="40" w:type="dxa"/>
            <w:vAlign w:val="bottom"/>
            <w:tcBorders>
              <w:bottom w:val="single" w:sz="8" w:color="00000A"/>
              <w:right w:val="single" w:sz="8" w:color="00000A"/>
            </w:tcBorders>
          </w:tcPr>
          <w:p>
            <w:pPr>
              <w:spacing w:after="0"/>
              <w:rPr>
                <w:sz w:val="5"/>
                <w:szCs w:val="5"/>
                <w:color w:val="auto"/>
              </w:rPr>
            </w:pPr>
          </w:p>
        </w:tc>
        <w:tc>
          <w:tcPr>
            <w:tcW w:w="240" w:type="dxa"/>
            <w:vAlign w:val="bottom"/>
            <w:tcBorders>
              <w:bottom w:val="single" w:sz="8" w:color="00000A"/>
            </w:tcBorders>
            <w:vMerge w:val="continue"/>
          </w:tcPr>
          <w:p>
            <w:pPr>
              <w:spacing w:after="0"/>
              <w:rPr>
                <w:sz w:val="5"/>
                <w:szCs w:val="5"/>
                <w:color w:val="auto"/>
              </w:rPr>
            </w:pPr>
          </w:p>
        </w:tc>
        <w:tc>
          <w:tcPr>
            <w:tcW w:w="960" w:type="dxa"/>
            <w:vAlign w:val="bottom"/>
            <w:tcBorders>
              <w:bottom w:val="single" w:sz="8" w:color="00000A"/>
              <w:right w:val="single" w:sz="8" w:color="00000A"/>
            </w:tcBorders>
            <w:vMerge w:val="continue"/>
          </w:tcPr>
          <w:p>
            <w:pPr>
              <w:spacing w:after="0"/>
              <w:rPr>
                <w:sz w:val="5"/>
                <w:szCs w:val="5"/>
                <w:color w:val="auto"/>
              </w:rPr>
            </w:pPr>
          </w:p>
        </w:tc>
        <w:tc>
          <w:tcPr>
            <w:tcW w:w="200" w:type="dxa"/>
            <w:vAlign w:val="bottom"/>
            <w:tcBorders>
              <w:bottom w:val="single" w:sz="8" w:color="00000A"/>
            </w:tcBorders>
            <w:vMerge w:val="continue"/>
          </w:tcPr>
          <w:p>
            <w:pPr>
              <w:spacing w:after="0"/>
              <w:rPr>
                <w:sz w:val="5"/>
                <w:szCs w:val="5"/>
                <w:color w:val="auto"/>
              </w:rPr>
            </w:pPr>
          </w:p>
        </w:tc>
        <w:tc>
          <w:tcPr>
            <w:tcW w:w="920" w:type="dxa"/>
            <w:vAlign w:val="bottom"/>
            <w:tcBorders>
              <w:bottom w:val="single" w:sz="8" w:color="00000A"/>
              <w:right w:val="single" w:sz="8" w:color="00000A"/>
            </w:tcBorders>
            <w:vMerge w:val="continue"/>
          </w:tcPr>
          <w:p>
            <w:pPr>
              <w:spacing w:after="0"/>
              <w:rPr>
                <w:sz w:val="5"/>
                <w:szCs w:val="5"/>
                <w:color w:val="auto"/>
              </w:rPr>
            </w:pPr>
          </w:p>
        </w:tc>
        <w:tc>
          <w:tcPr>
            <w:tcW w:w="240" w:type="dxa"/>
            <w:vAlign w:val="bottom"/>
            <w:tcBorders>
              <w:bottom w:val="single" w:sz="8" w:color="00000A"/>
            </w:tcBorders>
            <w:vMerge w:val="continue"/>
          </w:tcPr>
          <w:p>
            <w:pPr>
              <w:spacing w:after="0"/>
              <w:rPr>
                <w:sz w:val="5"/>
                <w:szCs w:val="5"/>
                <w:color w:val="auto"/>
              </w:rPr>
            </w:pPr>
          </w:p>
        </w:tc>
        <w:tc>
          <w:tcPr>
            <w:tcW w:w="940" w:type="dxa"/>
            <w:vAlign w:val="bottom"/>
            <w:tcBorders>
              <w:bottom w:val="single" w:sz="8" w:color="00000A"/>
              <w:right w:val="single" w:sz="8" w:color="00000A"/>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78"/>
        </w:trPr>
        <w:tc>
          <w:tcPr>
            <w:tcW w:w="3980" w:type="dxa"/>
            <w:vAlign w:val="bottom"/>
            <w:tcBorders>
              <w:left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i w:val="1"/>
                <w:iCs w:val="1"/>
                <w:color w:val="auto"/>
              </w:rPr>
              <w:t>Principal Global Investors</w:t>
            </w:r>
          </w:p>
        </w:tc>
        <w:tc>
          <w:tcPr>
            <w:tcW w:w="20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215.4</w:t>
            </w:r>
          </w:p>
        </w:tc>
        <w:tc>
          <w:tcPr>
            <w:tcW w:w="40" w:type="dxa"/>
            <w:vAlign w:val="bottom"/>
            <w:tcBorders>
              <w:right w:val="single" w:sz="8" w:color="00000A"/>
            </w:tcBorders>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Borders>
              <w:right w:val="single" w:sz="8" w:color="00000A"/>
            </w:tcBorders>
            <w:vMerge w:val="restart"/>
          </w:tcPr>
          <w:p>
            <w:pPr>
              <w:jc w:val="right"/>
              <w:ind w:right="59"/>
              <w:spacing w:after="0"/>
              <w:rPr>
                <w:sz w:val="20"/>
                <w:szCs w:val="20"/>
                <w:color w:val="auto"/>
              </w:rPr>
            </w:pPr>
            <w:r>
              <w:rPr>
                <w:rFonts w:ascii="Arial" w:cs="Arial" w:eastAsia="Arial" w:hAnsi="Arial"/>
                <w:sz w:val="16"/>
                <w:szCs w:val="16"/>
                <w:color w:val="auto"/>
              </w:rPr>
              <w:t>130.2</w:t>
            </w:r>
          </w:p>
        </w:tc>
        <w:tc>
          <w:tcPr>
            <w:tcW w:w="200" w:type="dxa"/>
            <w:vAlign w:val="bottom"/>
          </w:tcPr>
          <w:p>
            <w:pPr>
              <w:spacing w:after="0"/>
              <w:rPr>
                <w:sz w:val="24"/>
                <w:szCs w:val="24"/>
                <w:color w:val="auto"/>
              </w:rPr>
            </w:pPr>
          </w:p>
        </w:tc>
        <w:tc>
          <w:tcPr>
            <w:tcW w:w="920" w:type="dxa"/>
            <w:vAlign w:val="bottom"/>
            <w:tcBorders>
              <w:right w:val="single" w:sz="8" w:color="00000A"/>
            </w:tcBorders>
            <w:vMerge w:val="restart"/>
          </w:tcPr>
          <w:p>
            <w:pPr>
              <w:jc w:val="right"/>
              <w:ind w:right="19"/>
              <w:spacing w:after="0"/>
              <w:rPr>
                <w:sz w:val="20"/>
                <w:szCs w:val="20"/>
                <w:color w:val="auto"/>
              </w:rPr>
            </w:pPr>
            <w:r>
              <w:rPr>
                <w:rFonts w:ascii="Arial" w:cs="Arial" w:eastAsia="Arial" w:hAnsi="Arial"/>
                <w:sz w:val="16"/>
                <w:szCs w:val="16"/>
                <w:color w:val="auto"/>
              </w:rPr>
              <w:t>576.8</w:t>
            </w:r>
          </w:p>
        </w:tc>
        <w:tc>
          <w:tcPr>
            <w:tcW w:w="240" w:type="dxa"/>
            <w:vAlign w:val="bottom"/>
          </w:tcPr>
          <w:p>
            <w:pPr>
              <w:spacing w:after="0"/>
              <w:rPr>
                <w:sz w:val="24"/>
                <w:szCs w:val="24"/>
                <w:color w:val="auto"/>
              </w:rPr>
            </w:pPr>
          </w:p>
        </w:tc>
        <w:tc>
          <w:tcPr>
            <w:tcW w:w="940" w:type="dxa"/>
            <w:vAlign w:val="bottom"/>
            <w:tcBorders>
              <w:right w:val="single" w:sz="8" w:color="00000A"/>
            </w:tcBorders>
            <w:vMerge w:val="restart"/>
          </w:tcPr>
          <w:p>
            <w:pPr>
              <w:jc w:val="right"/>
              <w:ind w:right="39"/>
              <w:spacing w:after="0"/>
              <w:rPr>
                <w:sz w:val="20"/>
                <w:szCs w:val="20"/>
                <w:color w:val="auto"/>
              </w:rPr>
            </w:pPr>
            <w:r>
              <w:rPr>
                <w:rFonts w:ascii="Arial" w:cs="Arial" w:eastAsia="Arial" w:hAnsi="Arial"/>
                <w:sz w:val="16"/>
                <w:szCs w:val="16"/>
                <w:color w:val="auto"/>
              </w:rPr>
              <w:t>479.3</w:t>
            </w:r>
          </w:p>
        </w:tc>
        <w:tc>
          <w:tcPr>
            <w:tcW w:w="0" w:type="dxa"/>
            <w:vAlign w:val="bottom"/>
          </w:tcPr>
          <w:p>
            <w:pPr>
              <w:spacing w:after="0"/>
              <w:rPr>
                <w:sz w:val="1"/>
                <w:szCs w:val="1"/>
                <w:color w:val="auto"/>
              </w:rPr>
            </w:pPr>
          </w:p>
        </w:tc>
      </w:tr>
      <w:tr>
        <w:trPr>
          <w:trHeight w:val="67"/>
        </w:trPr>
        <w:tc>
          <w:tcPr>
            <w:tcW w:w="3900" w:type="dxa"/>
            <w:vAlign w:val="bottom"/>
            <w:tcBorders>
              <w:left w:val="single" w:sz="8" w:color="00000A"/>
              <w:bottom w:val="single" w:sz="8" w:color="00000A"/>
            </w:tcBorders>
          </w:tcPr>
          <w:p>
            <w:pPr>
              <w:spacing w:after="0"/>
              <w:rPr>
                <w:sz w:val="5"/>
                <w:szCs w:val="5"/>
                <w:color w:val="auto"/>
              </w:rPr>
            </w:pPr>
          </w:p>
        </w:tc>
        <w:tc>
          <w:tcPr>
            <w:tcW w:w="80" w:type="dxa"/>
            <w:vAlign w:val="bottom"/>
            <w:tcBorders>
              <w:bottom w:val="single" w:sz="8" w:color="00000A"/>
              <w:right w:val="single" w:sz="8" w:color="00000A"/>
            </w:tcBorders>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880" w:type="dxa"/>
            <w:vAlign w:val="bottom"/>
            <w:tcBorders>
              <w:bottom w:val="single" w:sz="8" w:color="00000A"/>
            </w:tcBorders>
            <w:vMerge w:val="continue"/>
          </w:tcPr>
          <w:p>
            <w:pPr>
              <w:spacing w:after="0"/>
              <w:rPr>
                <w:sz w:val="5"/>
                <w:szCs w:val="5"/>
                <w:color w:val="auto"/>
              </w:rPr>
            </w:pPr>
          </w:p>
        </w:tc>
        <w:tc>
          <w:tcPr>
            <w:tcW w:w="40" w:type="dxa"/>
            <w:vAlign w:val="bottom"/>
            <w:tcBorders>
              <w:bottom w:val="single" w:sz="8" w:color="00000A"/>
              <w:right w:val="single" w:sz="8" w:color="00000A"/>
            </w:tcBorders>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60" w:type="dxa"/>
            <w:vAlign w:val="bottom"/>
            <w:tcBorders>
              <w:bottom w:val="single" w:sz="8" w:color="00000A"/>
              <w:right w:val="single" w:sz="8" w:color="00000A"/>
            </w:tcBorders>
            <w:vMerge w:val="continue"/>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920" w:type="dxa"/>
            <w:vAlign w:val="bottom"/>
            <w:tcBorders>
              <w:bottom w:val="single" w:sz="8" w:color="00000A"/>
              <w:right w:val="single" w:sz="8" w:color="00000A"/>
            </w:tcBorders>
            <w:vMerge w:val="continue"/>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40" w:type="dxa"/>
            <w:vAlign w:val="bottom"/>
            <w:tcBorders>
              <w:bottom w:val="single" w:sz="8" w:color="00000A"/>
              <w:right w:val="single" w:sz="8" w:color="00000A"/>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78"/>
        </w:trPr>
        <w:tc>
          <w:tcPr>
            <w:tcW w:w="3980" w:type="dxa"/>
            <w:vAlign w:val="bottom"/>
            <w:tcBorders>
              <w:left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i w:val="1"/>
                <w:iCs w:val="1"/>
                <w:color w:val="auto"/>
              </w:rPr>
              <w:t>Principal International</w:t>
            </w:r>
          </w:p>
        </w:tc>
        <w:tc>
          <w:tcPr>
            <w:tcW w:w="20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32.4</w:t>
            </w:r>
          </w:p>
        </w:tc>
        <w:tc>
          <w:tcPr>
            <w:tcW w:w="40" w:type="dxa"/>
            <w:vAlign w:val="bottom"/>
            <w:tcBorders>
              <w:right w:val="single" w:sz="8" w:color="00000A"/>
            </w:tcBorders>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Borders>
              <w:right w:val="single" w:sz="8" w:color="00000A"/>
            </w:tcBorders>
            <w:vMerge w:val="restart"/>
          </w:tcPr>
          <w:p>
            <w:pPr>
              <w:jc w:val="right"/>
              <w:ind w:right="59"/>
              <w:spacing w:after="0"/>
              <w:rPr>
                <w:sz w:val="20"/>
                <w:szCs w:val="20"/>
                <w:color w:val="auto"/>
              </w:rPr>
            </w:pPr>
            <w:r>
              <w:rPr>
                <w:rFonts w:ascii="Arial" w:cs="Arial" w:eastAsia="Arial" w:hAnsi="Arial"/>
                <w:sz w:val="16"/>
                <w:szCs w:val="16"/>
                <w:color w:val="auto"/>
              </w:rPr>
              <w:t>72.4</w:t>
            </w:r>
          </w:p>
        </w:tc>
        <w:tc>
          <w:tcPr>
            <w:tcW w:w="200" w:type="dxa"/>
            <w:vAlign w:val="bottom"/>
          </w:tcPr>
          <w:p>
            <w:pPr>
              <w:spacing w:after="0"/>
              <w:rPr>
                <w:sz w:val="24"/>
                <w:szCs w:val="24"/>
                <w:color w:val="auto"/>
              </w:rPr>
            </w:pPr>
          </w:p>
        </w:tc>
        <w:tc>
          <w:tcPr>
            <w:tcW w:w="920" w:type="dxa"/>
            <w:vAlign w:val="bottom"/>
            <w:tcBorders>
              <w:right w:val="single" w:sz="8" w:color="00000A"/>
            </w:tcBorders>
            <w:vMerge w:val="restart"/>
          </w:tcPr>
          <w:p>
            <w:pPr>
              <w:jc w:val="right"/>
              <w:ind w:right="19"/>
              <w:spacing w:after="0"/>
              <w:rPr>
                <w:sz w:val="20"/>
                <w:szCs w:val="20"/>
                <w:color w:val="auto"/>
              </w:rPr>
            </w:pPr>
            <w:r>
              <w:rPr>
                <w:rFonts w:ascii="Arial" w:cs="Arial" w:eastAsia="Arial" w:hAnsi="Arial"/>
                <w:sz w:val="16"/>
                <w:szCs w:val="16"/>
                <w:color w:val="auto"/>
              </w:rPr>
              <w:t>279.8</w:t>
            </w:r>
          </w:p>
        </w:tc>
        <w:tc>
          <w:tcPr>
            <w:tcW w:w="240" w:type="dxa"/>
            <w:vAlign w:val="bottom"/>
          </w:tcPr>
          <w:p>
            <w:pPr>
              <w:spacing w:after="0"/>
              <w:rPr>
                <w:sz w:val="24"/>
                <w:szCs w:val="24"/>
                <w:color w:val="auto"/>
              </w:rPr>
            </w:pPr>
          </w:p>
        </w:tc>
        <w:tc>
          <w:tcPr>
            <w:tcW w:w="940" w:type="dxa"/>
            <w:vAlign w:val="bottom"/>
            <w:tcBorders>
              <w:right w:val="single" w:sz="8" w:color="00000A"/>
            </w:tcBorders>
            <w:vMerge w:val="restart"/>
          </w:tcPr>
          <w:p>
            <w:pPr>
              <w:jc w:val="right"/>
              <w:ind w:right="39"/>
              <w:spacing w:after="0"/>
              <w:rPr>
                <w:sz w:val="20"/>
                <w:szCs w:val="20"/>
                <w:color w:val="auto"/>
              </w:rPr>
            </w:pPr>
            <w:r>
              <w:rPr>
                <w:rFonts w:ascii="Arial" w:cs="Arial" w:eastAsia="Arial" w:hAnsi="Arial"/>
                <w:sz w:val="16"/>
                <w:szCs w:val="16"/>
                <w:color w:val="auto"/>
              </w:rPr>
              <w:t>317.7</w:t>
            </w:r>
          </w:p>
        </w:tc>
        <w:tc>
          <w:tcPr>
            <w:tcW w:w="0" w:type="dxa"/>
            <w:vAlign w:val="bottom"/>
          </w:tcPr>
          <w:p>
            <w:pPr>
              <w:spacing w:after="0"/>
              <w:rPr>
                <w:sz w:val="1"/>
                <w:szCs w:val="1"/>
                <w:color w:val="auto"/>
              </w:rPr>
            </w:pPr>
          </w:p>
        </w:tc>
      </w:tr>
      <w:tr>
        <w:trPr>
          <w:trHeight w:val="67"/>
        </w:trPr>
        <w:tc>
          <w:tcPr>
            <w:tcW w:w="3900" w:type="dxa"/>
            <w:vAlign w:val="bottom"/>
            <w:tcBorders>
              <w:left w:val="single" w:sz="8" w:color="00000A"/>
              <w:bottom w:val="single" w:sz="8" w:color="00000A"/>
            </w:tcBorders>
          </w:tcPr>
          <w:p>
            <w:pPr>
              <w:spacing w:after="0"/>
              <w:rPr>
                <w:sz w:val="5"/>
                <w:szCs w:val="5"/>
                <w:color w:val="auto"/>
              </w:rPr>
            </w:pPr>
          </w:p>
        </w:tc>
        <w:tc>
          <w:tcPr>
            <w:tcW w:w="80" w:type="dxa"/>
            <w:vAlign w:val="bottom"/>
            <w:tcBorders>
              <w:bottom w:val="single" w:sz="8" w:color="00000A"/>
              <w:right w:val="single" w:sz="8" w:color="00000A"/>
            </w:tcBorders>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880" w:type="dxa"/>
            <w:vAlign w:val="bottom"/>
            <w:tcBorders>
              <w:bottom w:val="single" w:sz="8" w:color="00000A"/>
            </w:tcBorders>
            <w:vMerge w:val="continue"/>
          </w:tcPr>
          <w:p>
            <w:pPr>
              <w:spacing w:after="0"/>
              <w:rPr>
                <w:sz w:val="5"/>
                <w:szCs w:val="5"/>
                <w:color w:val="auto"/>
              </w:rPr>
            </w:pPr>
          </w:p>
        </w:tc>
        <w:tc>
          <w:tcPr>
            <w:tcW w:w="40" w:type="dxa"/>
            <w:vAlign w:val="bottom"/>
            <w:tcBorders>
              <w:bottom w:val="single" w:sz="8" w:color="00000A"/>
              <w:right w:val="single" w:sz="8" w:color="00000A"/>
            </w:tcBorders>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60" w:type="dxa"/>
            <w:vAlign w:val="bottom"/>
            <w:tcBorders>
              <w:bottom w:val="single" w:sz="8" w:color="00000A"/>
              <w:right w:val="single" w:sz="8" w:color="00000A"/>
            </w:tcBorders>
            <w:vMerge w:val="continue"/>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920" w:type="dxa"/>
            <w:vAlign w:val="bottom"/>
            <w:tcBorders>
              <w:bottom w:val="single" w:sz="8" w:color="00000A"/>
              <w:right w:val="single" w:sz="8" w:color="00000A"/>
            </w:tcBorders>
            <w:vMerge w:val="continue"/>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40" w:type="dxa"/>
            <w:vAlign w:val="bottom"/>
            <w:tcBorders>
              <w:bottom w:val="single" w:sz="8" w:color="00000A"/>
              <w:right w:val="single" w:sz="8" w:color="00000A"/>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78"/>
        </w:trPr>
        <w:tc>
          <w:tcPr>
            <w:tcW w:w="3980" w:type="dxa"/>
            <w:vAlign w:val="bottom"/>
            <w:tcBorders>
              <w:left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i w:val="1"/>
                <w:iCs w:val="1"/>
                <w:color w:val="auto"/>
              </w:rPr>
              <w:t>U.S. Insurance Solutions</w:t>
            </w:r>
          </w:p>
        </w:tc>
        <w:tc>
          <w:tcPr>
            <w:tcW w:w="20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118.2</w:t>
            </w:r>
          </w:p>
        </w:tc>
        <w:tc>
          <w:tcPr>
            <w:tcW w:w="40" w:type="dxa"/>
            <w:vAlign w:val="bottom"/>
            <w:tcBorders>
              <w:right w:val="single" w:sz="8" w:color="00000A"/>
            </w:tcBorders>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Borders>
              <w:right w:val="single" w:sz="8" w:color="00000A"/>
            </w:tcBorders>
            <w:vMerge w:val="restart"/>
          </w:tcPr>
          <w:p>
            <w:pPr>
              <w:jc w:val="right"/>
              <w:ind w:right="59"/>
              <w:spacing w:after="0"/>
              <w:rPr>
                <w:sz w:val="20"/>
                <w:szCs w:val="20"/>
                <w:color w:val="auto"/>
              </w:rPr>
            </w:pPr>
            <w:r>
              <w:rPr>
                <w:rFonts w:ascii="Arial" w:cs="Arial" w:eastAsia="Arial" w:hAnsi="Arial"/>
                <w:sz w:val="16"/>
                <w:szCs w:val="16"/>
                <w:color w:val="auto"/>
              </w:rPr>
              <w:t>83.2</w:t>
            </w:r>
          </w:p>
        </w:tc>
        <w:tc>
          <w:tcPr>
            <w:tcW w:w="200" w:type="dxa"/>
            <w:vAlign w:val="bottom"/>
          </w:tcPr>
          <w:p>
            <w:pPr>
              <w:spacing w:after="0"/>
              <w:rPr>
                <w:sz w:val="24"/>
                <w:szCs w:val="24"/>
                <w:color w:val="auto"/>
              </w:rPr>
            </w:pPr>
          </w:p>
        </w:tc>
        <w:tc>
          <w:tcPr>
            <w:tcW w:w="920" w:type="dxa"/>
            <w:vAlign w:val="bottom"/>
            <w:tcBorders>
              <w:right w:val="single" w:sz="8" w:color="00000A"/>
            </w:tcBorders>
            <w:vMerge w:val="restart"/>
          </w:tcPr>
          <w:p>
            <w:pPr>
              <w:jc w:val="right"/>
              <w:ind w:right="19"/>
              <w:spacing w:after="0"/>
              <w:rPr>
                <w:sz w:val="20"/>
                <w:szCs w:val="20"/>
                <w:color w:val="auto"/>
              </w:rPr>
            </w:pPr>
            <w:r>
              <w:rPr>
                <w:rFonts w:ascii="Arial" w:cs="Arial" w:eastAsia="Arial" w:hAnsi="Arial"/>
                <w:sz w:val="16"/>
                <w:szCs w:val="16"/>
                <w:color w:val="auto"/>
              </w:rPr>
              <w:t>446.9</w:t>
            </w:r>
          </w:p>
        </w:tc>
        <w:tc>
          <w:tcPr>
            <w:tcW w:w="240" w:type="dxa"/>
            <w:vAlign w:val="bottom"/>
          </w:tcPr>
          <w:p>
            <w:pPr>
              <w:spacing w:after="0"/>
              <w:rPr>
                <w:sz w:val="24"/>
                <w:szCs w:val="24"/>
                <w:color w:val="auto"/>
              </w:rPr>
            </w:pPr>
          </w:p>
        </w:tc>
        <w:tc>
          <w:tcPr>
            <w:tcW w:w="940" w:type="dxa"/>
            <w:vAlign w:val="bottom"/>
            <w:tcBorders>
              <w:right w:val="single" w:sz="8" w:color="00000A"/>
            </w:tcBorders>
            <w:vMerge w:val="restart"/>
          </w:tcPr>
          <w:p>
            <w:pPr>
              <w:jc w:val="right"/>
              <w:ind w:right="39"/>
              <w:spacing w:after="0"/>
              <w:rPr>
                <w:sz w:val="20"/>
                <w:szCs w:val="20"/>
                <w:color w:val="auto"/>
              </w:rPr>
            </w:pPr>
            <w:r>
              <w:rPr>
                <w:rFonts w:ascii="Arial" w:cs="Arial" w:eastAsia="Arial" w:hAnsi="Arial"/>
                <w:sz w:val="16"/>
                <w:szCs w:val="16"/>
                <w:color w:val="auto"/>
              </w:rPr>
              <w:t>380.7</w:t>
            </w:r>
          </w:p>
        </w:tc>
        <w:tc>
          <w:tcPr>
            <w:tcW w:w="0" w:type="dxa"/>
            <w:vAlign w:val="bottom"/>
          </w:tcPr>
          <w:p>
            <w:pPr>
              <w:spacing w:after="0"/>
              <w:rPr>
                <w:sz w:val="1"/>
                <w:szCs w:val="1"/>
                <w:color w:val="auto"/>
              </w:rPr>
            </w:pPr>
          </w:p>
        </w:tc>
      </w:tr>
      <w:tr>
        <w:trPr>
          <w:trHeight w:val="67"/>
        </w:trPr>
        <w:tc>
          <w:tcPr>
            <w:tcW w:w="3900" w:type="dxa"/>
            <w:vAlign w:val="bottom"/>
            <w:tcBorders>
              <w:left w:val="single" w:sz="8" w:color="00000A"/>
              <w:bottom w:val="single" w:sz="8" w:color="00000A"/>
            </w:tcBorders>
          </w:tcPr>
          <w:p>
            <w:pPr>
              <w:spacing w:after="0"/>
              <w:rPr>
                <w:sz w:val="5"/>
                <w:szCs w:val="5"/>
                <w:color w:val="auto"/>
              </w:rPr>
            </w:pPr>
          </w:p>
        </w:tc>
        <w:tc>
          <w:tcPr>
            <w:tcW w:w="80" w:type="dxa"/>
            <w:vAlign w:val="bottom"/>
            <w:tcBorders>
              <w:bottom w:val="single" w:sz="8" w:color="00000A"/>
              <w:right w:val="single" w:sz="8" w:color="00000A"/>
            </w:tcBorders>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880" w:type="dxa"/>
            <w:vAlign w:val="bottom"/>
            <w:tcBorders>
              <w:bottom w:val="single" w:sz="8" w:color="00000A"/>
            </w:tcBorders>
            <w:vMerge w:val="continue"/>
          </w:tcPr>
          <w:p>
            <w:pPr>
              <w:spacing w:after="0"/>
              <w:rPr>
                <w:sz w:val="5"/>
                <w:szCs w:val="5"/>
                <w:color w:val="auto"/>
              </w:rPr>
            </w:pPr>
          </w:p>
        </w:tc>
        <w:tc>
          <w:tcPr>
            <w:tcW w:w="40" w:type="dxa"/>
            <w:vAlign w:val="bottom"/>
            <w:tcBorders>
              <w:bottom w:val="single" w:sz="8" w:color="00000A"/>
              <w:right w:val="single" w:sz="8" w:color="00000A"/>
            </w:tcBorders>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60" w:type="dxa"/>
            <w:vAlign w:val="bottom"/>
            <w:tcBorders>
              <w:bottom w:val="single" w:sz="8" w:color="00000A"/>
              <w:right w:val="single" w:sz="8" w:color="00000A"/>
            </w:tcBorders>
            <w:vMerge w:val="continue"/>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920" w:type="dxa"/>
            <w:vAlign w:val="bottom"/>
            <w:tcBorders>
              <w:bottom w:val="single" w:sz="8" w:color="00000A"/>
              <w:right w:val="single" w:sz="8" w:color="00000A"/>
            </w:tcBorders>
            <w:vMerge w:val="continue"/>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40" w:type="dxa"/>
            <w:vAlign w:val="bottom"/>
            <w:tcBorders>
              <w:bottom w:val="single" w:sz="8" w:color="00000A"/>
              <w:right w:val="single" w:sz="8" w:color="00000A"/>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78"/>
        </w:trPr>
        <w:tc>
          <w:tcPr>
            <w:tcW w:w="3980" w:type="dxa"/>
            <w:vAlign w:val="bottom"/>
            <w:tcBorders>
              <w:left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i w:val="1"/>
                <w:iCs w:val="1"/>
                <w:color w:val="auto"/>
              </w:rPr>
              <w:t>Corporate</w:t>
            </w:r>
          </w:p>
        </w:tc>
        <w:tc>
          <w:tcPr>
            <w:tcW w:w="20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(32.4)</w:t>
            </w:r>
          </w:p>
        </w:tc>
        <w:tc>
          <w:tcPr>
            <w:tcW w:w="40" w:type="dxa"/>
            <w:vAlign w:val="bottom"/>
            <w:tcBorders>
              <w:right w:val="single" w:sz="8" w:color="00000A"/>
            </w:tcBorders>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Borders>
              <w:right w:val="single" w:sz="8" w:color="00000A"/>
            </w:tcBorders>
            <w:vMerge w:val="restart"/>
          </w:tcPr>
          <w:p>
            <w:pPr>
              <w:jc w:val="right"/>
              <w:ind w:right="59"/>
              <w:spacing w:after="0"/>
              <w:rPr>
                <w:sz w:val="20"/>
                <w:szCs w:val="20"/>
                <w:color w:val="auto"/>
              </w:rPr>
            </w:pPr>
            <w:r>
              <w:rPr>
                <w:rFonts w:ascii="Arial" w:cs="Arial" w:eastAsia="Arial" w:hAnsi="Arial"/>
                <w:sz w:val="16"/>
                <w:szCs w:val="16"/>
                <w:color w:val="auto"/>
              </w:rPr>
              <w:t>(43.0)</w:t>
            </w:r>
          </w:p>
        </w:tc>
        <w:tc>
          <w:tcPr>
            <w:tcW w:w="200" w:type="dxa"/>
            <w:vAlign w:val="bottom"/>
          </w:tcPr>
          <w:p>
            <w:pPr>
              <w:spacing w:after="0"/>
              <w:rPr>
                <w:sz w:val="24"/>
                <w:szCs w:val="24"/>
                <w:color w:val="auto"/>
              </w:rPr>
            </w:pPr>
          </w:p>
        </w:tc>
        <w:tc>
          <w:tcPr>
            <w:tcW w:w="920" w:type="dxa"/>
            <w:vAlign w:val="bottom"/>
            <w:tcBorders>
              <w:right w:val="single" w:sz="8" w:color="00000A"/>
            </w:tcBorders>
            <w:vMerge w:val="restart"/>
          </w:tcPr>
          <w:p>
            <w:pPr>
              <w:jc w:val="right"/>
              <w:ind w:right="19"/>
              <w:spacing w:after="0"/>
              <w:rPr>
                <w:sz w:val="20"/>
                <w:szCs w:val="20"/>
                <w:color w:val="auto"/>
              </w:rPr>
            </w:pPr>
            <w:r>
              <w:rPr>
                <w:rFonts w:ascii="Arial" w:cs="Arial" w:eastAsia="Arial" w:hAnsi="Arial"/>
                <w:sz w:val="16"/>
                <w:szCs w:val="16"/>
                <w:color w:val="auto"/>
              </w:rPr>
              <w:t>(185.4)</w:t>
            </w:r>
          </w:p>
        </w:tc>
        <w:tc>
          <w:tcPr>
            <w:tcW w:w="240" w:type="dxa"/>
            <w:vAlign w:val="bottom"/>
          </w:tcPr>
          <w:p>
            <w:pPr>
              <w:spacing w:after="0"/>
              <w:rPr>
                <w:sz w:val="24"/>
                <w:szCs w:val="24"/>
                <w:color w:val="auto"/>
              </w:rPr>
            </w:pPr>
          </w:p>
        </w:tc>
        <w:tc>
          <w:tcPr>
            <w:tcW w:w="940" w:type="dxa"/>
            <w:vAlign w:val="bottom"/>
            <w:tcBorders>
              <w:right w:val="single" w:sz="8" w:color="00000A"/>
            </w:tcBorders>
            <w:vMerge w:val="restart"/>
          </w:tcPr>
          <w:p>
            <w:pPr>
              <w:jc w:val="right"/>
              <w:ind w:right="39"/>
              <w:spacing w:after="0"/>
              <w:rPr>
                <w:sz w:val="20"/>
                <w:szCs w:val="20"/>
                <w:color w:val="auto"/>
              </w:rPr>
            </w:pPr>
            <w:r>
              <w:rPr>
                <w:rFonts w:ascii="Arial" w:cs="Arial" w:eastAsia="Arial" w:hAnsi="Arial"/>
                <w:sz w:val="16"/>
                <w:szCs w:val="16"/>
                <w:color w:val="auto"/>
              </w:rPr>
              <w:t>(202.3)</w:t>
            </w:r>
          </w:p>
        </w:tc>
        <w:tc>
          <w:tcPr>
            <w:tcW w:w="0" w:type="dxa"/>
            <w:vAlign w:val="bottom"/>
          </w:tcPr>
          <w:p>
            <w:pPr>
              <w:spacing w:after="0"/>
              <w:rPr>
                <w:sz w:val="1"/>
                <w:szCs w:val="1"/>
                <w:color w:val="auto"/>
              </w:rPr>
            </w:pPr>
          </w:p>
        </w:tc>
      </w:tr>
      <w:tr>
        <w:trPr>
          <w:trHeight w:val="67"/>
        </w:trPr>
        <w:tc>
          <w:tcPr>
            <w:tcW w:w="3900" w:type="dxa"/>
            <w:vAlign w:val="bottom"/>
            <w:tcBorders>
              <w:left w:val="single" w:sz="8" w:color="00000A"/>
              <w:bottom w:val="single" w:sz="8" w:color="00000A"/>
            </w:tcBorders>
          </w:tcPr>
          <w:p>
            <w:pPr>
              <w:spacing w:after="0"/>
              <w:rPr>
                <w:sz w:val="5"/>
                <w:szCs w:val="5"/>
                <w:color w:val="auto"/>
              </w:rPr>
            </w:pPr>
          </w:p>
        </w:tc>
        <w:tc>
          <w:tcPr>
            <w:tcW w:w="80" w:type="dxa"/>
            <w:vAlign w:val="bottom"/>
            <w:tcBorders>
              <w:bottom w:val="single" w:sz="8" w:color="00000A"/>
              <w:right w:val="single" w:sz="8" w:color="00000A"/>
            </w:tcBorders>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880" w:type="dxa"/>
            <w:vAlign w:val="bottom"/>
            <w:tcBorders>
              <w:bottom w:val="single" w:sz="8" w:color="00000A"/>
            </w:tcBorders>
            <w:vMerge w:val="continue"/>
          </w:tcPr>
          <w:p>
            <w:pPr>
              <w:spacing w:after="0"/>
              <w:rPr>
                <w:sz w:val="5"/>
                <w:szCs w:val="5"/>
                <w:color w:val="auto"/>
              </w:rPr>
            </w:pPr>
          </w:p>
        </w:tc>
        <w:tc>
          <w:tcPr>
            <w:tcW w:w="40" w:type="dxa"/>
            <w:vAlign w:val="bottom"/>
            <w:tcBorders>
              <w:bottom w:val="single" w:sz="8" w:color="00000A"/>
              <w:right w:val="single" w:sz="8" w:color="00000A"/>
            </w:tcBorders>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60" w:type="dxa"/>
            <w:vAlign w:val="bottom"/>
            <w:tcBorders>
              <w:bottom w:val="single" w:sz="8" w:color="00000A"/>
              <w:right w:val="single" w:sz="8" w:color="00000A"/>
            </w:tcBorders>
            <w:vMerge w:val="continue"/>
          </w:tcPr>
          <w:p>
            <w:pPr>
              <w:spacing w:after="0"/>
              <w:rPr>
                <w:sz w:val="5"/>
                <w:szCs w:val="5"/>
                <w:color w:val="auto"/>
              </w:rPr>
            </w:pPr>
          </w:p>
        </w:tc>
        <w:tc>
          <w:tcPr>
            <w:tcW w:w="200" w:type="dxa"/>
            <w:vAlign w:val="bottom"/>
            <w:tcBorders>
              <w:bottom w:val="single" w:sz="8" w:color="00000A"/>
            </w:tcBorders>
          </w:tcPr>
          <w:p>
            <w:pPr>
              <w:spacing w:after="0"/>
              <w:rPr>
                <w:sz w:val="5"/>
                <w:szCs w:val="5"/>
                <w:color w:val="auto"/>
              </w:rPr>
            </w:pPr>
          </w:p>
        </w:tc>
        <w:tc>
          <w:tcPr>
            <w:tcW w:w="920" w:type="dxa"/>
            <w:vAlign w:val="bottom"/>
            <w:tcBorders>
              <w:bottom w:val="single" w:sz="8" w:color="00000A"/>
              <w:right w:val="single" w:sz="8" w:color="00000A"/>
            </w:tcBorders>
            <w:vMerge w:val="continue"/>
          </w:tcPr>
          <w:p>
            <w:pPr>
              <w:spacing w:after="0"/>
              <w:rPr>
                <w:sz w:val="5"/>
                <w:szCs w:val="5"/>
                <w:color w:val="auto"/>
              </w:rPr>
            </w:pPr>
          </w:p>
        </w:tc>
        <w:tc>
          <w:tcPr>
            <w:tcW w:w="240" w:type="dxa"/>
            <w:vAlign w:val="bottom"/>
            <w:tcBorders>
              <w:bottom w:val="single" w:sz="8" w:color="00000A"/>
            </w:tcBorders>
          </w:tcPr>
          <w:p>
            <w:pPr>
              <w:spacing w:after="0"/>
              <w:rPr>
                <w:sz w:val="5"/>
                <w:szCs w:val="5"/>
                <w:color w:val="auto"/>
              </w:rPr>
            </w:pPr>
          </w:p>
        </w:tc>
        <w:tc>
          <w:tcPr>
            <w:tcW w:w="940" w:type="dxa"/>
            <w:vAlign w:val="bottom"/>
            <w:tcBorders>
              <w:bottom w:val="single" w:sz="8" w:color="00000A"/>
              <w:right w:val="single" w:sz="8" w:color="00000A"/>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37"/>
        </w:trPr>
        <w:tc>
          <w:tcPr>
            <w:tcW w:w="3980" w:type="dxa"/>
            <w:vAlign w:val="bottom"/>
            <w:tcBorders>
              <w:left w:val="single" w:sz="8" w:color="00000A"/>
              <w:bottom w:val="single" w:sz="8" w:color="00000A"/>
              <w:right w:val="single" w:sz="8" w:color="00000A"/>
            </w:tcBorders>
            <w:gridSpan w:val="2"/>
          </w:tcPr>
          <w:p>
            <w:pPr>
              <w:ind w:left="40"/>
              <w:spacing w:after="0"/>
              <w:rPr>
                <w:sz w:val="20"/>
                <w:szCs w:val="20"/>
                <w:color w:val="auto"/>
              </w:rPr>
            </w:pPr>
            <w:r>
              <w:rPr>
                <w:rFonts w:ascii="Arial" w:cs="Arial" w:eastAsia="Arial" w:hAnsi="Arial"/>
                <w:sz w:val="16"/>
                <w:szCs w:val="16"/>
                <w:b w:val="1"/>
                <w:bCs w:val="1"/>
                <w:i w:val="1"/>
                <w:iCs w:val="1"/>
                <w:color w:val="auto"/>
              </w:rPr>
              <w:t>Total Segment Pre-Tax Operating Earnings</w:t>
            </w:r>
          </w:p>
        </w:tc>
        <w:tc>
          <w:tcPr>
            <w:tcW w:w="20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88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593.4</w:t>
            </w:r>
          </w:p>
        </w:tc>
        <w:tc>
          <w:tcPr>
            <w:tcW w:w="40" w:type="dxa"/>
            <w:vAlign w:val="bottom"/>
            <w:tcBorders>
              <w:bottom w:val="single" w:sz="8" w:color="00000A"/>
              <w:right w:val="single" w:sz="8" w:color="00000A"/>
            </w:tcBorders>
          </w:tcPr>
          <w:p>
            <w:pPr>
              <w:spacing w:after="0"/>
              <w:rPr>
                <w:sz w:val="20"/>
                <w:szCs w:val="20"/>
                <w:color w:val="auto"/>
              </w:rPr>
            </w:pPr>
          </w:p>
        </w:tc>
        <w:tc>
          <w:tcPr>
            <w:tcW w:w="24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960" w:type="dxa"/>
            <w:vAlign w:val="bottom"/>
            <w:tcBorders>
              <w:bottom w:val="single" w:sz="8" w:color="00000A"/>
              <w:right w:val="single" w:sz="8" w:color="00000A"/>
            </w:tcBorders>
          </w:tcPr>
          <w:p>
            <w:pPr>
              <w:jc w:val="right"/>
              <w:ind w:right="59"/>
              <w:spacing w:after="0"/>
              <w:rPr>
                <w:sz w:val="20"/>
                <w:szCs w:val="20"/>
                <w:color w:val="auto"/>
              </w:rPr>
            </w:pPr>
            <w:r>
              <w:rPr>
                <w:rFonts w:ascii="Arial" w:cs="Arial" w:eastAsia="Arial" w:hAnsi="Arial"/>
                <w:sz w:val="16"/>
                <w:szCs w:val="16"/>
                <w:b w:val="1"/>
                <w:bCs w:val="1"/>
                <w:color w:val="auto"/>
              </w:rPr>
              <w:t>452.9</w:t>
            </w:r>
          </w:p>
        </w:tc>
        <w:tc>
          <w:tcPr>
            <w:tcW w:w="20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920" w:type="dxa"/>
            <w:vAlign w:val="bottom"/>
            <w:tcBorders>
              <w:bottom w:val="single" w:sz="8" w:color="00000A"/>
              <w:right w:val="single" w:sz="8" w:color="00000A"/>
            </w:tcBorders>
          </w:tcPr>
          <w:p>
            <w:pPr>
              <w:jc w:val="right"/>
              <w:ind w:right="19"/>
              <w:spacing w:after="0"/>
              <w:rPr>
                <w:sz w:val="20"/>
                <w:szCs w:val="20"/>
                <w:color w:val="auto"/>
              </w:rPr>
            </w:pPr>
            <w:r>
              <w:rPr>
                <w:rFonts w:ascii="Arial" w:cs="Arial" w:eastAsia="Arial" w:hAnsi="Arial"/>
                <w:sz w:val="16"/>
                <w:szCs w:val="16"/>
                <w:b w:val="1"/>
                <w:bCs w:val="1"/>
                <w:color w:val="auto"/>
              </w:rPr>
              <w:t>2,029.1</w:t>
            </w:r>
          </w:p>
        </w:tc>
        <w:tc>
          <w:tcPr>
            <w:tcW w:w="240" w:type="dxa"/>
            <w:vAlign w:val="bottom"/>
            <w:tcBorders>
              <w:bottom w:val="single" w:sz="8" w:color="00000A"/>
            </w:tcBorders>
          </w:tcPr>
          <w:p>
            <w:pPr>
              <w:jc w:val="right"/>
              <w:spacing w:after="0"/>
              <w:rPr>
                <w:sz w:val="20"/>
                <w:szCs w:val="20"/>
                <w:color w:val="auto"/>
              </w:rPr>
            </w:pPr>
            <w:r>
              <w:rPr>
                <w:rFonts w:ascii="Arial" w:cs="Arial" w:eastAsia="Arial" w:hAnsi="Arial"/>
                <w:sz w:val="16"/>
                <w:szCs w:val="16"/>
                <w:b w:val="1"/>
                <w:bCs w:val="1"/>
                <w:color w:val="auto"/>
              </w:rPr>
              <w:t>$</w:t>
            </w:r>
          </w:p>
        </w:tc>
        <w:tc>
          <w:tcPr>
            <w:tcW w:w="940" w:type="dxa"/>
            <w:vAlign w:val="bottom"/>
            <w:tcBorders>
              <w:bottom w:val="single" w:sz="8" w:color="00000A"/>
              <w:right w:val="single" w:sz="8" w:color="00000A"/>
            </w:tcBorders>
          </w:tcPr>
          <w:p>
            <w:pPr>
              <w:jc w:val="right"/>
              <w:ind w:right="39"/>
              <w:spacing w:after="0"/>
              <w:rPr>
                <w:sz w:val="20"/>
                <w:szCs w:val="20"/>
                <w:color w:val="auto"/>
              </w:rPr>
            </w:pPr>
            <w:r>
              <w:rPr>
                <w:rFonts w:ascii="Arial" w:cs="Arial" w:eastAsia="Arial" w:hAnsi="Arial"/>
                <w:sz w:val="16"/>
                <w:szCs w:val="16"/>
                <w:b w:val="1"/>
                <w:bCs w:val="1"/>
                <w:color w:val="auto"/>
              </w:rPr>
              <w:t>1,885.0</w:t>
            </w:r>
          </w:p>
        </w:tc>
        <w:tc>
          <w:tcPr>
            <w:tcW w:w="0" w:type="dxa"/>
            <w:vAlign w:val="bottom"/>
          </w:tcPr>
          <w:p>
            <w:pPr>
              <w:spacing w:after="0"/>
              <w:rPr>
                <w:sz w:val="1"/>
                <w:szCs w:val="1"/>
                <w:color w:val="auto"/>
              </w:rPr>
            </w:pPr>
          </w:p>
        </w:tc>
      </w:tr>
      <w:tr>
        <w:trPr>
          <w:trHeight w:val="567"/>
        </w:trPr>
        <w:tc>
          <w:tcPr>
            <w:tcW w:w="3900" w:type="dxa"/>
            <w:vAlign w:val="bottom"/>
            <w:tcBorders>
              <w:bottom w:val="single" w:sz="8" w:color="00000A"/>
            </w:tcBorders>
          </w:tcPr>
          <w:p>
            <w:pPr>
              <w:spacing w:after="0"/>
              <w:rPr>
                <w:sz w:val="24"/>
                <w:szCs w:val="24"/>
                <w:color w:val="auto"/>
              </w:rPr>
            </w:pPr>
          </w:p>
        </w:tc>
        <w:tc>
          <w:tcPr>
            <w:tcW w:w="80" w:type="dxa"/>
            <w:vAlign w:val="bottom"/>
            <w:tcBorders>
              <w:bottom w:val="single" w:sz="8" w:color="00000A"/>
            </w:tcBorders>
          </w:tcPr>
          <w:p>
            <w:pPr>
              <w:spacing w:after="0"/>
              <w:rPr>
                <w:sz w:val="24"/>
                <w:szCs w:val="24"/>
                <w:color w:val="auto"/>
              </w:rPr>
            </w:pPr>
          </w:p>
        </w:tc>
        <w:tc>
          <w:tcPr>
            <w:tcW w:w="200" w:type="dxa"/>
            <w:vAlign w:val="bottom"/>
            <w:tcBorders>
              <w:bottom w:val="single" w:sz="8" w:color="00000A"/>
            </w:tcBorders>
          </w:tcPr>
          <w:p>
            <w:pPr>
              <w:spacing w:after="0"/>
              <w:rPr>
                <w:sz w:val="24"/>
                <w:szCs w:val="24"/>
                <w:color w:val="auto"/>
              </w:rPr>
            </w:pPr>
          </w:p>
        </w:tc>
        <w:tc>
          <w:tcPr>
            <w:tcW w:w="880" w:type="dxa"/>
            <w:vAlign w:val="bottom"/>
            <w:tcBorders>
              <w:bottom w:val="single" w:sz="8" w:color="00000A"/>
            </w:tcBorders>
          </w:tcPr>
          <w:p>
            <w:pPr>
              <w:spacing w:after="0"/>
              <w:rPr>
                <w:sz w:val="24"/>
                <w:szCs w:val="24"/>
                <w:color w:val="auto"/>
              </w:rPr>
            </w:pPr>
          </w:p>
        </w:tc>
        <w:tc>
          <w:tcPr>
            <w:tcW w:w="40" w:type="dxa"/>
            <w:vAlign w:val="bottom"/>
            <w:tcBorders>
              <w:bottom w:val="single" w:sz="8" w:color="00000A"/>
            </w:tcBorders>
          </w:tcPr>
          <w:p>
            <w:pPr>
              <w:spacing w:after="0"/>
              <w:rPr>
                <w:sz w:val="24"/>
                <w:szCs w:val="24"/>
                <w:color w:val="auto"/>
              </w:rPr>
            </w:pPr>
          </w:p>
        </w:tc>
        <w:tc>
          <w:tcPr>
            <w:tcW w:w="240" w:type="dxa"/>
            <w:vAlign w:val="bottom"/>
            <w:tcBorders>
              <w:bottom w:val="single" w:sz="8" w:color="00000A"/>
            </w:tcBorders>
          </w:tcPr>
          <w:p>
            <w:pPr>
              <w:spacing w:after="0"/>
              <w:rPr>
                <w:sz w:val="24"/>
                <w:szCs w:val="24"/>
                <w:color w:val="auto"/>
              </w:rPr>
            </w:pPr>
          </w:p>
        </w:tc>
        <w:tc>
          <w:tcPr>
            <w:tcW w:w="2080" w:type="dxa"/>
            <w:vAlign w:val="bottom"/>
            <w:tcBorders>
              <w:bottom w:val="single" w:sz="8" w:color="00000A"/>
            </w:tcBorders>
            <w:gridSpan w:val="3"/>
          </w:tcPr>
          <w:p>
            <w:pPr>
              <w:spacing w:after="0"/>
              <w:rPr>
                <w:sz w:val="24"/>
                <w:szCs w:val="24"/>
                <w:color w:val="auto"/>
              </w:rPr>
            </w:pPr>
          </w:p>
        </w:tc>
        <w:tc>
          <w:tcPr>
            <w:tcW w:w="240" w:type="dxa"/>
            <w:vAlign w:val="bottom"/>
            <w:tcBorders>
              <w:bottom w:val="single" w:sz="8" w:color="00000A"/>
            </w:tcBorders>
          </w:tcPr>
          <w:p>
            <w:pPr>
              <w:spacing w:after="0"/>
              <w:rPr>
                <w:sz w:val="24"/>
                <w:szCs w:val="24"/>
                <w:color w:val="auto"/>
              </w:rPr>
            </w:pPr>
          </w:p>
        </w:tc>
        <w:tc>
          <w:tcPr>
            <w:tcW w:w="940" w:type="dxa"/>
            <w:vAlign w:val="bottom"/>
            <w:tcBorders>
              <w:bottom w:val="single" w:sz="8" w:color="00000A"/>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900" w:type="dxa"/>
            <w:vAlign w:val="bottom"/>
            <w:tcBorders>
              <w:left w:val="single" w:sz="8" w:color="00000A"/>
              <w:right w:val="single" w:sz="8" w:color="00000A"/>
            </w:tcBorders>
          </w:tcPr>
          <w:p>
            <w:pPr>
              <w:spacing w:after="0"/>
              <w:rPr>
                <w:sz w:val="20"/>
                <w:szCs w:val="20"/>
                <w:color w:val="auto"/>
              </w:rPr>
            </w:pPr>
          </w:p>
        </w:tc>
        <w:tc>
          <w:tcPr>
            <w:tcW w:w="80" w:type="dxa"/>
            <w:vAlign w:val="bottom"/>
            <w:tcBorders>
              <w:bottom w:val="single" w:sz="8" w:color="00000A"/>
            </w:tcBorders>
          </w:tcPr>
          <w:p>
            <w:pPr>
              <w:spacing w:after="0"/>
              <w:rPr>
                <w:sz w:val="20"/>
                <w:szCs w:val="20"/>
                <w:color w:val="auto"/>
              </w:rPr>
            </w:pPr>
          </w:p>
        </w:tc>
        <w:tc>
          <w:tcPr>
            <w:tcW w:w="200" w:type="dxa"/>
            <w:vAlign w:val="bottom"/>
            <w:tcBorders>
              <w:bottom w:val="single" w:sz="8" w:color="00000A"/>
            </w:tcBorders>
          </w:tcPr>
          <w:p>
            <w:pPr>
              <w:spacing w:after="0"/>
              <w:rPr>
                <w:sz w:val="20"/>
                <w:szCs w:val="20"/>
                <w:color w:val="auto"/>
              </w:rPr>
            </w:pPr>
          </w:p>
        </w:tc>
        <w:tc>
          <w:tcPr>
            <w:tcW w:w="880" w:type="dxa"/>
            <w:vAlign w:val="bottom"/>
            <w:tcBorders>
              <w:bottom w:val="single" w:sz="8" w:color="00000A"/>
            </w:tcBorders>
          </w:tcPr>
          <w:p>
            <w:pPr>
              <w:spacing w:after="0"/>
              <w:rPr>
                <w:sz w:val="20"/>
                <w:szCs w:val="20"/>
                <w:color w:val="auto"/>
              </w:rPr>
            </w:pPr>
          </w:p>
        </w:tc>
        <w:tc>
          <w:tcPr>
            <w:tcW w:w="40" w:type="dxa"/>
            <w:vAlign w:val="bottom"/>
            <w:tcBorders>
              <w:bottom w:val="single" w:sz="8" w:color="00000A"/>
            </w:tcBorders>
          </w:tcPr>
          <w:p>
            <w:pPr>
              <w:spacing w:after="0"/>
              <w:rPr>
                <w:sz w:val="20"/>
                <w:szCs w:val="20"/>
                <w:color w:val="auto"/>
              </w:rPr>
            </w:pPr>
          </w:p>
        </w:tc>
        <w:tc>
          <w:tcPr>
            <w:tcW w:w="240" w:type="dxa"/>
            <w:vAlign w:val="bottom"/>
            <w:tcBorders>
              <w:bottom w:val="single" w:sz="8" w:color="00000A"/>
            </w:tcBorders>
          </w:tcPr>
          <w:p>
            <w:pPr>
              <w:spacing w:after="0"/>
              <w:rPr>
                <w:sz w:val="20"/>
                <w:szCs w:val="20"/>
                <w:color w:val="auto"/>
              </w:rPr>
            </w:pPr>
          </w:p>
        </w:tc>
        <w:tc>
          <w:tcPr>
            <w:tcW w:w="2080" w:type="dxa"/>
            <w:vAlign w:val="bottom"/>
            <w:tcBorders>
              <w:bottom w:val="single" w:sz="8" w:color="00000A"/>
            </w:tcBorders>
            <w:gridSpan w:val="3"/>
          </w:tcPr>
          <w:p>
            <w:pPr>
              <w:jc w:val="right"/>
              <w:ind w:right="399"/>
              <w:spacing w:after="0"/>
              <w:rPr>
                <w:sz w:val="20"/>
                <w:szCs w:val="20"/>
                <w:color w:val="auto"/>
              </w:rPr>
            </w:pPr>
            <w:r>
              <w:rPr>
                <w:rFonts w:ascii="Arial" w:cs="Arial" w:eastAsia="Arial" w:hAnsi="Arial"/>
                <w:sz w:val="16"/>
                <w:szCs w:val="16"/>
                <w:b w:val="1"/>
                <w:bCs w:val="1"/>
                <w:color w:val="auto"/>
              </w:rPr>
              <w:t>Per Diluted Share</w:t>
            </w:r>
          </w:p>
        </w:tc>
        <w:tc>
          <w:tcPr>
            <w:tcW w:w="240" w:type="dxa"/>
            <w:vAlign w:val="bottom"/>
            <w:tcBorders>
              <w:bottom w:val="single" w:sz="8" w:color="00000A"/>
            </w:tcBorders>
          </w:tcPr>
          <w:p>
            <w:pPr>
              <w:spacing w:after="0"/>
              <w:rPr>
                <w:sz w:val="20"/>
                <w:szCs w:val="20"/>
                <w:color w:val="auto"/>
              </w:rPr>
            </w:pPr>
          </w:p>
        </w:tc>
        <w:tc>
          <w:tcPr>
            <w:tcW w:w="940" w:type="dxa"/>
            <w:vAlign w:val="bottom"/>
            <w:tcBorders>
              <w:bottom w:val="single" w:sz="8" w:color="00000A"/>
              <w:right w:val="single" w:sz="8" w:color="00000A"/>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3900" w:type="dxa"/>
            <w:vAlign w:val="bottom"/>
            <w:tcBorders>
              <w:left w:val="single" w:sz="8" w:color="00000A"/>
              <w:right w:val="single" w:sz="8" w:color="00000A"/>
            </w:tcBorders>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120" w:type="dxa"/>
            <w:vAlign w:val="bottom"/>
            <w:tcBorders>
              <w:right w:val="single" w:sz="8" w:color="00000A"/>
            </w:tcBorders>
            <w:gridSpan w:val="4"/>
            <w:vMerge w:val="restart"/>
          </w:tcPr>
          <w:p>
            <w:pPr>
              <w:jc w:val="right"/>
              <w:ind w:right="359"/>
              <w:spacing w:after="0"/>
              <w:rPr>
                <w:sz w:val="20"/>
                <w:szCs w:val="20"/>
                <w:color w:val="auto"/>
              </w:rPr>
            </w:pPr>
            <w:r>
              <w:rPr>
                <w:rFonts w:ascii="Arial" w:cs="Arial" w:eastAsia="Arial" w:hAnsi="Arial"/>
                <w:sz w:val="16"/>
                <w:szCs w:val="16"/>
                <w:i w:val="1"/>
                <w:iCs w:val="1"/>
                <w:color w:val="auto"/>
              </w:rPr>
              <w:t>Three Months Ended,</w:t>
            </w:r>
          </w:p>
        </w:tc>
        <w:tc>
          <w:tcPr>
            <w:tcW w:w="200" w:type="dxa"/>
            <w:vAlign w:val="bottom"/>
          </w:tcPr>
          <w:p>
            <w:pPr>
              <w:spacing w:after="0"/>
              <w:rPr>
                <w:sz w:val="19"/>
                <w:szCs w:val="19"/>
                <w:color w:val="auto"/>
              </w:rPr>
            </w:pPr>
          </w:p>
        </w:tc>
        <w:tc>
          <w:tcPr>
            <w:tcW w:w="2100" w:type="dxa"/>
            <w:vAlign w:val="bottom"/>
            <w:tcBorders>
              <w:right w:val="single" w:sz="8" w:color="00000A"/>
            </w:tcBorders>
            <w:gridSpan w:val="3"/>
          </w:tcPr>
          <w:p>
            <w:pPr>
              <w:jc w:val="right"/>
              <w:ind w:right="359"/>
              <w:spacing w:after="0"/>
              <w:rPr>
                <w:sz w:val="20"/>
                <w:szCs w:val="20"/>
                <w:color w:val="auto"/>
              </w:rPr>
            </w:pPr>
            <w:r>
              <w:rPr>
                <w:rFonts w:ascii="Arial" w:cs="Arial" w:eastAsia="Arial" w:hAnsi="Arial"/>
                <w:sz w:val="16"/>
                <w:szCs w:val="16"/>
                <w:i w:val="1"/>
                <w:iCs w:val="1"/>
                <w:color w:val="auto"/>
              </w:rPr>
              <w:t>Nine Months Ended,</w:t>
            </w:r>
          </w:p>
        </w:tc>
        <w:tc>
          <w:tcPr>
            <w:tcW w:w="0" w:type="dxa"/>
            <w:vAlign w:val="bottom"/>
          </w:tcPr>
          <w:p>
            <w:pPr>
              <w:spacing w:after="0"/>
              <w:rPr>
                <w:sz w:val="1"/>
                <w:szCs w:val="1"/>
                <w:color w:val="auto"/>
              </w:rPr>
            </w:pPr>
          </w:p>
        </w:tc>
      </w:tr>
      <w:tr>
        <w:trPr>
          <w:trHeight w:val="54"/>
        </w:trPr>
        <w:tc>
          <w:tcPr>
            <w:tcW w:w="3900" w:type="dxa"/>
            <w:vAlign w:val="bottom"/>
            <w:tcBorders>
              <w:left w:val="single" w:sz="8" w:color="00000A"/>
              <w:right w:val="single" w:sz="8" w:color="00000A"/>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2120" w:type="dxa"/>
            <w:vAlign w:val="bottom"/>
            <w:tcBorders>
              <w:right w:val="single" w:sz="8" w:color="00000A"/>
            </w:tcBorders>
            <w:gridSpan w:val="4"/>
            <w:vMerge w:val="continue"/>
          </w:tcPr>
          <w:p>
            <w:pPr>
              <w:spacing w:after="0"/>
              <w:rPr>
                <w:sz w:val="4"/>
                <w:szCs w:val="4"/>
                <w:color w:val="auto"/>
              </w:rPr>
            </w:pPr>
          </w:p>
        </w:tc>
        <w:tc>
          <w:tcPr>
            <w:tcW w:w="200" w:type="dxa"/>
            <w:vAlign w:val="bottom"/>
          </w:tcPr>
          <w:p>
            <w:pPr>
              <w:spacing w:after="0"/>
              <w:rPr>
                <w:sz w:val="4"/>
                <w:szCs w:val="4"/>
                <w:color w:val="auto"/>
              </w:rPr>
            </w:pPr>
          </w:p>
        </w:tc>
        <w:tc>
          <w:tcPr>
            <w:tcW w:w="920" w:type="dxa"/>
            <w:vAlign w:val="bottom"/>
          </w:tcPr>
          <w:p>
            <w:pPr>
              <w:spacing w:after="0"/>
              <w:rPr>
                <w:sz w:val="4"/>
                <w:szCs w:val="4"/>
                <w:color w:val="auto"/>
              </w:rPr>
            </w:pPr>
          </w:p>
        </w:tc>
        <w:tc>
          <w:tcPr>
            <w:tcW w:w="240" w:type="dxa"/>
            <w:vAlign w:val="bottom"/>
          </w:tcPr>
          <w:p>
            <w:pPr>
              <w:spacing w:after="0"/>
              <w:rPr>
                <w:sz w:val="4"/>
                <w:szCs w:val="4"/>
                <w:color w:val="auto"/>
              </w:rPr>
            </w:pPr>
          </w:p>
        </w:tc>
        <w:tc>
          <w:tcPr>
            <w:tcW w:w="940" w:type="dxa"/>
            <w:vAlign w:val="bottom"/>
            <w:tcBorders>
              <w:right w:val="single" w:sz="8" w:color="00000A"/>
            </w:tcBorders>
          </w:tcPr>
          <w:p>
            <w:pPr>
              <w:spacing w:after="0"/>
              <w:rPr>
                <w:sz w:val="4"/>
                <w:szCs w:val="4"/>
                <w:color w:val="auto"/>
              </w:rPr>
            </w:pPr>
          </w:p>
        </w:tc>
        <w:tc>
          <w:tcPr>
            <w:tcW w:w="0" w:type="dxa"/>
            <w:vAlign w:val="bottom"/>
          </w:tcPr>
          <w:p>
            <w:pPr>
              <w:spacing w:after="0"/>
              <w:rPr>
                <w:sz w:val="1"/>
                <w:szCs w:val="1"/>
                <w:color w:val="auto"/>
              </w:rPr>
            </w:pPr>
          </w:p>
        </w:tc>
      </w:tr>
      <w:tr>
        <w:trPr>
          <w:trHeight w:val="155"/>
        </w:trPr>
        <w:tc>
          <w:tcPr>
            <w:tcW w:w="3900" w:type="dxa"/>
            <w:vAlign w:val="bottom"/>
            <w:tcBorders>
              <w:left w:val="single" w:sz="8" w:color="00000A"/>
              <w:right w:val="single" w:sz="8" w:color="00000A"/>
            </w:tcBorders>
          </w:tcPr>
          <w:p>
            <w:pPr>
              <w:spacing w:after="0"/>
              <w:rPr>
                <w:sz w:val="13"/>
                <w:szCs w:val="13"/>
                <w:color w:val="auto"/>
              </w:rPr>
            </w:pPr>
          </w:p>
        </w:tc>
        <w:tc>
          <w:tcPr>
            <w:tcW w:w="80" w:type="dxa"/>
            <w:vAlign w:val="bottom"/>
            <w:tcBorders>
              <w:bottom w:val="single" w:sz="8" w:color="00000A"/>
            </w:tcBorders>
          </w:tcPr>
          <w:p>
            <w:pPr>
              <w:spacing w:after="0"/>
              <w:rPr>
                <w:sz w:val="13"/>
                <w:szCs w:val="13"/>
                <w:color w:val="auto"/>
              </w:rPr>
            </w:pPr>
          </w:p>
        </w:tc>
        <w:tc>
          <w:tcPr>
            <w:tcW w:w="200" w:type="dxa"/>
            <w:vAlign w:val="bottom"/>
            <w:tcBorders>
              <w:bottom w:val="single" w:sz="8" w:color="00000A"/>
            </w:tcBorders>
          </w:tcPr>
          <w:p>
            <w:pPr>
              <w:spacing w:after="0"/>
              <w:rPr>
                <w:sz w:val="13"/>
                <w:szCs w:val="13"/>
                <w:color w:val="auto"/>
              </w:rPr>
            </w:pPr>
          </w:p>
        </w:tc>
        <w:tc>
          <w:tcPr>
            <w:tcW w:w="880" w:type="dxa"/>
            <w:vAlign w:val="bottom"/>
            <w:tcBorders>
              <w:bottom w:val="single" w:sz="8" w:color="00000A"/>
            </w:tcBorders>
          </w:tcPr>
          <w:p>
            <w:pPr>
              <w:spacing w:after="0"/>
              <w:rPr>
                <w:sz w:val="13"/>
                <w:szCs w:val="13"/>
                <w:color w:val="auto"/>
              </w:rPr>
            </w:pPr>
          </w:p>
        </w:tc>
        <w:tc>
          <w:tcPr>
            <w:tcW w:w="40" w:type="dxa"/>
            <w:vAlign w:val="bottom"/>
            <w:tcBorders>
              <w:bottom w:val="single" w:sz="8" w:color="00000A"/>
            </w:tcBorders>
          </w:tcPr>
          <w:p>
            <w:pPr>
              <w:spacing w:after="0"/>
              <w:rPr>
                <w:sz w:val="13"/>
                <w:szCs w:val="13"/>
                <w:color w:val="auto"/>
              </w:rPr>
            </w:pPr>
          </w:p>
        </w:tc>
        <w:tc>
          <w:tcPr>
            <w:tcW w:w="240" w:type="dxa"/>
            <w:vAlign w:val="bottom"/>
            <w:tcBorders>
              <w:bottom w:val="single" w:sz="8" w:color="00000A"/>
            </w:tcBorders>
          </w:tcPr>
          <w:p>
            <w:pPr>
              <w:spacing w:after="0"/>
              <w:rPr>
                <w:sz w:val="13"/>
                <w:szCs w:val="13"/>
                <w:color w:val="auto"/>
              </w:rPr>
            </w:pPr>
          </w:p>
        </w:tc>
        <w:tc>
          <w:tcPr>
            <w:tcW w:w="960" w:type="dxa"/>
            <w:vAlign w:val="bottom"/>
            <w:tcBorders>
              <w:bottom w:val="single" w:sz="8" w:color="00000A"/>
              <w:right w:val="single" w:sz="8" w:color="00000A"/>
            </w:tcBorders>
          </w:tcPr>
          <w:p>
            <w:pPr>
              <w:spacing w:after="0"/>
              <w:rPr>
                <w:sz w:val="13"/>
                <w:szCs w:val="13"/>
                <w:color w:val="auto"/>
              </w:rPr>
            </w:pPr>
          </w:p>
        </w:tc>
        <w:tc>
          <w:tcPr>
            <w:tcW w:w="200" w:type="dxa"/>
            <w:vAlign w:val="bottom"/>
            <w:tcBorders>
              <w:bottom w:val="single" w:sz="8" w:color="00000A"/>
            </w:tcBorders>
          </w:tcPr>
          <w:p>
            <w:pPr>
              <w:spacing w:after="0"/>
              <w:rPr>
                <w:sz w:val="13"/>
                <w:szCs w:val="13"/>
                <w:color w:val="auto"/>
              </w:rPr>
            </w:pPr>
          </w:p>
        </w:tc>
        <w:tc>
          <w:tcPr>
            <w:tcW w:w="920" w:type="dxa"/>
            <w:vAlign w:val="bottom"/>
            <w:tcBorders>
              <w:bottom w:val="single" w:sz="8" w:color="00000A"/>
            </w:tcBorders>
          </w:tcPr>
          <w:p>
            <w:pPr>
              <w:spacing w:after="0"/>
              <w:rPr>
                <w:sz w:val="13"/>
                <w:szCs w:val="13"/>
                <w:color w:val="auto"/>
              </w:rPr>
            </w:pPr>
          </w:p>
        </w:tc>
        <w:tc>
          <w:tcPr>
            <w:tcW w:w="240" w:type="dxa"/>
            <w:vAlign w:val="bottom"/>
            <w:tcBorders>
              <w:bottom w:val="single" w:sz="8" w:color="00000A"/>
            </w:tcBorders>
          </w:tcPr>
          <w:p>
            <w:pPr>
              <w:spacing w:after="0"/>
              <w:rPr>
                <w:sz w:val="13"/>
                <w:szCs w:val="13"/>
                <w:color w:val="auto"/>
              </w:rPr>
            </w:pPr>
          </w:p>
        </w:tc>
        <w:tc>
          <w:tcPr>
            <w:tcW w:w="940" w:type="dxa"/>
            <w:vAlign w:val="bottom"/>
            <w:tcBorders>
              <w:bottom w:val="single" w:sz="8" w:color="00000A"/>
              <w:right w:val="single" w:sz="8" w:color="00000A"/>
            </w:tcBorders>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3900" w:type="dxa"/>
            <w:vAlign w:val="bottom"/>
            <w:tcBorders>
              <w:left w:val="single" w:sz="8" w:color="00000A"/>
              <w:bottom w:val="single" w:sz="8" w:color="00000A"/>
              <w:right w:val="single" w:sz="8" w:color="00000A"/>
            </w:tcBorders>
          </w:tcPr>
          <w:p>
            <w:pPr>
              <w:spacing w:after="0"/>
              <w:rPr>
                <w:sz w:val="20"/>
                <w:szCs w:val="20"/>
                <w:color w:val="auto"/>
              </w:rPr>
            </w:pPr>
          </w:p>
        </w:tc>
        <w:tc>
          <w:tcPr>
            <w:tcW w:w="80" w:type="dxa"/>
            <w:vAlign w:val="bottom"/>
            <w:tcBorders>
              <w:bottom w:val="single" w:sz="8" w:color="00000A"/>
            </w:tcBorders>
          </w:tcPr>
          <w:p>
            <w:pPr>
              <w:spacing w:after="0"/>
              <w:rPr>
                <w:sz w:val="20"/>
                <w:szCs w:val="20"/>
                <w:color w:val="auto"/>
              </w:rPr>
            </w:pPr>
          </w:p>
        </w:tc>
        <w:tc>
          <w:tcPr>
            <w:tcW w:w="200" w:type="dxa"/>
            <w:vAlign w:val="bottom"/>
            <w:tcBorders>
              <w:bottom w:val="single" w:sz="8" w:color="00000A"/>
            </w:tcBorders>
          </w:tcPr>
          <w:p>
            <w:pPr>
              <w:spacing w:after="0"/>
              <w:rPr>
                <w:sz w:val="20"/>
                <w:szCs w:val="20"/>
                <w:color w:val="auto"/>
              </w:rPr>
            </w:pPr>
          </w:p>
        </w:tc>
        <w:tc>
          <w:tcPr>
            <w:tcW w:w="880" w:type="dxa"/>
            <w:vAlign w:val="bottom"/>
            <w:tcBorders>
              <w:bottom w:val="single" w:sz="8" w:color="00000A"/>
              <w:right w:val="single" w:sz="8" w:color="00000A"/>
            </w:tcBorders>
          </w:tcPr>
          <w:p>
            <w:pPr>
              <w:jc w:val="right"/>
              <w:ind w:right="239"/>
              <w:spacing w:after="0"/>
              <w:rPr>
                <w:sz w:val="20"/>
                <w:szCs w:val="20"/>
                <w:color w:val="auto"/>
              </w:rPr>
            </w:pPr>
            <w:r>
              <w:rPr>
                <w:rFonts w:ascii="Arial" w:cs="Arial" w:eastAsia="Arial" w:hAnsi="Arial"/>
                <w:sz w:val="16"/>
                <w:szCs w:val="16"/>
                <w:color w:val="auto"/>
              </w:rPr>
              <w:t>9/30/18</w:t>
            </w:r>
          </w:p>
        </w:tc>
        <w:tc>
          <w:tcPr>
            <w:tcW w:w="40" w:type="dxa"/>
            <w:vAlign w:val="bottom"/>
            <w:tcBorders>
              <w:bottom w:val="single" w:sz="8" w:color="00000A"/>
            </w:tcBorders>
          </w:tcPr>
          <w:p>
            <w:pPr>
              <w:spacing w:after="0"/>
              <w:rPr>
                <w:sz w:val="20"/>
                <w:szCs w:val="20"/>
                <w:color w:val="auto"/>
              </w:rPr>
            </w:pPr>
          </w:p>
        </w:tc>
        <w:tc>
          <w:tcPr>
            <w:tcW w:w="240" w:type="dxa"/>
            <w:vAlign w:val="bottom"/>
            <w:tcBorders>
              <w:bottom w:val="single" w:sz="8" w:color="00000A"/>
            </w:tcBorders>
          </w:tcPr>
          <w:p>
            <w:pPr>
              <w:spacing w:after="0"/>
              <w:rPr>
                <w:sz w:val="20"/>
                <w:szCs w:val="20"/>
                <w:color w:val="auto"/>
              </w:rPr>
            </w:pPr>
          </w:p>
        </w:tc>
        <w:tc>
          <w:tcPr>
            <w:tcW w:w="960" w:type="dxa"/>
            <w:vAlign w:val="bottom"/>
            <w:tcBorders>
              <w:bottom w:val="single" w:sz="8" w:color="00000A"/>
              <w:right w:val="single" w:sz="8" w:color="00000A"/>
            </w:tcBorders>
          </w:tcPr>
          <w:p>
            <w:pPr>
              <w:jc w:val="right"/>
              <w:ind w:right="299"/>
              <w:spacing w:after="0"/>
              <w:rPr>
                <w:sz w:val="20"/>
                <w:szCs w:val="20"/>
                <w:color w:val="auto"/>
              </w:rPr>
            </w:pPr>
            <w:r>
              <w:rPr>
                <w:rFonts w:ascii="Arial" w:cs="Arial" w:eastAsia="Arial" w:hAnsi="Arial"/>
                <w:sz w:val="16"/>
                <w:szCs w:val="16"/>
                <w:color w:val="auto"/>
              </w:rPr>
              <w:t>9/30/17</w:t>
            </w:r>
          </w:p>
        </w:tc>
        <w:tc>
          <w:tcPr>
            <w:tcW w:w="200" w:type="dxa"/>
            <w:vAlign w:val="bottom"/>
            <w:tcBorders>
              <w:bottom w:val="single" w:sz="8" w:color="00000A"/>
            </w:tcBorders>
          </w:tcPr>
          <w:p>
            <w:pPr>
              <w:spacing w:after="0"/>
              <w:rPr>
                <w:sz w:val="20"/>
                <w:szCs w:val="20"/>
                <w:color w:val="auto"/>
              </w:rPr>
            </w:pPr>
          </w:p>
        </w:tc>
        <w:tc>
          <w:tcPr>
            <w:tcW w:w="920" w:type="dxa"/>
            <w:vAlign w:val="bottom"/>
            <w:tcBorders>
              <w:bottom w:val="single" w:sz="8" w:color="00000A"/>
              <w:right w:val="single" w:sz="8" w:color="00000A"/>
            </w:tcBorders>
          </w:tcPr>
          <w:p>
            <w:pPr>
              <w:jc w:val="right"/>
              <w:ind w:right="239"/>
              <w:spacing w:after="0"/>
              <w:rPr>
                <w:sz w:val="20"/>
                <w:szCs w:val="20"/>
                <w:color w:val="auto"/>
              </w:rPr>
            </w:pPr>
            <w:r>
              <w:rPr>
                <w:rFonts w:ascii="Arial" w:cs="Arial" w:eastAsia="Arial" w:hAnsi="Arial"/>
                <w:sz w:val="16"/>
                <w:szCs w:val="16"/>
                <w:color w:val="auto"/>
              </w:rPr>
              <w:t>9/30/18</w:t>
            </w:r>
          </w:p>
        </w:tc>
        <w:tc>
          <w:tcPr>
            <w:tcW w:w="240" w:type="dxa"/>
            <w:vAlign w:val="bottom"/>
            <w:tcBorders>
              <w:bottom w:val="single" w:sz="8" w:color="00000A"/>
            </w:tcBorders>
          </w:tcPr>
          <w:p>
            <w:pPr>
              <w:spacing w:after="0"/>
              <w:rPr>
                <w:sz w:val="20"/>
                <w:szCs w:val="20"/>
                <w:color w:val="auto"/>
              </w:rPr>
            </w:pPr>
          </w:p>
        </w:tc>
        <w:tc>
          <w:tcPr>
            <w:tcW w:w="940" w:type="dxa"/>
            <w:vAlign w:val="bottom"/>
            <w:tcBorders>
              <w:bottom w:val="single" w:sz="8" w:color="00000A"/>
              <w:right w:val="single" w:sz="8" w:color="00000A"/>
            </w:tcBorders>
          </w:tcPr>
          <w:p>
            <w:pPr>
              <w:jc w:val="right"/>
              <w:ind w:right="259"/>
              <w:spacing w:after="0"/>
              <w:rPr>
                <w:sz w:val="20"/>
                <w:szCs w:val="20"/>
                <w:color w:val="auto"/>
              </w:rPr>
            </w:pPr>
            <w:r>
              <w:rPr>
                <w:rFonts w:ascii="Arial" w:cs="Arial" w:eastAsia="Arial" w:hAnsi="Arial"/>
                <w:sz w:val="16"/>
                <w:szCs w:val="16"/>
                <w:color w:val="auto"/>
              </w:rPr>
              <w:t>9/30/17</w:t>
            </w:r>
          </w:p>
        </w:tc>
        <w:tc>
          <w:tcPr>
            <w:tcW w:w="0" w:type="dxa"/>
            <w:vAlign w:val="bottom"/>
          </w:tcPr>
          <w:p>
            <w:pPr>
              <w:spacing w:after="0"/>
              <w:rPr>
                <w:sz w:val="1"/>
                <w:szCs w:val="1"/>
                <w:color w:val="auto"/>
              </w:rPr>
            </w:pPr>
          </w:p>
        </w:tc>
      </w:tr>
      <w:tr>
        <w:trPr>
          <w:trHeight w:val="278"/>
        </w:trPr>
        <w:tc>
          <w:tcPr>
            <w:tcW w:w="390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16"/>
                <w:szCs w:val="16"/>
                <w:b w:val="1"/>
                <w:bCs w:val="1"/>
                <w:i w:val="1"/>
                <w:iCs w:val="1"/>
                <w:color w:val="auto"/>
              </w:rPr>
              <w:t>Net income</w:t>
            </w:r>
          </w:p>
        </w:tc>
        <w:tc>
          <w:tcPr>
            <w:tcW w:w="80" w:type="dxa"/>
            <w:vAlign w:val="bottom"/>
          </w:tcPr>
          <w:p>
            <w:pPr>
              <w:spacing w:after="0"/>
              <w:rPr>
                <w:sz w:val="24"/>
                <w:szCs w:val="24"/>
                <w:color w:val="auto"/>
              </w:rPr>
            </w:pPr>
          </w:p>
        </w:tc>
        <w:tc>
          <w:tcPr>
            <w:tcW w:w="200" w:type="dxa"/>
            <w:vAlign w:val="bottom"/>
            <w:vMerge w:val="restart"/>
          </w:tcPr>
          <w:p>
            <w:pPr>
              <w:jc w:val="right"/>
              <w:ind w:right="19"/>
              <w:spacing w:after="0"/>
              <w:rPr>
                <w:sz w:val="20"/>
                <w:szCs w:val="20"/>
                <w:color w:val="auto"/>
              </w:rPr>
            </w:pPr>
            <w:r>
              <w:rPr>
                <w:rFonts w:ascii="Arial" w:cs="Arial" w:eastAsia="Arial" w:hAnsi="Arial"/>
                <w:sz w:val="16"/>
                <w:szCs w:val="16"/>
                <w:b w:val="1"/>
                <w:bCs w:val="1"/>
                <w:color w:val="auto"/>
                <w:w w:val="89"/>
              </w:rPr>
              <w:t>$</w:t>
            </w:r>
          </w:p>
        </w:tc>
        <w:tc>
          <w:tcPr>
            <w:tcW w:w="880" w:type="dxa"/>
            <w:vAlign w:val="bottom"/>
            <w:tcBorders>
              <w:right w:val="single" w:sz="8" w:color="00000A"/>
            </w:tcBorders>
            <w:vMerge w:val="restart"/>
          </w:tcPr>
          <w:p>
            <w:pPr>
              <w:jc w:val="right"/>
              <w:spacing w:after="0"/>
              <w:rPr>
                <w:sz w:val="20"/>
                <w:szCs w:val="20"/>
                <w:color w:val="auto"/>
              </w:rPr>
            </w:pPr>
            <w:r>
              <w:rPr>
                <w:rFonts w:ascii="Arial" w:cs="Arial" w:eastAsia="Arial" w:hAnsi="Arial"/>
                <w:sz w:val="16"/>
                <w:szCs w:val="16"/>
                <w:b w:val="1"/>
                <w:bCs w:val="1"/>
                <w:color w:val="auto"/>
              </w:rPr>
              <w:t>1.59</w:t>
            </w:r>
          </w:p>
        </w:tc>
        <w:tc>
          <w:tcPr>
            <w:tcW w:w="40" w:type="dxa"/>
            <w:vAlign w:val="bottom"/>
          </w:tcPr>
          <w:p>
            <w:pPr>
              <w:spacing w:after="0"/>
              <w:rPr>
                <w:sz w:val="24"/>
                <w:szCs w:val="24"/>
                <w:color w:val="auto"/>
              </w:rPr>
            </w:pPr>
          </w:p>
        </w:tc>
        <w:tc>
          <w:tcPr>
            <w:tcW w:w="240" w:type="dxa"/>
            <w:vAlign w:val="bottom"/>
            <w:vMerge w:val="restart"/>
          </w:tcPr>
          <w:p>
            <w:pPr>
              <w:jc w:val="right"/>
              <w:ind w:right="19"/>
              <w:spacing w:after="0"/>
              <w:rPr>
                <w:sz w:val="20"/>
                <w:szCs w:val="20"/>
                <w:color w:val="auto"/>
              </w:rPr>
            </w:pPr>
            <w:r>
              <w:rPr>
                <w:rFonts w:ascii="Arial" w:cs="Arial" w:eastAsia="Arial" w:hAnsi="Arial"/>
                <w:sz w:val="16"/>
                <w:szCs w:val="16"/>
                <w:b w:val="1"/>
                <w:bCs w:val="1"/>
                <w:color w:val="auto"/>
              </w:rPr>
              <w:t>$</w:t>
            </w:r>
          </w:p>
        </w:tc>
        <w:tc>
          <w:tcPr>
            <w:tcW w:w="960" w:type="dxa"/>
            <w:vAlign w:val="bottom"/>
            <w:tcBorders>
              <w:right w:val="single" w:sz="8" w:color="00000A"/>
            </w:tcBorders>
            <w:vMerge w:val="restart"/>
          </w:tcPr>
          <w:p>
            <w:pPr>
              <w:jc w:val="right"/>
              <w:ind w:right="59"/>
              <w:spacing w:after="0"/>
              <w:rPr>
                <w:sz w:val="20"/>
                <w:szCs w:val="20"/>
                <w:color w:val="auto"/>
              </w:rPr>
            </w:pPr>
            <w:r>
              <w:rPr>
                <w:rFonts w:ascii="Arial" w:cs="Arial" w:eastAsia="Arial" w:hAnsi="Arial"/>
                <w:sz w:val="16"/>
                <w:szCs w:val="16"/>
                <w:b w:val="1"/>
                <w:bCs w:val="1"/>
                <w:color w:val="auto"/>
              </w:rPr>
              <w:t>2.76</w:t>
            </w:r>
          </w:p>
        </w:tc>
        <w:tc>
          <w:tcPr>
            <w:tcW w:w="2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w:t>
            </w:r>
          </w:p>
        </w:tc>
        <w:tc>
          <w:tcPr>
            <w:tcW w:w="920" w:type="dxa"/>
            <w:vAlign w:val="bottom"/>
            <w:tcBorders>
              <w:right w:val="single" w:sz="8" w:color="00000A"/>
            </w:tcBorders>
            <w:vMerge w:val="restart"/>
          </w:tcPr>
          <w:p>
            <w:pPr>
              <w:jc w:val="right"/>
              <w:spacing w:after="0"/>
              <w:rPr>
                <w:sz w:val="20"/>
                <w:szCs w:val="20"/>
                <w:color w:val="auto"/>
              </w:rPr>
            </w:pPr>
            <w:r>
              <w:rPr>
                <w:rFonts w:ascii="Arial" w:cs="Arial" w:eastAsia="Arial" w:hAnsi="Arial"/>
                <w:sz w:val="16"/>
                <w:szCs w:val="16"/>
                <w:b w:val="1"/>
                <w:bCs w:val="1"/>
                <w:color w:val="auto"/>
              </w:rPr>
              <w:t>4.52</w:t>
            </w:r>
          </w:p>
        </w:tc>
        <w:tc>
          <w:tcPr>
            <w:tcW w:w="24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w:t>
            </w:r>
          </w:p>
        </w:tc>
        <w:tc>
          <w:tcPr>
            <w:tcW w:w="940" w:type="dxa"/>
            <w:vAlign w:val="bottom"/>
            <w:tcBorders>
              <w:right w:val="single" w:sz="8" w:color="00000A"/>
            </w:tcBorders>
            <w:vMerge w:val="restart"/>
          </w:tcPr>
          <w:p>
            <w:pPr>
              <w:jc w:val="right"/>
              <w:ind w:right="19"/>
              <w:spacing w:after="0"/>
              <w:rPr>
                <w:sz w:val="20"/>
                <w:szCs w:val="20"/>
                <w:color w:val="auto"/>
              </w:rPr>
            </w:pPr>
            <w:r>
              <w:rPr>
                <w:rFonts w:ascii="Arial" w:cs="Arial" w:eastAsia="Arial" w:hAnsi="Arial"/>
                <w:sz w:val="16"/>
                <w:szCs w:val="16"/>
                <w:b w:val="1"/>
                <w:bCs w:val="1"/>
                <w:color w:val="auto"/>
              </w:rPr>
              <w:t>5.02</w:t>
            </w:r>
          </w:p>
        </w:tc>
        <w:tc>
          <w:tcPr>
            <w:tcW w:w="0" w:type="dxa"/>
            <w:vAlign w:val="bottom"/>
          </w:tcPr>
          <w:p>
            <w:pPr>
              <w:spacing w:after="0"/>
              <w:rPr>
                <w:sz w:val="1"/>
                <w:szCs w:val="1"/>
                <w:color w:val="auto"/>
              </w:rPr>
            </w:pPr>
          </w:p>
        </w:tc>
      </w:tr>
      <w:tr>
        <w:trPr>
          <w:trHeight w:val="54"/>
        </w:trPr>
        <w:tc>
          <w:tcPr>
            <w:tcW w:w="3900" w:type="dxa"/>
            <w:vAlign w:val="bottom"/>
            <w:tcBorders>
              <w:left w:val="single" w:sz="8" w:color="00000A"/>
              <w:right w:val="single" w:sz="8" w:color="00000A"/>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vMerge w:val="continue"/>
          </w:tcPr>
          <w:p>
            <w:pPr>
              <w:spacing w:after="0"/>
              <w:rPr>
                <w:sz w:val="4"/>
                <w:szCs w:val="4"/>
                <w:color w:val="auto"/>
              </w:rPr>
            </w:pPr>
          </w:p>
        </w:tc>
        <w:tc>
          <w:tcPr>
            <w:tcW w:w="880" w:type="dxa"/>
            <w:vAlign w:val="bottom"/>
            <w:tcBorders>
              <w:right w:val="single" w:sz="8" w:color="00000A"/>
            </w:tcBorders>
            <w:vMerge w:val="continue"/>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vMerge w:val="continue"/>
          </w:tcPr>
          <w:p>
            <w:pPr>
              <w:spacing w:after="0"/>
              <w:rPr>
                <w:sz w:val="4"/>
                <w:szCs w:val="4"/>
                <w:color w:val="auto"/>
              </w:rPr>
            </w:pPr>
          </w:p>
        </w:tc>
        <w:tc>
          <w:tcPr>
            <w:tcW w:w="960" w:type="dxa"/>
            <w:vAlign w:val="bottom"/>
            <w:tcBorders>
              <w:right w:val="single" w:sz="8" w:color="00000A"/>
            </w:tcBorders>
            <w:vMerge w:val="continue"/>
          </w:tcPr>
          <w:p>
            <w:pPr>
              <w:spacing w:after="0"/>
              <w:rPr>
                <w:sz w:val="4"/>
                <w:szCs w:val="4"/>
                <w:color w:val="auto"/>
              </w:rPr>
            </w:pPr>
          </w:p>
        </w:tc>
        <w:tc>
          <w:tcPr>
            <w:tcW w:w="200" w:type="dxa"/>
            <w:vAlign w:val="bottom"/>
            <w:vMerge w:val="continue"/>
          </w:tcPr>
          <w:p>
            <w:pPr>
              <w:spacing w:after="0"/>
              <w:rPr>
                <w:sz w:val="4"/>
                <w:szCs w:val="4"/>
                <w:color w:val="auto"/>
              </w:rPr>
            </w:pPr>
          </w:p>
        </w:tc>
        <w:tc>
          <w:tcPr>
            <w:tcW w:w="920" w:type="dxa"/>
            <w:vAlign w:val="bottom"/>
            <w:tcBorders>
              <w:right w:val="single" w:sz="8" w:color="00000A"/>
            </w:tcBorders>
            <w:vMerge w:val="continue"/>
          </w:tcPr>
          <w:p>
            <w:pPr>
              <w:spacing w:after="0"/>
              <w:rPr>
                <w:sz w:val="4"/>
                <w:szCs w:val="4"/>
                <w:color w:val="auto"/>
              </w:rPr>
            </w:pPr>
          </w:p>
        </w:tc>
        <w:tc>
          <w:tcPr>
            <w:tcW w:w="240" w:type="dxa"/>
            <w:vAlign w:val="bottom"/>
            <w:vMerge w:val="continue"/>
          </w:tcPr>
          <w:p>
            <w:pPr>
              <w:spacing w:after="0"/>
              <w:rPr>
                <w:sz w:val="4"/>
                <w:szCs w:val="4"/>
                <w:color w:val="auto"/>
              </w:rPr>
            </w:pPr>
          </w:p>
        </w:tc>
        <w:tc>
          <w:tcPr>
            <w:tcW w:w="940" w:type="dxa"/>
            <w:vAlign w:val="bottom"/>
            <w:tcBorders>
              <w:right w:val="single" w:sz="8" w:color="00000A"/>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3900" w:type="dxa"/>
            <w:vAlign w:val="bottom"/>
            <w:tcBorders>
              <w:left w:val="single" w:sz="8" w:color="00000A"/>
              <w:bottom w:val="single" w:sz="8" w:color="00000A"/>
              <w:right w:val="single" w:sz="8" w:color="00000A"/>
            </w:tcBorders>
          </w:tcPr>
          <w:p>
            <w:pPr>
              <w:spacing w:after="0"/>
              <w:rPr>
                <w:sz w:val="8"/>
                <w:szCs w:val="8"/>
                <w:color w:val="auto"/>
              </w:rPr>
            </w:pPr>
          </w:p>
        </w:tc>
        <w:tc>
          <w:tcPr>
            <w:tcW w:w="80" w:type="dxa"/>
            <w:vAlign w:val="bottom"/>
            <w:tcBorders>
              <w:bottom w:val="single" w:sz="8" w:color="00000A"/>
            </w:tcBorders>
          </w:tcPr>
          <w:p>
            <w:pPr>
              <w:spacing w:after="0"/>
              <w:rPr>
                <w:sz w:val="8"/>
                <w:szCs w:val="8"/>
                <w:color w:val="auto"/>
              </w:rPr>
            </w:pPr>
          </w:p>
        </w:tc>
        <w:tc>
          <w:tcPr>
            <w:tcW w:w="200" w:type="dxa"/>
            <w:vAlign w:val="bottom"/>
            <w:tcBorders>
              <w:bottom w:val="single" w:sz="8" w:color="00000A"/>
            </w:tcBorders>
          </w:tcPr>
          <w:p>
            <w:pPr>
              <w:spacing w:after="0"/>
              <w:rPr>
                <w:sz w:val="8"/>
                <w:szCs w:val="8"/>
                <w:color w:val="auto"/>
              </w:rPr>
            </w:pPr>
          </w:p>
        </w:tc>
        <w:tc>
          <w:tcPr>
            <w:tcW w:w="880" w:type="dxa"/>
            <w:vAlign w:val="bottom"/>
            <w:tcBorders>
              <w:bottom w:val="single" w:sz="8" w:color="00000A"/>
              <w:right w:val="single" w:sz="8" w:color="00000A"/>
            </w:tcBorders>
          </w:tcPr>
          <w:p>
            <w:pPr>
              <w:spacing w:after="0"/>
              <w:rPr>
                <w:sz w:val="8"/>
                <w:szCs w:val="8"/>
                <w:color w:val="auto"/>
              </w:rPr>
            </w:pPr>
          </w:p>
        </w:tc>
        <w:tc>
          <w:tcPr>
            <w:tcW w:w="40" w:type="dxa"/>
            <w:vAlign w:val="bottom"/>
            <w:tcBorders>
              <w:bottom w:val="single" w:sz="8" w:color="00000A"/>
            </w:tcBorders>
          </w:tcPr>
          <w:p>
            <w:pPr>
              <w:spacing w:after="0"/>
              <w:rPr>
                <w:sz w:val="8"/>
                <w:szCs w:val="8"/>
                <w:color w:val="auto"/>
              </w:rPr>
            </w:pPr>
          </w:p>
        </w:tc>
        <w:tc>
          <w:tcPr>
            <w:tcW w:w="240" w:type="dxa"/>
            <w:vAlign w:val="bottom"/>
            <w:tcBorders>
              <w:bottom w:val="single" w:sz="8" w:color="00000A"/>
            </w:tcBorders>
          </w:tcPr>
          <w:p>
            <w:pPr>
              <w:spacing w:after="0"/>
              <w:rPr>
                <w:sz w:val="8"/>
                <w:szCs w:val="8"/>
                <w:color w:val="auto"/>
              </w:rPr>
            </w:pPr>
          </w:p>
        </w:tc>
        <w:tc>
          <w:tcPr>
            <w:tcW w:w="960" w:type="dxa"/>
            <w:vAlign w:val="bottom"/>
            <w:tcBorders>
              <w:bottom w:val="single" w:sz="8" w:color="00000A"/>
              <w:right w:val="single" w:sz="8" w:color="00000A"/>
            </w:tcBorders>
          </w:tcPr>
          <w:p>
            <w:pPr>
              <w:spacing w:after="0"/>
              <w:rPr>
                <w:sz w:val="8"/>
                <w:szCs w:val="8"/>
                <w:color w:val="auto"/>
              </w:rPr>
            </w:pPr>
          </w:p>
        </w:tc>
        <w:tc>
          <w:tcPr>
            <w:tcW w:w="200" w:type="dxa"/>
            <w:vAlign w:val="bottom"/>
            <w:tcBorders>
              <w:bottom w:val="single" w:sz="8" w:color="00000A"/>
            </w:tcBorders>
          </w:tcPr>
          <w:p>
            <w:pPr>
              <w:spacing w:after="0"/>
              <w:rPr>
                <w:sz w:val="8"/>
                <w:szCs w:val="8"/>
                <w:color w:val="auto"/>
              </w:rPr>
            </w:pPr>
          </w:p>
        </w:tc>
        <w:tc>
          <w:tcPr>
            <w:tcW w:w="920" w:type="dxa"/>
            <w:vAlign w:val="bottom"/>
            <w:tcBorders>
              <w:bottom w:val="single" w:sz="8" w:color="00000A"/>
              <w:right w:val="single" w:sz="8" w:color="00000A"/>
            </w:tcBorders>
          </w:tcPr>
          <w:p>
            <w:pPr>
              <w:spacing w:after="0"/>
              <w:rPr>
                <w:sz w:val="8"/>
                <w:szCs w:val="8"/>
                <w:color w:val="auto"/>
              </w:rPr>
            </w:pPr>
          </w:p>
        </w:tc>
        <w:tc>
          <w:tcPr>
            <w:tcW w:w="240" w:type="dxa"/>
            <w:vAlign w:val="bottom"/>
            <w:tcBorders>
              <w:bottom w:val="single" w:sz="8" w:color="00000A"/>
            </w:tcBorders>
          </w:tcPr>
          <w:p>
            <w:pPr>
              <w:spacing w:after="0"/>
              <w:rPr>
                <w:sz w:val="8"/>
                <w:szCs w:val="8"/>
                <w:color w:val="auto"/>
              </w:rPr>
            </w:pPr>
          </w:p>
        </w:tc>
        <w:tc>
          <w:tcPr>
            <w:tcW w:w="940" w:type="dxa"/>
            <w:vAlign w:val="bottom"/>
            <w:tcBorders>
              <w:bottom w:val="single" w:sz="8" w:color="00000A"/>
              <w:right w:val="single" w:sz="8" w:color="00000A"/>
            </w:tcBorders>
          </w:tcPr>
          <w:p>
            <w:pPr>
              <w:spacing w:after="0"/>
              <w:rPr>
                <w:sz w:val="8"/>
                <w:szCs w:val="8"/>
                <w:color w:val="auto"/>
              </w:rPr>
            </w:pPr>
          </w:p>
        </w:tc>
        <w:tc>
          <w:tcPr>
            <w:tcW w:w="0" w:type="dxa"/>
            <w:vAlign w:val="bottom"/>
          </w:tcPr>
          <w:p>
            <w:pPr>
              <w:spacing w:after="0"/>
              <w:rPr>
                <w:sz w:val="1"/>
                <w:szCs w:val="1"/>
                <w:color w:val="auto"/>
              </w:rPr>
            </w:pPr>
          </w:p>
        </w:tc>
      </w:tr>
      <w:tr>
        <w:trPr>
          <w:trHeight w:val="271"/>
        </w:trPr>
        <w:tc>
          <w:tcPr>
            <w:tcW w:w="390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16"/>
                <w:szCs w:val="16"/>
                <w:i w:val="1"/>
                <w:iCs w:val="1"/>
                <w:color w:val="auto"/>
              </w:rPr>
              <w:t>Net realized capital (gains) losses, as adjusted</w:t>
            </w:r>
          </w:p>
        </w:tc>
        <w:tc>
          <w:tcPr>
            <w:tcW w:w="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80" w:type="dxa"/>
            <w:vAlign w:val="bottom"/>
            <w:tcBorders>
              <w:right w:val="single" w:sz="8" w:color="00000A"/>
            </w:tcBorders>
            <w:vMerge w:val="restart"/>
          </w:tcPr>
          <w:p>
            <w:pPr>
              <w:jc w:val="right"/>
              <w:spacing w:after="0"/>
              <w:rPr>
                <w:sz w:val="20"/>
                <w:szCs w:val="20"/>
                <w:color w:val="auto"/>
              </w:rPr>
            </w:pPr>
            <w:r>
              <w:rPr>
                <w:rFonts w:ascii="Arial" w:cs="Arial" w:eastAsia="Arial" w:hAnsi="Arial"/>
                <w:sz w:val="16"/>
                <w:szCs w:val="16"/>
                <w:color w:val="auto"/>
              </w:rPr>
              <w:t>0.08</w:t>
            </w:r>
          </w:p>
        </w:tc>
        <w:tc>
          <w:tcPr>
            <w:tcW w:w="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60" w:type="dxa"/>
            <w:vAlign w:val="bottom"/>
            <w:tcBorders>
              <w:right w:val="single" w:sz="8" w:color="00000A"/>
            </w:tcBorders>
            <w:vMerge w:val="restart"/>
          </w:tcPr>
          <w:p>
            <w:pPr>
              <w:jc w:val="right"/>
              <w:ind w:right="19"/>
              <w:spacing w:after="0"/>
              <w:rPr>
                <w:sz w:val="20"/>
                <w:szCs w:val="20"/>
                <w:color w:val="auto"/>
              </w:rPr>
            </w:pPr>
            <w:r>
              <w:rPr>
                <w:rFonts w:ascii="Arial" w:cs="Arial" w:eastAsia="Arial" w:hAnsi="Arial"/>
                <w:sz w:val="16"/>
                <w:szCs w:val="16"/>
                <w:color w:val="auto"/>
              </w:rPr>
              <w:t>(1.48)</w:t>
            </w:r>
          </w:p>
        </w:tc>
        <w:tc>
          <w:tcPr>
            <w:tcW w:w="200" w:type="dxa"/>
            <w:vAlign w:val="bottom"/>
          </w:tcPr>
          <w:p>
            <w:pPr>
              <w:spacing w:after="0"/>
              <w:rPr>
                <w:sz w:val="23"/>
                <w:szCs w:val="23"/>
                <w:color w:val="auto"/>
              </w:rPr>
            </w:pPr>
          </w:p>
        </w:tc>
        <w:tc>
          <w:tcPr>
            <w:tcW w:w="920" w:type="dxa"/>
            <w:vAlign w:val="bottom"/>
            <w:tcBorders>
              <w:right w:val="single" w:sz="8" w:color="00000A"/>
            </w:tcBorders>
            <w:vMerge w:val="restart"/>
          </w:tcPr>
          <w:p>
            <w:pPr>
              <w:jc w:val="right"/>
              <w:spacing w:after="0"/>
              <w:rPr>
                <w:sz w:val="20"/>
                <w:szCs w:val="20"/>
                <w:color w:val="auto"/>
              </w:rPr>
            </w:pPr>
            <w:r>
              <w:rPr>
                <w:rFonts w:ascii="Arial" w:cs="Arial" w:eastAsia="Arial" w:hAnsi="Arial"/>
                <w:sz w:val="16"/>
                <w:szCs w:val="16"/>
                <w:color w:val="auto"/>
              </w:rPr>
              <w:t>(0.10)</w:t>
            </w:r>
          </w:p>
        </w:tc>
        <w:tc>
          <w:tcPr>
            <w:tcW w:w="240" w:type="dxa"/>
            <w:vAlign w:val="bottom"/>
          </w:tcPr>
          <w:p>
            <w:pPr>
              <w:spacing w:after="0"/>
              <w:rPr>
                <w:sz w:val="23"/>
                <w:szCs w:val="23"/>
                <w:color w:val="auto"/>
              </w:rPr>
            </w:pPr>
          </w:p>
        </w:tc>
        <w:tc>
          <w:tcPr>
            <w:tcW w:w="940" w:type="dxa"/>
            <w:vAlign w:val="bottom"/>
            <w:tcBorders>
              <w:right w:val="single" w:sz="8" w:color="00000A"/>
            </w:tcBorders>
            <w:vMerge w:val="restart"/>
          </w:tcPr>
          <w:p>
            <w:pPr>
              <w:jc w:val="right"/>
              <w:spacing w:after="0"/>
              <w:rPr>
                <w:sz w:val="20"/>
                <w:szCs w:val="20"/>
                <w:color w:val="auto"/>
              </w:rPr>
            </w:pPr>
            <w:r>
              <w:rPr>
                <w:rFonts w:ascii="Arial" w:cs="Arial" w:eastAsia="Arial" w:hAnsi="Arial"/>
                <w:sz w:val="16"/>
                <w:szCs w:val="16"/>
                <w:color w:val="auto"/>
              </w:rPr>
              <w:t>(1.17)</w:t>
            </w:r>
          </w:p>
        </w:tc>
        <w:tc>
          <w:tcPr>
            <w:tcW w:w="0" w:type="dxa"/>
            <w:vAlign w:val="bottom"/>
          </w:tcPr>
          <w:p>
            <w:pPr>
              <w:spacing w:after="0"/>
              <w:rPr>
                <w:sz w:val="1"/>
                <w:szCs w:val="1"/>
                <w:color w:val="auto"/>
              </w:rPr>
            </w:pPr>
          </w:p>
        </w:tc>
      </w:tr>
      <w:tr>
        <w:trPr>
          <w:trHeight w:val="54"/>
        </w:trPr>
        <w:tc>
          <w:tcPr>
            <w:tcW w:w="3900" w:type="dxa"/>
            <w:vAlign w:val="bottom"/>
            <w:tcBorders>
              <w:left w:val="single" w:sz="8" w:color="00000A"/>
              <w:right w:val="single" w:sz="8" w:color="00000A"/>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80" w:type="dxa"/>
            <w:vAlign w:val="bottom"/>
            <w:tcBorders>
              <w:right w:val="single" w:sz="8" w:color="00000A"/>
            </w:tcBorders>
            <w:vMerge w:val="continue"/>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960" w:type="dxa"/>
            <w:vAlign w:val="bottom"/>
            <w:tcBorders>
              <w:right w:val="single" w:sz="8" w:color="00000A"/>
            </w:tcBorders>
            <w:vMerge w:val="continue"/>
          </w:tcPr>
          <w:p>
            <w:pPr>
              <w:spacing w:after="0"/>
              <w:rPr>
                <w:sz w:val="4"/>
                <w:szCs w:val="4"/>
                <w:color w:val="auto"/>
              </w:rPr>
            </w:pPr>
          </w:p>
        </w:tc>
        <w:tc>
          <w:tcPr>
            <w:tcW w:w="200" w:type="dxa"/>
            <w:vAlign w:val="bottom"/>
          </w:tcPr>
          <w:p>
            <w:pPr>
              <w:spacing w:after="0"/>
              <w:rPr>
                <w:sz w:val="4"/>
                <w:szCs w:val="4"/>
                <w:color w:val="auto"/>
              </w:rPr>
            </w:pPr>
          </w:p>
        </w:tc>
        <w:tc>
          <w:tcPr>
            <w:tcW w:w="920" w:type="dxa"/>
            <w:vAlign w:val="bottom"/>
            <w:tcBorders>
              <w:right w:val="single" w:sz="8" w:color="00000A"/>
            </w:tcBorders>
            <w:vMerge w:val="continue"/>
          </w:tcPr>
          <w:p>
            <w:pPr>
              <w:spacing w:after="0"/>
              <w:rPr>
                <w:sz w:val="4"/>
                <w:szCs w:val="4"/>
                <w:color w:val="auto"/>
              </w:rPr>
            </w:pPr>
          </w:p>
        </w:tc>
        <w:tc>
          <w:tcPr>
            <w:tcW w:w="240" w:type="dxa"/>
            <w:vAlign w:val="bottom"/>
          </w:tcPr>
          <w:p>
            <w:pPr>
              <w:spacing w:after="0"/>
              <w:rPr>
                <w:sz w:val="4"/>
                <w:szCs w:val="4"/>
                <w:color w:val="auto"/>
              </w:rPr>
            </w:pPr>
          </w:p>
        </w:tc>
        <w:tc>
          <w:tcPr>
            <w:tcW w:w="940" w:type="dxa"/>
            <w:vAlign w:val="bottom"/>
            <w:tcBorders>
              <w:right w:val="single" w:sz="8" w:color="00000A"/>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3900" w:type="dxa"/>
            <w:vAlign w:val="bottom"/>
            <w:tcBorders>
              <w:left w:val="single" w:sz="8" w:color="00000A"/>
              <w:bottom w:val="single" w:sz="8" w:color="00000A"/>
              <w:right w:val="single" w:sz="8" w:color="00000A"/>
            </w:tcBorders>
          </w:tcPr>
          <w:p>
            <w:pPr>
              <w:spacing w:after="0"/>
              <w:rPr>
                <w:sz w:val="8"/>
                <w:szCs w:val="8"/>
                <w:color w:val="auto"/>
              </w:rPr>
            </w:pPr>
          </w:p>
        </w:tc>
        <w:tc>
          <w:tcPr>
            <w:tcW w:w="80" w:type="dxa"/>
            <w:vAlign w:val="bottom"/>
            <w:tcBorders>
              <w:bottom w:val="single" w:sz="8" w:color="00000A"/>
            </w:tcBorders>
          </w:tcPr>
          <w:p>
            <w:pPr>
              <w:spacing w:after="0"/>
              <w:rPr>
                <w:sz w:val="8"/>
                <w:szCs w:val="8"/>
                <w:color w:val="auto"/>
              </w:rPr>
            </w:pPr>
          </w:p>
        </w:tc>
        <w:tc>
          <w:tcPr>
            <w:tcW w:w="200" w:type="dxa"/>
            <w:vAlign w:val="bottom"/>
            <w:tcBorders>
              <w:bottom w:val="single" w:sz="8" w:color="00000A"/>
            </w:tcBorders>
          </w:tcPr>
          <w:p>
            <w:pPr>
              <w:spacing w:after="0"/>
              <w:rPr>
                <w:sz w:val="8"/>
                <w:szCs w:val="8"/>
                <w:color w:val="auto"/>
              </w:rPr>
            </w:pPr>
          </w:p>
        </w:tc>
        <w:tc>
          <w:tcPr>
            <w:tcW w:w="880" w:type="dxa"/>
            <w:vAlign w:val="bottom"/>
            <w:tcBorders>
              <w:bottom w:val="single" w:sz="8" w:color="00000A"/>
              <w:right w:val="single" w:sz="8" w:color="00000A"/>
            </w:tcBorders>
          </w:tcPr>
          <w:p>
            <w:pPr>
              <w:spacing w:after="0"/>
              <w:rPr>
                <w:sz w:val="8"/>
                <w:szCs w:val="8"/>
                <w:color w:val="auto"/>
              </w:rPr>
            </w:pPr>
          </w:p>
        </w:tc>
        <w:tc>
          <w:tcPr>
            <w:tcW w:w="40" w:type="dxa"/>
            <w:vAlign w:val="bottom"/>
            <w:tcBorders>
              <w:bottom w:val="single" w:sz="8" w:color="00000A"/>
            </w:tcBorders>
          </w:tcPr>
          <w:p>
            <w:pPr>
              <w:spacing w:after="0"/>
              <w:rPr>
                <w:sz w:val="8"/>
                <w:szCs w:val="8"/>
                <w:color w:val="auto"/>
              </w:rPr>
            </w:pPr>
          </w:p>
        </w:tc>
        <w:tc>
          <w:tcPr>
            <w:tcW w:w="240" w:type="dxa"/>
            <w:vAlign w:val="bottom"/>
            <w:tcBorders>
              <w:bottom w:val="single" w:sz="8" w:color="00000A"/>
            </w:tcBorders>
          </w:tcPr>
          <w:p>
            <w:pPr>
              <w:spacing w:after="0"/>
              <w:rPr>
                <w:sz w:val="8"/>
                <w:szCs w:val="8"/>
                <w:color w:val="auto"/>
              </w:rPr>
            </w:pPr>
          </w:p>
        </w:tc>
        <w:tc>
          <w:tcPr>
            <w:tcW w:w="960" w:type="dxa"/>
            <w:vAlign w:val="bottom"/>
            <w:tcBorders>
              <w:bottom w:val="single" w:sz="8" w:color="00000A"/>
              <w:right w:val="single" w:sz="8" w:color="00000A"/>
            </w:tcBorders>
          </w:tcPr>
          <w:p>
            <w:pPr>
              <w:spacing w:after="0"/>
              <w:rPr>
                <w:sz w:val="8"/>
                <w:szCs w:val="8"/>
                <w:color w:val="auto"/>
              </w:rPr>
            </w:pPr>
          </w:p>
        </w:tc>
        <w:tc>
          <w:tcPr>
            <w:tcW w:w="200" w:type="dxa"/>
            <w:vAlign w:val="bottom"/>
            <w:tcBorders>
              <w:bottom w:val="single" w:sz="8" w:color="00000A"/>
            </w:tcBorders>
          </w:tcPr>
          <w:p>
            <w:pPr>
              <w:spacing w:after="0"/>
              <w:rPr>
                <w:sz w:val="8"/>
                <w:szCs w:val="8"/>
                <w:color w:val="auto"/>
              </w:rPr>
            </w:pPr>
          </w:p>
        </w:tc>
        <w:tc>
          <w:tcPr>
            <w:tcW w:w="920" w:type="dxa"/>
            <w:vAlign w:val="bottom"/>
            <w:tcBorders>
              <w:bottom w:val="single" w:sz="8" w:color="00000A"/>
              <w:right w:val="single" w:sz="8" w:color="00000A"/>
            </w:tcBorders>
          </w:tcPr>
          <w:p>
            <w:pPr>
              <w:spacing w:after="0"/>
              <w:rPr>
                <w:sz w:val="8"/>
                <w:szCs w:val="8"/>
                <w:color w:val="auto"/>
              </w:rPr>
            </w:pPr>
          </w:p>
        </w:tc>
        <w:tc>
          <w:tcPr>
            <w:tcW w:w="240" w:type="dxa"/>
            <w:vAlign w:val="bottom"/>
            <w:tcBorders>
              <w:bottom w:val="single" w:sz="8" w:color="00000A"/>
            </w:tcBorders>
          </w:tcPr>
          <w:p>
            <w:pPr>
              <w:spacing w:after="0"/>
              <w:rPr>
                <w:sz w:val="8"/>
                <w:szCs w:val="8"/>
                <w:color w:val="auto"/>
              </w:rPr>
            </w:pPr>
          </w:p>
        </w:tc>
        <w:tc>
          <w:tcPr>
            <w:tcW w:w="940" w:type="dxa"/>
            <w:vAlign w:val="bottom"/>
            <w:tcBorders>
              <w:bottom w:val="single" w:sz="8" w:color="00000A"/>
              <w:right w:val="single" w:sz="8" w:color="00000A"/>
            </w:tcBorders>
          </w:tcPr>
          <w:p>
            <w:pPr>
              <w:spacing w:after="0"/>
              <w:rPr>
                <w:sz w:val="8"/>
                <w:szCs w:val="8"/>
                <w:color w:val="auto"/>
              </w:rPr>
            </w:pPr>
          </w:p>
        </w:tc>
        <w:tc>
          <w:tcPr>
            <w:tcW w:w="0" w:type="dxa"/>
            <w:vAlign w:val="bottom"/>
          </w:tcPr>
          <w:p>
            <w:pPr>
              <w:spacing w:after="0"/>
              <w:rPr>
                <w:sz w:val="1"/>
                <w:szCs w:val="1"/>
                <w:color w:val="auto"/>
              </w:rPr>
            </w:pPr>
          </w:p>
        </w:tc>
      </w:tr>
      <w:tr>
        <w:trPr>
          <w:trHeight w:val="217"/>
        </w:trPr>
        <w:tc>
          <w:tcPr>
            <w:tcW w:w="390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16"/>
                <w:szCs w:val="16"/>
                <w:b w:val="1"/>
                <w:bCs w:val="1"/>
                <w:i w:val="1"/>
                <w:iCs w:val="1"/>
                <w:color w:val="auto"/>
              </w:rPr>
              <w:t>Non-GAAP Operating Earnings</w:t>
            </w:r>
          </w:p>
        </w:tc>
        <w:tc>
          <w:tcPr>
            <w:tcW w:w="8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b w:val="1"/>
                <w:bCs w:val="1"/>
                <w:color w:val="auto"/>
                <w:w w:val="89"/>
              </w:rPr>
              <w:t>$</w:t>
            </w:r>
          </w:p>
        </w:tc>
        <w:tc>
          <w:tcPr>
            <w:tcW w:w="880" w:type="dxa"/>
            <w:vAlign w:val="bottom"/>
            <w:tcBorders>
              <w:right w:val="single" w:sz="8" w:color="00000A"/>
            </w:tcBorders>
          </w:tcPr>
          <w:p>
            <w:pPr>
              <w:jc w:val="right"/>
              <w:spacing w:after="0"/>
              <w:rPr>
                <w:sz w:val="20"/>
                <w:szCs w:val="20"/>
                <w:color w:val="auto"/>
              </w:rPr>
            </w:pPr>
            <w:r>
              <w:rPr>
                <w:rFonts w:ascii="Arial" w:cs="Arial" w:eastAsia="Arial" w:hAnsi="Arial"/>
                <w:sz w:val="16"/>
                <w:szCs w:val="16"/>
                <w:b w:val="1"/>
                <w:bCs w:val="1"/>
                <w:color w:val="auto"/>
              </w:rPr>
              <w:t>1.67</w:t>
            </w:r>
          </w:p>
        </w:tc>
        <w:tc>
          <w:tcPr>
            <w:tcW w:w="40" w:type="dxa"/>
            <w:vAlign w:val="bottom"/>
          </w:tcPr>
          <w:p>
            <w:pPr>
              <w:spacing w:after="0"/>
              <w:rPr>
                <w:sz w:val="18"/>
                <w:szCs w:val="18"/>
                <w:color w:val="auto"/>
              </w:rPr>
            </w:pPr>
          </w:p>
        </w:tc>
        <w:tc>
          <w:tcPr>
            <w:tcW w:w="240" w:type="dxa"/>
            <w:vAlign w:val="bottom"/>
          </w:tcPr>
          <w:p>
            <w:pPr>
              <w:jc w:val="right"/>
              <w:ind w:right="19"/>
              <w:spacing w:after="0"/>
              <w:rPr>
                <w:sz w:val="20"/>
                <w:szCs w:val="20"/>
                <w:color w:val="auto"/>
              </w:rPr>
            </w:pPr>
            <w:r>
              <w:rPr>
                <w:rFonts w:ascii="Arial" w:cs="Arial" w:eastAsia="Arial" w:hAnsi="Arial"/>
                <w:sz w:val="16"/>
                <w:szCs w:val="16"/>
                <w:b w:val="1"/>
                <w:bCs w:val="1"/>
                <w:color w:val="auto"/>
              </w:rPr>
              <w:t>$</w:t>
            </w:r>
          </w:p>
        </w:tc>
        <w:tc>
          <w:tcPr>
            <w:tcW w:w="960" w:type="dxa"/>
            <w:vAlign w:val="bottom"/>
            <w:tcBorders>
              <w:right w:val="single" w:sz="8" w:color="00000A"/>
            </w:tcBorders>
          </w:tcPr>
          <w:p>
            <w:pPr>
              <w:jc w:val="right"/>
              <w:ind w:right="59"/>
              <w:spacing w:after="0"/>
              <w:rPr>
                <w:sz w:val="20"/>
                <w:szCs w:val="20"/>
                <w:color w:val="auto"/>
              </w:rPr>
            </w:pPr>
            <w:r>
              <w:rPr>
                <w:rFonts w:ascii="Arial" w:cs="Arial" w:eastAsia="Arial" w:hAnsi="Arial"/>
                <w:sz w:val="16"/>
                <w:szCs w:val="16"/>
                <w:b w:val="1"/>
                <w:bCs w:val="1"/>
                <w:color w:val="auto"/>
              </w:rPr>
              <w:t>1.28</w:t>
            </w:r>
          </w:p>
        </w:tc>
        <w:tc>
          <w:tcPr>
            <w:tcW w:w="20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920" w:type="dxa"/>
            <w:vAlign w:val="bottom"/>
            <w:tcBorders>
              <w:right w:val="single" w:sz="8" w:color="00000A"/>
            </w:tcBorders>
          </w:tcPr>
          <w:p>
            <w:pPr>
              <w:jc w:val="right"/>
              <w:spacing w:after="0"/>
              <w:rPr>
                <w:sz w:val="20"/>
                <w:szCs w:val="20"/>
                <w:color w:val="auto"/>
              </w:rPr>
            </w:pPr>
            <w:r>
              <w:rPr>
                <w:rFonts w:ascii="Arial" w:cs="Arial" w:eastAsia="Arial" w:hAnsi="Arial"/>
                <w:sz w:val="16"/>
                <w:szCs w:val="16"/>
                <w:b w:val="1"/>
                <w:bCs w:val="1"/>
                <w:color w:val="auto"/>
              </w:rPr>
              <w:t>4.42</w:t>
            </w:r>
          </w:p>
        </w:tc>
        <w:tc>
          <w:tcPr>
            <w:tcW w:w="24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940" w:type="dxa"/>
            <w:vAlign w:val="bottom"/>
            <w:tcBorders>
              <w:right w:val="single" w:sz="8" w:color="00000A"/>
            </w:tcBorders>
          </w:tcPr>
          <w:p>
            <w:pPr>
              <w:jc w:val="right"/>
              <w:ind w:right="19"/>
              <w:spacing w:after="0"/>
              <w:rPr>
                <w:sz w:val="20"/>
                <w:szCs w:val="20"/>
                <w:color w:val="auto"/>
              </w:rPr>
            </w:pPr>
            <w:r>
              <w:rPr>
                <w:rFonts w:ascii="Arial" w:cs="Arial" w:eastAsia="Arial" w:hAnsi="Arial"/>
                <w:sz w:val="16"/>
                <w:szCs w:val="16"/>
                <w:b w:val="1"/>
                <w:bCs w:val="1"/>
                <w:color w:val="auto"/>
              </w:rPr>
              <w:t>3.85</w:t>
            </w:r>
          </w:p>
        </w:tc>
        <w:tc>
          <w:tcPr>
            <w:tcW w:w="0" w:type="dxa"/>
            <w:vAlign w:val="bottom"/>
          </w:tcPr>
          <w:p>
            <w:pPr>
              <w:spacing w:after="0"/>
              <w:rPr>
                <w:sz w:val="1"/>
                <w:szCs w:val="1"/>
                <w:color w:val="auto"/>
              </w:rPr>
            </w:pPr>
          </w:p>
        </w:tc>
      </w:tr>
      <w:tr>
        <w:trPr>
          <w:trHeight w:val="101"/>
        </w:trPr>
        <w:tc>
          <w:tcPr>
            <w:tcW w:w="3900" w:type="dxa"/>
            <w:vAlign w:val="bottom"/>
            <w:tcBorders>
              <w:left w:val="single" w:sz="8" w:color="00000A"/>
              <w:bottom w:val="single" w:sz="8" w:color="00000A"/>
              <w:right w:val="single" w:sz="8" w:color="00000A"/>
            </w:tcBorders>
          </w:tcPr>
          <w:p>
            <w:pPr>
              <w:spacing w:after="0"/>
              <w:rPr>
                <w:sz w:val="8"/>
                <w:szCs w:val="8"/>
                <w:color w:val="auto"/>
              </w:rPr>
            </w:pPr>
          </w:p>
        </w:tc>
        <w:tc>
          <w:tcPr>
            <w:tcW w:w="80" w:type="dxa"/>
            <w:vAlign w:val="bottom"/>
            <w:tcBorders>
              <w:bottom w:val="single" w:sz="8" w:color="00000A"/>
            </w:tcBorders>
          </w:tcPr>
          <w:p>
            <w:pPr>
              <w:spacing w:after="0"/>
              <w:rPr>
                <w:sz w:val="8"/>
                <w:szCs w:val="8"/>
                <w:color w:val="auto"/>
              </w:rPr>
            </w:pPr>
          </w:p>
        </w:tc>
        <w:tc>
          <w:tcPr>
            <w:tcW w:w="200" w:type="dxa"/>
            <w:vAlign w:val="bottom"/>
            <w:tcBorders>
              <w:bottom w:val="single" w:sz="8" w:color="00000A"/>
            </w:tcBorders>
          </w:tcPr>
          <w:p>
            <w:pPr>
              <w:spacing w:after="0"/>
              <w:rPr>
                <w:sz w:val="8"/>
                <w:szCs w:val="8"/>
                <w:color w:val="auto"/>
              </w:rPr>
            </w:pPr>
          </w:p>
        </w:tc>
        <w:tc>
          <w:tcPr>
            <w:tcW w:w="880" w:type="dxa"/>
            <w:vAlign w:val="bottom"/>
            <w:tcBorders>
              <w:bottom w:val="single" w:sz="8" w:color="00000A"/>
              <w:right w:val="single" w:sz="8" w:color="00000A"/>
            </w:tcBorders>
          </w:tcPr>
          <w:p>
            <w:pPr>
              <w:spacing w:after="0"/>
              <w:rPr>
                <w:sz w:val="8"/>
                <w:szCs w:val="8"/>
                <w:color w:val="auto"/>
              </w:rPr>
            </w:pPr>
          </w:p>
        </w:tc>
        <w:tc>
          <w:tcPr>
            <w:tcW w:w="40" w:type="dxa"/>
            <w:vAlign w:val="bottom"/>
            <w:tcBorders>
              <w:bottom w:val="single" w:sz="8" w:color="00000A"/>
            </w:tcBorders>
          </w:tcPr>
          <w:p>
            <w:pPr>
              <w:spacing w:after="0"/>
              <w:rPr>
                <w:sz w:val="8"/>
                <w:szCs w:val="8"/>
                <w:color w:val="auto"/>
              </w:rPr>
            </w:pPr>
          </w:p>
        </w:tc>
        <w:tc>
          <w:tcPr>
            <w:tcW w:w="240" w:type="dxa"/>
            <w:vAlign w:val="bottom"/>
            <w:tcBorders>
              <w:bottom w:val="single" w:sz="8" w:color="00000A"/>
            </w:tcBorders>
          </w:tcPr>
          <w:p>
            <w:pPr>
              <w:spacing w:after="0"/>
              <w:rPr>
                <w:sz w:val="8"/>
                <w:szCs w:val="8"/>
                <w:color w:val="auto"/>
              </w:rPr>
            </w:pPr>
          </w:p>
        </w:tc>
        <w:tc>
          <w:tcPr>
            <w:tcW w:w="960" w:type="dxa"/>
            <w:vAlign w:val="bottom"/>
            <w:tcBorders>
              <w:bottom w:val="single" w:sz="8" w:color="00000A"/>
              <w:right w:val="single" w:sz="8" w:color="00000A"/>
            </w:tcBorders>
          </w:tcPr>
          <w:p>
            <w:pPr>
              <w:spacing w:after="0"/>
              <w:rPr>
                <w:sz w:val="8"/>
                <w:szCs w:val="8"/>
                <w:color w:val="auto"/>
              </w:rPr>
            </w:pPr>
          </w:p>
        </w:tc>
        <w:tc>
          <w:tcPr>
            <w:tcW w:w="200" w:type="dxa"/>
            <w:vAlign w:val="bottom"/>
            <w:tcBorders>
              <w:bottom w:val="single" w:sz="8" w:color="00000A"/>
            </w:tcBorders>
          </w:tcPr>
          <w:p>
            <w:pPr>
              <w:spacing w:after="0"/>
              <w:rPr>
                <w:sz w:val="8"/>
                <w:szCs w:val="8"/>
                <w:color w:val="auto"/>
              </w:rPr>
            </w:pPr>
          </w:p>
        </w:tc>
        <w:tc>
          <w:tcPr>
            <w:tcW w:w="920" w:type="dxa"/>
            <w:vAlign w:val="bottom"/>
            <w:tcBorders>
              <w:bottom w:val="single" w:sz="8" w:color="00000A"/>
              <w:right w:val="single" w:sz="8" w:color="00000A"/>
            </w:tcBorders>
          </w:tcPr>
          <w:p>
            <w:pPr>
              <w:spacing w:after="0"/>
              <w:rPr>
                <w:sz w:val="8"/>
                <w:szCs w:val="8"/>
                <w:color w:val="auto"/>
              </w:rPr>
            </w:pPr>
          </w:p>
        </w:tc>
        <w:tc>
          <w:tcPr>
            <w:tcW w:w="240" w:type="dxa"/>
            <w:vAlign w:val="bottom"/>
            <w:tcBorders>
              <w:bottom w:val="single" w:sz="8" w:color="00000A"/>
            </w:tcBorders>
          </w:tcPr>
          <w:p>
            <w:pPr>
              <w:spacing w:after="0"/>
              <w:rPr>
                <w:sz w:val="8"/>
                <w:szCs w:val="8"/>
                <w:color w:val="auto"/>
              </w:rPr>
            </w:pPr>
          </w:p>
        </w:tc>
        <w:tc>
          <w:tcPr>
            <w:tcW w:w="940" w:type="dxa"/>
            <w:vAlign w:val="bottom"/>
            <w:tcBorders>
              <w:bottom w:val="single" w:sz="8" w:color="00000A"/>
              <w:right w:val="single" w:sz="8" w:color="00000A"/>
            </w:tcBorders>
          </w:tcPr>
          <w:p>
            <w:pPr>
              <w:spacing w:after="0"/>
              <w:rPr>
                <w:sz w:val="8"/>
                <w:szCs w:val="8"/>
                <w:color w:val="auto"/>
              </w:rPr>
            </w:pPr>
          </w:p>
        </w:tc>
        <w:tc>
          <w:tcPr>
            <w:tcW w:w="0" w:type="dxa"/>
            <w:vAlign w:val="bottom"/>
          </w:tcPr>
          <w:p>
            <w:pPr>
              <w:spacing w:after="0"/>
              <w:rPr>
                <w:sz w:val="1"/>
                <w:szCs w:val="1"/>
                <w:color w:val="auto"/>
              </w:rPr>
            </w:pPr>
          </w:p>
        </w:tc>
      </w:tr>
      <w:tr>
        <w:trPr>
          <w:trHeight w:val="273"/>
        </w:trPr>
        <w:tc>
          <w:tcPr>
            <w:tcW w:w="390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16"/>
                <w:szCs w:val="16"/>
                <w:b w:val="1"/>
                <w:bCs w:val="1"/>
                <w:i w:val="1"/>
                <w:iCs w:val="1"/>
                <w:color w:val="auto"/>
              </w:rPr>
              <w:t>Weighted-average diluted common shares</w:t>
            </w:r>
          </w:p>
        </w:tc>
        <w:tc>
          <w:tcPr>
            <w:tcW w:w="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80" w:type="dxa"/>
            <w:vAlign w:val="bottom"/>
            <w:tcBorders>
              <w:right w:val="single" w:sz="8" w:color="00000A"/>
            </w:tcBorders>
          </w:tcPr>
          <w:p>
            <w:pPr>
              <w:spacing w:after="0"/>
              <w:rPr>
                <w:sz w:val="23"/>
                <w:szCs w:val="23"/>
                <w:color w:val="auto"/>
              </w:rPr>
            </w:pPr>
          </w:p>
        </w:tc>
        <w:tc>
          <w:tcPr>
            <w:tcW w:w="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60" w:type="dxa"/>
            <w:vAlign w:val="bottom"/>
            <w:tcBorders>
              <w:right w:val="single" w:sz="8" w:color="00000A"/>
            </w:tcBorders>
          </w:tcPr>
          <w:p>
            <w:pPr>
              <w:spacing w:after="0"/>
              <w:rPr>
                <w:sz w:val="23"/>
                <w:szCs w:val="23"/>
                <w:color w:val="auto"/>
              </w:rPr>
            </w:pPr>
          </w:p>
        </w:tc>
        <w:tc>
          <w:tcPr>
            <w:tcW w:w="200" w:type="dxa"/>
            <w:vAlign w:val="bottom"/>
          </w:tcPr>
          <w:p>
            <w:pPr>
              <w:spacing w:after="0"/>
              <w:rPr>
                <w:sz w:val="23"/>
                <w:szCs w:val="23"/>
                <w:color w:val="auto"/>
              </w:rPr>
            </w:pPr>
          </w:p>
        </w:tc>
        <w:tc>
          <w:tcPr>
            <w:tcW w:w="920" w:type="dxa"/>
            <w:vAlign w:val="bottom"/>
            <w:tcBorders>
              <w:right w:val="single" w:sz="8" w:color="00000A"/>
            </w:tcBorders>
          </w:tcPr>
          <w:p>
            <w:pPr>
              <w:spacing w:after="0"/>
              <w:rPr>
                <w:sz w:val="23"/>
                <w:szCs w:val="23"/>
                <w:color w:val="auto"/>
              </w:rPr>
            </w:pPr>
          </w:p>
        </w:tc>
        <w:tc>
          <w:tcPr>
            <w:tcW w:w="240" w:type="dxa"/>
            <w:vAlign w:val="bottom"/>
          </w:tcPr>
          <w:p>
            <w:pPr>
              <w:spacing w:after="0"/>
              <w:rPr>
                <w:sz w:val="23"/>
                <w:szCs w:val="23"/>
                <w:color w:val="auto"/>
              </w:rPr>
            </w:pPr>
          </w:p>
        </w:tc>
        <w:tc>
          <w:tcPr>
            <w:tcW w:w="940" w:type="dxa"/>
            <w:vAlign w:val="bottom"/>
            <w:tcBorders>
              <w:right w:val="single" w:sz="8" w:color="00000A"/>
            </w:tcBorders>
          </w:tcPr>
          <w:p>
            <w:pPr>
              <w:spacing w:after="0"/>
              <w:rPr>
                <w:sz w:val="23"/>
                <w:szCs w:val="23"/>
                <w:color w:val="auto"/>
              </w:rPr>
            </w:pPr>
          </w:p>
        </w:tc>
        <w:tc>
          <w:tcPr>
            <w:tcW w:w="0" w:type="dxa"/>
            <w:vAlign w:val="bottom"/>
          </w:tcPr>
          <w:p>
            <w:pPr>
              <w:spacing w:after="0"/>
              <w:rPr>
                <w:sz w:val="1"/>
                <w:szCs w:val="1"/>
                <w:color w:val="auto"/>
              </w:rPr>
            </w:pPr>
          </w:p>
        </w:tc>
      </w:tr>
      <w:tr>
        <w:trPr>
          <w:trHeight w:val="215"/>
        </w:trPr>
        <w:tc>
          <w:tcPr>
            <w:tcW w:w="390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16"/>
                <w:szCs w:val="16"/>
                <w:b w:val="1"/>
                <w:bCs w:val="1"/>
                <w:i w:val="1"/>
                <w:iCs w:val="1"/>
                <w:color w:val="auto"/>
              </w:rPr>
              <w:t xml:space="preserve">outstanding </w:t>
            </w:r>
            <w:r>
              <w:rPr>
                <w:rFonts w:ascii="Arial" w:cs="Arial" w:eastAsia="Arial" w:hAnsi="Arial"/>
                <w:sz w:val="16"/>
                <w:szCs w:val="16"/>
                <w:i w:val="1"/>
                <w:iCs w:val="1"/>
                <w:color w:val="auto"/>
              </w:rPr>
              <w:t>(in millions)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Borders>
              <w:right w:val="single" w:sz="8" w:color="00000A"/>
            </w:tcBorders>
          </w:tcPr>
          <w:p>
            <w:pPr>
              <w:jc w:val="right"/>
              <w:spacing w:after="0"/>
              <w:rPr>
                <w:sz w:val="20"/>
                <w:szCs w:val="20"/>
                <w:color w:val="auto"/>
              </w:rPr>
            </w:pPr>
            <w:r>
              <w:rPr>
                <w:rFonts w:ascii="Arial" w:cs="Arial" w:eastAsia="Arial" w:hAnsi="Arial"/>
                <w:sz w:val="16"/>
                <w:szCs w:val="16"/>
                <w:b w:val="1"/>
                <w:bCs w:val="1"/>
                <w:color w:val="auto"/>
              </w:rPr>
              <w:t>287.8</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Borders>
              <w:right w:val="single" w:sz="8" w:color="00000A"/>
            </w:tcBorders>
          </w:tcPr>
          <w:p>
            <w:pPr>
              <w:jc w:val="right"/>
              <w:ind w:right="59"/>
              <w:spacing w:after="0"/>
              <w:rPr>
                <w:sz w:val="20"/>
                <w:szCs w:val="20"/>
                <w:color w:val="auto"/>
              </w:rPr>
            </w:pPr>
            <w:r>
              <w:rPr>
                <w:rFonts w:ascii="Arial" w:cs="Arial" w:eastAsia="Arial" w:hAnsi="Arial"/>
                <w:sz w:val="16"/>
                <w:szCs w:val="16"/>
                <w:b w:val="1"/>
                <w:bCs w:val="1"/>
                <w:color w:val="auto"/>
              </w:rPr>
              <w:t>293.1</w:t>
            </w:r>
          </w:p>
        </w:tc>
        <w:tc>
          <w:tcPr>
            <w:tcW w:w="200" w:type="dxa"/>
            <w:vAlign w:val="bottom"/>
          </w:tcPr>
          <w:p>
            <w:pPr>
              <w:spacing w:after="0"/>
              <w:rPr>
                <w:sz w:val="18"/>
                <w:szCs w:val="18"/>
                <w:color w:val="auto"/>
              </w:rPr>
            </w:pPr>
          </w:p>
        </w:tc>
        <w:tc>
          <w:tcPr>
            <w:tcW w:w="920" w:type="dxa"/>
            <w:vAlign w:val="bottom"/>
            <w:tcBorders>
              <w:right w:val="single" w:sz="8" w:color="00000A"/>
            </w:tcBorders>
          </w:tcPr>
          <w:p>
            <w:pPr>
              <w:jc w:val="right"/>
              <w:spacing w:after="0"/>
              <w:rPr>
                <w:sz w:val="20"/>
                <w:szCs w:val="20"/>
                <w:color w:val="auto"/>
              </w:rPr>
            </w:pPr>
            <w:r>
              <w:rPr>
                <w:rFonts w:ascii="Arial" w:cs="Arial" w:eastAsia="Arial" w:hAnsi="Arial"/>
                <w:sz w:val="16"/>
                <w:szCs w:val="16"/>
                <w:b w:val="1"/>
                <w:bCs w:val="1"/>
                <w:color w:val="auto"/>
              </w:rPr>
              <w:t>290.0</w:t>
            </w:r>
          </w:p>
        </w:tc>
        <w:tc>
          <w:tcPr>
            <w:tcW w:w="240" w:type="dxa"/>
            <w:vAlign w:val="bottom"/>
          </w:tcPr>
          <w:p>
            <w:pPr>
              <w:spacing w:after="0"/>
              <w:rPr>
                <w:sz w:val="18"/>
                <w:szCs w:val="18"/>
                <w:color w:val="auto"/>
              </w:rPr>
            </w:pPr>
          </w:p>
        </w:tc>
        <w:tc>
          <w:tcPr>
            <w:tcW w:w="940" w:type="dxa"/>
            <w:vAlign w:val="bottom"/>
            <w:tcBorders>
              <w:right w:val="single" w:sz="8" w:color="00000A"/>
            </w:tcBorders>
          </w:tcPr>
          <w:p>
            <w:pPr>
              <w:jc w:val="right"/>
              <w:ind w:right="19"/>
              <w:spacing w:after="0"/>
              <w:rPr>
                <w:sz w:val="20"/>
                <w:szCs w:val="20"/>
                <w:color w:val="auto"/>
              </w:rPr>
            </w:pPr>
            <w:r>
              <w:rPr>
                <w:rFonts w:ascii="Arial" w:cs="Arial" w:eastAsia="Arial" w:hAnsi="Arial"/>
                <w:sz w:val="16"/>
                <w:szCs w:val="16"/>
                <w:b w:val="1"/>
                <w:bCs w:val="1"/>
                <w:color w:val="auto"/>
              </w:rPr>
              <w:t>292.7</w:t>
            </w:r>
          </w:p>
        </w:tc>
        <w:tc>
          <w:tcPr>
            <w:tcW w:w="0" w:type="dxa"/>
            <w:vAlign w:val="bottom"/>
          </w:tcPr>
          <w:p>
            <w:pPr>
              <w:spacing w:after="0"/>
              <w:rPr>
                <w:sz w:val="1"/>
                <w:szCs w:val="1"/>
                <w:color w:val="auto"/>
              </w:rPr>
            </w:pPr>
          </w:p>
        </w:tc>
      </w:tr>
      <w:tr>
        <w:trPr>
          <w:trHeight w:val="101"/>
        </w:trPr>
        <w:tc>
          <w:tcPr>
            <w:tcW w:w="3900" w:type="dxa"/>
            <w:vAlign w:val="bottom"/>
            <w:tcBorders>
              <w:left w:val="single" w:sz="8" w:color="00000A"/>
              <w:bottom w:val="single" w:sz="8" w:color="00000A"/>
              <w:right w:val="single" w:sz="8" w:color="00000A"/>
            </w:tcBorders>
          </w:tcPr>
          <w:p>
            <w:pPr>
              <w:spacing w:after="0"/>
              <w:rPr>
                <w:sz w:val="8"/>
                <w:szCs w:val="8"/>
                <w:color w:val="auto"/>
              </w:rPr>
            </w:pPr>
          </w:p>
        </w:tc>
        <w:tc>
          <w:tcPr>
            <w:tcW w:w="80" w:type="dxa"/>
            <w:vAlign w:val="bottom"/>
            <w:tcBorders>
              <w:bottom w:val="single" w:sz="8" w:color="00000A"/>
            </w:tcBorders>
          </w:tcPr>
          <w:p>
            <w:pPr>
              <w:spacing w:after="0"/>
              <w:rPr>
                <w:sz w:val="8"/>
                <w:szCs w:val="8"/>
                <w:color w:val="auto"/>
              </w:rPr>
            </w:pPr>
          </w:p>
        </w:tc>
        <w:tc>
          <w:tcPr>
            <w:tcW w:w="200" w:type="dxa"/>
            <w:vAlign w:val="bottom"/>
            <w:tcBorders>
              <w:bottom w:val="single" w:sz="8" w:color="00000A"/>
            </w:tcBorders>
          </w:tcPr>
          <w:p>
            <w:pPr>
              <w:spacing w:after="0"/>
              <w:rPr>
                <w:sz w:val="8"/>
                <w:szCs w:val="8"/>
                <w:color w:val="auto"/>
              </w:rPr>
            </w:pPr>
          </w:p>
        </w:tc>
        <w:tc>
          <w:tcPr>
            <w:tcW w:w="880" w:type="dxa"/>
            <w:vAlign w:val="bottom"/>
            <w:tcBorders>
              <w:bottom w:val="single" w:sz="8" w:color="00000A"/>
              <w:right w:val="single" w:sz="8" w:color="00000A"/>
            </w:tcBorders>
          </w:tcPr>
          <w:p>
            <w:pPr>
              <w:spacing w:after="0"/>
              <w:rPr>
                <w:sz w:val="8"/>
                <w:szCs w:val="8"/>
                <w:color w:val="auto"/>
              </w:rPr>
            </w:pPr>
          </w:p>
        </w:tc>
        <w:tc>
          <w:tcPr>
            <w:tcW w:w="40" w:type="dxa"/>
            <w:vAlign w:val="bottom"/>
            <w:tcBorders>
              <w:bottom w:val="single" w:sz="8" w:color="00000A"/>
            </w:tcBorders>
          </w:tcPr>
          <w:p>
            <w:pPr>
              <w:spacing w:after="0"/>
              <w:rPr>
                <w:sz w:val="8"/>
                <w:szCs w:val="8"/>
                <w:color w:val="auto"/>
              </w:rPr>
            </w:pPr>
          </w:p>
        </w:tc>
        <w:tc>
          <w:tcPr>
            <w:tcW w:w="240" w:type="dxa"/>
            <w:vAlign w:val="bottom"/>
            <w:tcBorders>
              <w:bottom w:val="single" w:sz="8" w:color="00000A"/>
            </w:tcBorders>
          </w:tcPr>
          <w:p>
            <w:pPr>
              <w:spacing w:after="0"/>
              <w:rPr>
                <w:sz w:val="8"/>
                <w:szCs w:val="8"/>
                <w:color w:val="auto"/>
              </w:rPr>
            </w:pPr>
          </w:p>
        </w:tc>
        <w:tc>
          <w:tcPr>
            <w:tcW w:w="960" w:type="dxa"/>
            <w:vAlign w:val="bottom"/>
            <w:tcBorders>
              <w:bottom w:val="single" w:sz="8" w:color="00000A"/>
              <w:right w:val="single" w:sz="8" w:color="00000A"/>
            </w:tcBorders>
          </w:tcPr>
          <w:p>
            <w:pPr>
              <w:spacing w:after="0"/>
              <w:rPr>
                <w:sz w:val="8"/>
                <w:szCs w:val="8"/>
                <w:color w:val="auto"/>
              </w:rPr>
            </w:pPr>
          </w:p>
        </w:tc>
        <w:tc>
          <w:tcPr>
            <w:tcW w:w="200" w:type="dxa"/>
            <w:vAlign w:val="bottom"/>
            <w:tcBorders>
              <w:bottom w:val="single" w:sz="8" w:color="00000A"/>
            </w:tcBorders>
          </w:tcPr>
          <w:p>
            <w:pPr>
              <w:spacing w:after="0"/>
              <w:rPr>
                <w:sz w:val="8"/>
                <w:szCs w:val="8"/>
                <w:color w:val="auto"/>
              </w:rPr>
            </w:pPr>
          </w:p>
        </w:tc>
        <w:tc>
          <w:tcPr>
            <w:tcW w:w="920" w:type="dxa"/>
            <w:vAlign w:val="bottom"/>
            <w:tcBorders>
              <w:bottom w:val="single" w:sz="8" w:color="00000A"/>
              <w:right w:val="single" w:sz="8" w:color="00000A"/>
            </w:tcBorders>
          </w:tcPr>
          <w:p>
            <w:pPr>
              <w:spacing w:after="0"/>
              <w:rPr>
                <w:sz w:val="8"/>
                <w:szCs w:val="8"/>
                <w:color w:val="auto"/>
              </w:rPr>
            </w:pPr>
          </w:p>
        </w:tc>
        <w:tc>
          <w:tcPr>
            <w:tcW w:w="240" w:type="dxa"/>
            <w:vAlign w:val="bottom"/>
            <w:tcBorders>
              <w:bottom w:val="single" w:sz="8" w:color="00000A"/>
            </w:tcBorders>
          </w:tcPr>
          <w:p>
            <w:pPr>
              <w:spacing w:after="0"/>
              <w:rPr>
                <w:sz w:val="8"/>
                <w:szCs w:val="8"/>
                <w:color w:val="auto"/>
              </w:rPr>
            </w:pPr>
          </w:p>
        </w:tc>
        <w:tc>
          <w:tcPr>
            <w:tcW w:w="940" w:type="dxa"/>
            <w:vAlign w:val="bottom"/>
            <w:tcBorders>
              <w:bottom w:val="single" w:sz="8" w:color="00000A"/>
              <w:right w:val="single" w:sz="8" w:color="00000A"/>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*U.S. GAAP (GAAP) net income attributable to PFG versus non-GAAP operating earnings</w:t>
      </w:r>
    </w:p>
    <w:p>
      <w:pPr>
        <w:spacing w:after="0" w:line="132" w:lineRule="exact"/>
        <w:rPr>
          <w:sz w:val="20"/>
          <w:szCs w:val="20"/>
          <w:color w:val="auto"/>
        </w:rPr>
      </w:pPr>
    </w:p>
    <w:p>
      <w:pPr>
        <w:spacing w:after="0"/>
        <w:rPr>
          <w:sz w:val="20"/>
          <w:szCs w:val="20"/>
          <w:color w:val="auto"/>
        </w:rPr>
      </w:pPr>
      <w:r>
        <w:rPr>
          <w:rFonts w:ascii="Arial" w:cs="Arial" w:eastAsia="Arial" w:hAnsi="Arial"/>
          <w:sz w:val="20"/>
          <w:szCs w:val="20"/>
          <w:color w:val="auto"/>
        </w:rPr>
        <w:t>Management uses non-GAAP operating earnings, which is a financial measure that excludes the effect of net realized capital gains and losses, as adjusted, and other after-tax adjustments the company believes are not indicative of overall operating trends, for goal setting, as a basis for determining employee and senior management awards and compensation, and evaluating performance on a basis comparable to that used by investors and securities analysts. Note: it is possible these adjusting items have occurred in the past and could recur in future reporting periods. While these items may be significant components in understanding and assessing our consolidated financial performance, management believes the presentation of non-GAAP operating earnings enhances the understanding of results of operations by highlighting earnings attributable to the normal, ongoing operations of the company’s businesses.</w:t>
      </w:r>
    </w:p>
    <w:p>
      <w:pPr>
        <w:sectPr>
          <w:pgSz w:w="11900" w:h="16838" w:orient="portrait"/>
          <w:cols w:equalWidth="0" w:num="1">
            <w:col w:w="11380"/>
          </w:cols>
          <w:pgMar w:left="240" w:top="1197" w:right="279" w:bottom="1440" w:gutter="0" w:footer="0" w:header="0"/>
        </w:sectPr>
      </w:pPr>
    </w:p>
    <w:bookmarkStart w:id="11" w:name="page12"/>
    <w:bookmarkEnd w:id="11"/>
    <w:p>
      <w:pPr>
        <w:spacing w:after="0" w:line="22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15"/>
        </w:trPr>
        <w:tc>
          <w:tcPr>
            <w:tcW w:w="6520" w:type="dxa"/>
            <w:vAlign w:val="bottom"/>
          </w:tcPr>
          <w:p>
            <w:pPr>
              <w:ind w:left="3120"/>
              <w:spacing w:after="0"/>
              <w:rPr>
                <w:sz w:val="20"/>
                <w:szCs w:val="20"/>
                <w:color w:val="auto"/>
              </w:rPr>
            </w:pPr>
            <w:r>
              <w:rPr>
                <w:rFonts w:ascii="Arial" w:cs="Arial" w:eastAsia="Arial" w:hAnsi="Arial"/>
                <w:sz w:val="16"/>
                <w:szCs w:val="16"/>
                <w:b w:val="1"/>
                <w:bCs w:val="1"/>
                <w:i w:val="1"/>
                <w:iCs w:val="1"/>
                <w:color w:val="auto"/>
              </w:rPr>
              <w:t>Selected Balance Sheet Statistics</w:t>
            </w:r>
          </w:p>
        </w:tc>
        <w:tc>
          <w:tcPr>
            <w:tcW w:w="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357"/>
        </w:trPr>
        <w:tc>
          <w:tcPr>
            <w:tcW w:w="65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gridSpan w:val="3"/>
          </w:tcPr>
          <w:p>
            <w:pPr>
              <w:spacing w:after="0"/>
              <w:rPr>
                <w:sz w:val="24"/>
                <w:szCs w:val="24"/>
                <w:color w:val="auto"/>
              </w:rPr>
            </w:pPr>
          </w:p>
        </w:tc>
      </w:tr>
      <w:tr>
        <w:trPr>
          <w:trHeight w:val="230"/>
        </w:trPr>
        <w:tc>
          <w:tcPr>
            <w:tcW w:w="6520" w:type="dxa"/>
            <w:vAlign w:val="bottom"/>
            <w:tcBorders>
              <w:right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120" w:type="dxa"/>
            <w:vAlign w:val="bottom"/>
            <w:tcBorders>
              <w:bottom w:val="single" w:sz="8" w:color="auto"/>
              <w:right w:val="single" w:sz="8" w:color="auto"/>
            </w:tcBorders>
            <w:gridSpan w:val="3"/>
          </w:tcPr>
          <w:p>
            <w:pPr>
              <w:jc w:val="right"/>
              <w:ind w:right="519"/>
              <w:spacing w:after="0"/>
              <w:rPr>
                <w:sz w:val="20"/>
                <w:szCs w:val="20"/>
                <w:color w:val="auto"/>
              </w:rPr>
            </w:pPr>
            <w:r>
              <w:rPr>
                <w:rFonts w:ascii="Arial" w:cs="Arial" w:eastAsia="Arial" w:hAnsi="Arial"/>
                <w:sz w:val="16"/>
                <w:szCs w:val="16"/>
                <w:b w:val="1"/>
                <w:bCs w:val="1"/>
                <w:color w:val="auto"/>
              </w:rPr>
              <w:t>Period Ended,</w:t>
            </w:r>
          </w:p>
        </w:tc>
      </w:tr>
      <w:tr>
        <w:trPr>
          <w:trHeight w:val="237"/>
        </w:trPr>
        <w:tc>
          <w:tcPr>
            <w:tcW w:w="6520" w:type="dxa"/>
            <w:vAlign w:val="bottom"/>
            <w:tcBorders>
              <w:right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60" w:type="dxa"/>
            <w:vAlign w:val="bottom"/>
            <w:tcBorders>
              <w:bottom w:val="single" w:sz="8" w:color="auto"/>
              <w:right w:val="single" w:sz="8" w:color="00000A"/>
            </w:tcBorders>
          </w:tcPr>
          <w:p>
            <w:pPr>
              <w:jc w:val="right"/>
              <w:ind w:right="239"/>
              <w:spacing w:after="0"/>
              <w:rPr>
                <w:sz w:val="20"/>
                <w:szCs w:val="20"/>
                <w:color w:val="auto"/>
              </w:rPr>
            </w:pPr>
            <w:r>
              <w:rPr>
                <w:rFonts w:ascii="Arial" w:cs="Arial" w:eastAsia="Arial" w:hAnsi="Arial"/>
                <w:sz w:val="16"/>
                <w:szCs w:val="16"/>
                <w:b w:val="1"/>
                <w:bCs w:val="1"/>
                <w:color w:val="auto"/>
              </w:rPr>
              <w:t>9/30/18</w:t>
            </w:r>
          </w:p>
        </w:tc>
        <w:tc>
          <w:tcPr>
            <w:tcW w:w="180" w:type="dxa"/>
            <w:vAlign w:val="bottom"/>
            <w:tcBorders>
              <w:bottom w:val="single" w:sz="8" w:color="auto"/>
            </w:tcBorders>
          </w:tcPr>
          <w:p>
            <w:pPr>
              <w:spacing w:after="0"/>
              <w:rPr>
                <w:sz w:val="20"/>
                <w:szCs w:val="20"/>
                <w:color w:val="auto"/>
              </w:rPr>
            </w:pPr>
          </w:p>
        </w:tc>
        <w:tc>
          <w:tcPr>
            <w:tcW w:w="980" w:type="dxa"/>
            <w:vAlign w:val="bottom"/>
            <w:tcBorders>
              <w:bottom w:val="single" w:sz="8" w:color="auto"/>
              <w:right w:val="single" w:sz="8" w:color="00000A"/>
            </w:tcBorders>
          </w:tcPr>
          <w:p>
            <w:pPr>
              <w:jc w:val="right"/>
              <w:ind w:right="199"/>
              <w:spacing w:after="0"/>
              <w:rPr>
                <w:sz w:val="20"/>
                <w:szCs w:val="20"/>
                <w:color w:val="auto"/>
              </w:rPr>
            </w:pPr>
            <w:r>
              <w:rPr>
                <w:rFonts w:ascii="Arial" w:cs="Arial" w:eastAsia="Arial" w:hAnsi="Arial"/>
                <w:sz w:val="16"/>
                <w:szCs w:val="16"/>
                <w:b w:val="1"/>
                <w:bCs w:val="1"/>
                <w:color w:val="auto"/>
              </w:rPr>
              <w:t>12/31/17</w:t>
            </w:r>
          </w:p>
        </w:tc>
      </w:tr>
      <w:tr>
        <w:trPr>
          <w:trHeight w:val="224"/>
        </w:trPr>
        <w:tc>
          <w:tcPr>
            <w:tcW w:w="6520" w:type="dxa"/>
            <w:vAlign w:val="bottom"/>
          </w:tcPr>
          <w:p>
            <w:pPr>
              <w:spacing w:after="0"/>
              <w:rPr>
                <w:sz w:val="20"/>
                <w:szCs w:val="20"/>
                <w:color w:val="auto"/>
              </w:rPr>
            </w:pPr>
            <w:r>
              <w:rPr>
                <w:rFonts w:ascii="Arial" w:cs="Arial" w:eastAsia="Arial" w:hAnsi="Arial"/>
                <w:sz w:val="16"/>
                <w:szCs w:val="16"/>
                <w:color w:val="auto"/>
              </w:rPr>
              <w:t>Total assets (in billions)</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258.8</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253.9</w:t>
            </w:r>
          </w:p>
        </w:tc>
      </w:tr>
      <w:tr>
        <w:trPr>
          <w:trHeight w:val="243"/>
        </w:trPr>
        <w:tc>
          <w:tcPr>
            <w:tcW w:w="6520" w:type="dxa"/>
            <w:vAlign w:val="bottom"/>
          </w:tcPr>
          <w:p>
            <w:pPr>
              <w:spacing w:after="0"/>
              <w:rPr>
                <w:sz w:val="20"/>
                <w:szCs w:val="20"/>
                <w:color w:val="auto"/>
              </w:rPr>
            </w:pPr>
            <w:r>
              <w:rPr>
                <w:rFonts w:ascii="Arial" w:cs="Arial" w:eastAsia="Arial" w:hAnsi="Arial"/>
                <w:sz w:val="16"/>
                <w:szCs w:val="16"/>
                <w:color w:val="auto"/>
              </w:rPr>
              <w:t>Stockholders’ equity (in millions)</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11,768.7</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12,921.9</w:t>
            </w:r>
          </w:p>
        </w:tc>
      </w:tr>
      <w:tr>
        <w:trPr>
          <w:trHeight w:val="243"/>
        </w:trPr>
        <w:tc>
          <w:tcPr>
            <w:tcW w:w="6520" w:type="dxa"/>
            <w:vAlign w:val="bottom"/>
          </w:tcPr>
          <w:p>
            <w:pPr>
              <w:spacing w:after="0"/>
              <w:rPr>
                <w:sz w:val="20"/>
                <w:szCs w:val="20"/>
                <w:color w:val="auto"/>
              </w:rPr>
            </w:pPr>
            <w:r>
              <w:rPr>
                <w:rFonts w:ascii="Arial" w:cs="Arial" w:eastAsia="Arial" w:hAnsi="Arial"/>
                <w:sz w:val="16"/>
                <w:szCs w:val="16"/>
                <w:color w:val="auto"/>
              </w:rPr>
              <w:t>Total common equity (in millions)</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11,700.8</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12,849.3</w:t>
            </w:r>
          </w:p>
        </w:tc>
      </w:tr>
      <w:tr>
        <w:trPr>
          <w:trHeight w:val="238"/>
        </w:trPr>
        <w:tc>
          <w:tcPr>
            <w:tcW w:w="6520" w:type="dxa"/>
            <w:vAlign w:val="bottom"/>
          </w:tcPr>
          <w:p>
            <w:pPr>
              <w:spacing w:after="0"/>
              <w:rPr>
                <w:sz w:val="20"/>
                <w:szCs w:val="20"/>
                <w:color w:val="auto"/>
              </w:rPr>
            </w:pPr>
            <w:r>
              <w:rPr>
                <w:rFonts w:ascii="Arial" w:cs="Arial" w:eastAsia="Arial" w:hAnsi="Arial"/>
                <w:sz w:val="16"/>
                <w:szCs w:val="16"/>
                <w:color w:val="auto"/>
              </w:rPr>
              <w:t>Total common equity excluding accumulated other comprehensive income (AOCI) other</w:t>
            </w:r>
          </w:p>
        </w:tc>
        <w:tc>
          <w:tcPr>
            <w:tcW w:w="2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spacing w:after="0"/>
              <w:rPr>
                <w:sz w:val="20"/>
                <w:szCs w:val="20"/>
                <w:color w:val="auto"/>
              </w:rPr>
            </w:pPr>
          </w:p>
        </w:tc>
      </w:tr>
      <w:tr>
        <w:trPr>
          <w:trHeight w:val="195"/>
        </w:trPr>
        <w:tc>
          <w:tcPr>
            <w:tcW w:w="6520" w:type="dxa"/>
            <w:vAlign w:val="bottom"/>
          </w:tcPr>
          <w:p>
            <w:pPr>
              <w:ind w:left="340"/>
              <w:spacing w:after="0"/>
              <w:rPr>
                <w:sz w:val="20"/>
                <w:szCs w:val="20"/>
                <w:color w:val="auto"/>
              </w:rPr>
            </w:pPr>
            <w:r>
              <w:rPr>
                <w:rFonts w:ascii="Arial" w:cs="Arial" w:eastAsia="Arial" w:hAnsi="Arial"/>
                <w:sz w:val="16"/>
                <w:szCs w:val="16"/>
                <w:color w:val="auto"/>
              </w:rPr>
              <w:t>than foreign currency translation adjustment (in millions)</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11,882.3</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11,765.3</w:t>
            </w:r>
          </w:p>
        </w:tc>
      </w:tr>
      <w:tr>
        <w:trPr>
          <w:trHeight w:val="243"/>
        </w:trPr>
        <w:tc>
          <w:tcPr>
            <w:tcW w:w="6520" w:type="dxa"/>
            <w:vAlign w:val="bottom"/>
          </w:tcPr>
          <w:p>
            <w:pPr>
              <w:spacing w:after="0"/>
              <w:rPr>
                <w:sz w:val="20"/>
                <w:szCs w:val="20"/>
                <w:color w:val="auto"/>
              </w:rPr>
            </w:pPr>
            <w:r>
              <w:rPr>
                <w:rFonts w:ascii="Arial" w:cs="Arial" w:eastAsia="Arial" w:hAnsi="Arial"/>
                <w:sz w:val="16"/>
                <w:szCs w:val="16"/>
                <w:color w:val="auto"/>
              </w:rPr>
              <w:t>End of period common shares outstanding (in millions)</w:t>
            </w: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283.6</w:t>
            </w: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289.0</w:t>
            </w:r>
          </w:p>
        </w:tc>
      </w:tr>
      <w:tr>
        <w:trPr>
          <w:trHeight w:val="243"/>
        </w:trPr>
        <w:tc>
          <w:tcPr>
            <w:tcW w:w="6520" w:type="dxa"/>
            <w:vAlign w:val="bottom"/>
          </w:tcPr>
          <w:p>
            <w:pPr>
              <w:spacing w:after="0"/>
              <w:rPr>
                <w:sz w:val="20"/>
                <w:szCs w:val="20"/>
                <w:color w:val="auto"/>
              </w:rPr>
            </w:pPr>
            <w:r>
              <w:rPr>
                <w:rFonts w:ascii="Arial" w:cs="Arial" w:eastAsia="Arial" w:hAnsi="Arial"/>
                <w:sz w:val="16"/>
                <w:szCs w:val="16"/>
                <w:color w:val="auto"/>
              </w:rPr>
              <w:t>Book value per common share</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41.26</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44.46</w:t>
            </w:r>
          </w:p>
        </w:tc>
      </w:tr>
      <w:tr>
        <w:trPr>
          <w:trHeight w:val="238"/>
        </w:trPr>
        <w:tc>
          <w:tcPr>
            <w:tcW w:w="6520" w:type="dxa"/>
            <w:vAlign w:val="bottom"/>
          </w:tcPr>
          <w:p>
            <w:pPr>
              <w:spacing w:after="0"/>
              <w:rPr>
                <w:sz w:val="20"/>
                <w:szCs w:val="20"/>
                <w:color w:val="auto"/>
              </w:rPr>
            </w:pPr>
            <w:r>
              <w:rPr>
                <w:rFonts w:ascii="Arial" w:cs="Arial" w:eastAsia="Arial" w:hAnsi="Arial"/>
                <w:sz w:val="16"/>
                <w:szCs w:val="16"/>
                <w:color w:val="auto"/>
              </w:rPr>
              <w:t>Book value per common share excluding AOCI other than foreign currency translation</w:t>
            </w:r>
          </w:p>
        </w:tc>
        <w:tc>
          <w:tcPr>
            <w:tcW w:w="2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spacing w:after="0"/>
              <w:rPr>
                <w:sz w:val="20"/>
                <w:szCs w:val="20"/>
                <w:color w:val="auto"/>
              </w:rPr>
            </w:pPr>
          </w:p>
        </w:tc>
      </w:tr>
      <w:tr>
        <w:trPr>
          <w:trHeight w:val="195"/>
        </w:trPr>
        <w:tc>
          <w:tcPr>
            <w:tcW w:w="6520" w:type="dxa"/>
            <w:vAlign w:val="bottom"/>
          </w:tcPr>
          <w:p>
            <w:pPr>
              <w:ind w:left="340"/>
              <w:spacing w:after="0"/>
              <w:rPr>
                <w:sz w:val="20"/>
                <w:szCs w:val="20"/>
                <w:color w:val="auto"/>
              </w:rPr>
            </w:pPr>
            <w:r>
              <w:rPr>
                <w:rFonts w:ascii="Arial" w:cs="Arial" w:eastAsia="Arial" w:hAnsi="Arial"/>
                <w:sz w:val="16"/>
                <w:szCs w:val="16"/>
                <w:color w:val="auto"/>
              </w:rPr>
              <w:t>adjustment</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41.90</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40.71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1379"/>
        <w:spacing w:after="0"/>
        <w:rPr>
          <w:sz w:val="20"/>
          <w:szCs w:val="20"/>
          <w:color w:val="auto"/>
        </w:rPr>
      </w:pPr>
      <w:r>
        <w:rPr>
          <w:rFonts w:ascii="Arial" w:cs="Arial" w:eastAsia="Arial" w:hAnsi="Arial"/>
          <w:sz w:val="16"/>
          <w:szCs w:val="16"/>
          <w:b w:val="1"/>
          <w:bCs w:val="1"/>
          <w:color w:val="auto"/>
        </w:rPr>
        <w:t>Principal Financial Group, Inc.</w:t>
      </w:r>
    </w:p>
    <w:p>
      <w:pPr>
        <w:spacing w:after="0" w:line="25" w:lineRule="exact"/>
        <w:rPr>
          <w:sz w:val="20"/>
          <w:szCs w:val="20"/>
          <w:color w:val="auto"/>
        </w:rPr>
      </w:pPr>
    </w:p>
    <w:p>
      <w:pPr>
        <w:jc w:val="center"/>
        <w:ind w:right="1379"/>
        <w:spacing w:after="0"/>
        <w:rPr>
          <w:sz w:val="20"/>
          <w:szCs w:val="20"/>
          <w:color w:val="auto"/>
        </w:rPr>
      </w:pPr>
      <w:r>
        <w:rPr>
          <w:rFonts w:ascii="Arial" w:cs="Arial" w:eastAsia="Arial" w:hAnsi="Arial"/>
          <w:sz w:val="16"/>
          <w:szCs w:val="16"/>
          <w:b w:val="1"/>
          <w:bCs w:val="1"/>
          <w:color w:val="auto"/>
        </w:rPr>
        <w:t>Reconciliation of U.S. GAAP to Non-GAAP Financial Measures</w:t>
      </w:r>
    </w:p>
    <w:p>
      <w:pPr>
        <w:spacing w:after="0" w:line="5" w:lineRule="exact"/>
        <w:rPr>
          <w:sz w:val="20"/>
          <w:szCs w:val="20"/>
          <w:color w:val="auto"/>
        </w:rPr>
      </w:pPr>
    </w:p>
    <w:p>
      <w:pPr>
        <w:jc w:val="center"/>
        <w:ind w:right="1379"/>
        <w:spacing w:after="0"/>
        <w:rPr>
          <w:sz w:val="20"/>
          <w:szCs w:val="20"/>
          <w:color w:val="auto"/>
        </w:rPr>
      </w:pPr>
      <w:r>
        <w:rPr>
          <w:rFonts w:ascii="Arial" w:cs="Arial" w:eastAsia="Arial" w:hAnsi="Arial"/>
          <w:sz w:val="16"/>
          <w:szCs w:val="16"/>
          <w:b w:val="1"/>
          <w:bCs w:val="1"/>
          <w:color w:val="auto"/>
        </w:rPr>
        <w:t>(in millions, except as indicated)</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6520" w:type="dxa"/>
            <w:vAlign w:val="bottom"/>
          </w:tcPr>
          <w:p>
            <w:pPr>
              <w:spacing w:after="0"/>
              <w:rPr>
                <w:sz w:val="20"/>
                <w:szCs w:val="20"/>
                <w:color w:val="auto"/>
              </w:rPr>
            </w:pPr>
          </w:p>
        </w:tc>
        <w:tc>
          <w:tcPr>
            <w:tcW w:w="220" w:type="dxa"/>
            <w:vAlign w:val="bottom"/>
            <w:tcBorders>
              <w:top w:val="single" w:sz="8" w:color="auto"/>
              <w:left w:val="single" w:sz="8" w:color="auto"/>
            </w:tcBorders>
          </w:tcPr>
          <w:p>
            <w:pPr>
              <w:spacing w:after="0"/>
              <w:rPr>
                <w:sz w:val="20"/>
                <w:szCs w:val="20"/>
                <w:color w:val="auto"/>
              </w:rPr>
            </w:pPr>
          </w:p>
        </w:tc>
        <w:tc>
          <w:tcPr>
            <w:tcW w:w="2120" w:type="dxa"/>
            <w:vAlign w:val="bottom"/>
            <w:tcBorders>
              <w:top w:val="single" w:sz="8" w:color="auto"/>
              <w:right w:val="single" w:sz="8" w:color="auto"/>
            </w:tcBorders>
            <w:gridSpan w:val="3"/>
          </w:tcPr>
          <w:p>
            <w:pPr>
              <w:jc w:val="right"/>
              <w:ind w:right="539"/>
              <w:spacing w:after="0"/>
              <w:rPr>
                <w:sz w:val="20"/>
                <w:szCs w:val="20"/>
                <w:color w:val="auto"/>
              </w:rPr>
            </w:pPr>
            <w:r>
              <w:rPr>
                <w:rFonts w:ascii="Arial" w:cs="Arial" w:eastAsia="Arial" w:hAnsi="Arial"/>
                <w:sz w:val="16"/>
                <w:szCs w:val="16"/>
                <w:b w:val="1"/>
                <w:bCs w:val="1"/>
                <w:color w:val="auto"/>
              </w:rPr>
              <w:t>Period Ended,</w:t>
            </w:r>
          </w:p>
        </w:tc>
        <w:tc>
          <w:tcPr>
            <w:tcW w:w="0" w:type="dxa"/>
            <w:vAlign w:val="bottom"/>
          </w:tcPr>
          <w:p>
            <w:pPr>
              <w:spacing w:after="0"/>
              <w:rPr>
                <w:sz w:val="1"/>
                <w:szCs w:val="1"/>
                <w:color w:val="auto"/>
              </w:rPr>
            </w:pPr>
          </w:p>
        </w:tc>
      </w:tr>
      <w:tr>
        <w:trPr>
          <w:trHeight w:val="33"/>
        </w:trPr>
        <w:tc>
          <w:tcPr>
            <w:tcW w:w="6520" w:type="dxa"/>
            <w:vAlign w:val="bottom"/>
          </w:tcPr>
          <w:p>
            <w:pPr>
              <w:spacing w:after="0"/>
              <w:rPr>
                <w:sz w:val="2"/>
                <w:szCs w:val="2"/>
                <w:color w:val="auto"/>
              </w:rPr>
            </w:pPr>
          </w:p>
        </w:tc>
        <w:tc>
          <w:tcPr>
            <w:tcW w:w="220" w:type="dxa"/>
            <w:vAlign w:val="bottom"/>
            <w:tcBorders>
              <w:left w:val="single" w:sz="8" w:color="auto"/>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520" w:type="dxa"/>
            <w:vAlign w:val="bottom"/>
          </w:tcPr>
          <w:p>
            <w:pPr>
              <w:spacing w:after="0"/>
              <w:rPr>
                <w:sz w:val="18"/>
                <w:szCs w:val="18"/>
                <w:color w:val="auto"/>
              </w:rPr>
            </w:pPr>
          </w:p>
        </w:tc>
        <w:tc>
          <w:tcPr>
            <w:tcW w:w="220" w:type="dxa"/>
            <w:vAlign w:val="bottom"/>
            <w:tcBorders>
              <w:left w:val="single" w:sz="8" w:color="auto"/>
            </w:tcBorders>
          </w:tcPr>
          <w:p>
            <w:pPr>
              <w:spacing w:after="0"/>
              <w:rPr>
                <w:sz w:val="18"/>
                <w:szCs w:val="18"/>
                <w:color w:val="auto"/>
              </w:rPr>
            </w:pPr>
          </w:p>
        </w:tc>
        <w:tc>
          <w:tcPr>
            <w:tcW w:w="960" w:type="dxa"/>
            <w:vAlign w:val="bottom"/>
            <w:tcBorders>
              <w:right w:val="single" w:sz="8" w:color="auto"/>
            </w:tcBorders>
          </w:tcPr>
          <w:p>
            <w:pPr>
              <w:jc w:val="right"/>
              <w:ind w:right="239"/>
              <w:spacing w:after="0"/>
              <w:rPr>
                <w:sz w:val="20"/>
                <w:szCs w:val="20"/>
                <w:color w:val="auto"/>
              </w:rPr>
            </w:pPr>
            <w:r>
              <w:rPr>
                <w:rFonts w:ascii="Arial" w:cs="Arial" w:eastAsia="Arial" w:hAnsi="Arial"/>
                <w:sz w:val="16"/>
                <w:szCs w:val="16"/>
                <w:b w:val="1"/>
                <w:bCs w:val="1"/>
                <w:color w:val="auto"/>
              </w:rPr>
              <w:t>9/30/18</w:t>
            </w:r>
          </w:p>
        </w:tc>
        <w:tc>
          <w:tcPr>
            <w:tcW w:w="180" w:type="dxa"/>
            <w:vAlign w:val="bottom"/>
          </w:tcPr>
          <w:p>
            <w:pPr>
              <w:spacing w:after="0"/>
              <w:rPr>
                <w:sz w:val="18"/>
                <w:szCs w:val="18"/>
                <w:color w:val="auto"/>
              </w:rPr>
            </w:pPr>
          </w:p>
        </w:tc>
        <w:tc>
          <w:tcPr>
            <w:tcW w:w="980" w:type="dxa"/>
            <w:vAlign w:val="bottom"/>
            <w:tcBorders>
              <w:right w:val="single" w:sz="8" w:color="auto"/>
            </w:tcBorders>
          </w:tcPr>
          <w:p>
            <w:pPr>
              <w:jc w:val="right"/>
              <w:ind w:right="199"/>
              <w:spacing w:after="0"/>
              <w:rPr>
                <w:sz w:val="20"/>
                <w:szCs w:val="20"/>
                <w:color w:val="auto"/>
              </w:rPr>
            </w:pPr>
            <w:r>
              <w:rPr>
                <w:rFonts w:ascii="Arial" w:cs="Arial" w:eastAsia="Arial" w:hAnsi="Arial"/>
                <w:sz w:val="16"/>
                <w:szCs w:val="16"/>
                <w:b w:val="1"/>
                <w:bCs w:val="1"/>
                <w:color w:val="auto"/>
              </w:rPr>
              <w:t>12/31/17</w:t>
            </w:r>
          </w:p>
        </w:tc>
        <w:tc>
          <w:tcPr>
            <w:tcW w:w="0" w:type="dxa"/>
            <w:vAlign w:val="bottom"/>
          </w:tcPr>
          <w:p>
            <w:pPr>
              <w:spacing w:after="0"/>
              <w:rPr>
                <w:sz w:val="1"/>
                <w:szCs w:val="1"/>
                <w:color w:val="auto"/>
              </w:rPr>
            </w:pPr>
          </w:p>
        </w:tc>
      </w:tr>
      <w:tr>
        <w:trPr>
          <w:trHeight w:val="33"/>
        </w:trPr>
        <w:tc>
          <w:tcPr>
            <w:tcW w:w="6520" w:type="dxa"/>
            <w:vAlign w:val="bottom"/>
            <w:vMerge w:val="restart"/>
          </w:tcPr>
          <w:p>
            <w:pPr>
              <w:spacing w:after="0"/>
              <w:rPr>
                <w:sz w:val="20"/>
                <w:szCs w:val="20"/>
                <w:color w:val="auto"/>
              </w:rPr>
            </w:pPr>
            <w:r>
              <w:rPr>
                <w:rFonts w:ascii="Arial" w:cs="Arial" w:eastAsia="Arial" w:hAnsi="Arial"/>
                <w:sz w:val="16"/>
                <w:szCs w:val="16"/>
                <w:b w:val="1"/>
                <w:bCs w:val="1"/>
                <w:color w:val="auto"/>
              </w:rPr>
              <w:t>Stockholders’ Equity, Excluding AOCI Other Than Foreign Currency Translation</w:t>
            </w:r>
          </w:p>
        </w:tc>
        <w:tc>
          <w:tcPr>
            <w:tcW w:w="220" w:type="dxa"/>
            <w:vAlign w:val="bottom"/>
            <w:tcBorders>
              <w:left w:val="single" w:sz="8" w:color="auto"/>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8"/>
        </w:trPr>
        <w:tc>
          <w:tcPr>
            <w:tcW w:w="652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5"/>
        </w:trPr>
        <w:tc>
          <w:tcPr>
            <w:tcW w:w="6520" w:type="dxa"/>
            <w:vAlign w:val="bottom"/>
          </w:tcPr>
          <w:p>
            <w:pPr>
              <w:ind w:left="320"/>
              <w:spacing w:after="0"/>
              <w:rPr>
                <w:sz w:val="20"/>
                <w:szCs w:val="20"/>
                <w:color w:val="auto"/>
              </w:rPr>
            </w:pPr>
            <w:r>
              <w:rPr>
                <w:rFonts w:ascii="Arial" w:cs="Arial" w:eastAsia="Arial" w:hAnsi="Arial"/>
                <w:sz w:val="16"/>
                <w:szCs w:val="16"/>
                <w:b w:val="1"/>
                <w:bCs w:val="1"/>
                <w:color w:val="auto"/>
              </w:rPr>
              <w:t>Adjustment, Available to Common Stockholders:</w:t>
            </w:r>
          </w:p>
        </w:tc>
        <w:tc>
          <w:tcPr>
            <w:tcW w:w="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6520" w:type="dxa"/>
            <w:vAlign w:val="bottom"/>
          </w:tcPr>
          <w:p>
            <w:pPr>
              <w:spacing w:after="0"/>
              <w:rPr>
                <w:sz w:val="20"/>
                <w:szCs w:val="20"/>
                <w:color w:val="auto"/>
              </w:rPr>
            </w:pPr>
            <w:r>
              <w:rPr>
                <w:rFonts w:ascii="Arial" w:cs="Arial" w:eastAsia="Arial" w:hAnsi="Arial"/>
                <w:sz w:val="16"/>
                <w:szCs w:val="16"/>
                <w:color w:val="auto"/>
              </w:rPr>
              <w:t>Stockholders’ equity</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11,768.7</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12,921.9</w:t>
            </w:r>
          </w:p>
        </w:tc>
        <w:tc>
          <w:tcPr>
            <w:tcW w:w="0" w:type="dxa"/>
            <w:vAlign w:val="bottom"/>
          </w:tcPr>
          <w:p>
            <w:pPr>
              <w:spacing w:after="0"/>
              <w:rPr>
                <w:sz w:val="1"/>
                <w:szCs w:val="1"/>
                <w:color w:val="auto"/>
              </w:rPr>
            </w:pPr>
          </w:p>
        </w:tc>
      </w:tr>
      <w:tr>
        <w:trPr>
          <w:trHeight w:val="256"/>
        </w:trPr>
        <w:tc>
          <w:tcPr>
            <w:tcW w:w="6520" w:type="dxa"/>
            <w:vAlign w:val="bottom"/>
          </w:tcPr>
          <w:p>
            <w:pPr>
              <w:spacing w:after="0"/>
              <w:rPr>
                <w:sz w:val="20"/>
                <w:szCs w:val="20"/>
                <w:color w:val="auto"/>
              </w:rPr>
            </w:pPr>
            <w:r>
              <w:rPr>
                <w:rFonts w:ascii="Arial" w:cs="Arial" w:eastAsia="Arial" w:hAnsi="Arial"/>
                <w:sz w:val="16"/>
                <w:szCs w:val="16"/>
                <w:color w:val="auto"/>
              </w:rPr>
              <w:t>Noncontrolling interest</w:t>
            </w:r>
          </w:p>
        </w:tc>
        <w:tc>
          <w:tcPr>
            <w:tcW w:w="22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(67.9)</w:t>
            </w:r>
          </w:p>
        </w:tc>
        <w:tc>
          <w:tcPr>
            <w:tcW w:w="1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(72.6)</w:t>
            </w:r>
          </w:p>
        </w:tc>
        <w:tc>
          <w:tcPr>
            <w:tcW w:w="0" w:type="dxa"/>
            <w:vAlign w:val="bottom"/>
          </w:tcPr>
          <w:p>
            <w:pPr>
              <w:spacing w:after="0"/>
              <w:rPr>
                <w:sz w:val="1"/>
                <w:szCs w:val="1"/>
                <w:color w:val="auto"/>
              </w:rPr>
            </w:pPr>
          </w:p>
        </w:tc>
      </w:tr>
      <w:tr>
        <w:trPr>
          <w:trHeight w:val="224"/>
        </w:trPr>
        <w:tc>
          <w:tcPr>
            <w:tcW w:w="6520" w:type="dxa"/>
            <w:vAlign w:val="bottom"/>
          </w:tcPr>
          <w:p>
            <w:pPr>
              <w:spacing w:after="0"/>
              <w:rPr>
                <w:sz w:val="20"/>
                <w:szCs w:val="20"/>
                <w:color w:val="auto"/>
              </w:rPr>
            </w:pPr>
            <w:r>
              <w:rPr>
                <w:rFonts w:ascii="Arial" w:cs="Arial" w:eastAsia="Arial" w:hAnsi="Arial"/>
                <w:sz w:val="16"/>
                <w:szCs w:val="16"/>
                <w:color w:val="auto"/>
              </w:rPr>
              <w:t>Stockholders’ equity available to common stockholders</w:t>
            </w: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11,700.8</w:t>
            </w:r>
          </w:p>
        </w:tc>
        <w:tc>
          <w:tcPr>
            <w:tcW w:w="1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12,849.3</w:t>
            </w:r>
          </w:p>
        </w:tc>
        <w:tc>
          <w:tcPr>
            <w:tcW w:w="0" w:type="dxa"/>
            <w:vAlign w:val="bottom"/>
          </w:tcPr>
          <w:p>
            <w:pPr>
              <w:spacing w:after="0"/>
              <w:rPr>
                <w:sz w:val="1"/>
                <w:szCs w:val="1"/>
                <w:color w:val="auto"/>
              </w:rPr>
            </w:pPr>
          </w:p>
        </w:tc>
      </w:tr>
      <w:tr>
        <w:trPr>
          <w:trHeight w:val="243"/>
        </w:trPr>
        <w:tc>
          <w:tcPr>
            <w:tcW w:w="6520" w:type="dxa"/>
            <w:vAlign w:val="bottom"/>
          </w:tcPr>
          <w:p>
            <w:pPr>
              <w:spacing w:after="0"/>
              <w:rPr>
                <w:sz w:val="20"/>
                <w:szCs w:val="20"/>
                <w:color w:val="auto"/>
              </w:rPr>
            </w:pPr>
            <w:r>
              <w:rPr>
                <w:rFonts w:ascii="Arial" w:cs="Arial" w:eastAsia="Arial" w:hAnsi="Arial"/>
                <w:sz w:val="16"/>
                <w:szCs w:val="16"/>
                <w:color w:val="auto"/>
              </w:rPr>
              <w:t>Net unrealized capital (gains) losses</w:t>
            </w:r>
          </w:p>
        </w:tc>
        <w:tc>
          <w:tcPr>
            <w:tcW w:w="2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(244.3)</w:t>
            </w: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(1,455.1)</w:t>
            </w:r>
          </w:p>
        </w:tc>
        <w:tc>
          <w:tcPr>
            <w:tcW w:w="0" w:type="dxa"/>
            <w:vAlign w:val="bottom"/>
          </w:tcPr>
          <w:p>
            <w:pPr>
              <w:spacing w:after="0"/>
              <w:rPr>
                <w:sz w:val="1"/>
                <w:szCs w:val="1"/>
                <w:color w:val="auto"/>
              </w:rPr>
            </w:pPr>
          </w:p>
        </w:tc>
      </w:tr>
      <w:tr>
        <w:trPr>
          <w:trHeight w:val="256"/>
        </w:trPr>
        <w:tc>
          <w:tcPr>
            <w:tcW w:w="6520" w:type="dxa"/>
            <w:vAlign w:val="bottom"/>
          </w:tcPr>
          <w:p>
            <w:pPr>
              <w:spacing w:after="0"/>
              <w:rPr>
                <w:sz w:val="20"/>
                <w:szCs w:val="20"/>
                <w:color w:val="auto"/>
              </w:rPr>
            </w:pPr>
            <w:r>
              <w:rPr>
                <w:rFonts w:ascii="Arial" w:cs="Arial" w:eastAsia="Arial" w:hAnsi="Arial"/>
                <w:sz w:val="16"/>
                <w:szCs w:val="16"/>
                <w:color w:val="auto"/>
              </w:rPr>
              <w:t>Net unrecognized postretirement benefit obligation</w:t>
            </w:r>
          </w:p>
        </w:tc>
        <w:tc>
          <w:tcPr>
            <w:tcW w:w="22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425.8</w:t>
            </w:r>
          </w:p>
        </w:tc>
        <w:tc>
          <w:tcPr>
            <w:tcW w:w="1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371.1</w:t>
            </w:r>
          </w:p>
        </w:tc>
        <w:tc>
          <w:tcPr>
            <w:tcW w:w="0" w:type="dxa"/>
            <w:vAlign w:val="bottom"/>
          </w:tcPr>
          <w:p>
            <w:pPr>
              <w:spacing w:after="0"/>
              <w:rPr>
                <w:sz w:val="1"/>
                <w:szCs w:val="1"/>
                <w:color w:val="auto"/>
              </w:rPr>
            </w:pPr>
          </w:p>
        </w:tc>
      </w:tr>
      <w:tr>
        <w:trPr>
          <w:trHeight w:val="204"/>
        </w:trPr>
        <w:tc>
          <w:tcPr>
            <w:tcW w:w="6520" w:type="dxa"/>
            <w:vAlign w:val="bottom"/>
          </w:tcPr>
          <w:p>
            <w:pPr>
              <w:spacing w:after="0"/>
              <w:rPr>
                <w:sz w:val="20"/>
                <w:szCs w:val="20"/>
                <w:color w:val="auto"/>
              </w:rPr>
            </w:pPr>
            <w:r>
              <w:rPr>
                <w:rFonts w:ascii="Arial" w:cs="Arial" w:eastAsia="Arial" w:hAnsi="Arial"/>
                <w:sz w:val="16"/>
                <w:szCs w:val="16"/>
                <w:color w:val="auto"/>
              </w:rPr>
              <w:t>Stockholders’ equity, excluding AOCI other than foreign currency translation adjustment,</w:t>
            </w:r>
          </w:p>
        </w:tc>
        <w:tc>
          <w:tcPr>
            <w:tcW w:w="220" w:type="dxa"/>
            <w:vAlign w:val="bottom"/>
            <w:vMerge w:val="restart"/>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11,882.3</w:t>
            </w:r>
          </w:p>
        </w:tc>
        <w:tc>
          <w:tcPr>
            <w:tcW w:w="180" w:type="dxa"/>
            <w:vAlign w:val="bottom"/>
            <w:vMerge w:val="restart"/>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11,765.3</w:t>
            </w:r>
          </w:p>
        </w:tc>
        <w:tc>
          <w:tcPr>
            <w:tcW w:w="0" w:type="dxa"/>
            <w:vAlign w:val="bottom"/>
          </w:tcPr>
          <w:p>
            <w:pPr>
              <w:spacing w:after="0"/>
              <w:rPr>
                <w:sz w:val="1"/>
                <w:szCs w:val="1"/>
                <w:color w:val="auto"/>
              </w:rPr>
            </w:pPr>
          </w:p>
        </w:tc>
      </w:tr>
      <w:tr>
        <w:trPr>
          <w:trHeight w:val="200"/>
        </w:trPr>
        <w:tc>
          <w:tcPr>
            <w:tcW w:w="6520" w:type="dxa"/>
            <w:vAlign w:val="bottom"/>
          </w:tcPr>
          <w:p>
            <w:pPr>
              <w:ind w:left="320"/>
              <w:spacing w:after="0"/>
              <w:rPr>
                <w:sz w:val="20"/>
                <w:szCs w:val="20"/>
                <w:color w:val="auto"/>
              </w:rPr>
            </w:pPr>
            <w:r>
              <w:rPr>
                <w:rFonts w:ascii="Arial" w:cs="Arial" w:eastAsia="Arial" w:hAnsi="Arial"/>
                <w:sz w:val="16"/>
                <w:szCs w:val="16"/>
                <w:color w:val="auto"/>
              </w:rPr>
              <w:t>available to common stockholders</w:t>
            </w:r>
          </w:p>
        </w:tc>
        <w:tc>
          <w:tcPr>
            <w:tcW w:w="220" w:type="dxa"/>
            <w:vAlign w:val="bottom"/>
            <w:tcBorders>
              <w:bottom w:val="single" w:sz="8" w:color="auto"/>
            </w:tcBorders>
            <w:vMerge w:val="continue"/>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80" w:type="dxa"/>
            <w:vAlign w:val="bottom"/>
            <w:tcBorders>
              <w:bottom w:val="single" w:sz="8" w:color="auto"/>
            </w:tcBorders>
            <w:vMerge w:val="continue"/>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tcPr>
          <w:p>
            <w:pPr>
              <w:spacing w:after="0"/>
              <w:rPr>
                <w:sz w:val="20"/>
                <w:szCs w:val="20"/>
                <w:color w:val="auto"/>
              </w:rPr>
            </w:pPr>
            <w:r>
              <w:rPr>
                <w:rFonts w:ascii="Arial" w:cs="Arial" w:eastAsia="Arial" w:hAnsi="Arial"/>
                <w:sz w:val="16"/>
                <w:szCs w:val="16"/>
                <w:b w:val="1"/>
                <w:bCs w:val="1"/>
                <w:color w:val="auto"/>
              </w:rPr>
              <w:t>Book Value Per Common Share, Excluding AOCI Other Than Foreign Currency</w:t>
            </w: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9"/>
        </w:trPr>
        <w:tc>
          <w:tcPr>
            <w:tcW w:w="652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6520" w:type="dxa"/>
            <w:vAlign w:val="bottom"/>
          </w:tcPr>
          <w:p>
            <w:pPr>
              <w:ind w:left="320"/>
              <w:spacing w:after="0"/>
              <w:rPr>
                <w:sz w:val="20"/>
                <w:szCs w:val="20"/>
                <w:color w:val="auto"/>
              </w:rPr>
            </w:pPr>
            <w:r>
              <w:rPr>
                <w:rFonts w:ascii="Arial" w:cs="Arial" w:eastAsia="Arial" w:hAnsi="Arial"/>
                <w:sz w:val="16"/>
                <w:szCs w:val="16"/>
                <w:b w:val="1"/>
                <w:bCs w:val="1"/>
                <w:color w:val="auto"/>
              </w:rPr>
              <w:t>Translation Adjustment:</w:t>
            </w:r>
          </w:p>
        </w:tc>
        <w:tc>
          <w:tcPr>
            <w:tcW w:w="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6520" w:type="dxa"/>
            <w:vAlign w:val="bottom"/>
          </w:tcPr>
          <w:p>
            <w:pPr>
              <w:spacing w:after="0"/>
              <w:rPr>
                <w:sz w:val="20"/>
                <w:szCs w:val="20"/>
                <w:color w:val="auto"/>
              </w:rPr>
            </w:pPr>
            <w:r>
              <w:rPr>
                <w:rFonts w:ascii="Arial" w:cs="Arial" w:eastAsia="Arial" w:hAnsi="Arial"/>
                <w:sz w:val="16"/>
                <w:szCs w:val="16"/>
                <w:color w:val="auto"/>
              </w:rPr>
              <w:t>Book value per common share</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41.26</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44.46</w:t>
            </w:r>
          </w:p>
        </w:tc>
        <w:tc>
          <w:tcPr>
            <w:tcW w:w="0" w:type="dxa"/>
            <w:vAlign w:val="bottom"/>
          </w:tcPr>
          <w:p>
            <w:pPr>
              <w:spacing w:after="0"/>
              <w:rPr>
                <w:sz w:val="1"/>
                <w:szCs w:val="1"/>
                <w:color w:val="auto"/>
              </w:rPr>
            </w:pPr>
          </w:p>
        </w:tc>
      </w:tr>
      <w:tr>
        <w:trPr>
          <w:trHeight w:val="243"/>
        </w:trPr>
        <w:tc>
          <w:tcPr>
            <w:tcW w:w="6520" w:type="dxa"/>
            <w:vAlign w:val="bottom"/>
          </w:tcPr>
          <w:p>
            <w:pPr>
              <w:spacing w:after="0"/>
              <w:rPr>
                <w:sz w:val="20"/>
                <w:szCs w:val="20"/>
                <w:color w:val="auto"/>
              </w:rPr>
            </w:pPr>
            <w:r>
              <w:rPr>
                <w:rFonts w:ascii="Arial" w:cs="Arial" w:eastAsia="Arial" w:hAnsi="Arial"/>
                <w:sz w:val="16"/>
                <w:szCs w:val="16"/>
                <w:color w:val="auto"/>
              </w:rPr>
              <w:t>Net unrealized capital (gains) losses</w:t>
            </w:r>
          </w:p>
        </w:tc>
        <w:tc>
          <w:tcPr>
            <w:tcW w:w="2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(0.86)</w:t>
            </w: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(5.03)</w:t>
            </w:r>
          </w:p>
        </w:tc>
        <w:tc>
          <w:tcPr>
            <w:tcW w:w="0" w:type="dxa"/>
            <w:vAlign w:val="bottom"/>
          </w:tcPr>
          <w:p>
            <w:pPr>
              <w:spacing w:after="0"/>
              <w:rPr>
                <w:sz w:val="1"/>
                <w:szCs w:val="1"/>
                <w:color w:val="auto"/>
              </w:rPr>
            </w:pPr>
          </w:p>
        </w:tc>
      </w:tr>
      <w:tr>
        <w:trPr>
          <w:trHeight w:val="256"/>
        </w:trPr>
        <w:tc>
          <w:tcPr>
            <w:tcW w:w="6520" w:type="dxa"/>
            <w:vAlign w:val="bottom"/>
          </w:tcPr>
          <w:p>
            <w:pPr>
              <w:spacing w:after="0"/>
              <w:rPr>
                <w:sz w:val="20"/>
                <w:szCs w:val="20"/>
                <w:color w:val="auto"/>
              </w:rPr>
            </w:pPr>
            <w:r>
              <w:rPr>
                <w:rFonts w:ascii="Arial" w:cs="Arial" w:eastAsia="Arial" w:hAnsi="Arial"/>
                <w:sz w:val="16"/>
                <w:szCs w:val="16"/>
                <w:color w:val="auto"/>
              </w:rPr>
              <w:t>Net unrecognized postretirement benefit obligation</w:t>
            </w:r>
          </w:p>
        </w:tc>
        <w:tc>
          <w:tcPr>
            <w:tcW w:w="22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1.50</w:t>
            </w:r>
          </w:p>
        </w:tc>
        <w:tc>
          <w:tcPr>
            <w:tcW w:w="1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1.28</w:t>
            </w:r>
          </w:p>
        </w:tc>
        <w:tc>
          <w:tcPr>
            <w:tcW w:w="0" w:type="dxa"/>
            <w:vAlign w:val="bottom"/>
          </w:tcPr>
          <w:p>
            <w:pPr>
              <w:spacing w:after="0"/>
              <w:rPr>
                <w:sz w:val="1"/>
                <w:szCs w:val="1"/>
                <w:color w:val="auto"/>
              </w:rPr>
            </w:pPr>
          </w:p>
        </w:tc>
      </w:tr>
      <w:tr>
        <w:trPr>
          <w:trHeight w:val="204"/>
        </w:trPr>
        <w:tc>
          <w:tcPr>
            <w:tcW w:w="6520" w:type="dxa"/>
            <w:vAlign w:val="bottom"/>
          </w:tcPr>
          <w:p>
            <w:pPr>
              <w:spacing w:after="0"/>
              <w:rPr>
                <w:sz w:val="20"/>
                <w:szCs w:val="20"/>
                <w:color w:val="auto"/>
              </w:rPr>
            </w:pPr>
            <w:r>
              <w:rPr>
                <w:rFonts w:ascii="Arial" w:cs="Arial" w:eastAsia="Arial" w:hAnsi="Arial"/>
                <w:sz w:val="16"/>
                <w:szCs w:val="16"/>
                <w:color w:val="auto"/>
              </w:rPr>
              <w:t>Book value per common share, excluding AOCI other than foreign currency translation</w:t>
            </w:r>
          </w:p>
        </w:tc>
        <w:tc>
          <w:tcPr>
            <w:tcW w:w="220" w:type="dxa"/>
            <w:vAlign w:val="bottom"/>
            <w:vMerge w:val="restart"/>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41.90</w:t>
            </w:r>
          </w:p>
        </w:tc>
        <w:tc>
          <w:tcPr>
            <w:tcW w:w="180" w:type="dxa"/>
            <w:vAlign w:val="bottom"/>
            <w:vMerge w:val="restart"/>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40.71</w:t>
            </w:r>
          </w:p>
        </w:tc>
        <w:tc>
          <w:tcPr>
            <w:tcW w:w="0" w:type="dxa"/>
            <w:vAlign w:val="bottom"/>
          </w:tcPr>
          <w:p>
            <w:pPr>
              <w:spacing w:after="0"/>
              <w:rPr>
                <w:sz w:val="1"/>
                <w:szCs w:val="1"/>
                <w:color w:val="auto"/>
              </w:rPr>
            </w:pPr>
          </w:p>
        </w:tc>
      </w:tr>
      <w:tr>
        <w:trPr>
          <w:trHeight w:val="203"/>
        </w:trPr>
        <w:tc>
          <w:tcPr>
            <w:tcW w:w="6520" w:type="dxa"/>
            <w:vAlign w:val="bottom"/>
          </w:tcPr>
          <w:p>
            <w:pPr>
              <w:ind w:left="320"/>
              <w:spacing w:after="0"/>
              <w:rPr>
                <w:sz w:val="20"/>
                <w:szCs w:val="20"/>
                <w:color w:val="auto"/>
              </w:rPr>
            </w:pPr>
            <w:r>
              <w:rPr>
                <w:rFonts w:ascii="Arial" w:cs="Arial" w:eastAsia="Arial" w:hAnsi="Arial"/>
                <w:sz w:val="16"/>
                <w:szCs w:val="16"/>
                <w:color w:val="auto"/>
              </w:rPr>
              <w:t>adjustment</w:t>
            </w:r>
          </w:p>
        </w:tc>
        <w:tc>
          <w:tcPr>
            <w:tcW w:w="220" w:type="dxa"/>
            <w:vAlign w:val="bottom"/>
            <w:tcBorders>
              <w:bottom w:val="single" w:sz="8" w:color="auto"/>
            </w:tcBorders>
            <w:vMerge w:val="continue"/>
          </w:tcPr>
          <w:p>
            <w:pPr>
              <w:spacing w:after="0"/>
              <w:rPr>
                <w:sz w:val="17"/>
                <w:szCs w:val="17"/>
                <w:color w:val="auto"/>
              </w:rPr>
            </w:pPr>
          </w:p>
        </w:tc>
        <w:tc>
          <w:tcPr>
            <w:tcW w:w="960" w:type="dxa"/>
            <w:vAlign w:val="bottom"/>
            <w:tcBorders>
              <w:bottom w:val="single" w:sz="8" w:color="auto"/>
            </w:tcBorders>
            <w:vMerge w:val="continue"/>
          </w:tcPr>
          <w:p>
            <w:pPr>
              <w:spacing w:after="0"/>
              <w:rPr>
                <w:sz w:val="17"/>
                <w:szCs w:val="17"/>
                <w:color w:val="auto"/>
              </w:rPr>
            </w:pPr>
          </w:p>
        </w:tc>
        <w:tc>
          <w:tcPr>
            <w:tcW w:w="180" w:type="dxa"/>
            <w:vAlign w:val="bottom"/>
            <w:tcBorders>
              <w:bottom w:val="single" w:sz="8" w:color="auto"/>
            </w:tcBorders>
            <w:vMerge w:val="continue"/>
          </w:tcPr>
          <w:p>
            <w:pPr>
              <w:spacing w:after="0"/>
              <w:rPr>
                <w:sz w:val="17"/>
                <w:szCs w:val="17"/>
                <w:color w:val="auto"/>
              </w:rPr>
            </w:pPr>
          </w:p>
        </w:tc>
        <w:tc>
          <w:tcPr>
            <w:tcW w:w="98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5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179"/>
          </w:cols>
          <w:pgMar w:left="280" w:top="1440" w:right="1440" w:bottom="1440" w:gutter="0" w:footer="0" w:header="0"/>
        </w:sectPr>
      </w:pPr>
    </w:p>
    <w:bookmarkStart w:id="12" w:name="page13"/>
    <w:bookmarkEnd w:id="12"/>
    <w:p>
      <w:pPr>
        <w:jc w:val="center"/>
        <w:ind w:right="999"/>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t>Principal Financial Group, Inc.</w:t>
      </w:r>
    </w:p>
    <w:p>
      <w:pPr>
        <w:spacing w:after="0" w:line="25" w:lineRule="exact"/>
        <w:rPr>
          <w:sz w:val="20"/>
          <w:szCs w:val="20"/>
          <w:color w:val="auto"/>
        </w:rPr>
      </w:pPr>
    </w:p>
    <w:p>
      <w:pPr>
        <w:jc w:val="center"/>
        <w:ind w:right="999"/>
        <w:spacing w:after="0"/>
        <w:rPr>
          <w:sz w:val="20"/>
          <w:szCs w:val="20"/>
          <w:color w:val="auto"/>
        </w:rPr>
      </w:pPr>
      <w:r>
        <w:rPr>
          <w:rFonts w:ascii="Arial" w:cs="Arial" w:eastAsia="Arial" w:hAnsi="Arial"/>
          <w:sz w:val="16"/>
          <w:szCs w:val="16"/>
          <w:b w:val="1"/>
          <w:bCs w:val="1"/>
          <w:color w:val="auto"/>
        </w:rPr>
        <w:t>Reconciliation of U.S. GAAP to Non-GAAP Financial Measures</w:t>
      </w:r>
    </w:p>
    <w:p>
      <w:pPr>
        <w:spacing w:after="0" w:line="5" w:lineRule="exact"/>
        <w:rPr>
          <w:sz w:val="20"/>
          <w:szCs w:val="20"/>
          <w:color w:val="auto"/>
        </w:rPr>
      </w:pPr>
    </w:p>
    <w:p>
      <w:pPr>
        <w:jc w:val="center"/>
        <w:ind w:right="999"/>
        <w:spacing w:after="0"/>
        <w:rPr>
          <w:sz w:val="20"/>
          <w:szCs w:val="20"/>
          <w:color w:val="auto"/>
        </w:rPr>
      </w:pPr>
      <w:r>
        <w:rPr>
          <w:rFonts w:ascii="Arial" w:cs="Arial" w:eastAsia="Arial" w:hAnsi="Arial"/>
          <w:sz w:val="16"/>
          <w:szCs w:val="16"/>
          <w:b w:val="1"/>
          <w:bCs w:val="1"/>
          <w:color w:val="auto"/>
        </w:rPr>
        <w:t>(in millions)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4340" w:type="dxa"/>
            <w:vAlign w:val="bottom"/>
          </w:tcPr>
          <w:p>
            <w:pPr>
              <w:spacing w:after="0"/>
              <w:rPr>
                <w:sz w:val="20"/>
                <w:szCs w:val="20"/>
                <w:color w:val="auto"/>
              </w:rPr>
            </w:pPr>
          </w:p>
        </w:tc>
        <w:tc>
          <w:tcPr>
            <w:tcW w:w="220" w:type="dxa"/>
            <w:vAlign w:val="bottom"/>
            <w:tcBorders>
              <w:top w:val="single" w:sz="8" w:color="auto"/>
              <w:left w:val="single" w:sz="8" w:color="auto"/>
            </w:tcBorders>
          </w:tcPr>
          <w:p>
            <w:pPr>
              <w:spacing w:after="0"/>
              <w:rPr>
                <w:sz w:val="20"/>
                <w:szCs w:val="20"/>
                <w:color w:val="auto"/>
              </w:rPr>
            </w:pPr>
          </w:p>
        </w:tc>
        <w:tc>
          <w:tcPr>
            <w:tcW w:w="2320" w:type="dxa"/>
            <w:vAlign w:val="bottom"/>
            <w:tcBorders>
              <w:top w:val="single" w:sz="8" w:color="auto"/>
              <w:right w:val="single" w:sz="8" w:color="auto"/>
            </w:tcBorders>
            <w:gridSpan w:val="3"/>
          </w:tcPr>
          <w:p>
            <w:pPr>
              <w:jc w:val="right"/>
              <w:ind w:right="359"/>
              <w:spacing w:after="0"/>
              <w:rPr>
                <w:sz w:val="20"/>
                <w:szCs w:val="20"/>
                <w:color w:val="auto"/>
              </w:rPr>
            </w:pPr>
            <w:r>
              <w:rPr>
                <w:rFonts w:ascii="Arial" w:cs="Arial" w:eastAsia="Arial" w:hAnsi="Arial"/>
                <w:sz w:val="16"/>
                <w:szCs w:val="16"/>
                <w:b w:val="1"/>
                <w:bCs w:val="1"/>
                <w:color w:val="auto"/>
              </w:rPr>
              <w:t>Three Months Ended,</w:t>
            </w:r>
          </w:p>
        </w:tc>
        <w:tc>
          <w:tcPr>
            <w:tcW w:w="180" w:type="dxa"/>
            <w:vAlign w:val="bottom"/>
            <w:tcBorders>
              <w:top w:val="single" w:sz="8" w:color="auto"/>
            </w:tcBorders>
          </w:tcPr>
          <w:p>
            <w:pPr>
              <w:spacing w:after="0"/>
              <w:rPr>
                <w:sz w:val="20"/>
                <w:szCs w:val="20"/>
                <w:color w:val="auto"/>
              </w:rPr>
            </w:pPr>
          </w:p>
        </w:tc>
        <w:tc>
          <w:tcPr>
            <w:tcW w:w="2160" w:type="dxa"/>
            <w:vAlign w:val="bottom"/>
            <w:tcBorders>
              <w:top w:val="single" w:sz="8" w:color="auto"/>
              <w:right w:val="single" w:sz="8" w:color="auto"/>
            </w:tcBorders>
            <w:gridSpan w:val="3"/>
          </w:tcPr>
          <w:p>
            <w:pPr>
              <w:jc w:val="right"/>
              <w:ind w:right="179"/>
              <w:spacing w:after="0"/>
              <w:rPr>
                <w:sz w:val="20"/>
                <w:szCs w:val="20"/>
                <w:color w:val="auto"/>
              </w:rPr>
            </w:pPr>
            <w:r>
              <w:rPr>
                <w:rFonts w:ascii="Arial" w:cs="Arial" w:eastAsia="Arial" w:hAnsi="Arial"/>
                <w:sz w:val="16"/>
                <w:szCs w:val="16"/>
                <w:b w:val="1"/>
                <w:bCs w:val="1"/>
                <w:color w:val="auto"/>
              </w:rPr>
              <w:t>Trailing Twelve Months,</w:t>
            </w:r>
          </w:p>
        </w:tc>
        <w:tc>
          <w:tcPr>
            <w:tcW w:w="0" w:type="dxa"/>
            <w:vAlign w:val="bottom"/>
          </w:tcPr>
          <w:p>
            <w:pPr>
              <w:spacing w:after="0"/>
              <w:rPr>
                <w:sz w:val="1"/>
                <w:szCs w:val="1"/>
                <w:color w:val="auto"/>
              </w:rPr>
            </w:pPr>
          </w:p>
        </w:tc>
      </w:tr>
      <w:tr>
        <w:trPr>
          <w:trHeight w:val="33"/>
        </w:trPr>
        <w:tc>
          <w:tcPr>
            <w:tcW w:w="4340" w:type="dxa"/>
            <w:vAlign w:val="bottom"/>
          </w:tcPr>
          <w:p>
            <w:pPr>
              <w:spacing w:after="0"/>
              <w:rPr>
                <w:sz w:val="2"/>
                <w:szCs w:val="2"/>
                <w:color w:val="auto"/>
              </w:rPr>
            </w:pPr>
          </w:p>
        </w:tc>
        <w:tc>
          <w:tcPr>
            <w:tcW w:w="220" w:type="dxa"/>
            <w:vAlign w:val="bottom"/>
            <w:tcBorders>
              <w:left w:val="single" w:sz="8" w:color="auto"/>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4340" w:type="dxa"/>
            <w:vAlign w:val="bottom"/>
          </w:tcPr>
          <w:p>
            <w:pPr>
              <w:spacing w:after="0"/>
              <w:rPr>
                <w:sz w:val="18"/>
                <w:szCs w:val="18"/>
                <w:color w:val="auto"/>
              </w:rPr>
            </w:pPr>
          </w:p>
        </w:tc>
        <w:tc>
          <w:tcPr>
            <w:tcW w:w="220" w:type="dxa"/>
            <w:vAlign w:val="bottom"/>
            <w:tcBorders>
              <w:left w:val="single" w:sz="8" w:color="auto"/>
            </w:tcBorders>
          </w:tcPr>
          <w:p>
            <w:pPr>
              <w:spacing w:after="0"/>
              <w:rPr>
                <w:sz w:val="18"/>
                <w:szCs w:val="18"/>
                <w:color w:val="auto"/>
              </w:rPr>
            </w:pPr>
          </w:p>
        </w:tc>
        <w:tc>
          <w:tcPr>
            <w:tcW w:w="960" w:type="dxa"/>
            <w:vAlign w:val="bottom"/>
            <w:tcBorders>
              <w:right w:val="single" w:sz="8" w:color="auto"/>
            </w:tcBorders>
          </w:tcPr>
          <w:p>
            <w:pPr>
              <w:jc w:val="right"/>
              <w:ind w:right="239"/>
              <w:spacing w:after="0"/>
              <w:rPr>
                <w:sz w:val="20"/>
                <w:szCs w:val="20"/>
                <w:color w:val="auto"/>
              </w:rPr>
            </w:pPr>
            <w:r>
              <w:rPr>
                <w:rFonts w:ascii="Arial" w:cs="Arial" w:eastAsia="Arial" w:hAnsi="Arial"/>
                <w:sz w:val="16"/>
                <w:szCs w:val="16"/>
                <w:b w:val="1"/>
                <w:bCs w:val="1"/>
                <w:color w:val="auto"/>
              </w:rPr>
              <w:t>9/30/18</w:t>
            </w:r>
          </w:p>
        </w:tc>
        <w:tc>
          <w:tcPr>
            <w:tcW w:w="340" w:type="dxa"/>
            <w:vAlign w:val="bottom"/>
          </w:tcPr>
          <w:p>
            <w:pPr>
              <w:spacing w:after="0"/>
              <w:rPr>
                <w:sz w:val="18"/>
                <w:szCs w:val="18"/>
                <w:color w:val="auto"/>
              </w:rPr>
            </w:pPr>
          </w:p>
        </w:tc>
        <w:tc>
          <w:tcPr>
            <w:tcW w:w="1020" w:type="dxa"/>
            <w:vAlign w:val="bottom"/>
            <w:tcBorders>
              <w:right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9/30/17</w:t>
            </w:r>
          </w:p>
        </w:tc>
        <w:tc>
          <w:tcPr>
            <w:tcW w:w="180" w:type="dxa"/>
            <w:vAlign w:val="bottom"/>
          </w:tcPr>
          <w:p>
            <w:pPr>
              <w:spacing w:after="0"/>
              <w:rPr>
                <w:sz w:val="18"/>
                <w:szCs w:val="18"/>
                <w:color w:val="auto"/>
              </w:rPr>
            </w:pPr>
          </w:p>
        </w:tc>
        <w:tc>
          <w:tcPr>
            <w:tcW w:w="1000" w:type="dxa"/>
            <w:vAlign w:val="bottom"/>
            <w:tcBorders>
              <w:right w:val="single" w:sz="8" w:color="auto"/>
            </w:tcBorders>
          </w:tcPr>
          <w:p>
            <w:pPr>
              <w:jc w:val="right"/>
              <w:ind w:right="259"/>
              <w:spacing w:after="0"/>
              <w:rPr>
                <w:sz w:val="20"/>
                <w:szCs w:val="20"/>
                <w:color w:val="auto"/>
              </w:rPr>
            </w:pPr>
            <w:r>
              <w:rPr>
                <w:rFonts w:ascii="Arial" w:cs="Arial" w:eastAsia="Arial" w:hAnsi="Arial"/>
                <w:sz w:val="16"/>
                <w:szCs w:val="16"/>
                <w:b w:val="1"/>
                <w:bCs w:val="1"/>
                <w:color w:val="auto"/>
              </w:rPr>
              <w:t>9/30/18</w:t>
            </w:r>
          </w:p>
        </w:tc>
        <w:tc>
          <w:tcPr>
            <w:tcW w:w="200" w:type="dxa"/>
            <w:vAlign w:val="bottom"/>
          </w:tcPr>
          <w:p>
            <w:pPr>
              <w:spacing w:after="0"/>
              <w:rPr>
                <w:sz w:val="18"/>
                <w:szCs w:val="18"/>
                <w:color w:val="auto"/>
              </w:rPr>
            </w:pPr>
          </w:p>
        </w:tc>
        <w:tc>
          <w:tcPr>
            <w:tcW w:w="960" w:type="dxa"/>
            <w:vAlign w:val="bottom"/>
            <w:tcBorders>
              <w:right w:val="single" w:sz="8" w:color="auto"/>
            </w:tcBorders>
          </w:tcPr>
          <w:p>
            <w:pPr>
              <w:jc w:val="right"/>
              <w:ind w:right="239"/>
              <w:spacing w:after="0"/>
              <w:rPr>
                <w:sz w:val="20"/>
                <w:szCs w:val="20"/>
                <w:color w:val="auto"/>
              </w:rPr>
            </w:pPr>
            <w:r>
              <w:rPr>
                <w:rFonts w:ascii="Arial" w:cs="Arial" w:eastAsia="Arial" w:hAnsi="Arial"/>
                <w:sz w:val="16"/>
                <w:szCs w:val="16"/>
                <w:b w:val="1"/>
                <w:bCs w:val="1"/>
                <w:color w:val="auto"/>
              </w:rPr>
              <w:t>9/30/17</w:t>
            </w:r>
          </w:p>
        </w:tc>
        <w:tc>
          <w:tcPr>
            <w:tcW w:w="0" w:type="dxa"/>
            <w:vAlign w:val="bottom"/>
          </w:tcPr>
          <w:p>
            <w:pPr>
              <w:spacing w:after="0"/>
              <w:rPr>
                <w:sz w:val="1"/>
                <w:szCs w:val="1"/>
                <w:color w:val="auto"/>
              </w:rPr>
            </w:pPr>
          </w:p>
        </w:tc>
      </w:tr>
      <w:tr>
        <w:trPr>
          <w:trHeight w:val="33"/>
        </w:trPr>
        <w:tc>
          <w:tcPr>
            <w:tcW w:w="4340" w:type="dxa"/>
            <w:vAlign w:val="bottom"/>
            <w:vMerge w:val="restart"/>
          </w:tcPr>
          <w:p>
            <w:pPr>
              <w:spacing w:after="0"/>
              <w:rPr>
                <w:sz w:val="20"/>
                <w:szCs w:val="20"/>
                <w:color w:val="auto"/>
              </w:rPr>
            </w:pPr>
            <w:r>
              <w:rPr>
                <w:rFonts w:ascii="Arial" w:cs="Arial" w:eastAsia="Arial" w:hAnsi="Arial"/>
                <w:sz w:val="16"/>
                <w:szCs w:val="16"/>
                <w:b w:val="1"/>
                <w:bCs w:val="1"/>
                <w:color w:val="auto"/>
              </w:rPr>
              <w:t>Income Taxes:</w:t>
            </w:r>
          </w:p>
        </w:tc>
        <w:tc>
          <w:tcPr>
            <w:tcW w:w="220" w:type="dxa"/>
            <w:vAlign w:val="bottom"/>
            <w:tcBorders>
              <w:left w:val="single" w:sz="8" w:color="auto"/>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434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84"/>
        </w:trPr>
        <w:tc>
          <w:tcPr>
            <w:tcW w:w="4340" w:type="dxa"/>
            <w:vAlign w:val="bottom"/>
          </w:tcPr>
          <w:p>
            <w:pPr>
              <w:spacing w:after="0"/>
              <w:rPr>
                <w:sz w:val="20"/>
                <w:szCs w:val="20"/>
                <w:color w:val="auto"/>
              </w:rPr>
            </w:pPr>
            <w:r>
              <w:rPr>
                <w:rFonts w:ascii="Arial" w:cs="Arial" w:eastAsia="Arial" w:hAnsi="Arial"/>
                <w:sz w:val="16"/>
                <w:szCs w:val="16"/>
                <w:color w:val="auto"/>
              </w:rPr>
              <w:t>Total GAAP income taxes (benefits)</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109.1</w:t>
            </w: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344.6</w:t>
            </w:r>
          </w:p>
        </w:tc>
        <w:tc>
          <w:tcPr>
            <w:tcW w:w="18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(308.6)</w:t>
            </w:r>
          </w:p>
        </w:tc>
        <w:tc>
          <w:tcPr>
            <w:tcW w:w="200" w:type="dxa"/>
            <w:vAlign w:val="bottom"/>
          </w:tcPr>
          <w:p>
            <w:pPr>
              <w:jc w:val="right"/>
              <w:ind w:right="44"/>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498.9</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Net realized capital gains (losses) tax adjustments</w:t>
            </w:r>
          </w:p>
        </w:tc>
        <w:tc>
          <w:tcPr>
            <w:tcW w:w="22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4.7</w:t>
            </w: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(284.3)</w:t>
            </w:r>
          </w:p>
        </w:tc>
        <w:tc>
          <w:tcPr>
            <w:tcW w:w="180" w:type="dxa"/>
            <w:vAlign w:val="bottom"/>
          </w:tcPr>
          <w:p>
            <w:pPr>
              <w:spacing w:after="0"/>
              <w:rPr>
                <w:sz w:val="21"/>
                <w:szCs w:val="21"/>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49.6</w:t>
            </w: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(227.6)</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Tax benefit related to other after-tax adjustments</w:t>
            </w:r>
          </w:p>
        </w:tc>
        <w:tc>
          <w:tcPr>
            <w:tcW w:w="22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1"/>
                <w:szCs w:val="21"/>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1"/>
                <w:szCs w:val="21"/>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594.5</w:t>
            </w:r>
          </w:p>
        </w:tc>
        <w:tc>
          <w:tcPr>
            <w:tcW w:w="20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34.4</w:t>
            </w:r>
          </w:p>
        </w:tc>
        <w:tc>
          <w:tcPr>
            <w:tcW w:w="0" w:type="dxa"/>
            <w:vAlign w:val="bottom"/>
          </w:tcPr>
          <w:p>
            <w:pPr>
              <w:spacing w:after="0"/>
              <w:rPr>
                <w:sz w:val="1"/>
                <w:szCs w:val="1"/>
                <w:color w:val="auto"/>
              </w:rPr>
            </w:pPr>
          </w:p>
        </w:tc>
      </w:tr>
      <w:tr>
        <w:trPr>
          <w:trHeight w:val="238"/>
        </w:trPr>
        <w:tc>
          <w:tcPr>
            <w:tcW w:w="4340" w:type="dxa"/>
            <w:vAlign w:val="bottom"/>
          </w:tcPr>
          <w:p>
            <w:pPr>
              <w:spacing w:after="0"/>
              <w:rPr>
                <w:sz w:val="20"/>
                <w:szCs w:val="20"/>
                <w:color w:val="auto"/>
              </w:rPr>
            </w:pPr>
            <w:r>
              <w:rPr>
                <w:rFonts w:ascii="Arial" w:cs="Arial" w:eastAsia="Arial" w:hAnsi="Arial"/>
                <w:sz w:val="16"/>
                <w:szCs w:val="16"/>
                <w:color w:val="auto"/>
              </w:rPr>
              <w:t>Income taxes related to equity method investments and</w:t>
            </w: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8"/>
        </w:trPr>
        <w:tc>
          <w:tcPr>
            <w:tcW w:w="4340" w:type="dxa"/>
            <w:vAlign w:val="bottom"/>
          </w:tcPr>
          <w:p>
            <w:pPr>
              <w:ind w:left="320"/>
              <w:spacing w:after="0"/>
              <w:rPr>
                <w:sz w:val="20"/>
                <w:szCs w:val="20"/>
                <w:color w:val="auto"/>
              </w:rPr>
            </w:pPr>
            <w:r>
              <w:rPr>
                <w:rFonts w:ascii="Arial" w:cs="Arial" w:eastAsia="Arial" w:hAnsi="Arial"/>
                <w:sz w:val="16"/>
                <w:szCs w:val="16"/>
                <w:color w:val="auto"/>
              </w:rPr>
              <w:t>noncontrolling interest</w:t>
            </w: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w:t>
            </w:r>
          </w:p>
        </w:tc>
        <w:tc>
          <w:tcPr>
            <w:tcW w:w="3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18.9</w:t>
            </w:r>
          </w:p>
        </w:tc>
        <w:tc>
          <w:tcPr>
            <w:tcW w:w="18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61.4</w:t>
            </w: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79.5</w:t>
            </w:r>
          </w:p>
        </w:tc>
        <w:tc>
          <w:tcPr>
            <w:tcW w:w="0" w:type="dxa"/>
            <w:vAlign w:val="bottom"/>
          </w:tcPr>
          <w:p>
            <w:pPr>
              <w:spacing w:after="0"/>
              <w:rPr>
                <w:sz w:val="1"/>
                <w:szCs w:val="1"/>
                <w:color w:val="auto"/>
              </w:rPr>
            </w:pPr>
          </w:p>
        </w:tc>
      </w:tr>
      <w:tr>
        <w:trPr>
          <w:trHeight w:val="237"/>
        </w:trPr>
        <w:tc>
          <w:tcPr>
            <w:tcW w:w="4340" w:type="dxa"/>
            <w:vAlign w:val="bottom"/>
          </w:tcPr>
          <w:p>
            <w:pPr>
              <w:spacing w:after="0"/>
              <w:rPr>
                <w:sz w:val="20"/>
                <w:szCs w:val="20"/>
                <w:color w:val="auto"/>
              </w:rPr>
            </w:pPr>
            <w:r>
              <w:rPr>
                <w:rFonts w:ascii="Arial" w:cs="Arial" w:eastAsia="Arial" w:hAnsi="Arial"/>
                <w:sz w:val="16"/>
                <w:szCs w:val="16"/>
                <w:color w:val="auto"/>
              </w:rPr>
              <w:t>Income taxes</w:t>
            </w:r>
          </w:p>
        </w:tc>
        <w:tc>
          <w:tcPr>
            <w:tcW w:w="2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112.2</w:t>
            </w: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79.2</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396.9</w:t>
            </w:r>
          </w:p>
        </w:tc>
        <w:tc>
          <w:tcPr>
            <w:tcW w:w="200" w:type="dxa"/>
            <w:vAlign w:val="bottom"/>
            <w:tcBorders>
              <w:bottom w:val="single" w:sz="8" w:color="auto"/>
            </w:tcBorders>
          </w:tcPr>
          <w:p>
            <w:pPr>
              <w:jc w:val="right"/>
              <w:ind w:right="44"/>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385.2</w:t>
            </w:r>
          </w:p>
        </w:tc>
        <w:tc>
          <w:tcPr>
            <w:tcW w:w="0" w:type="dxa"/>
            <w:vAlign w:val="bottom"/>
          </w:tcPr>
          <w:p>
            <w:pPr>
              <w:spacing w:after="0"/>
              <w:rPr>
                <w:sz w:val="1"/>
                <w:szCs w:val="1"/>
                <w:color w:val="auto"/>
              </w:rPr>
            </w:pPr>
          </w:p>
        </w:tc>
      </w:tr>
      <w:tr>
        <w:trPr>
          <w:trHeight w:val="20"/>
        </w:trPr>
        <w:tc>
          <w:tcPr>
            <w:tcW w:w="4340" w:type="dxa"/>
            <w:vAlign w:val="bottom"/>
            <w:vMerge w:val="restart"/>
          </w:tcPr>
          <w:p>
            <w:pPr>
              <w:spacing w:after="0"/>
              <w:rPr>
                <w:sz w:val="20"/>
                <w:szCs w:val="20"/>
                <w:color w:val="auto"/>
              </w:rPr>
            </w:pPr>
            <w:r>
              <w:rPr>
                <w:rFonts w:ascii="Arial" w:cs="Arial" w:eastAsia="Arial" w:hAnsi="Arial"/>
                <w:sz w:val="16"/>
                <w:szCs w:val="16"/>
                <w:b w:val="1"/>
                <w:bCs w:val="1"/>
                <w:color w:val="auto"/>
              </w:rPr>
              <w:t>Net Realized Capital Gains (Losses):</w:t>
            </w: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8"/>
        </w:trPr>
        <w:tc>
          <w:tcPr>
            <w:tcW w:w="434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4340" w:type="dxa"/>
            <w:vAlign w:val="bottom"/>
          </w:tcPr>
          <w:p>
            <w:pPr>
              <w:spacing w:after="0"/>
              <w:rPr>
                <w:sz w:val="20"/>
                <w:szCs w:val="20"/>
                <w:color w:val="auto"/>
              </w:rPr>
            </w:pPr>
            <w:r>
              <w:rPr>
                <w:rFonts w:ascii="Arial" w:cs="Arial" w:eastAsia="Arial" w:hAnsi="Arial"/>
                <w:sz w:val="16"/>
                <w:szCs w:val="16"/>
                <w:color w:val="auto"/>
              </w:rPr>
              <w:t>GAAP net realized capital gains (losses)</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(5.5)</w:t>
            </w: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676.6</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(3.1)</w:t>
            </w:r>
          </w:p>
        </w:tc>
        <w:tc>
          <w:tcPr>
            <w:tcW w:w="200" w:type="dxa"/>
            <w:vAlign w:val="bottom"/>
          </w:tcPr>
          <w:p>
            <w:pPr>
              <w:jc w:val="right"/>
              <w:ind w:right="44"/>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520.7</w:t>
            </w:r>
          </w:p>
        </w:tc>
        <w:tc>
          <w:tcPr>
            <w:tcW w:w="0" w:type="dxa"/>
            <w:vAlign w:val="bottom"/>
          </w:tcPr>
          <w:p>
            <w:pPr>
              <w:spacing w:after="0"/>
              <w:rPr>
                <w:sz w:val="1"/>
                <w:szCs w:val="1"/>
                <w:color w:val="auto"/>
              </w:rPr>
            </w:pPr>
          </w:p>
        </w:tc>
      </w:tr>
      <w:tr>
        <w:trPr>
          <w:trHeight w:val="540"/>
        </w:trPr>
        <w:tc>
          <w:tcPr>
            <w:tcW w:w="4340" w:type="dxa"/>
            <w:vAlign w:val="bottom"/>
          </w:tcPr>
          <w:p>
            <w:pPr>
              <w:spacing w:after="0"/>
              <w:rPr>
                <w:sz w:val="20"/>
                <w:szCs w:val="20"/>
                <w:color w:val="auto"/>
              </w:rPr>
            </w:pPr>
            <w:r>
              <w:rPr>
                <w:rFonts w:ascii="Arial" w:cs="Arial" w:eastAsia="Arial" w:hAnsi="Arial"/>
                <w:sz w:val="16"/>
                <w:szCs w:val="16"/>
                <w:color w:val="auto"/>
              </w:rPr>
              <w:t>Recognition of front-end fee revenues</w:t>
            </w:r>
          </w:p>
        </w:tc>
        <w:tc>
          <w:tcPr>
            <w:tcW w:w="22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(0.9)</w:t>
            </w:r>
          </w:p>
        </w:tc>
        <w:tc>
          <w:tcPr>
            <w:tcW w:w="340" w:type="dxa"/>
            <w:vAlign w:val="bottom"/>
          </w:tcPr>
          <w:p>
            <w:pPr>
              <w:spacing w:after="0"/>
              <w:rPr>
                <w:sz w:val="24"/>
                <w:szCs w:val="24"/>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0.1</w:t>
            </w:r>
          </w:p>
        </w:tc>
        <w:tc>
          <w:tcPr>
            <w:tcW w:w="18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(3.4)</w:t>
            </w:r>
          </w:p>
        </w:tc>
        <w:tc>
          <w:tcPr>
            <w:tcW w:w="20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(0.4)</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Market value adjustments to fee revenues</w:t>
            </w:r>
          </w:p>
        </w:tc>
        <w:tc>
          <w:tcPr>
            <w:tcW w:w="22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(0.1)</w:t>
            </w:r>
          </w:p>
        </w:tc>
        <w:tc>
          <w:tcPr>
            <w:tcW w:w="180" w:type="dxa"/>
            <w:vAlign w:val="bottom"/>
          </w:tcPr>
          <w:p>
            <w:pPr>
              <w:spacing w:after="0"/>
              <w:rPr>
                <w:sz w:val="21"/>
                <w:szCs w:val="21"/>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0.1</w:t>
            </w: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(0.2)</w:t>
            </w:r>
          </w:p>
        </w:tc>
        <w:tc>
          <w:tcPr>
            <w:tcW w:w="0" w:type="dxa"/>
            <w:vAlign w:val="bottom"/>
          </w:tcPr>
          <w:p>
            <w:pPr>
              <w:spacing w:after="0"/>
              <w:rPr>
                <w:sz w:val="1"/>
                <w:szCs w:val="1"/>
                <w:color w:val="auto"/>
              </w:rPr>
            </w:pPr>
          </w:p>
        </w:tc>
      </w:tr>
      <w:tr>
        <w:trPr>
          <w:trHeight w:val="238"/>
        </w:trPr>
        <w:tc>
          <w:tcPr>
            <w:tcW w:w="4340" w:type="dxa"/>
            <w:vAlign w:val="bottom"/>
          </w:tcPr>
          <w:p>
            <w:pPr>
              <w:spacing w:after="0"/>
              <w:rPr>
                <w:sz w:val="20"/>
                <w:szCs w:val="20"/>
                <w:color w:val="auto"/>
              </w:rPr>
            </w:pPr>
            <w:r>
              <w:rPr>
                <w:rFonts w:ascii="Arial" w:cs="Arial" w:eastAsia="Arial" w:hAnsi="Arial"/>
                <w:sz w:val="16"/>
                <w:szCs w:val="16"/>
                <w:color w:val="auto"/>
              </w:rPr>
              <w:t>Net realized capital gains (losses) related to equity method</w:t>
            </w: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4340" w:type="dxa"/>
            <w:vAlign w:val="bottom"/>
          </w:tcPr>
          <w:p>
            <w:pPr>
              <w:ind w:left="320"/>
              <w:spacing w:after="0"/>
              <w:rPr>
                <w:sz w:val="20"/>
                <w:szCs w:val="20"/>
                <w:color w:val="auto"/>
              </w:rPr>
            </w:pPr>
            <w:r>
              <w:rPr>
                <w:rFonts w:ascii="Arial" w:cs="Arial" w:eastAsia="Arial" w:hAnsi="Arial"/>
                <w:sz w:val="16"/>
                <w:szCs w:val="16"/>
                <w:color w:val="auto"/>
              </w:rPr>
              <w:t>investments</w:t>
            </w:r>
          </w:p>
        </w:tc>
        <w:tc>
          <w:tcPr>
            <w:tcW w:w="2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(0.9)</w:t>
            </w:r>
          </w:p>
        </w:tc>
        <w:tc>
          <w:tcPr>
            <w:tcW w:w="340" w:type="dxa"/>
            <w:vAlign w:val="bottom"/>
          </w:tcPr>
          <w:p>
            <w:pPr>
              <w:spacing w:after="0"/>
              <w:rPr>
                <w:sz w:val="16"/>
                <w:szCs w:val="16"/>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1.3</w:t>
            </w:r>
          </w:p>
        </w:tc>
        <w:tc>
          <w:tcPr>
            <w:tcW w:w="18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(5.9)</w:t>
            </w:r>
          </w:p>
        </w:tc>
        <w:tc>
          <w:tcPr>
            <w:tcW w:w="200" w:type="dxa"/>
            <w:vAlign w:val="bottom"/>
          </w:tcPr>
          <w:p>
            <w:pPr>
              <w:spacing w:after="0"/>
              <w:rPr>
                <w:sz w:val="16"/>
                <w:szCs w:val="16"/>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Derivative and hedging-related adjustments</w:t>
            </w:r>
          </w:p>
        </w:tc>
        <w:tc>
          <w:tcPr>
            <w:tcW w:w="2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(15.8)</w:t>
            </w: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(10.8)</w:t>
            </w:r>
          </w:p>
        </w:tc>
        <w:tc>
          <w:tcPr>
            <w:tcW w:w="1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(62.6)</w:t>
            </w: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(64.9)</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Sponsored investment fund adjustments</w:t>
            </w:r>
          </w:p>
        </w:tc>
        <w:tc>
          <w:tcPr>
            <w:tcW w:w="22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2.9</w:t>
            </w:r>
          </w:p>
        </w:tc>
        <w:tc>
          <w:tcPr>
            <w:tcW w:w="340" w:type="dxa"/>
            <w:vAlign w:val="bottom"/>
          </w:tcPr>
          <w:p>
            <w:pPr>
              <w:spacing w:after="0"/>
              <w:rPr>
                <w:sz w:val="21"/>
                <w:szCs w:val="21"/>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1.6</w:t>
            </w:r>
          </w:p>
        </w:tc>
        <w:tc>
          <w:tcPr>
            <w:tcW w:w="180" w:type="dxa"/>
            <w:vAlign w:val="bottom"/>
          </w:tcPr>
          <w:p>
            <w:pPr>
              <w:spacing w:after="0"/>
              <w:rPr>
                <w:sz w:val="21"/>
                <w:szCs w:val="21"/>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9.8</w:t>
            </w:r>
          </w:p>
        </w:tc>
        <w:tc>
          <w:tcPr>
            <w:tcW w:w="20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5.6</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Amortization of deferred acquisition costs</w:t>
            </w:r>
          </w:p>
        </w:tc>
        <w:tc>
          <w:tcPr>
            <w:tcW w:w="22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1.7</w:t>
            </w:r>
          </w:p>
        </w:tc>
        <w:tc>
          <w:tcPr>
            <w:tcW w:w="340" w:type="dxa"/>
            <w:vAlign w:val="bottom"/>
          </w:tcPr>
          <w:p>
            <w:pPr>
              <w:spacing w:after="0"/>
              <w:rPr>
                <w:sz w:val="21"/>
                <w:szCs w:val="21"/>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20.2</w:t>
            </w:r>
          </w:p>
        </w:tc>
        <w:tc>
          <w:tcPr>
            <w:tcW w:w="180" w:type="dxa"/>
            <w:vAlign w:val="bottom"/>
          </w:tcPr>
          <w:p>
            <w:pPr>
              <w:spacing w:after="0"/>
              <w:rPr>
                <w:sz w:val="21"/>
                <w:szCs w:val="21"/>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11.9</w:t>
            </w:r>
          </w:p>
        </w:tc>
        <w:tc>
          <w:tcPr>
            <w:tcW w:w="20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84.0</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Capital gains distributed – operating expenses</w:t>
            </w:r>
          </w:p>
        </w:tc>
        <w:tc>
          <w:tcPr>
            <w:tcW w:w="2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(12.0)</w:t>
            </w: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(9.5)</w:t>
            </w:r>
          </w:p>
        </w:tc>
        <w:tc>
          <w:tcPr>
            <w:tcW w:w="1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(20.6)</w:t>
            </w: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(22.9)</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Amortization of other actuarial balances</w:t>
            </w:r>
          </w:p>
        </w:tc>
        <w:tc>
          <w:tcPr>
            <w:tcW w:w="22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4.2</w:t>
            </w:r>
          </w:p>
        </w:tc>
        <w:tc>
          <w:tcPr>
            <w:tcW w:w="340" w:type="dxa"/>
            <w:vAlign w:val="bottom"/>
          </w:tcPr>
          <w:p>
            <w:pPr>
              <w:spacing w:after="0"/>
              <w:rPr>
                <w:sz w:val="21"/>
                <w:szCs w:val="21"/>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3.2</w:t>
            </w:r>
          </w:p>
        </w:tc>
        <w:tc>
          <w:tcPr>
            <w:tcW w:w="180" w:type="dxa"/>
            <w:vAlign w:val="bottom"/>
          </w:tcPr>
          <w:p>
            <w:pPr>
              <w:spacing w:after="0"/>
              <w:rPr>
                <w:sz w:val="21"/>
                <w:szCs w:val="21"/>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14.3</w:t>
            </w:r>
          </w:p>
        </w:tc>
        <w:tc>
          <w:tcPr>
            <w:tcW w:w="20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14.4</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Market value adjustments of embedded derivatives</w:t>
            </w:r>
          </w:p>
        </w:tc>
        <w:tc>
          <w:tcPr>
            <w:tcW w:w="22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4.1</w:t>
            </w:r>
          </w:p>
        </w:tc>
        <w:tc>
          <w:tcPr>
            <w:tcW w:w="340" w:type="dxa"/>
            <w:vAlign w:val="bottom"/>
          </w:tcPr>
          <w:p>
            <w:pPr>
              <w:spacing w:after="0"/>
              <w:rPr>
                <w:sz w:val="21"/>
                <w:szCs w:val="21"/>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40.1</w:t>
            </w:r>
          </w:p>
        </w:tc>
        <w:tc>
          <w:tcPr>
            <w:tcW w:w="180" w:type="dxa"/>
            <w:vAlign w:val="bottom"/>
          </w:tcPr>
          <w:p>
            <w:pPr>
              <w:spacing w:after="0"/>
              <w:rPr>
                <w:sz w:val="21"/>
                <w:szCs w:val="21"/>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16.5</w:t>
            </w:r>
          </w:p>
        </w:tc>
        <w:tc>
          <w:tcPr>
            <w:tcW w:w="20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43.6</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Capital gains distributed – cost of interest credited</w:t>
            </w:r>
          </w:p>
        </w:tc>
        <w:tc>
          <w:tcPr>
            <w:tcW w:w="2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(5.7)</w:t>
            </w: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(2.0)</w:t>
            </w:r>
          </w:p>
        </w:tc>
        <w:tc>
          <w:tcPr>
            <w:tcW w:w="1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(10.2)</w:t>
            </w: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(16.5)</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Net realized capital gains (losses) tax adjustments</w:t>
            </w:r>
          </w:p>
        </w:tc>
        <w:tc>
          <w:tcPr>
            <w:tcW w:w="22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4.7</w:t>
            </w: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(284.3)</w:t>
            </w:r>
          </w:p>
        </w:tc>
        <w:tc>
          <w:tcPr>
            <w:tcW w:w="180" w:type="dxa"/>
            <w:vAlign w:val="bottom"/>
          </w:tcPr>
          <w:p>
            <w:pPr>
              <w:spacing w:after="0"/>
              <w:rPr>
                <w:sz w:val="21"/>
                <w:szCs w:val="21"/>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49.6</w:t>
            </w:r>
          </w:p>
        </w:tc>
        <w:tc>
          <w:tcPr>
            <w:tcW w:w="2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(227.6)</w:t>
            </w:r>
          </w:p>
        </w:tc>
        <w:tc>
          <w:tcPr>
            <w:tcW w:w="0" w:type="dxa"/>
            <w:vAlign w:val="bottom"/>
          </w:tcPr>
          <w:p>
            <w:pPr>
              <w:spacing w:after="0"/>
              <w:rPr>
                <w:sz w:val="1"/>
                <w:szCs w:val="1"/>
                <w:color w:val="auto"/>
              </w:rPr>
            </w:pPr>
          </w:p>
        </w:tc>
      </w:tr>
      <w:tr>
        <w:trPr>
          <w:trHeight w:val="238"/>
        </w:trPr>
        <w:tc>
          <w:tcPr>
            <w:tcW w:w="4340" w:type="dxa"/>
            <w:vAlign w:val="bottom"/>
          </w:tcPr>
          <w:p>
            <w:pPr>
              <w:spacing w:after="0"/>
              <w:rPr>
                <w:sz w:val="20"/>
                <w:szCs w:val="20"/>
                <w:color w:val="auto"/>
              </w:rPr>
            </w:pPr>
            <w:r>
              <w:rPr>
                <w:rFonts w:ascii="Arial" w:cs="Arial" w:eastAsia="Arial" w:hAnsi="Arial"/>
                <w:sz w:val="16"/>
                <w:szCs w:val="16"/>
                <w:color w:val="auto"/>
              </w:rPr>
              <w:t>Net realized capital gains (losses) attributable to</w:t>
            </w: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8"/>
        </w:trPr>
        <w:tc>
          <w:tcPr>
            <w:tcW w:w="4340" w:type="dxa"/>
            <w:vAlign w:val="bottom"/>
          </w:tcPr>
          <w:p>
            <w:pPr>
              <w:ind w:left="320"/>
              <w:spacing w:after="0"/>
              <w:rPr>
                <w:sz w:val="20"/>
                <w:szCs w:val="20"/>
                <w:color w:val="auto"/>
              </w:rPr>
            </w:pPr>
            <w:r>
              <w:rPr>
                <w:rFonts w:ascii="Arial" w:cs="Arial" w:eastAsia="Arial" w:hAnsi="Arial"/>
                <w:sz w:val="16"/>
                <w:szCs w:val="16"/>
                <w:color w:val="auto"/>
              </w:rPr>
              <w:t>noncontrolling interest, after-tax</w:t>
            </w: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w:t>
            </w:r>
          </w:p>
        </w:tc>
        <w:tc>
          <w:tcPr>
            <w:tcW w:w="3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0.1</w:t>
            </w:r>
          </w:p>
        </w:tc>
        <w:tc>
          <w:tcPr>
            <w:tcW w:w="18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w:t>
            </w: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0.2</w:t>
            </w:r>
          </w:p>
        </w:tc>
        <w:tc>
          <w:tcPr>
            <w:tcW w:w="0" w:type="dxa"/>
            <w:vAlign w:val="bottom"/>
          </w:tcPr>
          <w:p>
            <w:pPr>
              <w:spacing w:after="0"/>
              <w:rPr>
                <w:sz w:val="1"/>
                <w:szCs w:val="1"/>
                <w:color w:val="auto"/>
              </w:rPr>
            </w:pPr>
          </w:p>
        </w:tc>
      </w:tr>
      <w:tr>
        <w:trPr>
          <w:trHeight w:val="204"/>
        </w:trPr>
        <w:tc>
          <w:tcPr>
            <w:tcW w:w="4340" w:type="dxa"/>
            <w:vAlign w:val="bottom"/>
          </w:tcPr>
          <w:p>
            <w:pPr>
              <w:spacing w:after="0"/>
              <w:rPr>
                <w:sz w:val="20"/>
                <w:szCs w:val="20"/>
                <w:color w:val="auto"/>
              </w:rPr>
            </w:pPr>
            <w:r>
              <w:rPr>
                <w:rFonts w:ascii="Arial" w:cs="Arial" w:eastAsia="Arial" w:hAnsi="Arial"/>
                <w:sz w:val="16"/>
                <w:szCs w:val="16"/>
                <w:color w:val="auto"/>
              </w:rPr>
              <w:t>Total net realized capital gains (losses) after-tax</w:t>
            </w: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4340" w:type="dxa"/>
            <w:vAlign w:val="bottom"/>
          </w:tcPr>
          <w:p>
            <w:pPr>
              <w:spacing w:after="0"/>
              <w:rPr>
                <w:sz w:val="20"/>
                <w:szCs w:val="20"/>
                <w:color w:val="auto"/>
              </w:rPr>
            </w:pPr>
            <w:r>
              <w:rPr>
                <w:rFonts w:ascii="Arial" w:cs="Arial" w:eastAsia="Arial" w:hAnsi="Arial"/>
                <w:sz w:val="16"/>
                <w:szCs w:val="16"/>
                <w:color w:val="auto"/>
              </w:rPr>
              <w:t>adjustments</w:t>
            </w:r>
          </w:p>
        </w:tc>
        <w:tc>
          <w:tcPr>
            <w:tcW w:w="2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(19.4)</w:t>
            </w:r>
          </w:p>
        </w:tc>
        <w:tc>
          <w:tcPr>
            <w:tcW w:w="34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(240.1)</w:t>
            </w:r>
          </w:p>
        </w:tc>
        <w:tc>
          <w:tcPr>
            <w:tcW w:w="18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(1.8)</w:t>
            </w:r>
          </w:p>
        </w:tc>
        <w:tc>
          <w:tcPr>
            <w:tcW w:w="2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(181.9)</w:t>
            </w:r>
          </w:p>
        </w:tc>
        <w:tc>
          <w:tcPr>
            <w:tcW w:w="0" w:type="dxa"/>
            <w:vAlign w:val="bottom"/>
          </w:tcPr>
          <w:p>
            <w:pPr>
              <w:spacing w:after="0"/>
              <w:rPr>
                <w:sz w:val="1"/>
                <w:szCs w:val="1"/>
                <w:color w:val="auto"/>
              </w:rPr>
            </w:pPr>
          </w:p>
        </w:tc>
      </w:tr>
      <w:tr>
        <w:trPr>
          <w:trHeight w:val="317"/>
        </w:trPr>
        <w:tc>
          <w:tcPr>
            <w:tcW w:w="4340" w:type="dxa"/>
            <w:vAlign w:val="bottom"/>
            <w:vMerge w:val="restart"/>
          </w:tcPr>
          <w:p>
            <w:pPr>
              <w:spacing w:after="0"/>
              <w:rPr>
                <w:sz w:val="20"/>
                <w:szCs w:val="20"/>
                <w:color w:val="auto"/>
              </w:rPr>
            </w:pPr>
            <w:r>
              <w:rPr>
                <w:rFonts w:ascii="Arial" w:cs="Arial" w:eastAsia="Arial" w:hAnsi="Arial"/>
                <w:sz w:val="16"/>
                <w:szCs w:val="16"/>
                <w:color w:val="auto"/>
              </w:rPr>
              <w:t>Net realized capital gains (losses), as adjusted</w:t>
            </w:r>
          </w:p>
        </w:tc>
        <w:tc>
          <w:tcPr>
            <w:tcW w:w="2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340" w:type="dxa"/>
            <w:vAlign w:val="bottom"/>
            <w:vMerge w:val="continue"/>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(24.9)</w:t>
            </w:r>
          </w:p>
        </w:tc>
        <w:tc>
          <w:tcPr>
            <w:tcW w:w="34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436.5</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w:t>
            </w:r>
          </w:p>
        </w:tc>
        <w:tc>
          <w:tcPr>
            <w:tcW w:w="200" w:type="dxa"/>
            <w:vAlign w:val="bottom"/>
            <w:tcBorders>
              <w:bottom w:val="single" w:sz="8" w:color="auto"/>
            </w:tcBorders>
          </w:tcPr>
          <w:p>
            <w:pPr>
              <w:jc w:val="right"/>
              <w:ind w:right="44"/>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338.8</w:t>
            </w:r>
          </w:p>
        </w:tc>
        <w:tc>
          <w:tcPr>
            <w:tcW w:w="0" w:type="dxa"/>
            <w:vAlign w:val="bottom"/>
          </w:tcPr>
          <w:p>
            <w:pPr>
              <w:spacing w:after="0"/>
              <w:rPr>
                <w:sz w:val="1"/>
                <w:szCs w:val="1"/>
                <w:color w:val="auto"/>
              </w:rPr>
            </w:pPr>
          </w:p>
        </w:tc>
      </w:tr>
      <w:tr>
        <w:trPr>
          <w:trHeight w:val="20"/>
        </w:trPr>
        <w:tc>
          <w:tcPr>
            <w:tcW w:w="4340" w:type="dxa"/>
            <w:vAlign w:val="bottom"/>
            <w:vMerge w:val="restart"/>
          </w:tcPr>
          <w:p>
            <w:pPr>
              <w:spacing w:after="0"/>
              <w:rPr>
                <w:sz w:val="20"/>
                <w:szCs w:val="20"/>
                <w:color w:val="auto"/>
              </w:rPr>
            </w:pPr>
            <w:r>
              <w:rPr>
                <w:rFonts w:ascii="Arial" w:cs="Arial" w:eastAsia="Arial" w:hAnsi="Arial"/>
                <w:sz w:val="16"/>
                <w:szCs w:val="16"/>
                <w:b w:val="1"/>
                <w:bCs w:val="1"/>
                <w:color w:val="auto"/>
              </w:rPr>
              <w:t>Other After-Tax Adjustments:</w:t>
            </w: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0"/>
        </w:trPr>
        <w:tc>
          <w:tcPr>
            <w:tcW w:w="434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4340" w:type="dxa"/>
            <w:vAlign w:val="bottom"/>
          </w:tcPr>
          <w:p>
            <w:pPr>
              <w:spacing w:after="0"/>
              <w:rPr>
                <w:sz w:val="20"/>
                <w:szCs w:val="20"/>
                <w:color w:val="auto"/>
              </w:rPr>
            </w:pPr>
            <w:r>
              <w:rPr>
                <w:rFonts w:ascii="Arial" w:cs="Arial" w:eastAsia="Arial" w:hAnsi="Arial"/>
                <w:sz w:val="16"/>
                <w:szCs w:val="16"/>
                <w:color w:val="auto"/>
              </w:rPr>
              <w:t>Contribution to PFG Foundation</w:t>
            </w:r>
          </w:p>
        </w:tc>
        <w:tc>
          <w:tcPr>
            <w:tcW w:w="22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4340" w:type="dxa"/>
            <w:vAlign w:val="bottom"/>
          </w:tcPr>
          <w:p>
            <w:pPr>
              <w:ind w:left="320"/>
              <w:spacing w:after="0"/>
              <w:rPr>
                <w:sz w:val="20"/>
                <w:szCs w:val="20"/>
                <w:color w:val="auto"/>
              </w:rPr>
            </w:pPr>
            <w:r>
              <w:rPr>
                <w:rFonts w:ascii="Arial" w:cs="Arial" w:eastAsia="Arial" w:hAnsi="Arial"/>
                <w:sz w:val="16"/>
                <w:szCs w:val="16"/>
                <w:color w:val="auto"/>
              </w:rPr>
              <w:t>Pre-tax</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(70.0)</w:t>
            </w:r>
          </w:p>
        </w:tc>
        <w:tc>
          <w:tcPr>
            <w:tcW w:w="200" w:type="dxa"/>
            <w:vAlign w:val="bottom"/>
          </w:tcPr>
          <w:p>
            <w:pPr>
              <w:spacing w:after="0"/>
              <w:rPr>
                <w:sz w:val="23"/>
                <w:szCs w:val="23"/>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43"/>
        </w:trPr>
        <w:tc>
          <w:tcPr>
            <w:tcW w:w="4340" w:type="dxa"/>
            <w:vAlign w:val="bottom"/>
          </w:tcPr>
          <w:p>
            <w:pPr>
              <w:ind w:left="320"/>
              <w:spacing w:after="0"/>
              <w:rPr>
                <w:sz w:val="20"/>
                <w:szCs w:val="20"/>
                <w:color w:val="auto"/>
              </w:rPr>
            </w:pPr>
            <w:r>
              <w:rPr>
                <w:rFonts w:ascii="Arial" w:cs="Arial" w:eastAsia="Arial" w:hAnsi="Arial"/>
                <w:sz w:val="16"/>
                <w:szCs w:val="16"/>
                <w:color w:val="auto"/>
              </w:rPr>
              <w:t>Tax</w:t>
            </w:r>
          </w:p>
        </w:tc>
        <w:tc>
          <w:tcPr>
            <w:tcW w:w="22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1"/>
                <w:szCs w:val="21"/>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1"/>
                <w:szCs w:val="21"/>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26.2</w:t>
            </w:r>
          </w:p>
        </w:tc>
        <w:tc>
          <w:tcPr>
            <w:tcW w:w="20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Tax Cuts and Jobs Act:</w:t>
            </w:r>
          </w:p>
        </w:tc>
        <w:tc>
          <w:tcPr>
            <w:tcW w:w="2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4340" w:type="dxa"/>
            <w:vAlign w:val="bottom"/>
          </w:tcPr>
          <w:p>
            <w:pPr>
              <w:ind w:left="320"/>
              <w:spacing w:after="0"/>
              <w:rPr>
                <w:sz w:val="20"/>
                <w:szCs w:val="20"/>
                <w:color w:val="auto"/>
              </w:rPr>
            </w:pPr>
            <w:r>
              <w:rPr>
                <w:rFonts w:ascii="Arial" w:cs="Arial" w:eastAsia="Arial" w:hAnsi="Arial"/>
                <w:sz w:val="16"/>
                <w:szCs w:val="16"/>
                <w:color w:val="auto"/>
              </w:rPr>
              <w:t>Pre-tax</w:t>
            </w:r>
          </w:p>
        </w:tc>
        <w:tc>
          <w:tcPr>
            <w:tcW w:w="220" w:type="dxa"/>
            <w:vAlign w:val="bottom"/>
          </w:tcPr>
          <w:p>
            <w:pPr>
              <w:spacing w:after="0"/>
              <w:rPr>
                <w:sz w:val="23"/>
                <w:szCs w:val="23"/>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3"/>
                <w:szCs w:val="23"/>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43"/>
        </w:trPr>
        <w:tc>
          <w:tcPr>
            <w:tcW w:w="4340" w:type="dxa"/>
            <w:vAlign w:val="bottom"/>
          </w:tcPr>
          <w:p>
            <w:pPr>
              <w:ind w:left="320"/>
              <w:spacing w:after="0"/>
              <w:rPr>
                <w:sz w:val="20"/>
                <w:szCs w:val="20"/>
                <w:color w:val="auto"/>
              </w:rPr>
            </w:pPr>
            <w:r>
              <w:rPr>
                <w:rFonts w:ascii="Arial" w:cs="Arial" w:eastAsia="Arial" w:hAnsi="Arial"/>
                <w:sz w:val="16"/>
                <w:szCs w:val="16"/>
                <w:color w:val="auto"/>
              </w:rPr>
              <w:t>Tax</w:t>
            </w:r>
          </w:p>
        </w:tc>
        <w:tc>
          <w:tcPr>
            <w:tcW w:w="22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1"/>
                <w:szCs w:val="21"/>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1"/>
                <w:szCs w:val="21"/>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568.3</w:t>
            </w:r>
          </w:p>
        </w:tc>
        <w:tc>
          <w:tcPr>
            <w:tcW w:w="20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43"/>
        </w:trPr>
        <w:tc>
          <w:tcPr>
            <w:tcW w:w="4340" w:type="dxa"/>
            <w:vAlign w:val="bottom"/>
          </w:tcPr>
          <w:p>
            <w:pPr>
              <w:spacing w:after="0"/>
              <w:rPr>
                <w:sz w:val="20"/>
                <w:szCs w:val="20"/>
                <w:color w:val="auto"/>
              </w:rPr>
            </w:pPr>
            <w:r>
              <w:rPr>
                <w:rFonts w:ascii="Arial" w:cs="Arial" w:eastAsia="Arial" w:hAnsi="Arial"/>
                <w:sz w:val="16"/>
                <w:szCs w:val="16"/>
                <w:color w:val="auto"/>
              </w:rPr>
              <w:t>Early extinguishment of debt:</w:t>
            </w:r>
          </w:p>
        </w:tc>
        <w:tc>
          <w:tcPr>
            <w:tcW w:w="2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4340" w:type="dxa"/>
            <w:vAlign w:val="bottom"/>
          </w:tcPr>
          <w:p>
            <w:pPr>
              <w:ind w:left="320"/>
              <w:spacing w:after="0"/>
              <w:rPr>
                <w:sz w:val="20"/>
                <w:szCs w:val="20"/>
                <w:color w:val="auto"/>
              </w:rPr>
            </w:pPr>
            <w:r>
              <w:rPr>
                <w:rFonts w:ascii="Arial" w:cs="Arial" w:eastAsia="Arial" w:hAnsi="Arial"/>
                <w:sz w:val="16"/>
                <w:szCs w:val="16"/>
                <w:color w:val="auto"/>
              </w:rPr>
              <w:t>Pre-tax</w:t>
            </w:r>
          </w:p>
        </w:tc>
        <w:tc>
          <w:tcPr>
            <w:tcW w:w="220" w:type="dxa"/>
            <w:vAlign w:val="bottom"/>
          </w:tcPr>
          <w:p>
            <w:pPr>
              <w:spacing w:after="0"/>
              <w:rPr>
                <w:sz w:val="23"/>
                <w:szCs w:val="23"/>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3"/>
                <w:szCs w:val="23"/>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(86.4)</w:t>
            </w:r>
          </w:p>
        </w:tc>
        <w:tc>
          <w:tcPr>
            <w:tcW w:w="0" w:type="dxa"/>
            <w:vAlign w:val="bottom"/>
          </w:tcPr>
          <w:p>
            <w:pPr>
              <w:spacing w:after="0"/>
              <w:rPr>
                <w:sz w:val="1"/>
                <w:szCs w:val="1"/>
                <w:color w:val="auto"/>
              </w:rPr>
            </w:pPr>
          </w:p>
        </w:tc>
      </w:tr>
      <w:tr>
        <w:trPr>
          <w:trHeight w:val="256"/>
        </w:trPr>
        <w:tc>
          <w:tcPr>
            <w:tcW w:w="4340" w:type="dxa"/>
            <w:vAlign w:val="bottom"/>
          </w:tcPr>
          <w:p>
            <w:pPr>
              <w:ind w:left="320"/>
              <w:spacing w:after="0"/>
              <w:rPr>
                <w:sz w:val="20"/>
                <w:szCs w:val="20"/>
                <w:color w:val="auto"/>
              </w:rPr>
            </w:pPr>
            <w:r>
              <w:rPr>
                <w:rFonts w:ascii="Arial" w:cs="Arial" w:eastAsia="Arial" w:hAnsi="Arial"/>
                <w:sz w:val="16"/>
                <w:szCs w:val="16"/>
                <w:color w:val="auto"/>
              </w:rPr>
              <w:t>Tax</w:t>
            </w:r>
          </w:p>
        </w:tc>
        <w:tc>
          <w:tcPr>
            <w:tcW w:w="22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34.4</w:t>
            </w:r>
          </w:p>
        </w:tc>
        <w:tc>
          <w:tcPr>
            <w:tcW w:w="0" w:type="dxa"/>
            <w:vAlign w:val="bottom"/>
          </w:tcPr>
          <w:p>
            <w:pPr>
              <w:spacing w:after="0"/>
              <w:rPr>
                <w:sz w:val="1"/>
                <w:szCs w:val="1"/>
                <w:color w:val="auto"/>
              </w:rPr>
            </w:pPr>
          </w:p>
        </w:tc>
      </w:tr>
      <w:tr>
        <w:trPr>
          <w:trHeight w:val="237"/>
        </w:trPr>
        <w:tc>
          <w:tcPr>
            <w:tcW w:w="4340" w:type="dxa"/>
            <w:vAlign w:val="bottom"/>
          </w:tcPr>
          <w:p>
            <w:pPr>
              <w:spacing w:after="0"/>
              <w:rPr>
                <w:sz w:val="20"/>
                <w:szCs w:val="20"/>
                <w:color w:val="auto"/>
              </w:rPr>
            </w:pPr>
            <w:r>
              <w:rPr>
                <w:rFonts w:ascii="Arial" w:cs="Arial" w:eastAsia="Arial" w:hAnsi="Arial"/>
                <w:sz w:val="16"/>
                <w:szCs w:val="16"/>
                <w:color w:val="auto"/>
              </w:rPr>
              <w:t>Total other after-tax adjustments</w:t>
            </w:r>
          </w:p>
        </w:tc>
        <w:tc>
          <w:tcPr>
            <w:tcW w:w="2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524.5</w:t>
            </w:r>
          </w:p>
        </w:tc>
        <w:tc>
          <w:tcPr>
            <w:tcW w:w="200" w:type="dxa"/>
            <w:vAlign w:val="bottom"/>
            <w:tcBorders>
              <w:bottom w:val="single" w:sz="8" w:color="auto"/>
            </w:tcBorders>
          </w:tcPr>
          <w:p>
            <w:pPr>
              <w:jc w:val="right"/>
              <w:ind w:right="44"/>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(52.0)</w:t>
            </w:r>
          </w:p>
        </w:tc>
        <w:tc>
          <w:tcPr>
            <w:tcW w:w="0" w:type="dxa"/>
            <w:vAlign w:val="bottom"/>
          </w:tcPr>
          <w:p>
            <w:pPr>
              <w:spacing w:after="0"/>
              <w:rPr>
                <w:sz w:val="1"/>
                <w:szCs w:val="1"/>
                <w:color w:val="auto"/>
              </w:rPr>
            </w:pPr>
          </w:p>
        </w:tc>
      </w:tr>
      <w:tr>
        <w:trPr>
          <w:trHeight w:val="20"/>
        </w:trPr>
        <w:tc>
          <w:tcPr>
            <w:tcW w:w="43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179"/>
          </w:cols>
          <w:pgMar w:left="280" w:top="1364" w:right="1440" w:bottom="1440" w:gutter="0" w:footer="0" w:header="0"/>
        </w:sectPr>
      </w:pPr>
    </w:p>
    <w:bookmarkStart w:id="13" w:name="page14"/>
    <w:bookmarkEnd w:id="13"/>
    <w:p>
      <w:pPr>
        <w:jc w:val="center"/>
        <w:ind w:right="1219"/>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5620385</wp:posOffset>
            </wp:positionH>
            <wp:positionV relativeFrom="page">
              <wp:posOffset>88900</wp:posOffset>
            </wp:positionV>
            <wp:extent cx="1783715" cy="5314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1783715" cy="531495"/>
                    </a:xfrm>
                    <a:prstGeom prst="rect">
                      <a:avLst/>
                    </a:prstGeom>
                    <a:noFill/>
                  </pic:spPr>
                </pic:pic>
              </a:graphicData>
            </a:graphic>
          </wp:anchor>
        </w:drawing>
        <w:t>Principal Financial Group, Inc.</w:t>
      </w:r>
    </w:p>
    <w:p>
      <w:pPr>
        <w:spacing w:after="0" w:line="25" w:lineRule="exact"/>
        <w:rPr>
          <w:sz w:val="20"/>
          <w:szCs w:val="20"/>
          <w:color w:val="auto"/>
        </w:rPr>
      </w:pPr>
    </w:p>
    <w:p>
      <w:pPr>
        <w:jc w:val="center"/>
        <w:ind w:right="1219"/>
        <w:spacing w:after="0"/>
        <w:rPr>
          <w:sz w:val="20"/>
          <w:szCs w:val="20"/>
          <w:color w:val="auto"/>
        </w:rPr>
      </w:pPr>
      <w:r>
        <w:rPr>
          <w:rFonts w:ascii="Arial" w:cs="Arial" w:eastAsia="Arial" w:hAnsi="Arial"/>
          <w:sz w:val="16"/>
          <w:szCs w:val="16"/>
          <w:b w:val="1"/>
          <w:bCs w:val="1"/>
          <w:color w:val="auto"/>
        </w:rPr>
        <w:t>Reconciliation of U.S. GAAP to Non-GAAP Financial Measures</w:t>
      </w:r>
    </w:p>
    <w:p>
      <w:pPr>
        <w:spacing w:after="0" w:line="5" w:lineRule="exact"/>
        <w:rPr>
          <w:sz w:val="20"/>
          <w:szCs w:val="20"/>
          <w:color w:val="auto"/>
        </w:rPr>
      </w:pPr>
    </w:p>
    <w:p>
      <w:pPr>
        <w:jc w:val="center"/>
        <w:ind w:right="1219"/>
        <w:spacing w:after="0"/>
        <w:rPr>
          <w:sz w:val="20"/>
          <w:szCs w:val="20"/>
          <w:color w:val="auto"/>
        </w:rPr>
      </w:pPr>
      <w:r>
        <w:rPr>
          <w:rFonts w:ascii="Arial" w:cs="Arial" w:eastAsia="Arial" w:hAnsi="Arial"/>
          <w:sz w:val="16"/>
          <w:szCs w:val="16"/>
          <w:b w:val="1"/>
          <w:bCs w:val="1"/>
          <w:color w:val="auto"/>
        </w:rPr>
        <w:t>(in millions)</w:t>
      </w:r>
    </w:p>
    <w:p>
      <w:pPr>
        <w:sectPr>
          <w:pgSz w:w="11900" w:h="16838" w:orient="portrait"/>
          <w:cols w:equalWidth="0" w:num="1">
            <w:col w:w="10179"/>
          </w:cols>
          <w:pgMar w:left="280" w:top="1364"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Principal Global Investors Operating Revenues Less Pass-</w:t>
      </w:r>
    </w:p>
    <w:p>
      <w:pPr>
        <w:spacing w:after="0" w:line="25"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auto"/>
        </w:rPr>
        <w:t>Through Commissions:</w:t>
      </w:r>
    </w:p>
    <w:p>
      <w:pPr>
        <w:spacing w:after="0" w:line="20" w:lineRule="exact"/>
        <w:rPr>
          <w:sz w:val="20"/>
          <w:szCs w:val="20"/>
          <w:color w:val="auto"/>
        </w:rPr>
      </w:pPr>
      <w:r>
        <w:rPr>
          <w:sz w:val="20"/>
          <w:szCs w:val="20"/>
          <w:color w:val="auto"/>
        </w:rPr>
        <w:br w:type="column"/>
      </w:r>
    </w:p>
    <w:p>
      <w:pPr>
        <w:spacing w:after="0" w:line="220" w:lineRule="exact"/>
        <w:rPr>
          <w:sz w:val="20"/>
          <w:szCs w:val="20"/>
          <w:color w:val="auto"/>
        </w:rPr>
      </w:pP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237"/>
        </w:trPr>
        <w:tc>
          <w:tcPr>
            <w:tcW w:w="2100" w:type="dxa"/>
            <w:vAlign w:val="bottom"/>
            <w:tcBorders>
              <w:top w:val="single" w:sz="8" w:color="auto"/>
              <w:left w:val="single" w:sz="8" w:color="auto"/>
              <w:right w:val="single" w:sz="8" w:color="auto"/>
            </w:tcBorders>
            <w:gridSpan w:val="2"/>
          </w:tcPr>
          <w:p>
            <w:pPr>
              <w:ind w:left="240"/>
              <w:spacing w:after="0"/>
              <w:rPr>
                <w:sz w:val="20"/>
                <w:szCs w:val="20"/>
                <w:color w:val="auto"/>
              </w:rPr>
            </w:pPr>
            <w:r>
              <w:rPr>
                <w:rFonts w:ascii="Arial" w:cs="Arial" w:eastAsia="Arial" w:hAnsi="Arial"/>
                <w:sz w:val="16"/>
                <w:szCs w:val="16"/>
                <w:b w:val="1"/>
                <w:bCs w:val="1"/>
                <w:color w:val="auto"/>
              </w:rPr>
              <w:t>Three Months Ended,</w:t>
            </w:r>
          </w:p>
        </w:tc>
        <w:tc>
          <w:tcPr>
            <w:tcW w:w="2320" w:type="dxa"/>
            <w:vAlign w:val="bottom"/>
            <w:tcBorders>
              <w:top w:val="single" w:sz="8" w:color="auto"/>
              <w:right w:val="single" w:sz="8" w:color="auto"/>
            </w:tcBorders>
            <w:gridSpan w:val="2"/>
          </w:tcPr>
          <w:p>
            <w:pPr>
              <w:jc w:val="right"/>
              <w:ind w:right="159"/>
              <w:spacing w:after="0"/>
              <w:rPr>
                <w:sz w:val="20"/>
                <w:szCs w:val="20"/>
                <w:color w:val="auto"/>
              </w:rPr>
            </w:pPr>
            <w:r>
              <w:rPr>
                <w:rFonts w:ascii="Arial" w:cs="Arial" w:eastAsia="Arial" w:hAnsi="Arial"/>
                <w:sz w:val="16"/>
                <w:szCs w:val="16"/>
                <w:b w:val="1"/>
                <w:bCs w:val="1"/>
                <w:color w:val="auto"/>
              </w:rPr>
              <w:t>Trailing Twelve Months,</w:t>
            </w:r>
          </w:p>
        </w:tc>
      </w:tr>
      <w:tr>
        <w:trPr>
          <w:trHeight w:val="33"/>
        </w:trPr>
        <w:tc>
          <w:tcPr>
            <w:tcW w:w="1020" w:type="dxa"/>
            <w:vAlign w:val="bottom"/>
            <w:tcBorders>
              <w:left w:val="single" w:sz="8" w:color="auto"/>
              <w:bottom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r>
      <w:tr>
        <w:trPr>
          <w:trHeight w:val="217"/>
        </w:trPr>
        <w:tc>
          <w:tcPr>
            <w:tcW w:w="1020" w:type="dxa"/>
            <w:vAlign w:val="bottom"/>
            <w:tcBorders>
              <w:left w:val="single" w:sz="8" w:color="auto"/>
              <w:right w:val="single" w:sz="8" w:color="auto"/>
            </w:tcBorders>
          </w:tcPr>
          <w:p>
            <w:pPr>
              <w:ind w:left="240"/>
              <w:spacing w:after="0"/>
              <w:rPr>
                <w:sz w:val="20"/>
                <w:szCs w:val="20"/>
                <w:color w:val="auto"/>
              </w:rPr>
            </w:pPr>
            <w:r>
              <w:rPr>
                <w:rFonts w:ascii="Arial" w:cs="Arial" w:eastAsia="Arial" w:hAnsi="Arial"/>
                <w:sz w:val="16"/>
                <w:szCs w:val="16"/>
                <w:b w:val="1"/>
                <w:bCs w:val="1"/>
                <w:color w:val="auto"/>
              </w:rPr>
              <w:t>9/30/18</w:t>
            </w:r>
          </w:p>
        </w:tc>
        <w:tc>
          <w:tcPr>
            <w:tcW w:w="1080" w:type="dxa"/>
            <w:vAlign w:val="bottom"/>
            <w:tcBorders>
              <w:right w:val="single" w:sz="8" w:color="auto"/>
            </w:tcBorders>
          </w:tcPr>
          <w:p>
            <w:pPr>
              <w:jc w:val="right"/>
              <w:ind w:right="199"/>
              <w:spacing w:after="0"/>
              <w:rPr>
                <w:sz w:val="20"/>
                <w:szCs w:val="20"/>
                <w:color w:val="auto"/>
              </w:rPr>
            </w:pPr>
            <w:r>
              <w:rPr>
                <w:rFonts w:ascii="Arial" w:cs="Arial" w:eastAsia="Arial" w:hAnsi="Arial"/>
                <w:sz w:val="16"/>
                <w:szCs w:val="16"/>
                <w:b w:val="1"/>
                <w:bCs w:val="1"/>
                <w:color w:val="auto"/>
              </w:rPr>
              <w:t>9/30/17</w:t>
            </w:r>
          </w:p>
        </w:tc>
        <w:tc>
          <w:tcPr>
            <w:tcW w:w="1160" w:type="dxa"/>
            <w:vAlign w:val="bottom"/>
            <w:tcBorders>
              <w:right w:val="single" w:sz="8" w:color="auto"/>
            </w:tcBorders>
          </w:tcPr>
          <w:p>
            <w:pPr>
              <w:jc w:val="right"/>
              <w:ind w:right="239"/>
              <w:spacing w:after="0"/>
              <w:rPr>
                <w:sz w:val="20"/>
                <w:szCs w:val="20"/>
                <w:color w:val="auto"/>
              </w:rPr>
            </w:pPr>
            <w:r>
              <w:rPr>
                <w:rFonts w:ascii="Arial" w:cs="Arial" w:eastAsia="Arial" w:hAnsi="Arial"/>
                <w:sz w:val="16"/>
                <w:szCs w:val="16"/>
                <w:b w:val="1"/>
                <w:bCs w:val="1"/>
                <w:color w:val="auto"/>
              </w:rPr>
              <w:t>9/30/18</w:t>
            </w:r>
          </w:p>
        </w:tc>
        <w:tc>
          <w:tcPr>
            <w:tcW w:w="1160" w:type="dxa"/>
            <w:vAlign w:val="bottom"/>
            <w:tcBorders>
              <w:right w:val="single" w:sz="8" w:color="auto"/>
            </w:tcBorders>
          </w:tcPr>
          <w:p>
            <w:pPr>
              <w:jc w:val="right"/>
              <w:ind w:right="239"/>
              <w:spacing w:after="0"/>
              <w:rPr>
                <w:sz w:val="20"/>
                <w:szCs w:val="20"/>
                <w:color w:val="auto"/>
              </w:rPr>
            </w:pPr>
            <w:r>
              <w:rPr>
                <w:rFonts w:ascii="Arial" w:cs="Arial" w:eastAsia="Arial" w:hAnsi="Arial"/>
                <w:sz w:val="16"/>
                <w:szCs w:val="16"/>
                <w:b w:val="1"/>
                <w:bCs w:val="1"/>
                <w:color w:val="auto"/>
              </w:rPr>
              <w:t>9/30/17</w:t>
            </w:r>
          </w:p>
        </w:tc>
      </w:tr>
      <w:tr>
        <w:trPr>
          <w:trHeight w:val="33"/>
        </w:trPr>
        <w:tc>
          <w:tcPr>
            <w:tcW w:w="1020" w:type="dxa"/>
            <w:vAlign w:val="bottom"/>
            <w:tcBorders>
              <w:left w:val="single" w:sz="8" w:color="auto"/>
              <w:bottom w:val="single" w:sz="8" w:color="auto"/>
              <w:right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r>
    </w:tbl>
    <w:p>
      <w:pPr>
        <w:spacing w:after="0" w:line="447" w:lineRule="exact"/>
        <w:rPr>
          <w:sz w:val="20"/>
          <w:szCs w:val="20"/>
          <w:color w:val="auto"/>
        </w:rPr>
      </w:pPr>
    </w:p>
    <w:p>
      <w:pPr>
        <w:sectPr>
          <w:pgSz w:w="11900" w:h="16838" w:orient="portrait"/>
          <w:cols w:equalWidth="0" w:num="2">
            <w:col w:w="4500" w:space="80"/>
            <w:col w:w="5599"/>
          </w:cols>
          <w:pgMar w:left="280" w:top="1364" w:right="1440" w:bottom="1440" w:gutter="0" w:footer="0" w:header="0"/>
          <w:type w:val="continuous"/>
        </w:sectPr>
      </w:pPr>
    </w:p>
    <w:tbl>
      <w:tblPr>
        <w:tblLayout w:type="fixed"/>
        <w:tblInd w:w="0" w:type="dxa"/>
        <w:tblCellMar>
          <w:top w:w="0" w:type="dxa"/>
          <w:left w:w="0" w:type="dxa"/>
          <w:bottom w:w="0" w:type="dxa"/>
          <w:right w:w="0" w:type="dxa"/>
        </w:tblCellMar>
      </w:tblPr>
      <w:tr>
        <w:trPr>
          <w:trHeight w:val="195"/>
        </w:trPr>
        <w:tc>
          <w:tcPr>
            <w:tcW w:w="4580" w:type="dxa"/>
            <w:vAlign w:val="bottom"/>
          </w:tcPr>
          <w:p>
            <w:pPr>
              <w:spacing w:after="0"/>
              <w:rPr>
                <w:sz w:val="20"/>
                <w:szCs w:val="20"/>
                <w:color w:val="auto"/>
              </w:rPr>
            </w:pPr>
            <w:r>
              <w:rPr>
                <w:rFonts w:ascii="Arial" w:cs="Arial" w:eastAsia="Arial" w:hAnsi="Arial"/>
                <w:sz w:val="16"/>
                <w:szCs w:val="16"/>
                <w:color w:val="auto"/>
              </w:rPr>
              <w:t>Operating revenues</w:t>
            </w:r>
          </w:p>
        </w:tc>
        <w:tc>
          <w:tcPr>
            <w:tcW w:w="3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632.8</w:t>
            </w:r>
          </w:p>
        </w:tc>
        <w:tc>
          <w:tcPr>
            <w:tcW w:w="36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367.5</w:t>
            </w:r>
          </w:p>
        </w:tc>
        <w:tc>
          <w:tcPr>
            <w:tcW w:w="3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1,756.4</w:t>
            </w:r>
          </w:p>
        </w:tc>
        <w:tc>
          <w:tcPr>
            <w:tcW w:w="36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1,449.0</w:t>
            </w:r>
          </w:p>
        </w:tc>
        <w:tc>
          <w:tcPr>
            <w:tcW w:w="0" w:type="dxa"/>
            <w:vAlign w:val="bottom"/>
          </w:tcPr>
          <w:p>
            <w:pPr>
              <w:spacing w:after="0"/>
              <w:rPr>
                <w:sz w:val="1"/>
                <w:szCs w:val="1"/>
                <w:color w:val="auto"/>
              </w:rPr>
            </w:pPr>
          </w:p>
        </w:tc>
      </w:tr>
      <w:tr>
        <w:trPr>
          <w:trHeight w:val="256"/>
        </w:trPr>
        <w:tc>
          <w:tcPr>
            <w:tcW w:w="4580" w:type="dxa"/>
            <w:vAlign w:val="bottom"/>
          </w:tcPr>
          <w:p>
            <w:pPr>
              <w:spacing w:after="0"/>
              <w:rPr>
                <w:sz w:val="20"/>
                <w:szCs w:val="20"/>
                <w:color w:val="auto"/>
              </w:rPr>
            </w:pPr>
            <w:r>
              <w:rPr>
                <w:rFonts w:ascii="Arial" w:cs="Arial" w:eastAsia="Arial" w:hAnsi="Arial"/>
                <w:sz w:val="16"/>
                <w:szCs w:val="16"/>
                <w:color w:val="auto"/>
              </w:rPr>
              <w:t>Commission expense</w:t>
            </w:r>
          </w:p>
        </w:tc>
        <w:tc>
          <w:tcPr>
            <w:tcW w:w="3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(41.6)</w:t>
            </w:r>
          </w:p>
        </w:tc>
        <w:tc>
          <w:tcPr>
            <w:tcW w:w="36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(40.0)</w:t>
            </w:r>
          </w:p>
        </w:tc>
        <w:tc>
          <w:tcPr>
            <w:tcW w:w="34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(166.9)</w:t>
            </w:r>
          </w:p>
        </w:tc>
        <w:tc>
          <w:tcPr>
            <w:tcW w:w="36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(160.4)</w:t>
            </w:r>
          </w:p>
        </w:tc>
        <w:tc>
          <w:tcPr>
            <w:tcW w:w="0" w:type="dxa"/>
            <w:vAlign w:val="bottom"/>
          </w:tcPr>
          <w:p>
            <w:pPr>
              <w:spacing w:after="0"/>
              <w:rPr>
                <w:sz w:val="1"/>
                <w:szCs w:val="1"/>
                <w:color w:val="auto"/>
              </w:rPr>
            </w:pPr>
          </w:p>
        </w:tc>
      </w:tr>
      <w:tr>
        <w:trPr>
          <w:trHeight w:val="237"/>
        </w:trPr>
        <w:tc>
          <w:tcPr>
            <w:tcW w:w="4580" w:type="dxa"/>
            <w:vAlign w:val="bottom"/>
          </w:tcPr>
          <w:p>
            <w:pPr>
              <w:spacing w:after="0"/>
              <w:rPr>
                <w:sz w:val="20"/>
                <w:szCs w:val="20"/>
                <w:color w:val="auto"/>
              </w:rPr>
            </w:pPr>
            <w:r>
              <w:rPr>
                <w:rFonts w:ascii="Arial" w:cs="Arial" w:eastAsia="Arial" w:hAnsi="Arial"/>
                <w:sz w:val="16"/>
                <w:szCs w:val="16"/>
                <w:color w:val="auto"/>
              </w:rPr>
              <w:t>Operating revenues less pass-through commissions</w:t>
            </w:r>
          </w:p>
        </w:tc>
        <w:tc>
          <w:tcPr>
            <w:tcW w:w="32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591.2</w:t>
            </w:r>
          </w:p>
        </w:tc>
        <w:tc>
          <w:tcPr>
            <w:tcW w:w="36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327.5</w:t>
            </w:r>
          </w:p>
        </w:tc>
        <w:tc>
          <w:tcPr>
            <w:tcW w:w="34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1,589.5</w:t>
            </w:r>
          </w:p>
        </w:tc>
        <w:tc>
          <w:tcPr>
            <w:tcW w:w="36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1,288.6</w:t>
            </w:r>
          </w:p>
        </w:tc>
        <w:tc>
          <w:tcPr>
            <w:tcW w:w="0" w:type="dxa"/>
            <w:vAlign w:val="bottom"/>
          </w:tcPr>
          <w:p>
            <w:pPr>
              <w:spacing w:after="0"/>
              <w:rPr>
                <w:sz w:val="1"/>
                <w:szCs w:val="1"/>
                <w:color w:val="auto"/>
              </w:rPr>
            </w:pPr>
          </w:p>
        </w:tc>
      </w:tr>
      <w:tr>
        <w:trPr>
          <w:trHeight w:val="20"/>
        </w:trPr>
        <w:tc>
          <w:tcPr>
            <w:tcW w:w="4580" w:type="dxa"/>
            <w:vAlign w:val="bottom"/>
            <w:vMerge w:val="restart"/>
          </w:tcPr>
          <w:p>
            <w:pPr>
              <w:spacing w:after="0"/>
              <w:rPr>
                <w:sz w:val="20"/>
                <w:szCs w:val="20"/>
                <w:color w:val="auto"/>
              </w:rPr>
            </w:pPr>
            <w:r>
              <w:rPr>
                <w:rFonts w:ascii="Arial" w:cs="Arial" w:eastAsia="Arial" w:hAnsi="Arial"/>
                <w:sz w:val="16"/>
                <w:szCs w:val="16"/>
                <w:b w:val="1"/>
                <w:bCs w:val="1"/>
                <w:color w:val="auto"/>
              </w:rPr>
              <w:t>Principal International Combined Net Revenue (at PFG</w:t>
            </w:r>
          </w:p>
        </w:tc>
        <w:tc>
          <w:tcPr>
            <w:tcW w:w="3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9"/>
        </w:trPr>
        <w:tc>
          <w:tcPr>
            <w:tcW w:w="458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4580" w:type="dxa"/>
            <w:vAlign w:val="bottom"/>
          </w:tcPr>
          <w:p>
            <w:pPr>
              <w:ind w:left="320"/>
              <w:spacing w:after="0"/>
              <w:rPr>
                <w:sz w:val="20"/>
                <w:szCs w:val="20"/>
                <w:color w:val="auto"/>
              </w:rPr>
            </w:pPr>
            <w:r>
              <w:rPr>
                <w:rFonts w:ascii="Arial" w:cs="Arial" w:eastAsia="Arial" w:hAnsi="Arial"/>
                <w:sz w:val="16"/>
                <w:szCs w:val="16"/>
                <w:b w:val="1"/>
                <w:bCs w:val="1"/>
                <w:color w:val="auto"/>
              </w:rPr>
              <w:t>Share)</w:t>
            </w:r>
          </w:p>
        </w:tc>
        <w:tc>
          <w:tcPr>
            <w:tcW w:w="3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4580" w:type="dxa"/>
            <w:vAlign w:val="bottom"/>
          </w:tcPr>
          <w:p>
            <w:pPr>
              <w:spacing w:after="0"/>
              <w:rPr>
                <w:sz w:val="20"/>
                <w:szCs w:val="20"/>
                <w:color w:val="auto"/>
              </w:rPr>
            </w:pPr>
            <w:r>
              <w:rPr>
                <w:rFonts w:ascii="Arial" w:cs="Arial" w:eastAsia="Arial" w:hAnsi="Arial"/>
                <w:sz w:val="16"/>
                <w:szCs w:val="16"/>
                <w:color w:val="auto"/>
              </w:rPr>
              <w:t>Pre-tax operating earnings</w:t>
            </w:r>
          </w:p>
        </w:tc>
        <w:tc>
          <w:tcPr>
            <w:tcW w:w="3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32.4</w:t>
            </w:r>
          </w:p>
        </w:tc>
        <w:tc>
          <w:tcPr>
            <w:tcW w:w="36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72.4</w:t>
            </w:r>
          </w:p>
        </w:tc>
        <w:tc>
          <w:tcPr>
            <w:tcW w:w="3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279.8</w:t>
            </w:r>
          </w:p>
        </w:tc>
        <w:tc>
          <w:tcPr>
            <w:tcW w:w="36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317.7</w:t>
            </w:r>
          </w:p>
        </w:tc>
        <w:tc>
          <w:tcPr>
            <w:tcW w:w="0" w:type="dxa"/>
            <w:vAlign w:val="bottom"/>
          </w:tcPr>
          <w:p>
            <w:pPr>
              <w:spacing w:after="0"/>
              <w:rPr>
                <w:sz w:val="1"/>
                <w:szCs w:val="1"/>
                <w:color w:val="auto"/>
              </w:rPr>
            </w:pPr>
          </w:p>
        </w:tc>
      </w:tr>
      <w:tr>
        <w:trPr>
          <w:trHeight w:val="238"/>
        </w:trPr>
        <w:tc>
          <w:tcPr>
            <w:tcW w:w="4580" w:type="dxa"/>
            <w:vAlign w:val="bottom"/>
          </w:tcPr>
          <w:p>
            <w:pPr>
              <w:spacing w:after="0"/>
              <w:rPr>
                <w:sz w:val="20"/>
                <w:szCs w:val="20"/>
                <w:color w:val="auto"/>
              </w:rPr>
            </w:pPr>
            <w:r>
              <w:rPr>
                <w:rFonts w:ascii="Arial" w:cs="Arial" w:eastAsia="Arial" w:hAnsi="Arial"/>
                <w:sz w:val="16"/>
                <w:szCs w:val="16"/>
                <w:color w:val="auto"/>
              </w:rPr>
              <w:t>Combined  operating  expenses  other  than  pass-through</w:t>
            </w:r>
          </w:p>
        </w:tc>
        <w:tc>
          <w:tcPr>
            <w:tcW w:w="3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8"/>
        </w:trPr>
        <w:tc>
          <w:tcPr>
            <w:tcW w:w="4580" w:type="dxa"/>
            <w:vAlign w:val="bottom"/>
          </w:tcPr>
          <w:p>
            <w:pPr>
              <w:spacing w:after="0"/>
              <w:rPr>
                <w:sz w:val="20"/>
                <w:szCs w:val="20"/>
                <w:color w:val="auto"/>
              </w:rPr>
            </w:pPr>
            <w:r>
              <w:rPr>
                <w:rFonts w:ascii="Arial" w:cs="Arial" w:eastAsia="Arial" w:hAnsi="Arial"/>
                <w:sz w:val="16"/>
                <w:szCs w:val="16"/>
                <w:color w:val="auto"/>
              </w:rPr>
              <w:t>commissions (at PFG share)</w:t>
            </w:r>
          </w:p>
        </w:tc>
        <w:tc>
          <w:tcPr>
            <w:tcW w:w="3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208.1</w:t>
            </w:r>
          </w:p>
        </w:tc>
        <w:tc>
          <w:tcPr>
            <w:tcW w:w="36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163.6</w:t>
            </w:r>
          </w:p>
        </w:tc>
        <w:tc>
          <w:tcPr>
            <w:tcW w:w="3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685.5</w:t>
            </w:r>
          </w:p>
        </w:tc>
        <w:tc>
          <w:tcPr>
            <w:tcW w:w="36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564.0</w:t>
            </w:r>
          </w:p>
        </w:tc>
        <w:tc>
          <w:tcPr>
            <w:tcW w:w="0" w:type="dxa"/>
            <w:vAlign w:val="bottom"/>
          </w:tcPr>
          <w:p>
            <w:pPr>
              <w:spacing w:after="0"/>
              <w:rPr>
                <w:sz w:val="1"/>
                <w:szCs w:val="1"/>
                <w:color w:val="auto"/>
              </w:rPr>
            </w:pPr>
          </w:p>
        </w:tc>
      </w:tr>
      <w:tr>
        <w:trPr>
          <w:trHeight w:val="240"/>
        </w:trPr>
        <w:tc>
          <w:tcPr>
            <w:tcW w:w="4580" w:type="dxa"/>
            <w:vAlign w:val="bottom"/>
          </w:tcPr>
          <w:p>
            <w:pPr>
              <w:spacing w:after="0"/>
              <w:rPr>
                <w:sz w:val="20"/>
                <w:szCs w:val="20"/>
                <w:color w:val="auto"/>
              </w:rPr>
            </w:pPr>
            <w:r>
              <w:rPr>
                <w:rFonts w:ascii="Arial" w:cs="Arial" w:eastAsia="Arial" w:hAnsi="Arial"/>
                <w:sz w:val="16"/>
                <w:szCs w:val="16"/>
                <w:color w:val="auto"/>
              </w:rPr>
              <w:t>Combined net revenue (at PFG share)</w:t>
            </w:r>
          </w:p>
        </w:tc>
        <w:tc>
          <w:tcPr>
            <w:tcW w:w="32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240.5</w:t>
            </w:r>
          </w:p>
        </w:tc>
        <w:tc>
          <w:tcPr>
            <w:tcW w:w="36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236.0</w:t>
            </w:r>
          </w:p>
        </w:tc>
        <w:tc>
          <w:tcPr>
            <w:tcW w:w="34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965.3</w:t>
            </w:r>
          </w:p>
        </w:tc>
        <w:tc>
          <w:tcPr>
            <w:tcW w:w="36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881.7</w:t>
            </w:r>
          </w:p>
        </w:tc>
        <w:tc>
          <w:tcPr>
            <w:tcW w:w="0" w:type="dxa"/>
            <w:vAlign w:val="bottom"/>
          </w:tcPr>
          <w:p>
            <w:pPr>
              <w:spacing w:after="0"/>
              <w:rPr>
                <w:sz w:val="1"/>
                <w:szCs w:val="1"/>
                <w:color w:val="auto"/>
              </w:rPr>
            </w:pPr>
          </w:p>
        </w:tc>
      </w:tr>
      <w:tr>
        <w:trPr>
          <w:trHeight w:val="20"/>
        </w:trPr>
        <w:tc>
          <w:tcPr>
            <w:tcW w:w="45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0179"/>
      </w:cols>
      <w:pgMar w:left="280" w:top="1364"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F16E9E8"/>
    <w:multiLevelType w:val="hybridMultilevel"/>
    <w:lvl w:ilvl="0">
      <w:lvlJc w:val="left"/>
      <w:lvlText w:val="["/>
      <w:numFmt w:val="bullet"/>
      <w:start w:val="1"/>
    </w:lvl>
  </w:abstractNum>
  <w:abstractNum w:abstractNumId="1">
    <w:nsid w:val="1190CDE7"/>
    <w:multiLevelType w:val="hybridMultilevel"/>
    <w:lvl w:ilvl="0">
      <w:lvlJc w:val="left"/>
      <w:lvlText w:val="•"/>
      <w:numFmt w:val="bullet"/>
      <w:start w:val="1"/>
    </w:lvl>
  </w:abstractNum>
  <w:abstractNum w:abstractNumId="2">
    <w:nsid w:val="66EF438D"/>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3">
    <w:nsid w:val="140E0F76"/>
    <w:multiLevelType w:val="hybridMultilevel"/>
    <w:lvl w:ilvl="0">
      <w:lvlJc w:val="left"/>
      <w:lvlText w:val="1"/>
      <w:numFmt w:val="bullet"/>
      <w:start w:val="1"/>
    </w:lvl>
  </w:abstractNum>
  <w:abstractNum w:abstractNumId="4">
    <w:nsid w:val="3352255A"/>
    <w:multiLevelType w:val="hybridMultilevel"/>
    <w:lvl w:ilvl="0">
      <w:lvlJc w:val="left"/>
      <w:lvlText w:val="•"/>
      <w:numFmt w:val="bullet"/>
      <w:start w:val="1"/>
    </w:lvl>
    <w:lvl w:ilvl="1">
      <w:lvlJc w:val="left"/>
      <w:lvlText w:val="◦"/>
      <w:numFmt w:val="bullet"/>
      <w:start w:val="1"/>
    </w:lvl>
  </w:abstractNum>
  <w:abstractNum w:abstractNumId="5">
    <w:nsid w:val="109CF92E"/>
    <w:multiLevelType w:val="hybridMultilevel"/>
    <w:lvl w:ilvl="0">
      <w:lvlJc w:val="left"/>
      <w:lvlText w:val="•"/>
      <w:numFmt w:val="bullet"/>
      <w:start w:val="1"/>
    </w:lvl>
  </w:abstractNum>
  <w:abstractNum w:abstractNumId="6">
    <w:nsid w:val="DED7263"/>
    <w:multiLevelType w:val="hybridMultilevel"/>
    <w:lvl w:ilvl="0">
      <w:lvlJc w:val="left"/>
      <w:lvlText w:val="2"/>
      <w:numFmt w:val="bullet"/>
      <w:start w:val="1"/>
    </w:lvl>
  </w:abstractNum>
  <w:abstractNum w:abstractNumId="7">
    <w:nsid w:val="7FDCC233"/>
    <w:multiLevelType w:val="hybridMultilevel"/>
    <w:lvl w:ilvl="0">
      <w:lvlJc w:val="left"/>
      <w:lvlText w:val="•"/>
      <w:numFmt w:val="bullet"/>
      <w:start w:val="1"/>
    </w:lvl>
    <w:lvl w:ilvl="1">
      <w:lvlJc w:val="left"/>
      <w:lvlText w:val="◦"/>
      <w:numFmt w:val="bullet"/>
      <w:start w:val="1"/>
    </w:lvl>
  </w:abstractNum>
  <w:abstractNum w:abstractNumId="8">
    <w:nsid w:val="1BEFD79F"/>
    <w:multiLevelType w:val="hybridMultilevel"/>
    <w:lvl w:ilvl="0">
      <w:lvlJc w:val="left"/>
      <w:lvlText w:val="•"/>
      <w:numFmt w:val="bullet"/>
      <w:start w:val="1"/>
    </w:lvl>
  </w:abstractNum>
  <w:abstractNum w:abstractNumId="9">
    <w:nsid w:val="41A7C4C9"/>
    <w:multiLevelType w:val="hybridMultilevel"/>
    <w:lvl w:ilvl="0">
      <w:lvlJc w:val="left"/>
      <w:lvlText w:val="•"/>
      <w:numFmt w:val="bullet"/>
      <w:start w:val="1"/>
    </w:lvl>
  </w:abstractNum>
  <w:abstractNum w:abstractNumId="10">
    <w:nsid w:val="6B68079A"/>
    <w:multiLevelType w:val="hybridMultilevel"/>
    <w:lvl w:ilvl="0">
      <w:lvlJc w:val="left"/>
      <w:lvlText w:val="5"/>
      <w:numFmt w:val="bullet"/>
      <w:start w:val="1"/>
    </w:lvl>
  </w:abstractNum>
  <w:abstractNum w:abstractNumId="11">
    <w:nsid w:val="4E6AFB66"/>
    <w:multiLevelType w:val="hybridMultilevel"/>
    <w:lvl w:ilvl="0">
      <w:lvlJc w:val="left"/>
      <w:lvlText w:val="6"/>
      <w:numFmt w:val="bullet"/>
      <w:start w:val="1"/>
    </w:lvl>
  </w:abstractNum>
  <w:abstractNum w:abstractNumId="12">
    <w:nsid w:val="25E45D32"/>
    <w:multiLevelType w:val="hybridMultilevel"/>
    <w:lvl w:ilvl="0">
      <w:lvlJc w:val="left"/>
      <w:lvlText w:val="•"/>
      <w:numFmt w:val="bullet"/>
      <w:start w:val="1"/>
    </w:lvl>
  </w:abstractNum>
  <w:abstractNum w:abstractNumId="13">
    <w:nsid w:val="519B500D"/>
    <w:multiLevelType w:val="hybridMultilevel"/>
    <w:lvl w:ilvl="0">
      <w:lvlJc w:val="left"/>
      <w:lvlText w:val="•"/>
      <w:numFmt w:val="bullet"/>
      <w:start w:val="1"/>
    </w:lvl>
  </w:abstractNum>
  <w:abstractNum w:abstractNumId="14">
    <w:nsid w:val="431BD7B7"/>
    <w:multiLevelType w:val="hybridMultilevel"/>
    <w:lvl w:ilvl="0">
      <w:lvlJc w:val="left"/>
      <w:lvlText w:val="8"/>
      <w:numFmt w:val="bullet"/>
      <w:start w:val="1"/>
    </w:lvl>
  </w:abstractNum>
  <w:abstractNum w:abstractNumId="15">
    <w:nsid w:val="3F2DBA31"/>
    <w:multiLevelType w:val="hybridMultilevel"/>
    <w:lvl w:ilvl="0">
      <w:lvlJc w:val="left"/>
      <w:lvlText w:val="•"/>
      <w:numFmt w:val="bullet"/>
      <w:start w:val="1"/>
    </w:lvl>
  </w:abstractNum>
  <w:abstractNum w:abstractNumId="16">
    <w:nsid w:val="7C83E458"/>
    <w:multiLevelType w:val="hybridMultilevel"/>
    <w:lvl w:ilvl="0">
      <w:lvlJc w:val="left"/>
      <w:lvlText w:val="•"/>
      <w:numFmt w:val="bullet"/>
      <w:start w:val="1"/>
    </w:lvl>
  </w:abstractNum>
  <w:abstractNum w:abstractNumId="17">
    <w:nsid w:val="257130A3"/>
    <w:multiLevelType w:val="hybridMultilevel"/>
    <w:lvl w:ilvl="0">
      <w:lvlJc w:val="left"/>
      <w:lvlText w:val="•"/>
      <w:numFmt w:val="bullet"/>
      <w:start w:val="1"/>
    </w:lvl>
  </w:abstractNum>
  <w:abstractNum w:abstractNumId="18">
    <w:nsid w:val="62BBD95A"/>
    <w:multiLevelType w:val="hybridMultilevel"/>
    <w:lvl w:ilvl="0">
      <w:lvlJc w:val="left"/>
      <w:lvlText w:val="%1"/>
      <w:numFmt w:val="decimal"/>
      <w:start w:val="10"/>
    </w:lvl>
  </w:abstractNum>
  <w:abstractNum w:abstractNumId="19">
    <w:nsid w:val="436C6125"/>
    <w:multiLevelType w:val="hybridMultilevel"/>
    <w:lvl w:ilvl="0">
      <w:lvlJc w:val="left"/>
      <w:lvlText w:val="•"/>
      <w:numFmt w:val="bullet"/>
      <w:start w:val="1"/>
    </w:lvl>
  </w:abstractNum>
  <w:abstractNum w:abstractNumId="20">
    <w:nsid w:val="628C895D"/>
    <w:multiLevelType w:val="hybridMultilevel"/>
    <w:lvl w:ilvl="0">
      <w:lvlJc w:val="left"/>
      <w:lvlText w:val="%1"/>
      <w:numFmt w:val="decimal"/>
      <w:start w:val="1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2020-01-11T23:17:33Z</dcterms:created>
  <dcterms:modified xsi:type="dcterms:W3CDTF">2020-01-11T23:17:33Z</dcterms:modified>
</cp:coreProperties>
</file>