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0" w:type="dxa"/>
            <w:vAlign w:val="bottom"/>
            <w:gridSpan w:val="3"/>
            <w:vMerge w:val="restart"/>
          </w:tcPr>
          <w:p>
            <w:pPr>
              <w:spacing w:after="0" w:line="250" w:lineRule="exact"/>
              <w:rPr>
                <w:rFonts w:ascii="Arial" w:cs="Arial" w:eastAsia="Arial" w:hAnsi="Arial"/>
                <w:sz w:val="22"/>
                <w:szCs w:val="22"/>
                <w:color w:val="0000EE"/>
                <w:w w:val="98"/>
              </w:rPr>
            </w:pPr>
            <w:hyperlink r:id="rId12">
              <w:r>
                <w:rPr>
                  <w:rFonts w:ascii="Arial" w:cs="Arial" w:eastAsia="Arial" w:hAnsi="Arial"/>
                  <w:sz w:val="22"/>
                  <w:szCs w:val="22"/>
                  <w:color w:val="0000EE"/>
                  <w:w w:val="98"/>
                </w:rPr>
                <w:t>LAWLER JULIA M</w:t>
              </w:r>
            </w:hyperlink>
          </w:p>
        </w:tc>
        <w:tc>
          <w:tcPr>
            <w:tcW w:w="7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0" w:type="dxa"/>
            <w:vAlign w:val="bottom"/>
            <w:gridSpan w:val="3"/>
            <w:vMerge w:val="continue"/>
          </w:tcPr>
          <w:p>
            <w:pPr>
              <w:spacing w:after="0"/>
              <w:rPr>
                <w:sz w:val="4"/>
                <w:szCs w:val="4"/>
                <w:color w:val="auto"/>
              </w:rPr>
            </w:pPr>
          </w:p>
        </w:tc>
        <w:tc>
          <w:tcPr>
            <w:tcW w:w="7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gridSpan w:val="3"/>
            <w:vMerge w:val="continue"/>
          </w:tcPr>
          <w:p>
            <w:pPr>
              <w:spacing w:after="0"/>
              <w:rPr>
                <w:sz w:val="2"/>
                <w:szCs w:val="2"/>
                <w:color w:val="auto"/>
              </w:rPr>
            </w:pPr>
          </w:p>
        </w:tc>
        <w:tc>
          <w:tcPr>
            <w:tcW w:w="7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92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0" w:type="dxa"/>
            <w:vAlign w:val="bottom"/>
            <w:tcBorders>
              <w:bottom w:val="single" w:sz="8" w:color="0000EE"/>
            </w:tcBorders>
            <w:gridSpan w:val="3"/>
            <w:vMerge w:val="continue"/>
          </w:tcPr>
          <w:p>
            <w:pPr>
              <w:spacing w:after="0"/>
              <w:rPr>
                <w:sz w:val="5"/>
                <w:szCs w:val="5"/>
                <w:color w:val="auto"/>
              </w:rPr>
            </w:pPr>
          </w:p>
        </w:tc>
        <w:tc>
          <w:tcPr>
            <w:tcW w:w="72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0" w:type="dxa"/>
            <w:vAlign w:val="bottom"/>
            <w:gridSpan w:val="3"/>
          </w:tcPr>
          <w:p>
            <w:pPr>
              <w:spacing w:after="0"/>
              <w:rPr>
                <w:sz w:val="4"/>
                <w:szCs w:val="4"/>
                <w:color w:val="auto"/>
              </w:rPr>
            </w:pPr>
          </w:p>
        </w:tc>
        <w:tc>
          <w:tcPr>
            <w:tcW w:w="72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320" w:type="dxa"/>
            <w:vAlign w:val="bottom"/>
            <w:tcBorders>
              <w:bottom w:val="single" w:sz="8" w:color="9A9A9A"/>
            </w:tcBorders>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320" w:type="dxa"/>
            <w:vAlign w:val="bottom"/>
            <w:tcBorders>
              <w:top w:val="single" w:sz="8" w:color="EEEEEE"/>
            </w:tcBorders>
          </w:tcPr>
          <w:p>
            <w:pPr>
              <w:spacing w:after="0"/>
              <w:rPr>
                <w:sz w:val="2"/>
                <w:szCs w:val="2"/>
                <w:color w:val="auto"/>
              </w:rPr>
            </w:pPr>
          </w:p>
        </w:tc>
        <w:tc>
          <w:tcPr>
            <w:tcW w:w="72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4"/>
            <w:vMerge w:val="restart"/>
          </w:tcPr>
          <w:p>
            <w:pPr>
              <w:ind w:left="360"/>
              <w:spacing w:after="0"/>
              <w:rPr>
                <w:sz w:val="20"/>
                <w:szCs w:val="20"/>
                <w:color w:val="auto"/>
              </w:rPr>
            </w:pPr>
            <w:r>
              <w:rPr>
                <w:rFonts w:ascii="Arial" w:cs="Arial" w:eastAsia="Arial" w:hAnsi="Arial"/>
                <w:sz w:val="18"/>
                <w:szCs w:val="18"/>
                <w:color w:val="0000FF"/>
                <w:w w:val="95"/>
              </w:rPr>
              <w:t>Sr VP &amp; Ch Invst Officer</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4"/>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3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4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12/10/2010</w:t>
            </w: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4"/>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40" w:type="dxa"/>
            <w:vAlign w:val="bottom"/>
            <w:gridSpan w:val="5"/>
            <w:vMerge w:val="continue"/>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3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gridSpan w:val="3"/>
          </w:tcPr>
          <w:p>
            <w:pPr>
              <w:spacing w:after="0"/>
              <w:rPr>
                <w:sz w:val="9"/>
                <w:szCs w:val="9"/>
                <w:color w:val="auto"/>
              </w:rPr>
            </w:pPr>
          </w:p>
        </w:tc>
        <w:tc>
          <w:tcPr>
            <w:tcW w:w="1960" w:type="dxa"/>
            <w:vAlign w:val="bottom"/>
            <w:tcBorders>
              <w:bottom w:val="single" w:sz="8" w:color="2C2C2C"/>
            </w:tcBorders>
            <w:gridSpan w:val="4"/>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320" w:type="dxa"/>
            <w:vAlign w:val="bottom"/>
            <w:tcBorders>
              <w:bottom w:val="single" w:sz="8" w:color="9A9A9A"/>
            </w:tcBorders>
          </w:tcPr>
          <w:p>
            <w:pPr>
              <w:spacing w:after="0"/>
              <w:rPr>
                <w:sz w:val="7"/>
                <w:szCs w:val="7"/>
                <w:color w:val="auto"/>
              </w:rPr>
            </w:pPr>
          </w:p>
        </w:tc>
        <w:tc>
          <w:tcPr>
            <w:tcW w:w="7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3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7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200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3"/>
          </w:tcPr>
          <w:p>
            <w:pPr>
              <w:spacing w:after="0"/>
              <w:rPr>
                <w:sz w:val="11"/>
                <w:szCs w:val="11"/>
                <w:color w:val="auto"/>
              </w:rPr>
            </w:pPr>
          </w:p>
        </w:tc>
        <w:tc>
          <w:tcPr>
            <w:tcW w:w="196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21"/>
          </w:tcPr>
          <w:p>
            <w:pPr>
              <w:ind w:left="4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3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3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2160" w:type="dxa"/>
            <w:vAlign w:val="bottom"/>
            <w:tcBorders>
              <w:bottom w:val="single" w:sz="8" w:color="2C2C2C"/>
            </w:tcBorders>
            <w:gridSpan w:val="5"/>
          </w:tcPr>
          <w:p>
            <w:pPr>
              <w:spacing w:after="0"/>
              <w:rPr>
                <w:sz w:val="8"/>
                <w:szCs w:val="8"/>
                <w:color w:val="auto"/>
              </w:rPr>
            </w:pPr>
          </w:p>
        </w:tc>
        <w:tc>
          <w:tcPr>
            <w:tcW w:w="156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71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3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3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24.7</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12/10/2010</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24.7</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31.45</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8,969.6</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1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reported phantom stock units were acquired pursuant to the Principal Select Savings Excess Plan and may be transferred at any time into another investment alternative under the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Joyce N. Hoffman, by Power</w:t>
            </w:r>
          </w:p>
        </w:tc>
        <w:tc>
          <w:tcPr>
            <w:tcW w:w="120" w:type="dxa"/>
            <w:vAlign w:val="bottom"/>
          </w:tcPr>
          <w:p>
            <w:pPr>
              <w:spacing w:after="0"/>
              <w:rPr>
                <w:sz w:val="18"/>
                <w:szCs w:val="18"/>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12/14/2010</w:t>
            </w:r>
          </w:p>
        </w:tc>
        <w:tc>
          <w:tcPr>
            <w:tcW w:w="0" w:type="dxa"/>
            <w:vAlign w:val="bottom"/>
          </w:tcPr>
          <w:p>
            <w:pPr>
              <w:spacing w:after="0"/>
              <w:rPr>
                <w:sz w:val="1"/>
                <w:szCs w:val="1"/>
                <w:color w:val="auto"/>
              </w:rPr>
            </w:pPr>
          </w:p>
        </w:tc>
      </w:tr>
      <w:tr>
        <w:trPr>
          <w:trHeight w:val="88"/>
        </w:trPr>
        <w:tc>
          <w:tcPr>
            <w:tcW w:w="218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13419"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2020-01-29T11:50:56Z</dcterms:created>
  <dcterms:modified xsi:type="dcterms:W3CDTF">2020-01-29T11:50:56Z</dcterms:modified>
</cp:coreProperties>
</file>