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page_1"/>
      <w:bookmarkStart w:id="1" w:name="individualfield11k.htm"/>
      <w:bookmarkStart w:id="2" w:name="ksindividualfield11k"/>
      <w:bookmarkStart w:id="3" w:name="page_1"/>
      <w:bookmarkStart w:id="4" w:name="individualfield11k.htm"/>
      <w:bookmarkStart w:id="5" w:name="ksindividualfield11k"/>
      <w:bookmarkEnd w:id="3"/>
      <w:bookmarkEnd w:id="4"/>
      <w:bookmarkEnd w:id="5"/>
    </w:p>
    <w:tbl>
      <w:tblPr>
        <w:tblW w:w="975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985"/>
        <w:gridCol w:w="6071"/>
      </w:tblGrid>
      <w:tr>
        <w:trPr/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UNITED STATES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SECURITIES AND EXCHANGE COMMISSION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Washington, D.C. 20549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8"/>
              </w:rPr>
              <w:t>FORM 11-K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368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</w:rPr>
              <w:t>(Mark One)</w:t>
            </w:r>
            <w:r>
              <w:rPr/>
              <w:t> </w:t>
            </w:r>
          </w:p>
        </w:tc>
        <w:tc>
          <w:tcPr>
            <w:tcW w:w="60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</w:rPr>
              <w:t>[x]</w:t>
            </w:r>
            <w:r>
              <w:rPr/>
              <w:t> </w:t>
            </w:r>
          </w:p>
        </w:tc>
        <w:tc>
          <w:tcPr>
            <w:tcW w:w="905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ANNUAL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EXCHANGE ACT OF 1934</w:t>
            </w:r>
            <w:r>
              <w:rPr/>
              <w:t> </w:t>
            </w:r>
          </w:p>
        </w:tc>
        <w:tc>
          <w:tcPr>
            <w:tcW w:w="60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 xml:space="preserve">For the fiscal year ended: </w:t>
            </w:r>
            <w:r>
              <w:rPr>
                <w:rFonts w:ascii="Times New Roman;Bold;Arial;Helvetica;sans-serif" w:hAnsi="Times New Roman;Bold;Arial;Helvetica;sans-serif"/>
                <w:b/>
              </w:rPr>
              <w:t>December 31, 2009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OR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</w:rPr>
              <w:t>[ ]</w:t>
            </w:r>
            <w:r>
              <w:rPr/>
              <w:t> </w:t>
            </w:r>
          </w:p>
        </w:tc>
        <w:tc>
          <w:tcPr>
            <w:tcW w:w="905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TRANSITION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EXCHANGE ACT OF 1934</w:t>
            </w:r>
            <w:r>
              <w:rPr/>
              <w:t> </w:t>
            </w:r>
          </w:p>
        </w:tc>
        <w:tc>
          <w:tcPr>
            <w:tcW w:w="60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9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the transition period from</w:t>
            </w:r>
            <w:r>
              <w:rPr/>
              <w:t xml:space="preserve"> ____________ </w:t>
            </w:r>
            <w:r>
              <w:rPr>
                <w:rFonts w:ascii="Times New Roman;Arial;Helvetica;sans-serif" w:hAnsi="Times New Roman;Arial;Helvetica;sans-serif"/>
              </w:rPr>
              <w:t>to ____________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 xml:space="preserve">Commission file number: </w:t>
            </w:r>
            <w:r>
              <w:rPr>
                <w:rFonts w:ascii="Times New Roman;Bold;Arial;Helvetica;sans-serif" w:hAnsi="Times New Roman;Bold;Arial;Helvetica;sans-serif"/>
                <w:b/>
              </w:rPr>
              <w:t>1-16725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The Principal Select Savings Plan for Individual Field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(Full title of the plan)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Principal Financial Group, Inc.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(Name of Issuer of the securities held pursuant to the plan)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711 High Street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Des Moines, Iowa 50392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(Address of principal executive offices) (Zip Code)</w:t>
            </w: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0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         </w:t>
            </w:r>
            <w:r>
              <w:rPr>
                <w:rFonts w:ascii="Times New Roman;Arial;Helvetica;sans-serif" w:hAnsi="Times New Roman;Arial;Helvetica;sans-serif"/>
              </w:rPr>
              <w:t>Page 1 of 21</w:t>
            </w:r>
            <w:r>
              <w:rPr/>
              <w:t> </w:t>
            </w:r>
          </w:p>
        </w:tc>
      </w:tr>
      <w:tr>
        <w:trPr/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0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</w:t>
            </w:r>
            <w:r>
              <w:rPr>
                <w:rFonts w:ascii="Times New Roman;Arial;Helvetica;sans-serif" w:hAnsi="Times New Roman;Arial;Helvetica;sans-serif"/>
              </w:rPr>
              <w:t>Exhibit Index - Page 20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6" w:name="page_2"/>
      <w:bookmarkStart w:id="7" w:name="page_2"/>
      <w:bookmarkEnd w:id="7"/>
    </w:p>
    <w:tbl>
      <w:tblPr>
        <w:tblW w:w="1023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31"/>
      </w:tblGrid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 xml:space="preserve">Report of Independent </w:t>
            </w:r>
            <w:r>
              <w:rPr>
                <w:rFonts w:ascii="Times New Roman" w:hAnsi="Times New Roman"/>
                <w:sz w:val="28"/>
              </w:rPr>
              <w:t>Registered Public Accounting Firm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Management Resources Committee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 Company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have audited the accompanying statements of net assets available for benefits of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Principal Select Savings Plan for Individual Field as of December 31, 2009 and 2008, and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related statements of changes in net assets available for benefits for the years then ended.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financial statements are the responsibility of the Plans management. Our responsibility is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express an opinion on these financial statements based on our audits.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conducted our audits in accordance with auditing standards of the Public Company Accounting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Oversight Board (United States). Those standards require that we plan and perform the audit to obtain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reasonable assurance about whether the financial statements are free of material misstatement. We were 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 engaged to perform an audit of the Plans internal control over financial reporting. Our audits included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consideration of internal control over financial reporting as a basis for designing audit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procedures that are appropriate in the circumstances, but not for the purpose of expressing an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opinion on the effectiveness of the Plans internal control over financial reporting. Accordingly,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express no such opinion. An audit also includes examining, on a test basis, evidence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supporting the amounts and disclosures in the financial statements, assessing the accounting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principles used and significant estimates made by management, and evaluating the overall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statement presentation. We believe that our audits provide a reasonable basis for our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opinion.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our opinion, the financial statements referred to above present fairly, in all material respects,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net assets available for benefits of the Plan at December 31, 2009 and 2008, and the changes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its net assets available for benefits for the years then ended, in conformity with U.S. generally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accepted accounting principles.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Our audits were performed for the purpose of forming an opinion on the financial statements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taken as a whole. The accompanying supplemental schedule of assets (held at end of year) as of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December 31, 2009, is presented for purposes of additional analysis and is not a required part of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but is supplementary information required by the Department of Labors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Rules and Regulations for Reporting and Disclosure under the Employee Retirement Income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Security Act of 1974. This supplemental schedule is the responsibility of the Plans management.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supplemental schedule has been subjected to the auditing procedures applied in our audits of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and, in our opinion, is fairly stated in all material respects in relation to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taken as a whole.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/s/ Ernst &amp; Young LLP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June 29, 2010</w:t>
            </w: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10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2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page_3"/>
      <w:bookmarkStart w:id="9" w:name="page_3"/>
      <w:bookmarkEnd w:id="9"/>
    </w:p>
    <w:tbl>
      <w:tblPr>
        <w:tblW w:w="93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43"/>
        <w:gridCol w:w="2008"/>
        <w:gridCol w:w="286"/>
        <w:gridCol w:w="1434"/>
      </w:tblGrid>
      <w:tr>
        <w:trPr/>
        <w:tc>
          <w:tcPr>
            <w:tcW w:w="56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Statements of Net Assets Available for Benefits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72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</w:rPr>
              <w:t>December 31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28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Assets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Investments: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Unallocated investment options at fair value: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Guaranteed interest accounts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   2,915,965</w:t>
            </w:r>
            <w:r>
              <w:rPr/>
              <w:t> </w:t>
            </w:r>
          </w:p>
        </w:tc>
        <w:tc>
          <w:tcPr>
            <w:tcW w:w="172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 3,613,821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117,701,725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99,359,168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16,864,037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12,871,794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Notes receivable from participants</w:t>
            </w:r>
            <w:r>
              <w:rPr/>
              <w:t> </w:t>
            </w:r>
          </w:p>
        </w:tc>
        <w:tc>
          <w:tcPr>
            <w:tcW w:w="20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2,834,515</w:t>
            </w:r>
            <w:r>
              <w:rPr/>
              <w:t> </w:t>
            </w:r>
          </w:p>
        </w:tc>
        <w:tc>
          <w:tcPr>
            <w:tcW w:w="28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2,612,545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invested assets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140,316,242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118,457,328</w:t>
            </w: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 receivable from Principal Life Insurance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120,897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124,766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 receivable from participants</w:t>
            </w:r>
            <w:r>
              <w:rPr/>
              <w:t> </w:t>
            </w:r>
          </w:p>
        </w:tc>
        <w:tc>
          <w:tcPr>
            <w:tcW w:w="20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247,592</w:t>
            </w:r>
            <w:r>
              <w:rPr/>
              <w:t> </w:t>
            </w:r>
          </w:p>
        </w:tc>
        <w:tc>
          <w:tcPr>
            <w:tcW w:w="28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216,242</w:t>
            </w: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</w:t>
            </w:r>
            <w:r>
              <w:rPr/>
              <w:t> </w:t>
            </w:r>
          </w:p>
        </w:tc>
        <w:tc>
          <w:tcPr>
            <w:tcW w:w="2008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140,684,731</w:t>
            </w:r>
            <w:r>
              <w:rPr/>
              <w:t> </w:t>
            </w:r>
          </w:p>
        </w:tc>
        <w:tc>
          <w:tcPr>
            <w:tcW w:w="1720" w:type="dxa"/>
            <w:gridSpan w:val="2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$ 118,798,336</w:t>
            </w: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See accompanying notes.</w:t>
            </w: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  <w:tc>
          <w:tcPr>
            <w:tcW w:w="14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Page 3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0" w:name="page_4"/>
      <w:bookmarkStart w:id="11" w:name="page_4"/>
      <w:bookmarkEnd w:id="11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90"/>
        <w:gridCol w:w="1954"/>
        <w:gridCol w:w="200"/>
        <w:gridCol w:w="1461"/>
      </w:tblGrid>
      <w:tr>
        <w:trPr/>
        <w:tc>
          <w:tcPr>
            <w:tcW w:w="6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Statements of Changes in Net Assets Available for Benefits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61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</w:t>
            </w:r>
            <w:r>
              <w:rPr>
                <w:rFonts w:ascii="Times New Roman;Bold;Arial;Helvetica;sans-serif" w:hAnsi="Times New Roman;Bold;Arial;Helvetica;sans-serif"/>
                <w:b/>
              </w:rPr>
              <w:t>Year Ended December 31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income (loss):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Interest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     279,260</w:t>
            </w:r>
            <w:r>
              <w:rPr/>
              <w:t> </w:t>
            </w:r>
          </w:p>
        </w:tc>
        <w:tc>
          <w:tcPr>
            <w:tcW w:w="166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   338,597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Dividends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337,543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189,713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Net realized and unrealized appreciation (depreciation) in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 </w:t>
            </w:r>
            <w:r>
              <w:rPr>
                <w:rFonts w:ascii="Times New Roman;Arial;Helvetica;sans-serif" w:hAnsi="Times New Roman;Arial;Helvetica;sans-serif"/>
              </w:rPr>
              <w:t>aggregate value of investments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22,871,270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(66,596,717)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investment income (loss)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23,488,073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(66,068,407)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Contributions: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Principal Life Insurance Company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3,160,473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3,989,907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Employees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7,997,111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9,195,693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Transfers from affiliated and unaffiliated plans, net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536,219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294,917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contributions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11,693,803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13,480,517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35,181,876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(52,587,890)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Deductions: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Benefits paid to participants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13,261,029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16,476,968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Administrative expenses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34,452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30,484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deductions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13,295,481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16,507,452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increase (decrease)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21,886,395</w:t>
            </w: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(69,095,342)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 at beginning of year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118,798,336</w:t>
            </w:r>
            <w:r>
              <w:rPr/>
              <w:t> 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187,893,678</w:t>
            </w: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 at end of year</w:t>
            </w:r>
            <w:r>
              <w:rPr/>
              <w:t> </w:t>
            </w:r>
          </w:p>
        </w:tc>
        <w:tc>
          <w:tcPr>
            <w:tcW w:w="1954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140,684,731</w:t>
            </w:r>
            <w:r>
              <w:rPr/>
              <w:t> </w:t>
            </w:r>
          </w:p>
        </w:tc>
        <w:tc>
          <w:tcPr>
            <w:tcW w:w="1661" w:type="dxa"/>
            <w:gridSpan w:val="2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$ 118,798,336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See accompanying notes.</w:t>
            </w: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5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4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2" w:name="page_5"/>
      <w:bookmarkStart w:id="13" w:name="page_5"/>
      <w:bookmarkEnd w:id="13"/>
    </w:p>
    <w:tbl>
      <w:tblPr>
        <w:tblW w:w="924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41"/>
      </w:tblGrid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accounting records of The Principal Select Savings Plan for Individual Field (the Plan) are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maintained on the accrual basis of accounting.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Valuation of Investments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unallocated investment options consist of guaranteed interest accounts under a guaranteed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benefit policy (described in ERISA 401(b)) and separate accounts (described in ERISA 3(17) of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company; Principal Life Insurance Company (Principal Life). The guaranteed interest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accounts and separate accounts are reported at fair value as determined by Principal Life. The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 Group Inc. ESOP, which consists of common stock of Principal Financial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Group, Inc., the ultimate parent of Principal Life, is reported at the quoted closing market price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stock on the last business day of the Plan year.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unallocated investment options are non-benefit-responsive and are valued at fair value.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guaranteed interest accounts fair value is the amount Plan participants would receive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currently if they were to withdraw or transfer funds within the Plan prior to their maturity for an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event other than death, disability, termination, or retirement. This fair value represents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guaranteed interest account values adjusted to reflect current market interest rates only to the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extent such market rates exceed contract crediting rates. This value represents contributions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allocated to the guaranteed interest accounts, plus interest at the contractually guaranteed rate,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less funds used to pay plan benefits and the insurance companys administrative expenses. The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separate accounts of insurance company represent contributions invested in pools of domestic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international common stocks, high-quality short-term debt securities, real estate, private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market bonds and mortgages, and high-yield fixed-income securities which are slightly below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grade, all of which are valued at fair value.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notes receivable from participants are reported at cost (unpaid balances), which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approximates fair value.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Risks and Uncertainties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invests in various investment securities. Investment securities are exposed to various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risks such as interest rate, market, and credit risks. Due to the level of risk associated with certain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securities, it is at least reasonably possible that changes in the values of investment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 will occur in the near term and that such changes could materially affect the amounts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reported in the statements of net assets available for benefits.</w:t>
            </w: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5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4" w:name="page_6"/>
      <w:bookmarkStart w:id="15" w:name="page_6"/>
      <w:bookmarkEnd w:id="15"/>
    </w:p>
    <w:tbl>
      <w:tblPr>
        <w:tblW w:w="931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16"/>
      </w:tblGrid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Use of Estimates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preparation of financial statements in conformity with U.S. generally accepted accounting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principles requires management to make estimates and assumptions that affect the amounts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reported in the financial statements and accompanying notes. Actual results could differ from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those estimates.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New Accounting Pronouncements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April 2009, the Financial Accounting Standards Board (FASB) issued FASB Staff Position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157-4,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Determining Fair Value When the Volume and Level of Activity for the Asset or Liability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Have Significantly Decreased and Identifying Transactions That Are Not Orderly (FSP 157-4)</w:t>
            </w:r>
            <w:r>
              <w:rPr>
                <w:rFonts w:ascii="Times New Roman;Arial;Helvetica;sans-serif" w:hAnsi="Times New Roman;Arial;Helvetica;sans-serif"/>
              </w:rPr>
              <w:t>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FSP 157-4 amended FASB Statement No. 157 (codified as Accounting Standards Codification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(ASC) 820) to provide additional guidance on estimating fair value when the volume and level of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activity for an asset or liability have significantly decreased in relation to its normal market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activity. FSP 157-4 also provided additional guidance on circumstances that may indicate that a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transaction is not orderly and on defining major categories of debt and equity securities to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comply with the disclosure requirements of ASC 820. The Plan adopted the guidance in FSP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157-4 for the reporting period ended December 31, 2009. Adoption of FSP 157-4 did not have a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material effect on the Plans net assets available for benefits or its changes in net assets available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benefits.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In September 2009, the FASB issued Accounting Standards Update 2009-12,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Investments in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 xml:space="preserve">Certain Entities That Calculate Net Asset Value per Share (or Its Equivalent) </w:t>
            </w:r>
            <w:r>
              <w:rPr>
                <w:rFonts w:ascii="Times New Roman;Arial;Helvetica;sans-serif" w:hAnsi="Times New Roman;Arial;Helvetica;sans-serif"/>
              </w:rPr>
              <w:t>(ASU 2009-12).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ASU 2009-12 amended ASC 820 to allow entities to use net asset value (NAV) per share (or its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equivalent), as a practical expedient, to measure fair value when the investment does not have a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readily determinable fair value and the net asset value is calculated in a manner consistent with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company accounting. The Plan adopted the guidance in ASU 2009-12 for the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reporting period ended December 31, 2009 and has utilized the practical expedient to measure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fair value of investments within the scope of this guidance based on the investments NAV.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addition, as a result of adopting ASU 2009-12, the Plan has provided additional disclosures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regarding the nature and risks of investments within the scope of this guidance. Refer to Note 5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these disclosures. Adoption of ASU 2009-12 did not have a material effect on the Plans net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assets available for benefits or its changes in net assets available for benefits.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6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6" w:name="page_7"/>
      <w:bookmarkStart w:id="17" w:name="page_7"/>
      <w:bookmarkEnd w:id="17"/>
    </w:p>
    <w:tbl>
      <w:tblPr>
        <w:tblW w:w="936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61"/>
      </w:tblGrid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In January 2010, the FASB issued Accounting Standards Update 2010-06,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Improving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 xml:space="preserve">Disclosures about Fair Value Measurements, </w:t>
            </w:r>
            <w:r>
              <w:rPr>
                <w:rFonts w:ascii="Times New Roman;Arial;Helvetica;sans-serif" w:hAnsi="Times New Roman;Arial;Helvetica;sans-serif"/>
              </w:rPr>
              <w:t>(ASU 2010-06). ASU 2010-06 amended ASC 820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clarify certain existing fair value disclosures and require a number of additional disclosures.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guidance in ASU 2010-06 clarified that disclosures should be presented separately for each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class of assets and liabilities measured at fair value and provided guidance on how to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appropriate classes of assets and liabilities to be presented. ASU 2010-06 also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clarified the requirement for entities to disclose information about both the valuation techniques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inputs used in estimating Level 2 and Level 3 fair value measurements. In addition, ASU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2010-06 introduced new requirements to disclose the amounts (on a gross basis) and reasons for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any significant transfers between Levels 1, 2 and 3 of the fair value hierarchy and present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information regarding the purchases, sales, issuances and settlements of Level 3 assets and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liabilities on a gross basis. With the exception of the requirement to present changes in Level 3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measurements on a gross basis, which is delayed until 2011, the guidance in ASU 2010-06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becomes effective for reporting periods beginning after December 15, 2009.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2. Description of the Plan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is a defined contribution plan (401(k) plan) that was established January 1, 1985.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Plan is available to substantially all field management and agents holding a Career Agent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Contract from Principal Life (the Company). On January 1, 2006, Principal Life made several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changes to the retirement program. Participants who were age 47 or older with at least ten years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service on December 31, 2005, could elect to retain the prior benefit provisions under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qualified defined benefit retirement Plan and the 401(k) Plan and forgo receipt of the additional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benefits offered by amendments to Principal Lifes 401(k). The participants who elected to retain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prior benefit provisions are referred to as Grandfathered Choice Participants. Matching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 for participants other than the Grandfathered Choice Participants were increased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from 50% to 75% of deferrals, with the maximum matching deferral increasing from 6% to 8%.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Participants are eligible for immediate entry into the Plan upon contract effective date with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vesting at 100% after three years. The funds accumulate along with interest and investment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return and are available for withdrawal by participants at retirement, termination, or when certain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hardship withdrawal specifications are met. The participants may also obtain loans of their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vested accrued benefit, subject to certain limitations described in the Plan document. The federal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state income taxes of the participant are deferred on the contributions until the funds are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withdrawn from the Plan.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7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8" w:name="page_8"/>
      <w:bookmarkStart w:id="19" w:name="page_8"/>
      <w:bookmarkEnd w:id="19"/>
    </w:p>
    <w:tbl>
      <w:tblPr>
        <w:tblW w:w="937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76"/>
      </w:tblGrid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2. Description of the Plan (continued)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At December 31, 2009 and 2008, forfeited nonvested account balances totaled $10,267 and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$105,139, respectively. In 2009 and 2008, employer contributions were reduced by $587,648 and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$325,054, respectively, from nonvested accounts.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Although it has not expressed any intent to do so, the Company has the right to terminate the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Plan subject to the provisions of the Employee Retirement Income Security Act of 1974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(ERISA). In the event of Plan termination, participants will become fully vested in their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accounts.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Information about the Plan agreement, eligibility, and benefit provisions is contained in the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Summary Plan Description. Copies of the Summary Plan Description are available from the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Benefit Administration Department or the Intranet.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3. Income Tax Status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has received a determination letter from the Internal Revenue Service (the IRS) dated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February 28, 2003, stating that the Plan is qualified under Section 401(a) of the Internal Revenue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Code (the Code), and therefore, the related trust is exempt from taxation. Subsequent to this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determination by the IRS, the Plan was amended and restated. Once qualified, the Plan is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required to operate in conformity with the terms of the Plan document and the Code to maintain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its qualification. The Plan sponsor intends to operate the Plan in conformity with the provisions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Plan document and the Code. The Plan sponsor acknowledges that inadvertent errors may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occur in the operation of the Plan. If such inadvertent errors occur, the Plan sponsor represents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that it will take the necessary steps to bring the Plans operations into compliance with the Code,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including voluntarily and timely correcting such errors in accordance with procedures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established by the IRS.</w:t>
            </w: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8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0" w:name="page_9"/>
      <w:bookmarkStart w:id="21" w:name="page_9"/>
      <w:bookmarkEnd w:id="21"/>
    </w:p>
    <w:tbl>
      <w:tblPr>
        <w:tblW w:w="954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51"/>
        <w:gridCol w:w="1851"/>
        <w:gridCol w:w="2046"/>
      </w:tblGrid>
      <w:tr>
        <w:trPr/>
        <w:tc>
          <w:tcPr>
            <w:tcW w:w="5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4. Investments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 are invested in unallocated guaranteed interest accounts supported by the general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 of insurance company (a pooled account invested primarily in fixed income securities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having a range of maturities); in separate accounts of insurance company, the portfolios of which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are primarily invested in domestic and international common stocks, high-quality short-term debt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securities, real estate, private market bonds and mortgages, and high-yield fixed-income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 which are slightly below investment grade, as appropriate for each separate account;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The Principal Financial Group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Group, Inc., the ultimate parent of Principal Life. Participants elect the investment(s) in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which to have their contributions invested.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following presents investments that represent 5% or more of the Plans net assets available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benefits in 2009 and 2008. Principal Life is a party in interest with respect to these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investments.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8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December 31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16,864,037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 12,871,794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Money Market Separate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14,835,808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15,890,573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</w:t>
            </w:r>
            <w:r>
              <w:rPr>
                <w:rFonts w:ascii="Times New Roman;Arial;Helvetica;sans-serif" w:hAnsi="Times New Roman;Arial;Helvetica;sans-serif"/>
              </w:rPr>
              <w:t>International Emerging Markets Separate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11,975,630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6,688,312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Diversified International Separate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11,132,426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9,140,563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U.S. Property Separate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8,133,174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11,123,522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Mid-Cap Blend Separate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7,065,216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*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*Less than 5% of the fair value of net assets available for benefits at respective date.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During 2009 and 2008, the Plans investments that are related to Principal Life (depreciated)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appreciated in value by $22,871,270 and $(66,596,717), respectively, as follows: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8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Year Ended December 31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Guaranteed interest account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   (10,452)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           8,743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18,048,529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(57,703,831)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4,833,193</w:t>
            </w:r>
            <w:r>
              <w:rPr/>
              <w:t> 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(8,901,629)</w:t>
            </w: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5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22,871,270</w:t>
            </w:r>
            <w:r>
              <w:rPr/>
              <w:t> </w:t>
            </w:r>
          </w:p>
        </w:tc>
        <w:tc>
          <w:tcPr>
            <w:tcW w:w="2046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(66,596,717)</w:t>
            </w: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54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9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2" w:name="page_10"/>
      <w:bookmarkStart w:id="23" w:name="page_10"/>
      <w:bookmarkEnd w:id="23"/>
    </w:p>
    <w:tbl>
      <w:tblPr>
        <w:tblW w:w="930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4"/>
        <w:gridCol w:w="8742"/>
      </w:tblGrid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4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Valuation Hierarchy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is defined as the price that would be received to sell an asset in an orderly transaction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between market participants at the measurement date (an exit price). The fair value hierarchy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prioritizes the inputs to valuation techniques used to measure fair value into three levels.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Level 1  Fair values are based on unadjusted quoted prices in active markets for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identical assets. Our Level 1 assets include the Principal Financial Group, Inc. ESOP.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Level 2  Fair values are based on inputs other than quoted prices within Level 1 that are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observable for the asset, either directly or indirectly. Our Level 2 assets are separate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accounts of insurance company and all transactions are being transacted at the NAV price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at the day of the transaction.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Level 3  Fair values are based on significant unobservable inputs for the asset. Our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Level 3 assets include guaranteed interest accounts, real estate separate accounts of the</w:t>
            </w: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insurance company, and notes receivable from participants.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Determination of Fair Value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following discussion describes the valuation methodologies used for assets measured at fair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value on a recurring basis. The techniques utilized in estimating the fair values of financial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instruments are reliant on the assumptions used. Care should be exercised in deriving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conclusions based on the fair value information of financial instruments presented below.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estimates are made at a specific point in time, based on available market information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judgments about the financial instrument. Such estimates do not consider the tax impact of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realization of unrealized gains or losses. In addition, the disclosed fair value may not be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realized in the immediate settlement of the financial instrument. We did not make any significant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changes to our valuation processes during 2009.</w:t>
            </w: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6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7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10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4" w:name="page_11"/>
      <w:bookmarkStart w:id="25" w:name="page_11"/>
      <w:bookmarkEnd w:id="25"/>
    </w:p>
    <w:tbl>
      <w:tblPr>
        <w:tblW w:w="92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71"/>
      </w:tblGrid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Guaranteed Interest Accounts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guaranteed interest accounts cannot be sold to a third party, thus, the only option to exit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guaranteed interest accounts is to withdraw the funds prior to maturity. The fair value of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 is the value paid when funds are withdrawn prior to their maturity. If the applicable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interest rate is greater than the interest rate on the account, the fair value is the contract value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reduced by a percentage. This percentage is equal to the difference between the applicable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interest rate and the interest rate on the account, multiplied by the number of years (including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fractional parts of a year) until the maturity date.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Separate Accounts of Insurance Company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 value (NAV) of each of the separate accounts is calculated in a manner consistent with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U.S. GAAP for investment companies and is determinative of their fair value and represents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price at which the Plan would be able to initiate a transaction. Several of the separate accounts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 in publicly quoted mutual funds or actively managed stocks. The fair value of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underlying mutual funds or stock is used to determine the NAV of the separate account, which is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 publicly quoted. Some of the separate accounts also invest in fixed income securities.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of the underlying securities is based on quoted prices of similar assets and used to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NAV of the separate account. One separate account invests in real estate, for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which the fair value of the underlying real estate is based on unobservable inputs and used to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NAV of the separate account. The fair value of the underlying real estate is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estimated using discounted cash flow valuation models that utilize public real estate market data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inputs such as transaction prices, market rents, vacancy levels, leasing absorption, market cap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rates and discount rates. In addition, each property is appraised annually by an independent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appraiser. Currently, this specific separate account has a temporary withdrawal limitation related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turmoil in the credit markets that resulted in a sharp slowdown in the sale of commercial real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estate assets. The uncertain environment led to significantly increased requests for withdrawals.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allow for orderly administration and management benefiting all separate account investors,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implemented a pre-existing contractual limitation to delay withdrawal requests.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Currently, certain, high need payments, such as death, disability, certain eligible retirements, and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hardship withdrawals, are not subject to the withdrawal limitation. Other withdrawal requests are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subject to the limitation until certain liquidity levels are achieved, mainly via proceeds from sales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11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6" w:name="page_12"/>
      <w:bookmarkStart w:id="27" w:name="page_12"/>
      <w:bookmarkEnd w:id="27"/>
    </w:p>
    <w:tbl>
      <w:tblPr>
        <w:tblW w:w="92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71"/>
      </w:tblGrid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underlying properties, rents from tenants and new investor contributions. Since the inception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withdrawal limitation, all sources of cash are first used to satisfy cash requirements at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properties, meet debt maturities, maintain compliance with debt covenants and meet upcoming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separate account obligations. Outstanding withdrawal requests will be paid in multiple payments.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Except for certain de minimis payments, payments will be made proportionately among all other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outstanding withdrawal requests, based upon available liquidity</w:t>
            </w:r>
            <w:r>
              <w:rPr>
                <w:rFonts w:ascii="Times New Roman;Italic;Arial;Helvetica;sans-serif" w:hAnsi="Times New Roman;Italic;Arial;Helvetica;sans-serif"/>
                <w:i/>
              </w:rPr>
              <w:t xml:space="preserve">. </w:t>
            </w:r>
            <w:r>
              <w:rPr>
                <w:rFonts w:ascii="Times New Roman;Arial;Helvetica;sans-serif" w:hAnsi="Times New Roman;Arial;Helvetica;sans-serif"/>
              </w:rPr>
              <w:t>All withdrawals are being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transacted at the NAV price at the date of distribution. Currently, there is no estimate of when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this restriction will end. The restriction has been in place since September 26, 2008.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Principal Financial Group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Group, Inc., the ultimate parent of Principal Life, is reported at the closing quoted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market price on the last business day of the Plan year.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Notes Receivable from Participants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 loans are reported at unpaid balances which approximates fair value. There is no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existing external exit market for these loans as all transactions are restricted to participants.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loans cannot be assumed or sold to outside parties. There is no credit risk involved with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loans as any participant defaults are deemed taxable distributions to the participant.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12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8" w:name="page_13"/>
      <w:bookmarkStart w:id="29" w:name="page_13"/>
      <w:bookmarkEnd w:id="29"/>
    </w:p>
    <w:tbl>
      <w:tblPr>
        <w:tblW w:w="909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02"/>
        <w:gridCol w:w="1594"/>
        <w:gridCol w:w="1313"/>
        <w:gridCol w:w="1501"/>
        <w:gridCol w:w="1688"/>
      </w:tblGrid>
      <w:tr>
        <w:trPr/>
        <w:tc>
          <w:tcPr>
            <w:tcW w:w="30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90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7410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Assets and Liabilities Measured at Fair Value on a Recurring Basis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Assets and liabilities measured at fair value on a recurring basis as of 2009 and 2008 are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summarized below.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14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 of December 31, 2009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</w:p>
        </w:tc>
        <w:tc>
          <w:tcPr>
            <w:tcW w:w="4502" w:type="dxa"/>
            <w:gridSpan w:val="3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 Hierarchy Level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Measured at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</w:t>
            </w:r>
          </w:p>
        </w:tc>
        <w:tc>
          <w:tcPr>
            <w:tcW w:w="131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1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2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3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     2,915,965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               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                   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     2,915,965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Separate accounts of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</w:t>
            </w:r>
            <w:r>
              <w:rPr>
                <w:rFonts w:ascii="Times New Roman;Arial;Helvetica;sans-serif" w:hAnsi="Times New Roman;Arial;Helvetica;sans-serif"/>
                <w:sz w:val="20"/>
              </w:rPr>
              <w:t>insurance company: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Fixed income security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21,617,589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21,617,589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Lifetime balanced asset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 New Roman;Arial;Helvetica;sans-serif" w:hAnsi="Times New Roman;Arial;Helvetica;sans-serif"/>
                <w:sz w:val="20"/>
              </w:rPr>
              <w:t>allocation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14,955,713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14,955,713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large cap equity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25,460,308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25,460,308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small/mid cap equity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24,426,885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24,426,885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8,133,174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8,133,174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International equity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23,108,056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23,108,056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Principal Financial Group,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Inc. ESOP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16,864,037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16,864,037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Notes receivable from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participants</w:t>
            </w: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2,834,515</w:t>
            </w:r>
            <w:r>
              <w:rPr/>
              <w:t> </w:t>
            </w:r>
          </w:p>
        </w:tc>
        <w:tc>
          <w:tcPr>
            <w:tcW w:w="131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2,834,515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Total assets</w:t>
            </w:r>
            <w:r>
              <w:rPr/>
              <w:t> </w:t>
            </w:r>
          </w:p>
        </w:tc>
        <w:tc>
          <w:tcPr>
            <w:tcW w:w="1594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$ 140,316,242</w:t>
            </w:r>
            <w:r>
              <w:rPr/>
              <w:t> </w:t>
            </w:r>
          </w:p>
        </w:tc>
        <w:tc>
          <w:tcPr>
            <w:tcW w:w="1313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$ 16,864,037</w:t>
            </w:r>
            <w:r>
              <w:rPr/>
              <w:t> </w:t>
            </w:r>
          </w:p>
        </w:tc>
        <w:tc>
          <w:tcPr>
            <w:tcW w:w="150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$109,568,551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$ 13,883,654</w:t>
            </w: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14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 of December 31, 2008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</w:p>
        </w:tc>
        <w:tc>
          <w:tcPr>
            <w:tcW w:w="4502" w:type="dxa"/>
            <w:gridSpan w:val="3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 Hierarchy Level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Measured at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  <w:sz w:val="20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</w:t>
            </w:r>
          </w:p>
        </w:tc>
        <w:tc>
          <w:tcPr>
            <w:tcW w:w="131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1</w:t>
            </w:r>
            <w:r>
              <w:rPr/>
              <w:t>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2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3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   3,613,821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                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                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        3,613,821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Separate accounts of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insurance company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99,359,168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88,235,646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11,123,522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Principal Financial Group,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</w:t>
            </w:r>
            <w:r>
              <w:rPr>
                <w:rFonts w:ascii="Times New Roman;Arial;Helvetica;sans-serif" w:hAnsi="Times New Roman;Arial;Helvetica;sans-serif"/>
                <w:sz w:val="20"/>
              </w:rPr>
              <w:t>Inc. ESOP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12,871,794</w:t>
            </w: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12,871,794</w:t>
            </w: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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Notes receivable from</w:t>
            </w: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</w:t>
            </w:r>
            <w:r>
              <w:rPr>
                <w:rFonts w:ascii="Times New Roman;Arial;Helvetica;sans-serif" w:hAnsi="Times New Roman;Arial;Helvetica;sans-serif"/>
                <w:sz w:val="20"/>
              </w:rPr>
              <w:t>participants</w:t>
            </w:r>
            <w:r>
              <w:rPr/>
              <w:t> 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2,612,545</w:t>
            </w:r>
            <w:r>
              <w:rPr/>
              <w:t> </w:t>
            </w:r>
          </w:p>
        </w:tc>
        <w:tc>
          <w:tcPr>
            <w:tcW w:w="131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2,612,545</w:t>
            </w: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Total assets</w:t>
            </w:r>
            <w:r>
              <w:rPr/>
              <w:t> </w:t>
            </w:r>
          </w:p>
        </w:tc>
        <w:tc>
          <w:tcPr>
            <w:tcW w:w="1594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118,457,328</w:t>
            </w:r>
            <w:r>
              <w:rPr/>
              <w:t> </w:t>
            </w:r>
          </w:p>
        </w:tc>
        <w:tc>
          <w:tcPr>
            <w:tcW w:w="1313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$ 12,871,794</w:t>
            </w:r>
            <w:r>
              <w:rPr/>
              <w:t> </w:t>
            </w:r>
          </w:p>
        </w:tc>
        <w:tc>
          <w:tcPr>
            <w:tcW w:w="150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 88,235,646</w:t>
            </w:r>
            <w:r>
              <w:rPr/>
              <w:t> </w:t>
            </w:r>
          </w:p>
        </w:tc>
        <w:tc>
          <w:tcPr>
            <w:tcW w:w="1688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         17,349,888</w:t>
            </w: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098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1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13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0" w:name="page_14"/>
      <w:bookmarkStart w:id="31" w:name="page_14"/>
      <w:bookmarkEnd w:id="31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232"/>
        <w:gridCol w:w="1396"/>
        <w:gridCol w:w="115"/>
        <w:gridCol w:w="1122"/>
        <w:gridCol w:w="1146"/>
        <w:gridCol w:w="886"/>
        <w:gridCol w:w="1098"/>
        <w:gridCol w:w="1547"/>
      </w:tblGrid>
      <w:tr>
        <w:trPr/>
        <w:tc>
          <w:tcPr>
            <w:tcW w:w="26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674" w:type="dxa"/>
            <w:gridSpan w:val="6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28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Changes in Level 3 Fair Value Measurements</w:t>
            </w: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reconciliation for all assets and liabilities measured at fair value on a recurring basis using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significant unobservable inputs (Level 3) for the years ended December 31, 2009 and 2008, are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 follows: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54" w:type="dxa"/>
            <w:gridSpan w:val="3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Year Ended December 31, 2009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Gains (Losses)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Included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Statements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Net Assets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Available for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Benefits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Relating to</w:t>
              <w:br/>
            </w:r>
            <w:r>
              <w:rPr>
                <w:b/>
                <w:sz w:val="14"/>
              </w:rPr>
              <w:t>Positions Still</w:t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Held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Purchases,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Sales,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Issuances,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and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Settlements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**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Beginning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 Balance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January 1,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2009</w:t>
            </w:r>
          </w:p>
        </w:tc>
        <w:tc>
          <w:tcPr>
            <w:tcW w:w="1237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Total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Realized/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Appreciation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(Depreciation)</w:t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Ending Asset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December 31,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2009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Transfers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(Out)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Level 3</w:t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left"/>
              <w:rPr>
                <w:rFonts w:ascii="Times New Roman;Arial;Helvetica;sans-serif" w:hAnsi="Times New Roman;Arial;Helvetica;sans-serif"/>
                <w:sz w:val="14"/>
              </w:rPr>
            </w:pPr>
            <w:r>
              <w:rPr>
                <w:rFonts w:ascii="Times New Roman;Arial;Helvetica;sans-serif" w:hAnsi="Times New Roman;Arial;Helvetica;sans-serif"/>
                <w:sz w:val="14"/>
              </w:rPr>
              <w:t>Guaranteed interest accounts</w:t>
            </w:r>
          </w:p>
        </w:tc>
        <w:tc>
          <w:tcPr>
            <w:tcW w:w="162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right"/>
              <w:rPr>
                <w:rFonts w:ascii="Times New Roman;Bold;Arial;Helvetica;sans-serif" w:hAnsi="Times New Roman;Bold;Arial;Helvetica;sans-serif"/>
                <w:b/>
                <w:sz w:val="14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 3,613,821</w:t>
            </w:r>
          </w:p>
        </w:tc>
        <w:tc>
          <w:tcPr>
            <w:tcW w:w="123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 89,925</w:t>
            </w: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 (787,781)</w:t>
            </w: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   </w:t>
            </w: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$ 2,915,965</w:t>
            </w: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    (10,452)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>
                <w:rFonts w:ascii="Times New Roman;Arial;Helvetica;sans-serif" w:hAnsi="Times New Roman;Arial;Helvetica;sans-serif"/>
                <w:sz w:val="14"/>
              </w:rPr>
            </w:pPr>
            <w:r>
              <w:rPr>
                <w:rFonts w:ascii="Times New Roman;Arial;Helvetica;sans-serif" w:hAnsi="Times New Roman;Arial;Helvetica;sans-serif"/>
                <w:sz w:val="14"/>
              </w:rPr>
              <w:t>U.S. real estate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11,123,522</w:t>
            </w: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(3,585,351)</w:t>
            </w: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595,003</w:t>
            </w: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8,133,174</w:t>
            </w: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(3,630,115)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Notes receivable from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participants</w:t>
            </w:r>
            <w:r>
              <w:rPr/>
              <w:t> </w:t>
            </w:r>
          </w:p>
        </w:tc>
        <w:tc>
          <w:tcPr>
            <w:tcW w:w="23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2,612,545</w:t>
            </w:r>
            <w:r>
              <w:rPr/>
              <w:t> </w:t>
            </w:r>
          </w:p>
        </w:tc>
        <w:tc>
          <w:tcPr>
            <w:tcW w:w="11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14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221,970</w:t>
            </w:r>
            <w:r>
              <w:rPr/>
              <w:t> </w:t>
            </w:r>
          </w:p>
        </w:tc>
        <w:tc>
          <w:tcPr>
            <w:tcW w:w="88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2,834,515</w:t>
            </w:r>
            <w:r>
              <w:rPr/>
              <w:t> 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Total</w:t>
            </w:r>
            <w:r>
              <w:rPr/>
              <w:t> </w:t>
            </w:r>
          </w:p>
        </w:tc>
        <w:tc>
          <w:tcPr>
            <w:tcW w:w="1628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 17,349,888</w:t>
            </w:r>
            <w:r>
              <w:rPr/>
              <w:t> </w:t>
            </w:r>
          </w:p>
        </w:tc>
        <w:tc>
          <w:tcPr>
            <w:tcW w:w="1237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>
                <w:rFonts w:ascii="Times New Roman;Bold;Arial;Helvetica;sans-serif" w:hAnsi="Times New Roman;Bold;Arial;Helvetica;sans-serif"/>
                <w:b/>
                <w:sz w:val="14"/>
              </w:rPr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 (3,495,426)</w:t>
            </w:r>
          </w:p>
        </w:tc>
        <w:tc>
          <w:tcPr>
            <w:tcW w:w="114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 29,192</w:t>
            </w:r>
            <w:r>
              <w:rPr/>
              <w:t> </w:t>
            </w:r>
          </w:p>
        </w:tc>
        <w:tc>
          <w:tcPr>
            <w:tcW w:w="88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   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$ 13,883,654</w:t>
            </w:r>
            <w:r>
              <w:rPr/>
              <w:t> </w:t>
            </w:r>
          </w:p>
        </w:tc>
        <w:tc>
          <w:tcPr>
            <w:tcW w:w="1547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 (3,640,567)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54" w:type="dxa"/>
            <w:gridSpan w:val="3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Year Ended December 31, 2008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Gains (Losses)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Included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Statements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Net Assets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Available for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Benefits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Relating to</w:t>
            </w:r>
            <w:r>
              <w:rPr/>
              <w:br/>
            </w:r>
            <w:r>
              <w:rPr>
                <w:b/>
                <w:sz w:val="14"/>
              </w:rPr>
              <w:t>Positions Still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Held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Purchases,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Sales,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Issuances,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and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Settlements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**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Beginning</w:t>
            </w:r>
            <w:r>
              <w:rPr/>
              <w:br/>
              <w:t xml:space="preserve">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 Balance</w:t>
            </w:r>
            <w:r>
              <w:rPr/>
              <w:br/>
              <w:t xml:space="preserve">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 of</w:t>
            </w:r>
            <w:r>
              <w:rPr/>
              <w:br/>
              <w:t xml:space="preserve">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January 1,</w:t>
            </w:r>
            <w:r>
              <w:rPr/>
              <w:br/>
              <w:t xml:space="preserve">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2008</w:t>
            </w:r>
          </w:p>
        </w:tc>
        <w:tc>
          <w:tcPr>
            <w:tcW w:w="1237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Total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Realized/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Appreciation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(Depreciation)</w:t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Ending Asset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December 31,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2008</w:t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Transfers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(Out)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Level 3</w:t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1628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62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2,813,830</w:t>
            </w:r>
            <w:r>
              <w:rPr/>
              <w:t> </w:t>
            </w:r>
          </w:p>
        </w:tc>
        <w:tc>
          <w:tcPr>
            <w:tcW w:w="123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 116,637</w:t>
            </w: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683,354</w:t>
            </w: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         </w:t>
            </w: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 3,613,821</w:t>
            </w: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       8,743</w:t>
            </w:r>
            <w:r>
              <w:rPr/>
              <w:t> </w:t>
            </w:r>
          </w:p>
        </w:tc>
      </w:tr>
      <w:tr>
        <w:trPr/>
        <w:tc>
          <w:tcPr>
            <w:tcW w:w="289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Separate accounts of insurance</w:t>
            </w: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</w:t>
            </w:r>
            <w:r>
              <w:rPr>
                <w:rFonts w:ascii="Times New Roman;Arial;Helvetica;sans-serif" w:hAnsi="Times New Roman;Arial;Helvetica;sans-serif"/>
                <w:sz w:val="14"/>
              </w:rPr>
              <w:t>company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15,718,644</w:t>
            </w: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(1,668,464)</w:t>
            </w: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(2,926,658)</w:t>
            </w: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11,123,522</w:t>
            </w: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(3,269,220)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Notes receivable from</w:t>
            </w: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participants</w:t>
            </w:r>
            <w:r>
              <w:rPr/>
              <w:t> </w:t>
            </w:r>
          </w:p>
        </w:tc>
        <w:tc>
          <w:tcPr>
            <w:tcW w:w="23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2,766,013</w:t>
            </w:r>
            <w:r>
              <w:rPr/>
              <w:t> </w:t>
            </w:r>
          </w:p>
        </w:tc>
        <w:tc>
          <w:tcPr>
            <w:tcW w:w="11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14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(153,468)</w:t>
            </w:r>
            <w:r>
              <w:rPr/>
              <w:t> </w:t>
            </w:r>
          </w:p>
        </w:tc>
        <w:tc>
          <w:tcPr>
            <w:tcW w:w="88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2,612,545</w:t>
            </w:r>
            <w:r>
              <w:rPr/>
              <w:t> 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Total</w:t>
            </w:r>
            <w:r>
              <w:rPr/>
              <w:t> </w:t>
            </w:r>
          </w:p>
        </w:tc>
        <w:tc>
          <w:tcPr>
            <w:tcW w:w="1628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 21,298,487</w:t>
            </w:r>
            <w:r>
              <w:rPr/>
              <w:t> </w:t>
            </w:r>
          </w:p>
        </w:tc>
        <w:tc>
          <w:tcPr>
            <w:tcW w:w="1237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(1,551,827)</w:t>
            </w:r>
            <w:r>
              <w:rPr/>
              <w:t> </w:t>
            </w:r>
          </w:p>
        </w:tc>
        <w:tc>
          <w:tcPr>
            <w:tcW w:w="114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 (2,396,772)</w:t>
            </w:r>
            <w:r>
              <w:rPr/>
              <w:t> </w:t>
            </w:r>
          </w:p>
        </w:tc>
        <w:tc>
          <w:tcPr>
            <w:tcW w:w="88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         </w:t>
            </w:r>
            <w:r>
              <w:rPr/>
              <w:t> </w:t>
            </w:r>
          </w:p>
        </w:tc>
        <w:tc>
          <w:tcPr>
            <w:tcW w:w="1098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 17,349,888</w:t>
            </w:r>
            <w:r>
              <w:rPr/>
              <w:t> </w:t>
            </w:r>
          </w:p>
        </w:tc>
        <w:tc>
          <w:tcPr>
            <w:tcW w:w="1547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(3,260,477)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** Includes contributions, transfers from affiliated and unaffiliated plans, transfers to other investments via participant direction, benefits</w:t>
            </w:r>
            <w:r>
              <w:rPr/>
              <w:t> </w:t>
            </w:r>
          </w:p>
        </w:tc>
      </w:tr>
      <w:tr>
        <w:trPr/>
        <w:tc>
          <w:tcPr>
            <w:tcW w:w="4406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</w:t>
            </w:r>
            <w:r>
              <w:rPr>
                <w:rFonts w:ascii="Times New Roman;Arial;Helvetica;sans-serif" w:hAnsi="Times New Roman;Arial;Helvetica;sans-serif"/>
                <w:sz w:val="14"/>
              </w:rPr>
              <w:t>paid to participants, and administrative expenses.</w:t>
            </w: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15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Page 14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2" w:name="page_15"/>
      <w:bookmarkStart w:id="33" w:name="page_15"/>
      <w:bookmarkEnd w:id="33"/>
    </w:p>
    <w:tbl>
      <w:tblPr>
        <w:tblW w:w="933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31"/>
      </w:tblGrid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6. Notes Receivable From Participants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document provides for loans to active participants, which are considered a participant-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directed investment of his/her account. The loan is a Plan investment but only the borrowing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participants account shall share in the interest paid on the loan or bear any expense or loss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incurred because of the loan. The rate of interest is 2% higher than the Federal Reserve Bank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Prime Loan rate at the time of the loan. The rate is set the day a loan is approved, and the rate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the loans issued in 2009 and 2008 ranged from 5.25% to 9.25%. The notes receivable balance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was reduced by $418,015 and $249,692 in 2009 and 2008, respectively, for terminated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participants that received their account balance, net of the outstanding loans, as a benefit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distribution.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7. Transactions With Party in Interest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addition to the transactions with parties in interest discussed in Notes 4 and 5, Principal Life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provides recordkeeping services to the Plan and receives fees, which are paid through revenue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generated by Plan investments, for those services. Principal Life may pay other Plan expenses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from time to time.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8. Form 5500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Certain line items of net asset additions and deductions in the 2009 and 2008 Forms 5500 differ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from similar classifications in the accompanying financial statements. However, such differences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are not considered material and create no differences in net asset balances at December 31, 2009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2008.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15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4" w:name="page_16"/>
      <w:bookmarkStart w:id="35" w:name="page_16"/>
      <w:bookmarkEnd w:id="35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12"/>
        <w:gridCol w:w="2669"/>
        <w:gridCol w:w="3322"/>
        <w:gridCol w:w="1702"/>
      </w:tblGrid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004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85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guaranteed interest accounts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$ 2,915,965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Small-Cap Value II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1,868,875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Money Market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14,835,808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U.S. Property Separate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8,133,174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Bond and Mortgage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5,480,460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Diversified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International Separate Account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11,132,426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Governmental and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High Quality Bond Separate Account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1,301,321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Medium Company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Blend Separate Account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7,065,216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Large-Cap Stock Index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6,715,057</w:t>
            </w: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Blend I Separate Account</w:t>
            </w: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5,786,758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32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16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6" w:name="page_17"/>
      <w:bookmarkStart w:id="37" w:name="page_17"/>
      <w:bookmarkEnd w:id="37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14"/>
        <w:gridCol w:w="2665"/>
        <w:gridCol w:w="3326"/>
        <w:gridCol w:w="1700"/>
      </w:tblGrid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004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85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70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Mid-Cap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Separate Account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$ 5,088,411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Small-Cap Stock Index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6,566,044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 Company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Separate Account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4,222,535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 in insurance company International Emerging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Markets Separate Account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11,975,630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 in insurance company Principal Financial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Group, Inc. Stock Separate Account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1,732,194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Value Separate Account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3,206,153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Lifetime2010 Separate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1,454,845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Lifetime2020 Separate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4,232,719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Lifetime2030 Separate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3,714,729</w:t>
            </w: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99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Lifetime2040 Separate</w:t>
            </w: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2,911,807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3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17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8" w:name="page_18"/>
      <w:bookmarkStart w:id="39" w:name="page_18"/>
      <w:bookmarkEnd w:id="39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41"/>
        <w:gridCol w:w="2689"/>
        <w:gridCol w:w="3185"/>
        <w:gridCol w:w="269"/>
        <w:gridCol w:w="1521"/>
      </w:tblGrid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Individual Field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004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85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790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Lifetime2050 Separate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26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Account</w:t>
            </w: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$ 1,624,513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 Company Value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Stock Separate Account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1,326,088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I Separate Account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2,471,523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Strategic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Income Separate Account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1,017,100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Small-Cap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Insurance Company*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II Separate Account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3,838,339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701,499 shares of Principal Financial Group, Inc.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Group, Inc.</w:t>
            </w:r>
            <w:r>
              <w:rPr/>
              <w:t> </w:t>
            </w:r>
          </w:p>
        </w:tc>
        <w:tc>
          <w:tcPr>
            <w:tcW w:w="26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ESOP</w:t>
            </w: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16,864,037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7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Various participants</w:t>
            </w: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Notes receivable from participants with interest rates</w:t>
            </w: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  <w:tc>
          <w:tcPr>
            <w:tcW w:w="587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ranging from 5.25% to10.25%</w:t>
            </w:r>
            <w:r>
              <w:rPr/>
              <w:t> </w:t>
            </w:r>
          </w:p>
        </w:tc>
        <w:tc>
          <w:tcPr>
            <w:tcW w:w="2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2,834,515</w:t>
            </w: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invested assets</w:t>
            </w:r>
            <w:r>
              <w:rPr/>
              <w:t> </w:t>
            </w:r>
          </w:p>
        </w:tc>
        <w:tc>
          <w:tcPr>
            <w:tcW w:w="26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gridSpan w:val="2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$ 140,316,242</w:t>
            </w:r>
            <w:r>
              <w:rPr/>
              <w:t> </w:t>
            </w:r>
          </w:p>
        </w:tc>
      </w:tr>
      <w:tr>
        <w:trPr/>
        <w:tc>
          <w:tcPr>
            <w:tcW w:w="523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23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*Indicates party in interest to the Plan.</w:t>
            </w: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18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0" w:name="page_19"/>
      <w:bookmarkStart w:id="41" w:name="page_19"/>
      <w:bookmarkEnd w:id="41"/>
    </w:p>
    <w:tbl>
      <w:tblPr>
        <w:tblW w:w="973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50"/>
        <w:gridCol w:w="6881"/>
      </w:tblGrid>
      <w:tr>
        <w:trPr/>
        <w:tc>
          <w:tcPr>
            <w:tcW w:w="28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SIGNATURE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Pursuant to the requirements of the Securities Exchange Act of 1934, the administrator of The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Select Savings Plan for Individual Field has duly caused this annual report to be signed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on its behalf by the undersigned hereunto duly authorized.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 </w:t>
            </w:r>
            <w:r>
              <w:rPr>
                <w:rFonts w:ascii="Times New Roman;Arial;Helvetica;sans-serif" w:hAnsi="Times New Roman;Arial;Helvetica;sans-serif"/>
              </w:rPr>
              <w:t>THE PRINCIPAL SELECT SAVINGS PLAN FOR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INDIVIDUAL FIELD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 </w:t>
            </w:r>
            <w:r>
              <w:rPr>
                <w:rFonts w:ascii="Times New Roman;Arial;Helvetica;sans-serif" w:hAnsi="Times New Roman;Arial;Helvetica;sans-serif"/>
              </w:rPr>
              <w:t>by Benefit Plans Administration Committee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Date: June 29, 2010</w:t>
            </w: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 </w:t>
            </w:r>
            <w:r>
              <w:rPr>
                <w:rFonts w:ascii="Times New Roman;Arial;Helvetica;sans-serif" w:hAnsi="Times New Roman;Arial;Helvetica;sans-serif"/>
              </w:rPr>
              <w:t>By </w:t>
            </w:r>
            <w:r>
              <w:rPr>
                <w:rFonts w:ascii="Times New Roman;Arial;Helvetica;sans-serif" w:hAnsi="Times New Roman;Arial;Helvetica;sans-serif"/>
                <w:u w:val="single"/>
              </w:rPr>
              <w:t> /s/ Ralph C. Eucher                                                  </w:t>
            </w:r>
            <w:r>
              <w:rPr>
                <w:u w:val="single"/>
              </w:rPr>
              <w:t> 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>Ralph C. Eucher</w:t>
            </w:r>
            <w:r>
              <w:rPr/>
              <w:t> 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>Committee Member</w:t>
            </w: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73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45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19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2" w:name="page_20"/>
      <w:bookmarkStart w:id="43" w:name="page_20"/>
      <w:bookmarkEnd w:id="43"/>
    </w:p>
    <w:tbl>
      <w:tblPr>
        <w:tblW w:w="94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3"/>
        <w:gridCol w:w="3479"/>
        <w:gridCol w:w="2803"/>
        <w:gridCol w:w="2706"/>
      </w:tblGrid>
      <w:tr>
        <w:trPr/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71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Bold;Arial;Helvetica;sans-serif" w:hAnsi="Times New Roman;Bold;Arial;Helvetica;sans-serif"/>
                <w:b/>
              </w:rPr>
            </w:pPr>
            <w:r>
              <w:rPr>
                <w:rFonts w:ascii="Times New Roman;Bold;Arial;Helvetica;sans-serif" w:hAnsi="Times New Roman;Bold;Arial;Helvetica;sans-serif"/>
                <w:b/>
              </w:rPr>
              <w:t>Exhibit Index</w:t>
            </w:r>
          </w:p>
        </w:tc>
      </w:tr>
      <w:tr>
        <w:trPr/>
        <w:tc>
          <w:tcPr>
            <w:tcW w:w="39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following exhibit is filed herewith:</w:t>
            </w:r>
            <w:r>
              <w:rPr/>
              <w:t> </w:t>
            </w:r>
          </w:p>
        </w:tc>
        <w:tc>
          <w:tcPr>
            <w:tcW w:w="28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47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u w:val="single"/>
              </w:rPr>
              <w:t>Page</w:t>
            </w:r>
            <w:r>
              <w:rPr/>
              <w:t> </w:t>
            </w:r>
          </w:p>
        </w:tc>
      </w:tr>
      <w:tr>
        <w:trPr/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23</w:t>
            </w:r>
            <w:r>
              <w:rPr/>
              <w:t> </w:t>
            </w:r>
          </w:p>
        </w:tc>
        <w:tc>
          <w:tcPr>
            <w:tcW w:w="347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Consent of Ernst &amp; Young LLP</w:t>
            </w:r>
            <w:r>
              <w:rPr/>
              <w:t> </w:t>
            </w:r>
          </w:p>
        </w:tc>
        <w:tc>
          <w:tcPr>
            <w:tcW w:w="28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21</w:t>
            </w:r>
            <w:r>
              <w:rPr/>
              <w:t> </w:t>
            </w:r>
          </w:p>
        </w:tc>
      </w:tr>
      <w:tr>
        <w:trPr/>
        <w:tc>
          <w:tcPr>
            <w:tcW w:w="94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71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47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27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Page 20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4" w:name="page_21"/>
      <w:bookmarkStart w:id="45" w:name="page_21"/>
      <w:bookmarkEnd w:id="45"/>
    </w:p>
    <w:tbl>
      <w:tblPr>
        <w:tblW w:w="928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86"/>
      </w:tblGrid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85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Exhibit 23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Consent of Independent Registered Public Accounting Firm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consent to the incorporation by reference in the Registration Statement (Form S-8, No. 333-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72002) pertaining to The Principal Select Savings Plan for Individual Field of Principal Financial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Group, Inc. of our report dated June 29, 2010, with respect to the financial statements and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schedule of The Principal Select Savings Plan for Individual Field included in this Annual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 (Form 11-K) for the year ended December 31, 2009.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080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/s/ Ernst &amp; Young, LLP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Des Moines, Iowa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June 29, 2010</w:t>
            </w: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21 of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altName w:val="Arial"/>
    <w:charset w:val="00"/>
    <w:family w:val="auto"/>
    <w:pitch w:val="default"/>
  </w:font>
  <w:font w:name="Times New Roman">
    <w:altName w:val="Bold"/>
    <w:charset w:val="00"/>
    <w:family w:val="auto"/>
    <w:pitch w:val="default"/>
  </w:font>
  <w:font w:name="Times New Roman">
    <w:charset w:val="00"/>
    <w:family w:val="auto"/>
    <w:pitch w:val="default"/>
  </w:font>
  <w:font w:name="Times New Roman">
    <w:altName w:val="Italic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5107</Words>
  <CharactersWithSpaces>35867</CharactersWithSpaces>
  <Paragraphs>1454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individualfield11k.htm - Generated by SEC Publisher for SEC Filing</dc:title>
</cp:coreProperties>
</file>