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r>
        <w:rPr/>
      </w:r>
      <w:bookmarkStart w:id="0" w:name="page_1"/>
      <w:bookmarkStart w:id="1" w:name="firstqtrer10.htm"/>
      <w:bookmarkStart w:id="2" w:name="ksfirstqtrer10"/>
      <w:bookmarkStart w:id="3" w:name="page_1"/>
      <w:bookmarkStart w:id="4" w:name="firstqtrer10.htm"/>
      <w:bookmarkStart w:id="5" w:name="ksfirstqtrer10"/>
      <w:bookmarkEnd w:id="3"/>
      <w:bookmarkEnd w:id="4"/>
      <w:bookmarkEnd w:id="5"/>
    </w:p>
    <w:tbl>
      <w:tblPr>
        <w:tblW w:w="425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674"/>
      </w:tblGrid>
      <w:tr>
        <w:trPr/>
        <w:tc>
          <w:tcPr>
            <w:tcW w:w="86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36"/>
              </w:rPr>
              <w:t>SECURITIES AND EXCHANGE COMMISSION</w:t>
            </w:r>
            <w:r>
              <w:rPr/>
              <w:t> </w:t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NewRomanPS-BoldMT;Times New Roman;Times;serif" w:hAnsi="TimesNewRomanPS-BoldMT;Times New Roman;Times;serif"/>
                <w:b/>
                <w:sz w:val="20"/>
              </w:rPr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Washington, D.C. 20549</w:t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_________________________</w:t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NewRomanPS-BoldMT;Times New Roman;Times;serif" w:hAnsi="TimesNewRomanPS-BoldMT;Times New Roman;Times;serif"/>
                <w:b/>
                <w:sz w:val="36"/>
              </w:rPr>
            </w:pPr>
            <w:r>
              <w:rPr>
                <w:rFonts w:ascii="TimesNewRomanPS-BoldMT;Times New Roman;Times;serif" w:hAnsi="TimesNewRomanPS-BoldMT;Times New Roman;Times;serif"/>
                <w:b/>
                <w:sz w:val="36"/>
              </w:rPr>
              <w:t>FORM 8-K</w:t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NewRomanPS-BoldMT;Times New Roman;Times;serif" w:hAnsi="TimesNewRomanPS-BoldMT;Times New Roman;Times;serif"/>
                <w:b/>
              </w:rPr>
            </w:pPr>
            <w:r>
              <w:rPr>
                <w:rFonts w:ascii="TimesNewRomanPS-BoldMT;Times New Roman;Times;serif" w:hAnsi="TimesNewRomanPS-BoldMT;Times New Roman;Times;serif"/>
                <w:b/>
              </w:rPr>
              <w:t>CURRENT REPORT</w:t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NewRomanPS-BoldMT;Times New Roman;Times;serif" w:hAnsi="TimesNewRomanPS-BoldMT;Times New Roman;Times;serif"/>
                <w:b/>
              </w:rPr>
            </w:pPr>
            <w:r>
              <w:rPr>
                <w:rFonts w:ascii="TimesNewRomanPS-BoldMT;Times New Roman;Times;serif" w:hAnsi="TimesNewRomanPS-BoldMT;Times New Roman;Times;serif"/>
                <w:b/>
              </w:rPr>
              <w:t>Pursuant to Section 13 or 15(d) of the</w:t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NewRomanPS-BoldMT;Times New Roman;Times;serif" w:hAnsi="TimesNewRomanPS-BoldMT;Times New Roman;Times;serif"/>
                <w:b/>
              </w:rPr>
            </w:pPr>
            <w:r>
              <w:rPr>
                <w:rFonts w:ascii="TimesNewRomanPS-BoldMT;Times New Roman;Times;serif" w:hAnsi="TimesNewRomanPS-BoldMT;Times New Roman;Times;serif"/>
                <w:b/>
              </w:rPr>
              <w:t>Securities Exchange Act of 1934</w:t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</w:rPr>
              <w:t xml:space="preserve">Date of Report: </w:t>
            </w:r>
            <w:r>
              <w:rPr>
                <w:rFonts w:ascii="TimesNewRomanPS-BoldMT;Times New Roman;Times;serif" w:hAnsi="TimesNewRomanPS-BoldMT;Times New Roman;Times;serif"/>
                <w:b/>
              </w:rPr>
              <w:t>May 3, 2010</w:t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NewRomanPSMT;Times New Roman;Times;serif" w:hAnsi="TimesNewRomanPSMT;Times New Roman;Times;serif"/>
              </w:rPr>
            </w:pPr>
            <w:r>
              <w:rPr>
                <w:rFonts w:ascii="TimesNewRomanPSMT;Times New Roman;Times;serif" w:hAnsi="TimesNewRomanPSMT;Times New Roman;Times;serif"/>
              </w:rPr>
              <w:t>(Date of earliest event reported)</w:t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36"/>
              </w:rPr>
              <w:t>PRINCIPAL FINANCIAL GROUP, INC.</w:t>
            </w:r>
            <w:r>
              <w:rPr/>
              <w:t> </w:t>
            </w:r>
          </w:p>
        </w:tc>
      </w:tr>
      <w:tr>
        <w:trPr/>
        <w:tc>
          <w:tcPr>
            <w:tcW w:w="867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NewRomanPSMT;Times New Roman;Times;serif" w:hAnsi="TimesNewRomanPSMT;Times New Roman;Times;serif"/>
              </w:rPr>
            </w:pPr>
            <w:r>
              <w:rPr>
                <w:rFonts w:ascii="TimesNewRomanPSMT;Times New Roman;Times;serif" w:hAnsi="TimesNewRomanPSMT;Times New Roman;Times;serif"/>
              </w:rPr>
              <w:t>(Exact name of registrant as specified in its charter)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tbl>
      <w:tblPr>
        <w:tblW w:w="1153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750"/>
        <w:gridCol w:w="3035"/>
        <w:gridCol w:w="2750"/>
      </w:tblGrid>
      <w:tr>
        <w:trPr/>
        <w:tc>
          <w:tcPr>
            <w:tcW w:w="57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7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                                         </w:t>
            </w: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Delaware</w:t>
            </w:r>
            <w:r>
              <w:rPr/>
              <w:t> </w:t>
            </w:r>
          </w:p>
        </w:tc>
        <w:tc>
          <w:tcPr>
            <w:tcW w:w="30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       </w:t>
            </w: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1-16725</w:t>
            </w:r>
            <w:r>
              <w:rPr/>
              <w:t> </w:t>
            </w:r>
          </w:p>
        </w:tc>
        <w:tc>
          <w:tcPr>
            <w:tcW w:w="27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 </w:t>
            </w: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42-1520346</w:t>
            </w:r>
            <w:r>
              <w:rPr/>
              <w:t> </w:t>
            </w:r>
          </w:p>
        </w:tc>
      </w:tr>
      <w:tr>
        <w:trPr/>
        <w:tc>
          <w:tcPr>
            <w:tcW w:w="57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                                             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(State or other jurisdiction</w:t>
            </w:r>
            <w:r>
              <w:rPr/>
              <w:t> </w:t>
            </w:r>
          </w:p>
        </w:tc>
        <w:tc>
          <w:tcPr>
            <w:tcW w:w="30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(Commission file number)</w:t>
            </w:r>
            <w:r>
              <w:rPr/>
              <w:t> </w:t>
            </w:r>
          </w:p>
        </w:tc>
        <w:tc>
          <w:tcPr>
            <w:tcW w:w="27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(I.R.S. Employer</w:t>
            </w:r>
            <w:r>
              <w:rPr/>
              <w:t> </w:t>
            </w:r>
          </w:p>
        </w:tc>
      </w:tr>
      <w:tr>
        <w:trPr/>
        <w:tc>
          <w:tcPr>
            <w:tcW w:w="57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                                                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of incorporation)</w:t>
            </w:r>
            <w:r>
              <w:rPr/>
              <w:t> </w:t>
            </w:r>
          </w:p>
        </w:tc>
        <w:tc>
          <w:tcPr>
            <w:tcW w:w="303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27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Identification Number)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tbl>
      <w:tblPr>
        <w:tblW w:w="1161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0934"/>
      </w:tblGrid>
      <w:tr>
        <w:trPr/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61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NewRomanPS-BoldMT;Times New Roman;Times;serif" w:hAnsi="TimesNewRomanPS-BoldMT;Times New Roman;Times;serif"/>
                <w:b/>
                <w:sz w:val="20"/>
              </w:rPr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711 High Street, Des Moines, Iowa 50392</w:t>
            </w:r>
          </w:p>
        </w:tc>
      </w:tr>
      <w:tr>
        <w:trPr/>
        <w:tc>
          <w:tcPr>
            <w:tcW w:w="1161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NewRomanPSMT;Times New Roman;Times;serif" w:hAnsi="TimesNewRomanPSMT;Times New Roman;Times;serif"/>
                <w:sz w:val="20"/>
              </w:rPr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(Address of principal executive offices)</w:t>
            </w:r>
          </w:p>
        </w:tc>
      </w:tr>
      <w:tr>
        <w:trPr/>
        <w:tc>
          <w:tcPr>
            <w:tcW w:w="1161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61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NewRomanPS-BoldMT;Times New Roman;Times;serif" w:hAnsi="TimesNewRomanPS-BoldMT;Times New Roman;Times;serif"/>
                <w:b/>
                <w:sz w:val="20"/>
              </w:rPr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(515) 247-5111</w:t>
            </w:r>
          </w:p>
        </w:tc>
      </w:tr>
      <w:tr>
        <w:trPr/>
        <w:tc>
          <w:tcPr>
            <w:tcW w:w="1161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rFonts w:ascii="TimesNewRomanPSMT;Times New Roman;Times;serif" w:hAnsi="TimesNewRomanPSMT;Times New Roman;Times;serif"/>
                <w:sz w:val="20"/>
              </w:rPr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(Registrants telephone number, including area code)</w:t>
            </w:r>
          </w:p>
        </w:tc>
      </w:tr>
      <w:tr>
        <w:trPr/>
        <w:tc>
          <w:tcPr>
            <w:tcW w:w="1161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61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Check the appropriate box below if the Form 8-K filing is intended to simultaneously satisfy the filing obligation of the</w:t>
            </w:r>
            <w:r>
              <w:rPr/>
              <w:t> </w:t>
            </w:r>
          </w:p>
        </w:tc>
      </w:tr>
      <w:tr>
        <w:trPr/>
        <w:tc>
          <w:tcPr>
            <w:tcW w:w="11615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registrant under any of the following provisions:</w:t>
            </w:r>
            <w:r>
              <w:rPr/>
              <w:t> </w:t>
            </w:r>
          </w:p>
        </w:tc>
      </w:tr>
      <w:tr>
        <w:trPr/>
        <w:tc>
          <w:tcPr>
            <w:tcW w:w="1161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[    ]</w:t>
            </w:r>
            <w:r>
              <w:rPr/>
              <w:t> </w:t>
            </w:r>
          </w:p>
        </w:tc>
        <w:tc>
          <w:tcPr>
            <w:tcW w:w="109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Written communications pursuant to Rule 425 under the Securities Act (17 CFR 230.425)</w:t>
            </w:r>
            <w:r>
              <w:rPr/>
              <w:t> </w:t>
            </w:r>
          </w:p>
        </w:tc>
      </w:tr>
      <w:tr>
        <w:trPr/>
        <w:tc>
          <w:tcPr>
            <w:tcW w:w="6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[    ]</w:t>
            </w:r>
            <w:r>
              <w:rPr/>
              <w:t> </w:t>
            </w:r>
          </w:p>
        </w:tc>
        <w:tc>
          <w:tcPr>
            <w:tcW w:w="109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Soliciting material pursuant to Rule 14a-12 under the Exchange Act (17 CFR 240.14a-12)</w:t>
            </w:r>
            <w:r>
              <w:rPr/>
              <w:t> </w:t>
            </w:r>
          </w:p>
        </w:tc>
      </w:tr>
      <w:tr>
        <w:trPr/>
        <w:tc>
          <w:tcPr>
            <w:tcW w:w="6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[    ]</w:t>
            </w:r>
            <w:r>
              <w:rPr/>
              <w:t> </w:t>
            </w:r>
          </w:p>
        </w:tc>
        <w:tc>
          <w:tcPr>
            <w:tcW w:w="109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Pre-commencement communications pursuant to Rule 14d-2(b) under the Exchange Act (17 CFR</w:t>
            </w:r>
            <w:r>
              <w:rPr/>
              <w:t> </w:t>
            </w:r>
          </w:p>
        </w:tc>
      </w:tr>
      <w:tr>
        <w:trPr/>
        <w:tc>
          <w:tcPr>
            <w:tcW w:w="6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240.14d-2(b))</w:t>
            </w:r>
            <w:r>
              <w:rPr/>
              <w:t> </w:t>
            </w:r>
          </w:p>
        </w:tc>
      </w:tr>
      <w:tr>
        <w:trPr/>
        <w:tc>
          <w:tcPr>
            <w:tcW w:w="6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[    ]</w:t>
            </w:r>
            <w:r>
              <w:rPr/>
              <w:t> </w:t>
            </w:r>
          </w:p>
        </w:tc>
        <w:tc>
          <w:tcPr>
            <w:tcW w:w="109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Pre-commencement communications pursuant to Rule 13e-4(c) under the Exchange Act (17 CFR</w:t>
            </w:r>
            <w:r>
              <w:rPr/>
              <w:t> </w:t>
            </w:r>
          </w:p>
        </w:tc>
      </w:tr>
      <w:tr>
        <w:trPr/>
        <w:tc>
          <w:tcPr>
            <w:tcW w:w="68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93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240.13e-4(c))</w:t>
            </w:r>
            <w:r>
              <w:rPr/>
              <w:t> </w:t>
            </w:r>
          </w:p>
        </w:tc>
      </w:tr>
      <w:tr>
        <w:trPr/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_________________________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6" w:name="page_2"/>
      <w:bookmarkStart w:id="7" w:name="page_2"/>
      <w:bookmarkEnd w:id="7"/>
    </w:p>
    <w:tbl>
      <w:tblPr>
        <w:tblW w:w="1187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0"/>
      </w:tblGrid>
      <w:tr>
        <w:trPr/>
        <w:tc>
          <w:tcPr>
            <w:tcW w:w="11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</w:rPr>
              <w:t>Page 2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</w:rPr>
              <w:t>Item 2.02. Results of Operations and Financial Condition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</w:rPr>
              <w:t>On May 3, 2010, Principal Financial Group, Inc. publicly announced information regarding its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</w:rPr>
              <w:t>results of operations and financial condition for the quarter ended March 31, 2010. The text of the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</w:rPr>
              <w:t>announcement is included herewith as Exhibit 99.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</w:rPr>
              <w:t>Item 9.01 Financial Statements and Exhibits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</w:rPr>
              <w:t>99    First Quarter 2010 Earnings Release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 </w:t>
            </w:r>
            <w:r>
              <w:rPr>
                <w:rFonts w:ascii="TimesNewRomanPSMT;Times New Roman;Times;serif" w:hAnsi="TimesNewRomanPSMT;Times New Roman;Times;serif"/>
              </w:rPr>
              <w:t>SIGNATURE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</w:t>
            </w:r>
            <w:r>
              <w:rPr>
                <w:rFonts w:ascii="TimesNewRomanPSMT;Times New Roman;Times;serif" w:hAnsi="TimesNewRomanPSMT;Times New Roman;Times;serif"/>
              </w:rPr>
              <w:t>Pursuant to the requirements of the Securities Exchange Act of 1934, the registrant has duly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</w:rPr>
              <w:t>caused this report to be signed on its behalf by the undersigned thereunto duly authorized.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                                                                    </w:t>
            </w:r>
            <w:r>
              <w:rPr>
                <w:rFonts w:ascii="TimesNewRomanPSMT;Times New Roman;Times;serif" w:hAnsi="TimesNewRomanPSMT;Times New Roman;Times;serif"/>
              </w:rPr>
              <w:t>PRINCIPAL FINANCIAL GROUP, INC.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                                                                    </w:t>
            </w:r>
            <w:r>
              <w:rPr>
                <w:rFonts w:ascii="TimesNewRomanPSMT;Times New Roman;Times;serif" w:hAnsi="TimesNewRomanPSMT;Times New Roman;Times;serif"/>
              </w:rPr>
              <w:t>By:</w:t>
            </w:r>
            <w:r>
              <w:rPr/>
              <w:t>      _</w:t>
            </w:r>
            <w:r>
              <w:rPr>
                <w:u w:val="single"/>
              </w:rPr>
              <w:t xml:space="preserve">/s/ Terrance J. Lillis                                  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                                                                    </w:t>
            </w:r>
            <w:r>
              <w:rPr>
                <w:rFonts w:ascii="TimesNewRomanPSMT;Times New Roman;Times;serif" w:hAnsi="TimesNewRomanPSMT;Times New Roman;Times;serif"/>
              </w:rPr>
              <w:t>Name: Terrance J. Lillis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                                                                    </w:t>
            </w:r>
            <w:r>
              <w:rPr>
                <w:rFonts w:ascii="TimesNewRomanPSMT;Times New Roman;Times;serif" w:hAnsi="TimesNewRomanPSMT;Times New Roman;Times;serif"/>
              </w:rPr>
              <w:t>Title:    Senior Vice President and Chief Financial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NewRomanPSMT;Times New Roman;Times;serif" w:hAnsi="TimesNewRomanPSMT;Times New Roman;Times;serif"/>
              </w:rPr>
              <w:t>Officer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</w:rPr>
              <w:t>Date: May 3, 2010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8" w:name="page_3"/>
      <w:bookmarkStart w:id="9" w:name="page_3"/>
      <w:bookmarkEnd w:id="9"/>
    </w:p>
    <w:tbl>
      <w:tblPr>
        <w:tblW w:w="1068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921"/>
        <w:gridCol w:w="6789"/>
      </w:tblGrid>
      <w:tr>
        <w:trPr/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</w:rPr>
              <w:t>Page 3</w:t>
            </w:r>
            <w:r>
              <w:rPr/>
              <w:t> </w:t>
            </w:r>
          </w:p>
        </w:tc>
        <w:tc>
          <w:tcPr>
            <w:tcW w:w="19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67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68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9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9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67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                                </w:t>
            </w: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EXHIBIT 99</w:t>
            </w:r>
            <w:r>
              <w:rPr/>
              <w:t> </w:t>
            </w:r>
          </w:p>
        </w:tc>
      </w:tr>
      <w:tr>
        <w:trPr/>
        <w:tc>
          <w:tcPr>
            <w:tcW w:w="19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ItalicMT;Times New Roman;Times;serif" w:hAnsi="TimesNewRomanPS-BoldItalicMT;Times New Roman;Times;serif"/>
                <w:b/>
                <w:i/>
                <w:sz w:val="20"/>
              </w:rPr>
              <w:t>RELEASE:</w:t>
            </w:r>
            <w:r>
              <w:rPr/>
              <w:t> </w:t>
            </w:r>
          </w:p>
        </w:tc>
        <w:tc>
          <w:tcPr>
            <w:tcW w:w="192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On receipt</w:t>
            </w:r>
            <w:r>
              <w:rPr/>
              <w:t> </w:t>
            </w:r>
          </w:p>
        </w:tc>
        <w:tc>
          <w:tcPr>
            <w:tcW w:w="6789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68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MEDIA CONTACT:</w:t>
            </w:r>
            <w:r>
              <w:rPr/>
              <w:t xml:space="preserve">                                     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Susan Houser, 515-248-2268, houser.susan@principal.com</w:t>
            </w:r>
            <w:r>
              <w:rPr/>
              <w:t> </w:t>
            </w:r>
          </w:p>
        </w:tc>
      </w:tr>
      <w:tr>
        <w:trPr/>
        <w:tc>
          <w:tcPr>
            <w:tcW w:w="1068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INVESTOR RELATIONS CONTACT:</w:t>
            </w:r>
            <w:r>
              <w:rPr/>
              <w:t xml:space="preserve">             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John Egan, 515-235-9500, investor-relations@principal.com</w:t>
            </w:r>
            <w:r>
              <w:rPr/>
              <w:t> </w:t>
            </w:r>
          </w:p>
        </w:tc>
      </w:tr>
      <w:tr>
        <w:trPr/>
        <w:tc>
          <w:tcPr>
            <w:tcW w:w="1068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68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685" w:type="dxa"/>
            <w:gridSpan w:val="3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</w:t>
            </w:r>
            <w:r>
              <w:rPr>
                <w:rFonts w:ascii="TimesNewRomanPS-BoldMT;Times New Roman;Times;serif" w:hAnsi="TimesNewRomanPS-BoldMT;Times New Roman;Times;serif"/>
                <w:b/>
                <w:i/>
                <w:sz w:val="20"/>
              </w:rPr>
              <w:t>PRINCIPAL FINANCIAL GROUP, INC. REPORTS FIRST QUARTER 2010 RESULTS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tbl>
      <w:tblPr>
        <w:tblW w:w="1067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0"/>
      </w:tblGrid>
      <w:tr>
        <w:trPr/>
        <w:tc>
          <w:tcPr>
            <w:tcW w:w="106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Des Moines, IA (May 3, 2010)  Principal Financial Group, Inc. (NYSE: PFG) today announced</w:t>
            </w:r>
            <w:r>
              <w:rPr/>
              <w:t> </w:t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results for first quarter 2010. The company reported net income available to common stockholders of</w:t>
            </w:r>
            <w:r>
              <w:rPr/>
              <w:t> </w:t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$190.8 million, or $0.59 per diluted share for the three months ended March 31, 2010, compared to $112.8</w:t>
            </w:r>
            <w:r>
              <w:rPr/>
              <w:t> </w:t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million, or $0.43 per diluted share for the three months ended March 31, 2009. The company reported</w:t>
            </w:r>
            <w:r>
              <w:rPr/>
              <w:t> </w:t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operating earnings of $255.6 million for first quarter 2010, compared to $164.0 million for first quarter</w:t>
            </w:r>
            <w:r>
              <w:rPr/>
              <w:t> </w:t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2009. Operating earnings per diluted share (EPS) for first quarter 2010 were $0.79 compared to $0.63 for</w:t>
            </w:r>
            <w:r>
              <w:rPr/>
              <w:t> </w:t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the same period in 2009. Operating revenues for first quarter 2010 were $2,333.8 million compared to</w:t>
            </w:r>
            <w:r>
              <w:rPr/>
              <w:t> </w:t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$2,261.2 million for the same period last year.</w:t>
            </w: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 xml:space="preserve">1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Assets under management (AUM) were $293.4 billion as</w:t>
            </w:r>
            <w:r>
              <w:rPr/>
              <w:t> </w:t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of March 31, 2010 compared to $236.6 billion as of March 31, 2009.</w:t>
            </w:r>
            <w:r>
              <w:rPr/>
              <w:t> </w:t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First quarter was a very solid start to the year, as we continue to position the company for</w:t>
            </w:r>
            <w:r>
              <w:rPr/>
              <w:t> </w:t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sustainable, profitable growth as the recovery builds over time, said Larry D. Zimpleman, chairman,</w:t>
            </w:r>
            <w:r>
              <w:rPr/>
              <w:t> </w:t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president and chief executive officer. We delivered significant improvement in operating earnings, EPS, net</w:t>
            </w:r>
            <w:r>
              <w:rPr/>
              <w:t> </w:t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income, AUM and book value per share, reflecting improved credit and equity market conditions, and our</w:t>
            </w:r>
            <w:r>
              <w:rPr/>
              <w:t> </w:t>
            </w:r>
          </w:p>
        </w:tc>
      </w:tr>
      <w:tr>
        <w:trPr/>
        <w:tc>
          <w:tcPr>
            <w:tcW w:w="106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ongoing discipline around expenses and the investment portfolio.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tbl>
      <w:tblPr>
        <w:tblW w:w="8625" w:type="dxa"/>
        <w:jc w:val="left"/>
        <w:tblInd w:w="0" w:type="dxa"/>
        <w:tblCellMar>
          <w:top w:w="28" w:type="dxa"/>
          <w:left w:w="28" w:type="dxa"/>
          <w:bottom w:w="0" w:type="dxa"/>
          <w:right w:w="28" w:type="dxa"/>
        </w:tblCellMar>
      </w:tblPr>
      <w:tblGrid>
        <w:gridCol w:w="2255"/>
        <w:gridCol w:w="3080"/>
        <w:gridCol w:w="3290"/>
      </w:tblGrid>
      <w:tr>
        <w:trPr/>
        <w:tc>
          <w:tcPr>
            <w:tcW w:w="22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Measure</w:t>
            </w:r>
            <w:r>
              <w:rPr/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Change from first quarter 2009</w:t>
            </w:r>
            <w:r>
              <w:rPr/>
              <w:t> </w:t>
            </w:r>
          </w:p>
        </w:tc>
        <w:tc>
          <w:tcPr>
            <w:tcW w:w="3290" w:type="dxa"/>
            <w:tcBorders>
              <w:top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Change from fourth quarter 2009</w:t>
            </w:r>
            <w:r>
              <w:rPr/>
              <w:t> </w:t>
            </w:r>
          </w:p>
        </w:tc>
      </w:tr>
      <w:tr>
        <w:trPr/>
        <w:tc>
          <w:tcPr>
            <w:tcW w:w="2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308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to first quarter 2010</w:t>
            </w:r>
            <w:r>
              <w:rPr/>
              <w:t> 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to first quarter 2010</w:t>
            </w:r>
            <w:r>
              <w:rPr/>
              <w:t> </w:t>
            </w:r>
          </w:p>
        </w:tc>
      </w:tr>
      <w:tr>
        <w:trPr/>
        <w:tc>
          <w:tcPr>
            <w:tcW w:w="2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Operating Earnings</w:t>
            </w:r>
            <w:r>
              <w:rPr/>
              <w:t> </w:t>
            </w:r>
          </w:p>
        </w:tc>
        <w:tc>
          <w:tcPr>
            <w:tcW w:w="308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+56%</w:t>
            </w:r>
            <w:r>
              <w:rPr/>
              <w:t> 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+27%</w:t>
            </w:r>
            <w:r>
              <w:rPr/>
              <w:t> </w:t>
            </w:r>
          </w:p>
        </w:tc>
      </w:tr>
      <w:tr>
        <w:trPr/>
        <w:tc>
          <w:tcPr>
            <w:tcW w:w="2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EPS</w:t>
            </w:r>
            <w:r>
              <w:rPr/>
              <w:t> </w:t>
            </w:r>
          </w:p>
        </w:tc>
        <w:tc>
          <w:tcPr>
            <w:tcW w:w="308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+25%</w:t>
            </w:r>
            <w:r>
              <w:rPr/>
              <w:t> 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+27%</w:t>
            </w:r>
            <w:r>
              <w:rPr/>
              <w:t> </w:t>
            </w:r>
          </w:p>
        </w:tc>
      </w:tr>
      <w:tr>
        <w:trPr/>
        <w:tc>
          <w:tcPr>
            <w:tcW w:w="2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Net Income</w:t>
            </w:r>
            <w:r>
              <w:rPr/>
              <w:t> </w:t>
            </w:r>
          </w:p>
        </w:tc>
        <w:tc>
          <w:tcPr>
            <w:tcW w:w="308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+69%</w:t>
            </w:r>
            <w:r>
              <w:rPr/>
              <w:t> 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+34%</w:t>
            </w:r>
            <w:r>
              <w:rPr/>
              <w:t> </w:t>
            </w:r>
          </w:p>
        </w:tc>
      </w:tr>
      <w:tr>
        <w:trPr/>
        <w:tc>
          <w:tcPr>
            <w:tcW w:w="2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AUM</w:t>
            </w:r>
            <w:r>
              <w:rPr/>
              <w:t> </w:t>
            </w:r>
          </w:p>
        </w:tc>
        <w:tc>
          <w:tcPr>
            <w:tcW w:w="308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+24%</w:t>
            </w:r>
            <w:r>
              <w:rPr/>
              <w:t> 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+3%</w:t>
            </w:r>
            <w:r>
              <w:rPr/>
              <w:t> </w:t>
            </w:r>
          </w:p>
        </w:tc>
      </w:tr>
      <w:tr>
        <w:trPr/>
        <w:tc>
          <w:tcPr>
            <w:tcW w:w="2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Book value per share</w:t>
            </w: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>2</w:t>
            </w:r>
            <w:r>
              <w:rPr/>
              <w:t> </w:t>
            </w:r>
          </w:p>
        </w:tc>
        <w:tc>
          <w:tcPr>
            <w:tcW w:w="308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+212%</w:t>
            </w:r>
            <w:r>
              <w:rPr/>
              <w:t> 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+9%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tbl>
      <w:tblPr>
        <w:tblW w:w="1187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0"/>
      </w:tblGrid>
      <w:tr>
        <w:trPr/>
        <w:tc>
          <w:tcPr>
            <w:tcW w:w="11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We see clear signs the economy is starting to recover, said Zimpleman. As this has occurred, our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three largest U.S. accumulation businesses</w:t>
            </w: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 xml:space="preserve">3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have delivered meaningful sequential improvement in sales, with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$4.3 billion in total for the first quarter, generating more than $900 million of positive net cash flows. While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we see improving trends, small and medium businesses continue to proceed with caution, and our sales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remain below 2007 levels. Job losses have slowed, but small business confidence levels are still low</w:t>
            </w: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 xml:space="preserve">4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and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weve yet to see consistent signs of employment growth in the small business segment, which is critical to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driving growth in the U.S. economy.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____________________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 xml:space="preserve">1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Use of non-GAAP financial measures is discussed in this release after Segment Highlights.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 xml:space="preserve">2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GAAP book value, including accumulated other comprehensive income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 xml:space="preserve">3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Full Service Accumulation, Principal Funds and Individual Annuities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 xml:space="preserve">4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National Federation of Independent Business' Small Business Optimism Index dropped 1.2 points to 86.8 in March, with</w:t>
            </w:r>
            <w:r>
              <w:rPr/>
              <w:t> </w:t>
            </w:r>
          </w:p>
        </w:tc>
      </w:tr>
      <w:tr>
        <w:trPr/>
        <w:tc>
          <w:tcPr>
            <w:tcW w:w="118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only one of its ten components showing improvement.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0" w:name="page_4"/>
      <w:bookmarkStart w:id="11" w:name="page_4"/>
      <w:bookmarkEnd w:id="11"/>
    </w:p>
    <w:tbl>
      <w:tblPr>
        <w:tblW w:w="1068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5"/>
      </w:tblGrid>
      <w:tr>
        <w:trPr/>
        <w:tc>
          <w:tcPr>
            <w:tcW w:w="106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</w:rPr>
              <w:t>Page 4</w:t>
            </w:r>
            <w:r>
              <w:rPr/>
              <w:t> </w:t>
            </w:r>
          </w:p>
        </w:tc>
      </w:tr>
      <w:tr>
        <w:trPr/>
        <w:tc>
          <w:tcPr>
            <w:tcW w:w="106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6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6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Added Terry Lillis, senior vice president and chief financial officer, In our customer base of small</w:t>
            </w:r>
            <w:r>
              <w:rPr/>
              <w:t> </w:t>
            </w:r>
          </w:p>
        </w:tc>
      </w:tr>
      <w:tr>
        <w:trPr/>
        <w:tc>
          <w:tcPr>
            <w:tcW w:w="106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and medium businesses, we continue to see a number of positive trends, with membership declines slowing</w:t>
            </w:r>
            <w:r>
              <w:rPr/>
              <w:t> </w:t>
            </w:r>
          </w:p>
        </w:tc>
      </w:tr>
      <w:tr>
        <w:trPr/>
        <w:tc>
          <w:tcPr>
            <w:tcW w:w="106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and employers beginning to restore 401(k) matching contributions. Were also seeing sales pipelines build.</w:t>
            </w:r>
            <w:r>
              <w:rPr/>
              <w:t> </w:t>
            </w:r>
          </w:p>
        </w:tc>
      </w:tr>
      <w:tr>
        <w:trPr/>
        <w:tc>
          <w:tcPr>
            <w:tcW w:w="106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And we continue to demonstrate industry leadership; in our investment offerings, and by launching services</w:t>
            </w:r>
            <w:r>
              <w:rPr/>
              <w:t> </w:t>
            </w:r>
          </w:p>
        </w:tc>
      </w:tr>
      <w:tr>
        <w:trPr/>
        <w:tc>
          <w:tcPr>
            <w:tcW w:w="106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such as RetireView</w:t>
            </w: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 xml:space="preserve">SM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, our new asset allocation program for retirement plans. As more normal employment</w:t>
            </w:r>
            <w:r>
              <w:rPr/>
              <w:t> </w:t>
            </w:r>
          </w:p>
        </w:tc>
      </w:tr>
      <w:tr>
        <w:trPr/>
        <w:tc>
          <w:tcPr>
            <w:tcW w:w="106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and economic conditions return, we remain well-positioned for improved long-term growth and</w:t>
            </w:r>
            <w:r>
              <w:rPr/>
              <w:t> </w:t>
            </w:r>
          </w:p>
        </w:tc>
      </w:tr>
      <w:tr>
        <w:trPr/>
        <w:tc>
          <w:tcPr>
            <w:tcW w:w="106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profitability.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tbl>
      <w:tblPr>
        <w:tblW w:w="1078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0610"/>
      </w:tblGrid>
      <w:tr>
        <w:trPr/>
        <w:tc>
          <w:tcPr>
            <w:tcW w:w="1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8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2010 Awards and Recognition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ymbolMT;Times New Roman;Times;serif" w:hAnsi="SymbolMT;Times New Roman;Times;serif"/>
                <w:sz w:val="28"/>
              </w:rPr>
              <w:t>·</w:t>
            </w: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The Principal was recognized by the Ethisphere Institute as one of the Worlds Most Ethical Companies,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one of only three financial services companies included in the 2010 list.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ymbolMT;Times New Roman;Times;serif" w:hAnsi="SymbolMT;Times New Roman;Times;serif"/>
                <w:sz w:val="28"/>
              </w:rPr>
              <w:t>·</w:t>
            </w: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Principal Funds received two Lipper Fund Awards for consistent multi-year performance; and four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LifeTime Funds were recognized by Barrons for top performance in their category.</w:t>
            </w: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>5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ymbolMT;Times New Roman;Times;serif" w:hAnsi="SymbolMT;Times New Roman;Times;serif"/>
                <w:sz w:val="28"/>
              </w:rPr>
              <w:t>·</w:t>
            </w: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For the eighth consecutive year, The Principal was named a top 50 company by the National Association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of Female Executives.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ymbolMT;Times New Roman;Times;serif" w:hAnsi="SymbolMT;Times New Roman;Times;serif"/>
                <w:sz w:val="28"/>
              </w:rPr>
              <w:t>·</w:t>
            </w: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 xml:space="preserve">BrasilPrev, the companys pension joint venture in Brazil, was recognized by </w:t>
            </w:r>
            <w:r>
              <w:rPr>
                <w:rFonts w:ascii="TimesNewRomanPS-ItalicMT;Times New Roman;Times;serif" w:hAnsi="TimesNewRomanPS-ItalicMT;Times New Roman;Times;serif"/>
                <w:i/>
                <w:sz w:val="20"/>
              </w:rPr>
              <w:t>Consumidor Moderno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Magazine as the number one company in the pension segment for customer service.</w:t>
            </w:r>
            <w:r>
              <w:rPr/>
              <w:t> </w:t>
            </w:r>
          </w:p>
        </w:tc>
      </w:tr>
      <w:tr>
        <w:trPr/>
        <w:tc>
          <w:tcPr>
            <w:tcW w:w="1078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Additional Highlights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ymbolMT;Times New Roman;Times;serif" w:hAnsi="SymbolMT;Times New Roman;Times;serif"/>
                <w:sz w:val="28"/>
              </w:rPr>
              <w:t>·</w:t>
            </w: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Operating return on average equity excluding accumulated other comprehensive income improved 90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basis points from year-end 2009 to 11.5 percent for the trailing twelve months ended March 31, 2010.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ymbolMT;Times New Roman;Times;serif" w:hAnsi="SymbolMT;Times New Roman;Times;serif"/>
                <w:sz w:val="28"/>
              </w:rPr>
              <w:t>·</w:t>
            </w: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Strong sales of the companys three key U.S. retirement and investment products in the first quarter,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despite a difficult sales environment with $1.7 billion for Full Service Accumulation, $2.1 billion for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Principal Funds and $0.5 billion for Individual Annuities.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ymbolMT;Times New Roman;Times;serif" w:hAnsi="SymbolMT;Times New Roman;Times;serif"/>
                <w:sz w:val="28"/>
              </w:rPr>
              <w:t>·</w:t>
            </w: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Strong capital and liquidity, with: an estimated risk based capital ratio of 440 to 450 percent at quarter-end;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approximately $1.8 billion of excess capital;</w:t>
            </w: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 xml:space="preserve">6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and $5.6 billion of liquid assets.</w:t>
            </w:r>
            <w:r>
              <w:rPr/>
              <w:t> </w:t>
            </w:r>
          </w:p>
        </w:tc>
      </w:tr>
      <w:tr>
        <w:trPr/>
        <w:tc>
          <w:tcPr>
            <w:tcW w:w="1078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Net Income</w:t>
            </w:r>
            <w:r>
              <w:rPr/>
              <w:t> </w:t>
            </w:r>
          </w:p>
        </w:tc>
      </w:tr>
      <w:tr>
        <w:trPr/>
        <w:tc>
          <w:tcPr>
            <w:tcW w:w="1078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Net income available to common stockholders of $190.8 million for first quarter 2010 includes $7.8 million</w:t>
            </w:r>
            <w:r>
              <w:rPr/>
              <w:t> </w:t>
            </w:r>
          </w:p>
        </w:tc>
      </w:tr>
      <w:tr>
        <w:trPr/>
        <w:tc>
          <w:tcPr>
            <w:tcW w:w="1078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of losses related to other after-tax adjustments, reflecting the tax impact of healthcare reform legislation</w:t>
            </w:r>
            <w:r>
              <w:rPr/>
              <w:t> </w:t>
            </w:r>
          </w:p>
        </w:tc>
      </w:tr>
      <w:tr>
        <w:trPr/>
        <w:tc>
          <w:tcPr>
            <w:tcW w:w="1078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enacted in first quarter 2010, and net realized capital losses of $57.0 million, which includes: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ymbolMT;Times New Roman;Times;serif" w:hAnsi="SymbolMT;Times New Roman;Times;serif"/>
                <w:sz w:val="28"/>
              </w:rPr>
              <w:t>·</w:t>
            </w: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$54.1 million of losses related to sales and permanent impairments of fixed maturity securities including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$36.9 million of losses on commercial mortgage backed securities; partially offset by $9.1 million of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gains related to sales of fixed maturity securities; and</w:t>
            </w:r>
            <w:r>
              <w:rPr/>
              <w:t> </w:t>
            </w:r>
          </w:p>
        </w:tc>
      </w:tr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ymbolMT;Times New Roman;Times;serif" w:hAnsi="SymbolMT;Times New Roman;Times;serif"/>
                <w:sz w:val="28"/>
              </w:rPr>
              <w:t>·</w:t>
            </w:r>
            <w:r>
              <w:rPr/>
              <w:t> </w:t>
            </w:r>
          </w:p>
        </w:tc>
        <w:tc>
          <w:tcPr>
            <w:tcW w:w="106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$11.2 million of losses on commercial mortgage whole loans.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tbl>
      <w:tblPr>
        <w:tblW w:w="1295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0"/>
      </w:tblGrid>
      <w:tr>
        <w:trPr/>
        <w:tc>
          <w:tcPr>
            <w:tcW w:w="12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                                                     </w:t>
            </w:r>
            <w:r>
              <w:rPr>
                <w:rFonts w:ascii="TimesNewRomanPS-BoldItalicMT;Times New Roman;Times;serif" w:hAnsi="TimesNewRomanPS-BoldItalicMT;Times New Roman;Times;serif"/>
                <w:b/>
                <w:i/>
                <w:sz w:val="20"/>
              </w:rPr>
              <w:t>Segment Highlights</w:t>
            </w:r>
            <w:r>
              <w:rPr/>
              <w:t> </w:t>
            </w:r>
          </w:p>
        </w:tc>
      </w:tr>
      <w:tr>
        <w:trPr/>
        <w:tc>
          <w:tcPr>
            <w:tcW w:w="12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U.S. Asset Accumulation</w:t>
            </w:r>
            <w:r>
              <w:rPr/>
              <w:t> </w:t>
            </w:r>
          </w:p>
        </w:tc>
      </w:tr>
      <w:tr>
        <w:trPr/>
        <w:tc>
          <w:tcPr>
            <w:tcW w:w="12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Segment operating earnings for first quarter 2010 were $157.0 million, compared to $93.1 million</w:t>
            </w:r>
            <w:r>
              <w:rPr/>
              <w:t> </w:t>
            </w:r>
          </w:p>
        </w:tc>
      </w:tr>
      <w:tr>
        <w:trPr/>
        <w:tc>
          <w:tcPr>
            <w:tcW w:w="12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for the same period in 2009, reflecting a 16 percent increase in average account values, and strong expense</w:t>
            </w:r>
            <w:r>
              <w:rPr/>
              <w:t> </w:t>
            </w:r>
          </w:p>
        </w:tc>
      </w:tr>
      <w:tr>
        <w:trPr/>
        <w:tc>
          <w:tcPr>
            <w:tcW w:w="12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management. Full service accumulation earnings increased $25.2 million from a year ago to $76.3 million</w:t>
            </w:r>
            <w:r>
              <w:rPr/>
              <w:t> </w:t>
            </w:r>
          </w:p>
        </w:tc>
      </w:tr>
      <w:tr>
        <w:trPr/>
        <w:tc>
          <w:tcPr>
            <w:tcW w:w="12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for first quarter 2010 primarily due to a 24 percent increase in average account values. Individual annuities</w:t>
            </w:r>
            <w:r>
              <w:rPr/>
              <w:t> </w:t>
            </w:r>
          </w:p>
        </w:tc>
      </w:tr>
      <w:tr>
        <w:trPr/>
        <w:tc>
          <w:tcPr>
            <w:tcW w:w="12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____________________ </w:t>
            </w:r>
          </w:p>
        </w:tc>
      </w:tr>
      <w:tr>
        <w:trPr/>
        <w:tc>
          <w:tcPr>
            <w:tcW w:w="12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 xml:space="preserve">5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Barrons quarterly fund report, based on data from Lipper, top among peers based on first quarter 2010 performance.</w:t>
            </w:r>
            <w:r>
              <w:rPr/>
              <w:t> </w:t>
            </w:r>
          </w:p>
        </w:tc>
      </w:tr>
      <w:tr>
        <w:trPr/>
        <w:tc>
          <w:tcPr>
            <w:tcW w:w="12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 xml:space="preserve">6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Excess capital includes cash at the holding company and capital at the life company above that needed to maintain a 350 percent</w:t>
            </w:r>
            <w:r>
              <w:rPr/>
              <w:t> </w:t>
            </w:r>
          </w:p>
        </w:tc>
      </w:tr>
      <w:tr>
        <w:trPr/>
        <w:tc>
          <w:tcPr>
            <w:tcW w:w="129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NAIC risk based capital ratio for the life company.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2" w:name="page_5"/>
      <w:bookmarkStart w:id="13" w:name="page_5"/>
      <w:bookmarkEnd w:id="13"/>
    </w:p>
    <w:tbl>
      <w:tblPr>
        <w:tblW w:w="1100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0"/>
      </w:tblGrid>
      <w:tr>
        <w:trPr/>
        <w:tc>
          <w:tcPr>
            <w:tcW w:w="110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</w:rPr>
              <w:t>Page 5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earnings increased $25.5 million from a year ago to $30.8 million for first quarter 2010. The increase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reflects: an 11 percent increase in average account values; and $16.5 million pre-tax of higher amortization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of deferred policy acquisitions costs (DPAC) in first quarter 2009, primarily the result of unfavorable equity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market performance in that period. Principal Funds earnings increased $8.4 million from a year ago to $10.2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million for first quarter 2010 primarily due to a 27 percent increase in average account values.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Operating revenues for the first quarter were $1,012.7 million, compared to $1,007.5 million for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the same period in 2009. Fee revenues from the accumulation businesses, which increased $60.8 million, or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22 percent from the year ago quarter, were substantially offset by a $42.3 million decline in revenues from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Investment Only (the institutional GIC and funding agreement business), which the company has been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scaling back over the last several quarters.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Segment assets under management were $165.9 billion as of March 31, 2010, compared to $133.9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billion as of March 31, 2009.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Global Asset Management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Segment operating earnings for first quarter 2010 were $12.0 million, compared to $6.8 million in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the prior year quarter, primarily due to a 13 percent increase in average assets under management.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Operating revenues for first quarter were $113.8 million, compared to $104.4 million for the same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period in 2009 reflecting higher management fees due to growth in assets under management.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Non-affiliated assets under management were $74.9 billion as of March 31, 2010, compared to $64.8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billion as of March 31, 2009.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International Asset Management and Accumulation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Segment operating earnings for first quarter 2010 were $37.9 million compared to $17.0 million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for the same period in 2009, reflecting higher fee revenues due to higher average assets under management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and improving macroeconomic conditions.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Operating revenues were $181.1 million for first quarter, compared to $64.0 million for the same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period last year. The increase reflects: more favorable macroeconomic conditions, including higher yields on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inflation-linked investments in Chile and strengthening of Latin American currencies against the U.S. dollar; and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strong revenue growth on a local basis.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Segment assets under management were a record $35.7 billion as of March 31, 2010, compared to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$23.5 billion as of March 31, 2009. The increase includes $3.1 billion of net cash flows over the trailing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twelve months, or 13 percent of beginning of period AUM.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Life and Health Insurance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Segment operating earnings for first quarter 2010 were $69.8 million, compared to $71.8 million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for the same period in 2009. Individual Life earnings were a strong $30.5 million in first quarter 2010,</w:t>
            </w:r>
            <w:r>
              <w:rPr/>
              <w:t> </w:t>
            </w:r>
          </w:p>
        </w:tc>
      </w:tr>
      <w:tr>
        <w:trPr/>
        <w:tc>
          <w:tcPr>
            <w:tcW w:w="110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compared to $22.8 million in first quarter 2009. The increase primarily reflects growth in the block of business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4" w:name="page_6"/>
      <w:bookmarkStart w:id="15" w:name="page_6"/>
      <w:bookmarkEnd w:id="15"/>
    </w:p>
    <w:tbl>
      <w:tblPr>
        <w:tblW w:w="1040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0"/>
      </w:tblGrid>
      <w:tr>
        <w:trPr/>
        <w:tc>
          <w:tcPr>
            <w:tcW w:w="10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</w:rPr>
              <w:t>Page 6</w:t>
            </w:r>
            <w:r>
              <w:rPr/>
              <w:t> </w:t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and ongoing expense management. Health division earnings were $25.7 million in first quarter 2010</w:t>
            </w:r>
            <w:r>
              <w:rPr/>
              <w:t> </w:t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compared to $31.9 million in first quarter 2009. The change primarily reflects a decline in insured medical</w:t>
            </w:r>
            <w:r>
              <w:rPr/>
              <w:t> </w:t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covered members from a year ago. Specialty Benefits earnings were $13.6 million in first quarter 2010</w:t>
            </w:r>
            <w:r>
              <w:rPr/>
              <w:t> </w:t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compared to $17.1 million in first quarter 2009, primarily due to unfavorable group disability claims</w:t>
            </w:r>
            <w:r>
              <w:rPr/>
              <w:t> </w:t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experience.</w:t>
            </w:r>
            <w:r>
              <w:rPr/>
              <w:t> </w:t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Operating revenues for first quarter were $1,057.9 million, compared to $1,131.0 million for the</w:t>
            </w:r>
            <w:r>
              <w:rPr/>
              <w:t> </w:t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same period a year ago. The variance was primarily due to a 15 percent decrease in Health division</w:t>
            </w:r>
            <w:r>
              <w:rPr/>
              <w:t> </w:t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premiums, reflecting a decline in group medical covered members.</w:t>
            </w:r>
            <w:r>
              <w:rPr/>
              <w:t> </w:t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Corporate</w:t>
            </w:r>
            <w:r>
              <w:rPr/>
              <w:t> </w:t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Operating losses for first quarter 2010 were $21.1 million, compared to operating losses of $24.7</w:t>
            </w:r>
            <w:r>
              <w:rPr/>
              <w:t> </w:t>
            </w:r>
          </w:p>
        </w:tc>
      </w:tr>
      <w:tr>
        <w:trPr/>
        <w:tc>
          <w:tcPr>
            <w:tcW w:w="104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million for the same period in 2009.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tbl>
      <w:tblPr>
        <w:tblW w:w="1044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5"/>
      </w:tblGrid>
      <w:tr>
        <w:trPr/>
        <w:tc>
          <w:tcPr>
            <w:tcW w:w="104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Forward looking and cautionary statements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This press release contains forward-looking statements, including, without limitation, statements as to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operating earnings, net income available to common stockholders, net cash flows, realized and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unrealized losses, capital and liquidity positions, sales and earnings trends, and management's beliefs,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expectations, goals and opinions. The company does not undertake to update or revise these statements,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which are based on a number of assumptions concerning future conditions that may ultimately prove to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be inaccurate. Future events and their effects on the company may not be those anticipated, and actual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results may differ materially from the results anticipated in these forward-looking statements. The risks,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uncertainties and factors that could cause or contribute to such material differences are discussed in the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company's annual report on Form 10-K for the year ended December 31, 2009, filed by the company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with the Securities and Exchange Commission, as updated or supplemented from time to time in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subsequent filings. These risks and uncertainties include, without limitation: adverse capital and credit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market conditions that may significantly affect the companys ability to meet liquidity needs, access to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capital and cost of capital; a continuation of difficult conditions in the global capital markets and the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general economy that may materially adversely affect the companys business and results of operations;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the actions of the U.S. government, Federal Reserve and other governmental and regulatory bodies for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purposes of stabilizing the financial markets might not achieve the intended effect; the risk from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acquiring new businesses, which could result in the impairment of goodwill and/or intangible assets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recognized at the time of acquisition; impairment of other financial institutions that could adversely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affect the company; investment risks which may diminish the value of the companys invested assets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and the investment returns credited to customers, which could reduce sales, revenues, assets under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management and net income; requirements to post collateral or make payments related to declines in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market value of specified assets may adversely affect company liquidity and expose the company to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counterparty credit risk; changes in laws, regulations or accounting standards that may reduce company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profitability; fluctuations in foreign currency exchange rates that could reduce company profitability;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Principal Financial Group, Inc.s primary reliance, as a holding company, on dividends from its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subsidiaries to meet debt payment obligations and regulatory restrictions on the ability of subsidiaries to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pay such dividends; competitive factors; volatility of financial markets; decrease in ratings; interest rate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changes; inability to attract and retain sales representatives; international business risks; a pandemic,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terrorist attack or other catastrophic event; and default of the companys reinsurers.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Use of Non-GAAP Financial Measures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The company uses a number of non-GAAP financial measures that management believes are useful to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investors because they illustrate the performance of normal, ongoing operations, which is important in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understanding and evaluating the companys financial condition and results of operations. They are not,</w:t>
            </w:r>
            <w:r>
              <w:rPr/>
              <w:t> </w:t>
            </w:r>
          </w:p>
        </w:tc>
      </w:tr>
      <w:tr>
        <w:trPr/>
        <w:tc>
          <w:tcPr>
            <w:tcW w:w="104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however, a substitute for U.S. GAAP financial measures. Therefore, the company has provided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6" w:name="page_7"/>
      <w:bookmarkStart w:id="17" w:name="page_7"/>
      <w:bookmarkEnd w:id="17"/>
    </w:p>
    <w:tbl>
      <w:tblPr>
        <w:tblW w:w="1085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4"/>
        <w:gridCol w:w="676"/>
      </w:tblGrid>
      <w:tr>
        <w:trPr/>
        <w:tc>
          <w:tcPr>
            <w:tcW w:w="101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174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</w:rPr>
              <w:t>Page 7</w:t>
            </w:r>
            <w:r>
              <w:rPr/>
              <w:t> </w:t>
            </w:r>
          </w:p>
        </w:tc>
        <w:tc>
          <w:tcPr>
            <w:tcW w:w="67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reconciliations of the non-GAAP measures to the most directly comparable U.S. GAAP measure at the end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of the release. The company adjusts U.S. GAAP measures for items not directly related to ongoing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operations. However, it is possible these adjusting items have occurred in the past and could recur in the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future reporting periods. Management also uses non-GAAP measures for goal setting, as a basis for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determining employee and senior management awards and compensation, and evaluating performance on a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basis comparable to that used by investors and securities analysts.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Earnings Conference Call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On Tuesday, May 4, 2010 at 10:00 A.M. (ET), Chairman, President and Chief Executive Officer Larry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Zimpleman and Senior Vice President and Chief Financial Officer Terry Lillis will lead a discussion of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results, asset quality and capital adequacy during a live conference call, which can be accessed as follows: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ymbolMT;Times New Roman;Times;serif" w:hAnsi="SymbolMT;Times New Roman;Times;serif"/>
                <w:sz w:val="28"/>
              </w:rPr>
              <w:t>·</w:t>
            </w:r>
            <w:r>
              <w:rPr>
                <w:rFonts w:ascii="SymbolMT;Times New Roman;Times;serif" w:hAnsi="SymbolMT;Times New Roman;Times;serif"/>
                <w:sz w:val="20"/>
              </w:rPr>
              <w:t>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 xml:space="preserve">Via live Internet webcast. Please go to </w:t>
            </w:r>
            <w:r>
              <w:rPr>
                <w:rFonts w:ascii="TimesNewRomanPSMT;Times New Roman;Times;serif" w:hAnsi="TimesNewRomanPSMT;Times New Roman;Times;serif"/>
                <w:color w:val="0000FF"/>
                <w:sz w:val="20"/>
                <w:u w:val="single"/>
              </w:rPr>
              <w:t>www.principal.com/investor</w:t>
            </w:r>
            <w:r>
              <w:rPr>
                <w:rFonts w:ascii="TimesNewRomanPSMT;Times New Roman;Times;serif" w:hAnsi="TimesNewRomanPSMT;Times New Roman;Times;serif"/>
                <w:color w:val="0000FF"/>
                <w:sz w:val="20"/>
              </w:rPr>
              <w:t xml:space="preserve">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at least 10-15 minutes prior to the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start of the call to register, and to download and install any necessary audio software.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ymbolMT;Times New Roman;Times;serif" w:hAnsi="SymbolMT;Times New Roman;Times;serif"/>
                <w:sz w:val="28"/>
              </w:rPr>
              <w:t>·</w:t>
            </w:r>
            <w:r>
              <w:rPr>
                <w:rFonts w:ascii="SymbolMT;Times New Roman;Times;serif" w:hAnsi="SymbolMT;Times New Roman;Times;serif"/>
                <w:sz w:val="20"/>
              </w:rPr>
              <w:t>      </w:t>
            </w:r>
            <w:r>
              <w:rPr/>
              <w:t>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Via telephone by dialing 800-374-1609 (U.S. and Canadian callers) or 706-643-7701 (International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      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callers) approximately 10 minutes prior to the start of the call. The access code is 66747663.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SymbolMT;Times New Roman;Times;serif" w:hAnsi="SymbolMT;Times New Roman;Times;serif"/>
                <w:sz w:val="28"/>
              </w:rPr>
              <w:t>·</w:t>
            </w:r>
            <w:r>
              <w:rPr>
                <w:rFonts w:ascii="SymbolMT;Times New Roman;Times;serif" w:hAnsi="SymbolMT;Times New Roman;Times;serif"/>
                <w:sz w:val="20"/>
              </w:rPr>
              <w:t>       </w:t>
            </w:r>
            <w:r>
              <w:rPr/>
              <w:t> 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 xml:space="preserve">Replays of the earnings call are available at: </w:t>
            </w:r>
            <w:r>
              <w:rPr>
                <w:rFonts w:ascii="TimesNewRomanPSMT;Times New Roman;Times;serif" w:hAnsi="TimesNewRomanPSMT;Times New Roman;Times;serif"/>
                <w:color w:val="0000FF"/>
                <w:sz w:val="20"/>
                <w:u w:val="single"/>
              </w:rPr>
              <w:t>www.principal.com/investor</w:t>
            </w:r>
            <w:r>
              <w:rPr>
                <w:rFonts w:ascii="TimesNewRomanPSMT;Times New Roman;Times;serif" w:hAnsi="TimesNewRomanPSMT;Times New Roman;Times;serif"/>
                <w:color w:val="0000FF"/>
                <w:sz w:val="20"/>
              </w:rPr>
              <w:t xml:space="preserve">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or by dialing 800-642-1687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(U.S. and Canadian callers) or 706-645-9291 (International callers). The access code is 66747663.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Replays will be available approximately two hours after the completion of the live earnings call through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the end of day May 11, 2010.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The company's financial supplement and additional investment portfolio detail for first quarter 2010 is</w:t>
            </w:r>
            <w:r>
              <w:rPr/>
              <w:t> </w:t>
            </w:r>
          </w:p>
        </w:tc>
      </w:tr>
      <w:tr>
        <w:trPr/>
        <w:tc>
          <w:tcPr>
            <w:tcW w:w="10850" w:type="dxa"/>
            <w:gridSpan w:val="2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 xml:space="preserve">currently available at </w:t>
            </w:r>
            <w:r>
              <w:rPr>
                <w:rFonts w:ascii="TimesNewRomanPSMT;Times New Roman;Times;serif" w:hAnsi="TimesNewRomanPSMT;Times New Roman;Times;serif"/>
                <w:color w:val="0000FF"/>
                <w:sz w:val="20"/>
                <w:u w:val="single"/>
              </w:rPr>
              <w:t>www.principal.com/investor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, and may be referred to during the call.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tbl>
      <w:tblPr>
        <w:tblW w:w="1071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5"/>
      </w:tblGrid>
      <w:tr>
        <w:trPr/>
        <w:tc>
          <w:tcPr>
            <w:tcW w:w="107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About the Principal Financial Group</w:t>
            </w: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The Principal Financial Group</w:t>
            </w: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>®</w:t>
            </w:r>
            <w:r>
              <w:rPr/>
              <w:t xml:space="preserve">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 xml:space="preserve">(The Principal </w:t>
            </w: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 xml:space="preserve">®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)</w:t>
            </w: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 xml:space="preserve">7 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is a leader in offering businesses, individuals and</w:t>
            </w: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institutional clients a wide range of financial products and services, including retirement and investment</w:t>
            </w: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services, life and health insurance, and banking through its diverse family of financial services companies. A</w:t>
            </w: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member of the Fortune 500, the Principal Financial Group has $293.4 billion in assets under management</w:t>
            </w:r>
            <w:r>
              <w:rPr>
                <w:rFonts w:ascii="TimesNewRomanPSMT;Times New Roman;Times;serif" w:hAnsi="TimesNewRomanPSMT;Times New Roman;Times;serif"/>
                <w:position w:val="7"/>
                <w:sz w:val="16"/>
                <w:sz w:val="20"/>
              </w:rPr>
              <w:t>8</w:t>
            </w: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and serves some 18.7 million customers worldwide from offices in Asia, Australia, Europe, Latin America</w:t>
            </w: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and the United States. Principal Financial Group, Inc. is traded on the New York Stock Exchange under the</w:t>
            </w: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 xml:space="preserve">ticker symbol PFG. For more information, visit </w:t>
            </w:r>
            <w:r>
              <w:rPr>
                <w:rFonts w:ascii="TimesNewRomanPSMT;Times New Roman;Times;serif" w:hAnsi="TimesNewRomanPSMT;Times New Roman;Times;serif"/>
                <w:color w:val="0000FF"/>
                <w:sz w:val="20"/>
                <w:u w:val="single"/>
              </w:rPr>
              <w:t>www.principal.com</w:t>
            </w:r>
            <w:r>
              <w:rPr>
                <w:rFonts w:ascii="TimesNewRomanPSMT;Times New Roman;Times;serif" w:hAnsi="TimesNewRomanPSMT;Times New Roman;Times;serif"/>
                <w:sz w:val="20"/>
              </w:rPr>
              <w:t>.</w:t>
            </w: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                                                                     </w:t>
            </w:r>
            <w:r>
              <w:rPr>
                <w:rFonts w:ascii="TimesNewRomanPSMT;Times New Roman;Times;serif" w:hAnsi="TimesNewRomanPSMT;Times New Roman;Times;serif"/>
              </w:rPr>
              <w:t>###</w:t>
            </w: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____________________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position w:val="5"/>
                <w:sz w:val="11"/>
                <w:sz w:val="14"/>
              </w:rPr>
              <w:t xml:space="preserve">7 </w:t>
            </w:r>
            <w:r>
              <w:rPr>
                <w:rFonts w:ascii="TimesNewRomanPSMT;Times New Roman;Times;serif" w:hAnsi="TimesNewRomanPSMT;Times New Roman;Times;serif"/>
                <w:sz w:val="14"/>
              </w:rPr>
              <w:t>"The Principal Financial Group" and The Principal are registered service marks of Principal Financial Services, Inc., a member of the</w:t>
            </w: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14"/>
              </w:rPr>
              <w:t>Principal Financial Group.</w:t>
            </w:r>
            <w:r>
              <w:rPr/>
              <w:t> </w:t>
            </w:r>
          </w:p>
        </w:tc>
      </w:tr>
      <w:tr>
        <w:trPr/>
        <w:tc>
          <w:tcPr>
            <w:tcW w:w="1071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position w:val="5"/>
                <w:sz w:val="11"/>
                <w:sz w:val="14"/>
              </w:rPr>
              <w:t xml:space="preserve">8 </w:t>
            </w:r>
            <w:r>
              <w:rPr>
                <w:rFonts w:ascii="TimesNewRomanPSMT;Times New Roman;Times;serif" w:hAnsi="TimesNewRomanPSMT;Times New Roman;Times;serif"/>
                <w:sz w:val="14"/>
              </w:rPr>
              <w:t>As of March 31, 2010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r>
        <w:rPr/>
      </w:r>
      <w:bookmarkStart w:id="18" w:name="page_8"/>
      <w:bookmarkStart w:id="19" w:name="page_8"/>
      <w:bookmarkEnd w:id="19"/>
    </w:p>
    <w:tbl>
      <w:tblPr>
        <w:tblW w:w="96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1"/>
      </w:tblGrid>
      <w:tr>
        <w:trPr/>
        <w:tc>
          <w:tcPr>
            <w:tcW w:w="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</w:rPr>
              <w:t>Page 8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  <w:br/>
      </w:r>
      <w:r>
        <w:rPr/>
        <w:drawing>
          <wp:inline distT="0" distB="0" distL="0" distR="0">
            <wp:extent cx="14605" cy="1460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tbl>
      <w:tblPr>
        <w:tblW w:w="1318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186"/>
      </w:tblGrid>
      <w:tr>
        <w:trPr/>
        <w:tc>
          <w:tcPr>
            <w:tcW w:w="13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31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-BoldMT;Times New Roman;Times;serif" w:hAnsi="TimesNewRomanPS-BoldMT;Times New Roman;Times;serif"/>
                <w:b/>
                <w:sz w:val="20"/>
              </w:rPr>
              <w:t>*Operating earnings versus U.S. GAAP (GAAP) net income available to common stockholders</w:t>
            </w:r>
            <w:r>
              <w:rPr/>
              <w:t> </w:t>
            </w:r>
          </w:p>
        </w:tc>
      </w:tr>
      <w:tr>
        <w:trPr/>
        <w:tc>
          <w:tcPr>
            <w:tcW w:w="131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Management uses operating earnings, which excludes the effect of net realized capital gains and losses, as adjusted, and other after-</w:t>
            </w:r>
            <w:r>
              <w:rPr/>
              <w:t> </w:t>
            </w:r>
          </w:p>
        </w:tc>
      </w:tr>
      <w:tr>
        <w:trPr/>
        <w:tc>
          <w:tcPr>
            <w:tcW w:w="131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tax adjustments, for goal setting, as a basis for determining employee compensation, and evaluating performance on a basis</w:t>
            </w:r>
            <w:r>
              <w:rPr/>
              <w:t> </w:t>
            </w:r>
          </w:p>
        </w:tc>
      </w:tr>
      <w:tr>
        <w:trPr/>
        <w:tc>
          <w:tcPr>
            <w:tcW w:w="131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comparable to that used by investors and securities analysts. Segment operating earnings are determined by adjusting U.S. GAAP</w:t>
            </w:r>
            <w:r>
              <w:rPr/>
              <w:t> </w:t>
            </w:r>
          </w:p>
        </w:tc>
      </w:tr>
      <w:tr>
        <w:trPr/>
        <w:tc>
          <w:tcPr>
            <w:tcW w:w="131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net income available to common stockholders for net realized capital gains and losses, as adjusted, and other after-tax adjustments</w:t>
            </w:r>
            <w:r>
              <w:rPr/>
              <w:t> </w:t>
            </w:r>
          </w:p>
        </w:tc>
      </w:tr>
      <w:tr>
        <w:trPr/>
        <w:tc>
          <w:tcPr>
            <w:tcW w:w="131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the company believes are not indicative of overall operating trends. Note: it is possible these adjusting items have occurred in the</w:t>
            </w:r>
            <w:r>
              <w:rPr/>
              <w:t> </w:t>
            </w:r>
          </w:p>
        </w:tc>
      </w:tr>
      <w:tr>
        <w:trPr/>
        <w:tc>
          <w:tcPr>
            <w:tcW w:w="131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past and could recur in future reporting periods. While these items may be significant components in understanding and assessing</w:t>
            </w:r>
            <w:r>
              <w:rPr/>
              <w:t> </w:t>
            </w:r>
          </w:p>
        </w:tc>
      </w:tr>
      <w:tr>
        <w:trPr/>
        <w:tc>
          <w:tcPr>
            <w:tcW w:w="131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our consolidated financial performance, management believes the presentation of segment operating earnings enhances the</w:t>
            </w:r>
            <w:r>
              <w:rPr/>
              <w:t> </w:t>
            </w:r>
          </w:p>
        </w:tc>
      </w:tr>
      <w:tr>
        <w:trPr/>
        <w:tc>
          <w:tcPr>
            <w:tcW w:w="131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understanding of results of operations by highlighting earnings attributable to the normal, ongoing operations of the companys</w:t>
            </w:r>
            <w:r>
              <w:rPr/>
              <w:t> </w:t>
            </w:r>
          </w:p>
        </w:tc>
      </w:tr>
      <w:tr>
        <w:trPr/>
        <w:tc>
          <w:tcPr>
            <w:tcW w:w="13186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NewRomanPSMT;Times New Roman;Times;serif" w:hAnsi="TimesNewRomanPSMT;Times New Roman;Times;serif"/>
                <w:sz w:val="20"/>
              </w:rPr>
              <w:t>businesses.</w:t>
            </w:r>
            <w:r>
              <w:rPr/>
              <w:t> 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bookmarkStart w:id="20" w:name="page_9"/>
      <w:bookmarkEnd w:id="20"/>
      <w:r>
        <w:rPr/>
        <w:br/>
      </w:r>
      <w:r>
        <w:rPr/>
        <w:drawing>
          <wp:inline distT="0" distB="0" distL="0" distR="0">
            <wp:extent cx="14605" cy="1460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rPr/>
      </w:pPr>
      <w:r>
        <w:rPr/>
      </w:r>
    </w:p>
    <w:p>
      <w:pPr>
        <w:pStyle w:val="TextBody"/>
        <w:spacing w:before="0" w:after="0"/>
        <w:rPr/>
      </w:pPr>
      <w:bookmarkStart w:id="21" w:name="page_10"/>
      <w:bookmarkEnd w:id="21"/>
      <w:r>
        <w:rPr/>
        <w:br/>
      </w:r>
      <w:r>
        <w:rPr/>
        <w:drawing>
          <wp:inline distT="0" distB="0" distL="0" distR="0">
            <wp:extent cx="14605" cy="1460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12" w:space="0" w:color="808080"/>
        </w:pBdr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TimesNewRomanPS-BoldItalicMT">
    <w:altName w:val="Times New Roman"/>
    <w:charset w:val="00"/>
    <w:family w:val="auto"/>
    <w:pitch w:val="default"/>
  </w:font>
  <w:font w:name="SymbolMT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3</Pages>
  <Words>2937</Words>
  <CharactersWithSpaces>20688</CharactersWithSpaces>
  <Paragraphs>333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firstqtrer10.htm - Generated by SEC Publisher for SEC Filing</dc:title>
</cp:coreProperties>
</file>