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6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7060" w:type="dxa"/>
            <w:vAlign w:val="bottom"/>
            <w:gridSpan w:val="20"/>
          </w:tcPr>
          <w:p>
            <w:pPr>
              <w:jc w:val="center"/>
              <w:ind w:right="4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restart"/>
          </w:tcPr>
          <w:p>
            <w:pPr>
              <w:jc w:val="center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 to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restart"/>
          </w:tcPr>
          <w:p>
            <w:pPr>
              <w:ind w:left="2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Section 16. Form 4 or Form 5</w:t>
            </w:r>
          </w:p>
        </w:tc>
        <w:tc>
          <w:tcPr>
            <w:tcW w:w="6400" w:type="dxa"/>
            <w:vAlign w:val="bottom"/>
            <w:gridSpan w:val="17"/>
            <w:vMerge w:val="restart"/>
          </w:tcPr>
          <w:p>
            <w:pPr>
              <w:jc w:val="center"/>
              <w:ind w:lef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ANNUAL STATEMENT OF CHANGES IN BENEFICIAL</w:t>
            </w: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6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7"/>
                <w:szCs w:val="7"/>
                <w:i w:val="1"/>
                <w:iCs w:val="1"/>
                <w:color w:val="auto"/>
              </w:rPr>
              <w:t>See</w:t>
            </w:r>
          </w:p>
        </w:tc>
        <w:tc>
          <w:tcPr>
            <w:tcW w:w="640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  <w:vMerge w:val="restart"/>
          </w:tcPr>
          <w:p>
            <w:pPr>
              <w:jc w:val="center"/>
              <w:ind w:right="3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40" w:type="dxa"/>
            <w:vAlign w:val="bottom"/>
            <w:gridSpan w:val="13"/>
            <w:vMerge w:val="restart"/>
          </w:tcPr>
          <w:p>
            <w:pPr>
              <w:jc w:val="center"/>
              <w:ind w:left="9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40" w:type="dxa"/>
            <w:vAlign w:val="bottom"/>
            <w:gridSpan w:val="1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554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or Section 30(h) of the Investment Company Act of 1940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6"/>
          </w:tcPr>
          <w:p>
            <w:pPr>
              <w:ind w:lef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Ticker or Trading Symbol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00" w:type="dxa"/>
            <w:vAlign w:val="bottom"/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ZIMPLEMAN LARRY D</w:t>
              </w:r>
            </w:hyperlink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9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5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ind w:left="10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800" w:type="dxa"/>
            <w:vAlign w:val="bottom"/>
            <w:gridSpan w:val="3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8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Statement for Issuer's Fiscal Year Ended 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&amp; COO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711 HIGH STREET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12/31/2006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restart"/>
          </w:tcPr>
          <w:p>
            <w:pPr>
              <w:jc w:val="center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4. If Amendment, Date of Original Filed (Month/Day/Year)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gridSpan w:val="1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00" w:type="dxa"/>
            <w:vAlign w:val="bottom"/>
            <w:gridSpan w:val="3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3.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 Disposed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19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39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ind w:right="295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4"/>
              </w:rPr>
              <w:t>8)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01/29/2004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55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79"/>
                <w:vertAlign w:val="subscript"/>
              </w:rPr>
              <w:t>J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103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73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81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81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26,662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12/17/2004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55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82"/>
                <w:vertAlign w:val="subscript"/>
              </w:rPr>
              <w:t>P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2"/>
              </w:rPr>
              <w:t>(4)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24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39.86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26,686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12/16/2005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55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82"/>
                <w:vertAlign w:val="subscript"/>
              </w:rPr>
              <w:t>P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2"/>
              </w:rPr>
              <w:t>(4)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25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49.72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26,711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(3)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40" w:type="dxa"/>
            <w:vAlign w:val="bottom"/>
            <w:gridSpan w:val="14"/>
          </w:tcPr>
          <w:p>
            <w:pPr>
              <w:jc w:val="center"/>
              <w:ind w:left="6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of (D)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-5995035</wp:posOffset>
            </wp:positionV>
            <wp:extent cx="7272020" cy="6054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05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Delinquent report of acquisition of shares received by the reporting person's spouse as demutualization compensation (See footnote 2) and transferred to a joint account.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80" w:firstLine="9"/>
        <w:spacing w:after="0" w:line="233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were acquired in the demutualization of Principal Mutual Holding Company as compensation in exchange for the extinguishment of a membership interest in Principal Mutual Holding Company. The demutualization was effective October 26, 2001. Principal Financial Group, Inc. closed its initial public offering at $18.50 per share on that date. It distributed shares to former holders of membership interests on December 10, 2001.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2,680 shares acquired pursuant to the Principal Financial Group, Inc. Employee Stock Purchase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Reinvestment of dividends on shares acquired as demutualization compensation by the reporting person and such person's spouse.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Joyce N. Hoffman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02/14/2007</w:t>
            </w:r>
          </w:p>
        </w:tc>
      </w:tr>
      <w:tr>
        <w:trPr>
          <w:trHeight w:val="20"/>
        </w:trPr>
        <w:tc>
          <w:tcPr>
            <w:tcW w:w="1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8" Type="http://schemas.openxmlformats.org/officeDocument/2006/relationships/hyperlink" Target="http://www.sec.gov/cgi-bin/browse-edgar?action=getcompany&amp;CIK=0001166875" TargetMode="External"/><Relationship Id="rId9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2020-02-04T11:02:51Z</dcterms:created>
  <dcterms:modified xsi:type="dcterms:W3CDTF">2020-02-04T11:02:51Z</dcterms:modified>
</cp:coreProperties>
</file>