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8504b2e424b2.htm"/>
      <w:bookmarkStart w:id="1" w:name="ksc08504b2e424b2"/>
      <w:bookmarkEnd w:id="0"/>
      <w:bookmarkEnd w:id="1"/>
      <w:r>
        <w:rPr/>
        <w:t> </w:t>
      </w:r>
    </w:p>
    <w:tbl>
      <w:tblPr>
        <w:tblW w:w="5000" w:type="pct"/>
        <w:jc w:val="center"/>
        <w:tblInd w:w="0" w:type="dxa"/>
        <w:tblCellMar>
          <w:top w:w="0" w:type="dxa"/>
          <w:left w:w="0" w:type="dxa"/>
          <w:bottom w:w="0" w:type="dxa"/>
          <w:right w:w="0" w:type="dxa"/>
        </w:tblCellMar>
      </w:tblPr>
      <w:tblGrid>
        <w:gridCol w:w="2314"/>
        <w:gridCol w:w="119"/>
        <w:gridCol w:w="2276"/>
        <w:gridCol w:w="72"/>
        <w:gridCol w:w="3418"/>
        <w:gridCol w:w="82"/>
        <w:gridCol w:w="1924"/>
      </w:tblGrid>
      <w:tr>
        <w:trPr/>
        <w:tc>
          <w:tcPr>
            <w:tcW w:w="231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r>
      <w:tr>
        <w:trPr/>
        <w:tc>
          <w:tcPr>
            <w:tcW w:w="2314" w:type="dxa"/>
            <w:tcBorders/>
            <w:shd w:fill="auto" w:val="clear"/>
          </w:tcPr>
          <w:p>
            <w:pPr>
              <w:pStyle w:val="TableContents"/>
              <w:spacing w:before="0" w:after="0"/>
              <w:ind w:left="0" w:right="0" w:hanging="0"/>
              <w:rPr/>
            </w:pPr>
            <w:r>
              <w:rPr/>
              <w:t xml:space="preserve">Pricing Supplement Dated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xml:space="preserve">9/18/2006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9"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 and</w:t>
            </w:r>
          </w:p>
        </w:tc>
      </w:tr>
      <w:tr>
        <w:trPr/>
        <w:tc>
          <w:tcPr>
            <w:tcW w:w="4709"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333-129763-01</w:t>
            </w:r>
          </w:p>
        </w:tc>
      </w:tr>
      <w:tr>
        <w:trPr/>
        <w:tc>
          <w:tcPr>
            <w:tcW w:w="2314" w:type="dxa"/>
            <w:tcBorders/>
            <w:shd w:fill="auto" w:val="clea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left"/>
              <w:rPr/>
            </w:pPr>
            <w:r>
              <w:rPr/>
              <w:t> </w:t>
            </w:r>
          </w:p>
        </w:tc>
      </w:tr>
      <w:tr>
        <w:trPr/>
        <w:tc>
          <w:tcPr>
            <w:tcW w:w="2314" w:type="dxa"/>
            <w:tcBorders/>
            <w:shd w:fill="auto" w:val="clear"/>
          </w:tcPr>
          <w:p>
            <w:pPr>
              <w:pStyle w:val="TableContents"/>
              <w:spacing w:before="0" w:after="283"/>
              <w:ind w:left="0" w:right="0" w:hanging="0"/>
              <w:rPr>
                <w:sz w:val="4"/>
                <w:szCs w:val="4"/>
              </w:rPr>
            </w:pPr>
            <w:r>
              <w:rPr>
                <w:sz w:val="4"/>
                <w:szCs w:val="4"/>
              </w:rPr>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CUSIP: 74254PNM0</w:t>
            </w:r>
          </w:p>
        </w:tc>
      </w:tr>
    </w:tbl>
    <w:p>
      <w:pPr>
        <w:pStyle w:val="TextBody"/>
        <w:jc w:val="center"/>
        <w:rPr/>
      </w:pPr>
      <w:r>
        <w:rPr/>
        <w:drawing>
          <wp:inline distT="0" distB="0" distL="0" distR="0">
            <wp:extent cx="139065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065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2006-66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36"/>
        <w:gridCol w:w="115"/>
        <w:gridCol w:w="367"/>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1.500%</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Original Issue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9/27/2006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9/15/2016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3/15/2007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3/15/2007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5.90%</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9/15/2008</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8-03021</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 xml:space="preserve">9/27/2006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9/15/2016</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3/15/2007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3/15/2007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5.90%</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9/15/2008</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9/27/2006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633</Words>
  <CharactersWithSpaces>4425</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